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5"/>
          <w:szCs w:val="15"/>
          <w:b w:val="1"/>
          <w:bCs w:val="1"/>
          <w:color w:val="auto"/>
        </w:rPr>
        <w:t>UNITED STATES</w:t>
      </w:r>
    </w:p>
    <w:p>
      <w:pPr>
        <w:spacing w:after="0" w:line="75"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SECURITIES AND EXCHANGE COMMISSION</w:t>
      </w:r>
    </w:p>
    <w:p>
      <w:pPr>
        <w:spacing w:after="0" w:line="75"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Washington, DC 20549</w:t>
      </w:r>
    </w:p>
    <w:p>
      <w:pPr>
        <w:spacing w:after="0" w:line="153" w:lineRule="exact"/>
        <w:rPr>
          <w:sz w:val="24"/>
          <w:szCs w:val="24"/>
          <w:color w:val="auto"/>
        </w:rPr>
      </w:pPr>
    </w:p>
    <w:p>
      <w:pPr>
        <w:jc w:val="center"/>
        <w:ind w:right="-1080"/>
        <w:spacing w:after="0"/>
        <w:rPr>
          <w:sz w:val="20"/>
          <w:szCs w:val="20"/>
          <w:color w:val="auto"/>
        </w:rPr>
      </w:pPr>
      <w:r>
        <w:rPr>
          <w:rFonts w:ascii="Arial" w:cs="Arial" w:eastAsia="Arial" w:hAnsi="Arial"/>
          <w:sz w:val="24"/>
          <w:szCs w:val="24"/>
          <w:b w:val="1"/>
          <w:bCs w:val="1"/>
          <w:color w:val="auto"/>
        </w:rPr>
        <w:t>SCHEDULE 14A</w:t>
      </w:r>
    </w:p>
    <w:p>
      <w:pPr>
        <w:spacing w:after="0" w:line="187"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PROXY STATEMENT PURSUANT TO SECTION 14(a)</w:t>
      </w:r>
    </w:p>
    <w:p>
      <w:pPr>
        <w:spacing w:after="0" w:line="7"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OF THE SECURITIES EXCHANGE ACT OF 1934</w:t>
      </w:r>
    </w:p>
    <w:p>
      <w:pPr>
        <w:jc w:val="center"/>
        <w:ind w:right="-1080"/>
        <w:spacing w:after="0"/>
        <w:tabs>
          <w:tab w:leader="none" w:pos="180" w:val="left"/>
        </w:tabs>
        <w:rPr>
          <w:sz w:val="20"/>
          <w:szCs w:val="20"/>
          <w:color w:val="auto"/>
        </w:rPr>
      </w:pPr>
      <w:r>
        <w:rPr>
          <w:rFonts w:ascii="Arial" w:cs="Arial" w:eastAsia="Arial" w:hAnsi="Arial"/>
          <w:sz w:val="15"/>
          <w:szCs w:val="15"/>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840105</wp:posOffset>
            </wp:positionH>
            <wp:positionV relativeFrom="paragraph">
              <wp:posOffset>105410</wp:posOffset>
            </wp:positionV>
            <wp:extent cx="178435" cy="178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435" cy="178435"/>
                    </a:xfrm>
                    <a:prstGeom prst="rect">
                      <a:avLst/>
                    </a:prstGeom>
                    <a:noFill/>
                  </pic:spPr>
                </pic:pic>
              </a:graphicData>
            </a:graphic>
          </wp:anchor>
        </w:drawing>
      </w:r>
    </w:p>
    <w:p>
      <w:pPr>
        <w:spacing w:after="0" w:line="128" w:lineRule="exact"/>
        <w:rPr>
          <w:sz w:val="24"/>
          <w:szCs w:val="24"/>
          <w:color w:val="auto"/>
        </w:rPr>
      </w:pPr>
    </w:p>
    <w:p>
      <w:pPr>
        <w:jc w:val="right"/>
        <w:ind w:right="939"/>
        <w:spacing w:after="0"/>
        <w:rPr>
          <w:sz w:val="20"/>
          <w:szCs w:val="20"/>
          <w:color w:val="auto"/>
        </w:rPr>
      </w:pPr>
      <w:r>
        <w:rPr>
          <w:rFonts w:ascii="Arial" w:cs="Arial" w:eastAsia="Arial" w:hAnsi="Arial"/>
          <w:sz w:val="15"/>
          <w:szCs w:val="15"/>
          <w:color w:val="auto"/>
        </w:rPr>
        <w:t xml:space="preserve">Filed by the Registrant                                   </w:t>
      </w:r>
      <w:r>
        <w:rPr>
          <w:sz w:val="1"/>
          <w:szCs w:val="1"/>
          <w:color w:val="auto"/>
        </w:rPr>
        <w:drawing>
          <wp:inline distT="0" distB="0" distL="0" distR="0">
            <wp:extent cx="178435" cy="1784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435" cy="178435"/>
                    </a:xfrm>
                    <a:prstGeom prst="rect">
                      <a:avLst/>
                    </a:prstGeom>
                    <a:noFill/>
                    <a:ln>
                      <a:noFill/>
                    </a:ln>
                  </pic:spPr>
                </pic:pic>
              </a:graphicData>
            </a:graphic>
          </wp:inline>
        </w:drawing>
      </w:r>
      <w:r>
        <w:rPr>
          <w:rFonts w:ascii="Arial" w:cs="Arial" w:eastAsia="Arial" w:hAnsi="Arial"/>
          <w:sz w:val="15"/>
          <w:szCs w:val="15"/>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98425</wp:posOffset>
            </wp:positionV>
            <wp:extent cx="7155180" cy="1200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1200785"/>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62" w:lineRule="exact"/>
        <w:rPr>
          <w:sz w:val="24"/>
          <w:szCs w:val="24"/>
          <w:color w:val="auto"/>
        </w:rPr>
      </w:pPr>
    </w:p>
    <w:p>
      <w:pPr>
        <w:ind w:left="560"/>
        <w:spacing w:after="0"/>
        <w:rPr>
          <w:sz w:val="20"/>
          <w:szCs w:val="20"/>
          <w:color w:val="auto"/>
        </w:rPr>
      </w:pPr>
      <w:r>
        <w:rPr>
          <w:rFonts w:ascii="Arial" w:cs="Arial" w:eastAsia="Arial" w:hAnsi="Arial"/>
          <w:sz w:val="15"/>
          <w:szCs w:val="15"/>
          <w:color w:val="auto"/>
        </w:rPr>
        <w:t>Preliminary Proxy Statement</w:t>
      </w:r>
    </w:p>
    <w:p>
      <w:pPr>
        <w:spacing w:after="0" w:line="154" w:lineRule="exact"/>
        <w:rPr>
          <w:sz w:val="24"/>
          <w:szCs w:val="24"/>
          <w:color w:val="auto"/>
        </w:rPr>
      </w:pPr>
    </w:p>
    <w:p>
      <w:pPr>
        <w:ind w:left="560"/>
        <w:spacing w:after="0"/>
        <w:rPr>
          <w:sz w:val="20"/>
          <w:szCs w:val="20"/>
          <w:color w:val="auto"/>
        </w:rPr>
      </w:pPr>
      <w:r>
        <w:rPr>
          <w:rFonts w:ascii="Arial" w:cs="Arial" w:eastAsia="Arial" w:hAnsi="Arial"/>
          <w:sz w:val="15"/>
          <w:szCs w:val="15"/>
          <w:color w:val="auto"/>
        </w:rPr>
        <w:t>Confidential, for Use of the Commission Only (as permitted by Rule 14A-6(E)(2))</w:t>
      </w:r>
    </w:p>
    <w:p>
      <w:pPr>
        <w:spacing w:after="0" w:line="154" w:lineRule="exact"/>
        <w:rPr>
          <w:sz w:val="24"/>
          <w:szCs w:val="24"/>
          <w:color w:val="auto"/>
        </w:rPr>
      </w:pPr>
    </w:p>
    <w:p>
      <w:pPr>
        <w:ind w:left="560"/>
        <w:spacing w:after="0"/>
        <w:rPr>
          <w:sz w:val="20"/>
          <w:szCs w:val="20"/>
          <w:color w:val="auto"/>
        </w:rPr>
      </w:pPr>
      <w:r>
        <w:rPr>
          <w:rFonts w:ascii="Arial" w:cs="Arial" w:eastAsia="Arial" w:hAnsi="Arial"/>
          <w:sz w:val="15"/>
          <w:szCs w:val="15"/>
          <w:color w:val="auto"/>
        </w:rPr>
        <w:t>Definitive Proxy Statement</w:t>
      </w:r>
    </w:p>
    <w:p>
      <w:pPr>
        <w:spacing w:after="0" w:line="154" w:lineRule="exact"/>
        <w:rPr>
          <w:sz w:val="24"/>
          <w:szCs w:val="24"/>
          <w:color w:val="auto"/>
        </w:rPr>
      </w:pPr>
    </w:p>
    <w:p>
      <w:pPr>
        <w:ind w:left="560"/>
        <w:spacing w:after="0"/>
        <w:rPr>
          <w:sz w:val="20"/>
          <w:szCs w:val="20"/>
          <w:color w:val="auto"/>
        </w:rPr>
      </w:pPr>
      <w:r>
        <w:rPr>
          <w:rFonts w:ascii="Arial" w:cs="Arial" w:eastAsia="Arial" w:hAnsi="Arial"/>
          <w:sz w:val="15"/>
          <w:szCs w:val="15"/>
          <w:color w:val="auto"/>
        </w:rPr>
        <w:t>Definitive Additional Materials</w:t>
      </w:r>
    </w:p>
    <w:p>
      <w:pPr>
        <w:spacing w:after="0" w:line="154" w:lineRule="exact"/>
        <w:rPr>
          <w:sz w:val="24"/>
          <w:szCs w:val="24"/>
          <w:color w:val="auto"/>
        </w:rPr>
      </w:pPr>
    </w:p>
    <w:p>
      <w:pPr>
        <w:ind w:left="560"/>
        <w:spacing w:after="0"/>
        <w:rPr>
          <w:sz w:val="20"/>
          <w:szCs w:val="20"/>
          <w:color w:val="auto"/>
        </w:rPr>
      </w:pPr>
      <w:r>
        <w:rPr>
          <w:rFonts w:ascii="Arial" w:cs="Arial" w:eastAsia="Arial" w:hAnsi="Arial"/>
          <w:sz w:val="15"/>
          <w:szCs w:val="15"/>
          <w:color w:val="auto"/>
        </w:rPr>
        <w:t>Soliciting Material under §240.14a-12</w:t>
      </w:r>
    </w:p>
    <w:p>
      <w:pPr>
        <w:spacing w:after="0" w:line="175" w:lineRule="exact"/>
        <w:rPr>
          <w:sz w:val="24"/>
          <w:szCs w:val="24"/>
          <w:color w:val="auto"/>
        </w:rPr>
      </w:pPr>
    </w:p>
    <w:p>
      <w:pPr>
        <w:ind w:left="3260"/>
        <w:spacing w:after="0"/>
        <w:rPr>
          <w:sz w:val="20"/>
          <w:szCs w:val="20"/>
          <w:color w:val="auto"/>
        </w:rPr>
      </w:pPr>
      <w:r>
        <w:rPr>
          <w:rFonts w:ascii="Arial" w:cs="Arial" w:eastAsia="Arial" w:hAnsi="Arial"/>
          <w:sz w:val="24"/>
          <w:szCs w:val="24"/>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2727325</wp:posOffset>
            </wp:positionH>
            <wp:positionV relativeFrom="paragraph">
              <wp:posOffset>128270</wp:posOffset>
            </wp:positionV>
            <wp:extent cx="1637030" cy="193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030" cy="19304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080"/>
        <w:spacing w:after="0"/>
        <w:rPr>
          <w:sz w:val="20"/>
          <w:szCs w:val="20"/>
          <w:color w:val="auto"/>
        </w:rPr>
      </w:pPr>
      <w:r>
        <w:rPr>
          <w:rFonts w:ascii="Arial" w:cs="Arial" w:eastAsia="Arial" w:hAnsi="Arial"/>
          <w:sz w:val="15"/>
          <w:szCs w:val="15"/>
          <w:i w:val="1"/>
          <w:iCs w:val="1"/>
          <w:color w:val="auto"/>
        </w:rPr>
        <w:t>(Name of Registrant as Specified in Its Charter)</w:t>
      </w:r>
    </w:p>
    <w:p>
      <w:pPr>
        <w:spacing w:after="0" w:line="165" w:lineRule="exact"/>
        <w:rPr>
          <w:sz w:val="24"/>
          <w:szCs w:val="24"/>
          <w:color w:val="auto"/>
        </w:rPr>
      </w:pPr>
    </w:p>
    <w:p>
      <w:pPr>
        <w:jc w:val="center"/>
        <w:ind w:right="-1080"/>
        <w:spacing w:after="0"/>
        <w:rPr>
          <w:sz w:val="20"/>
          <w:szCs w:val="20"/>
          <w:color w:val="auto"/>
        </w:rPr>
      </w:pPr>
      <w:r>
        <w:rPr>
          <w:rFonts w:ascii="Arial" w:cs="Arial" w:eastAsia="Arial" w:hAnsi="Arial"/>
          <w:sz w:val="15"/>
          <w:szCs w:val="15"/>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41275</wp:posOffset>
            </wp:positionV>
            <wp:extent cx="7155180" cy="786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5180" cy="786130"/>
                    </a:xfrm>
                    <a:prstGeom prst="rect">
                      <a:avLst/>
                    </a:prstGeom>
                    <a:noFill/>
                  </pic:spPr>
                </pic:pic>
              </a:graphicData>
            </a:graphic>
          </wp:anchor>
        </w:drawing>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all boxes that apply):</w:t>
      </w:r>
    </w:p>
    <w:p>
      <w:pPr>
        <w:spacing w:after="0" w:line="162" w:lineRule="exact"/>
        <w:rPr>
          <w:sz w:val="24"/>
          <w:szCs w:val="24"/>
          <w:color w:val="auto"/>
        </w:rPr>
      </w:pPr>
    </w:p>
    <w:p>
      <w:pPr>
        <w:ind w:left="600"/>
        <w:spacing w:after="0"/>
        <w:rPr>
          <w:sz w:val="20"/>
          <w:szCs w:val="20"/>
          <w:color w:val="auto"/>
        </w:rPr>
      </w:pPr>
      <w:r>
        <w:rPr>
          <w:rFonts w:ascii="Arial" w:cs="Arial" w:eastAsia="Arial" w:hAnsi="Arial"/>
          <w:sz w:val="15"/>
          <w:szCs w:val="15"/>
          <w:b w:val="1"/>
          <w:bCs w:val="1"/>
          <w:color w:val="auto"/>
        </w:rPr>
        <w:t>No fee required.</w:t>
      </w:r>
    </w:p>
    <w:p>
      <w:pPr>
        <w:spacing w:after="0" w:line="154" w:lineRule="exact"/>
        <w:rPr>
          <w:sz w:val="24"/>
          <w:szCs w:val="24"/>
          <w:color w:val="auto"/>
        </w:rPr>
      </w:pPr>
    </w:p>
    <w:p>
      <w:pPr>
        <w:ind w:left="600"/>
        <w:spacing w:after="0"/>
        <w:rPr>
          <w:sz w:val="20"/>
          <w:szCs w:val="20"/>
          <w:color w:val="auto"/>
        </w:rPr>
      </w:pPr>
      <w:r>
        <w:rPr>
          <w:rFonts w:ascii="Arial" w:cs="Arial" w:eastAsia="Arial" w:hAnsi="Arial"/>
          <w:sz w:val="15"/>
          <w:szCs w:val="15"/>
          <w:b w:val="1"/>
          <w:bCs w:val="1"/>
          <w:color w:val="auto"/>
        </w:rPr>
        <w:t>Fee paid previously with preliminary materials.</w:t>
      </w:r>
    </w:p>
    <w:p>
      <w:pPr>
        <w:spacing w:after="0" w:line="154" w:lineRule="exact"/>
        <w:rPr>
          <w:sz w:val="24"/>
          <w:szCs w:val="24"/>
          <w:color w:val="auto"/>
        </w:rPr>
      </w:pPr>
    </w:p>
    <w:p>
      <w:pPr>
        <w:ind w:left="600"/>
        <w:spacing w:after="0"/>
        <w:rPr>
          <w:sz w:val="20"/>
          <w:szCs w:val="20"/>
          <w:color w:val="auto"/>
        </w:rPr>
      </w:pPr>
      <w:r>
        <w:rPr>
          <w:rFonts w:ascii="Arial" w:cs="Arial" w:eastAsia="Arial" w:hAnsi="Arial"/>
          <w:sz w:val="15"/>
          <w:szCs w:val="15"/>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149860</wp:posOffset>
            </wp:positionV>
            <wp:extent cx="7155180" cy="28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ectPr>
          <w:pgSz w:w="11900" w:h="16838" w:orient="portrait"/>
          <w:cols w:equalWidth="0" w:num="1">
            <w:col w:w="10099"/>
          </w:cols>
          <w:pgMar w:left="360" w:top="21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238760</wp:posOffset>
            </wp:positionV>
            <wp:extent cx="7155180" cy="764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6769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5180" cy="6769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6283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5180" cy="6283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42"/>
          <w:szCs w:val="42"/>
          <w:b w:val="1"/>
          <w:bCs w:val="1"/>
          <w:color w:val="215AA8"/>
        </w:rPr>
        <w:t>Company Letter to Shareholders</w:t>
      </w: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-67945</wp:posOffset>
            </wp:positionV>
            <wp:extent cx="152273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2730" cy="14605"/>
                    </a:xfrm>
                    <a:prstGeom prst="rect">
                      <a:avLst/>
                    </a:prstGeom>
                    <a:noFill/>
                  </pic:spPr>
                </pic:pic>
              </a:graphicData>
            </a:graphic>
          </wp:anchor>
        </w:drawing>
      </w:r>
    </w:p>
    <w:p>
      <w:pPr>
        <w:spacing w:after="0" w:line="289" w:lineRule="exact"/>
        <w:rPr>
          <w:sz w:val="20"/>
          <w:szCs w:val="20"/>
          <w:color w:val="auto"/>
        </w:rPr>
      </w:pPr>
    </w:p>
    <w:p>
      <w:pPr>
        <w:ind w:right="160"/>
        <w:spacing w:after="0" w:line="296" w:lineRule="auto"/>
        <w:rPr>
          <w:sz w:val="20"/>
          <w:szCs w:val="20"/>
          <w:color w:val="auto"/>
        </w:rPr>
      </w:pPr>
      <w:r>
        <w:rPr>
          <w:rFonts w:ascii="Arial" w:cs="Arial" w:eastAsia="Arial" w:hAnsi="Arial"/>
          <w:sz w:val="12"/>
          <w:szCs w:val="12"/>
          <w:color w:val="auto"/>
        </w:rPr>
        <w:t>Regeneron, at its core, is a company dedicated to the discovery and development of innovative medicines manufactured and commercialized to the highest standards. This approach has established us as a world-class biotechnology company, making a true difference in people’s lives. Our ability to create game-changing technologies has disrupted the traditional drug discovery, development, and manufacturing processes, and allows us to continue to push the boundaries of science. Our success can be largely attributed to two factors: our talented team’s unwavering dedication to patients and our consistent strategy of investing and reinvesting in the highest quality science, research, and technologies.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In 2023, our team ensured that our medicines reached more people than ever before, in part by remaining committed to fair pricing principles and by working to protect access and choice</w:t>
      </w:r>
    </w:p>
    <w:p>
      <w:pPr>
        <w:spacing w:after="0" w:line="29" w:lineRule="exact"/>
        <w:rPr>
          <w:sz w:val="20"/>
          <w:szCs w:val="20"/>
          <w:color w:val="auto"/>
        </w:rPr>
      </w:pPr>
    </w:p>
    <w:p>
      <w:pPr>
        <w:ind w:right="180"/>
        <w:spacing w:after="0" w:line="214" w:lineRule="auto"/>
        <w:rPr>
          <w:sz w:val="20"/>
          <w:szCs w:val="20"/>
          <w:color w:val="auto"/>
        </w:rPr>
      </w:pPr>
      <w:r>
        <w:rPr>
          <w:rFonts w:ascii="Arial" w:cs="Arial" w:eastAsia="Arial" w:hAnsi="Arial"/>
          <w:sz w:val="13"/>
          <w:szCs w:val="13"/>
          <w:color w:val="auto"/>
        </w:rPr>
        <w:t>for patients and their healthcare providers. Our recently approved medicine, EYLEA</w:t>
      </w:r>
      <w:r>
        <w:rPr>
          <w:rFonts w:ascii="Arial" w:cs="Arial" w:eastAsia="Arial" w:hAnsi="Arial"/>
          <w:sz w:val="21"/>
          <w:szCs w:val="21"/>
          <w:color w:val="auto"/>
          <w:vertAlign w:val="superscript"/>
        </w:rPr>
        <w:t>®</w:t>
      </w:r>
      <w:r>
        <w:rPr>
          <w:rFonts w:ascii="Arial" w:cs="Arial" w:eastAsia="Arial" w:hAnsi="Arial"/>
          <w:sz w:val="13"/>
          <w:szCs w:val="13"/>
          <w:color w:val="auto"/>
        </w:rPr>
        <w:t xml:space="preserve"> HD (aflibercept) Injection 8 mg, not only builds on the transformative impact of EYLEA</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(aflibercept) Injection 2 mg as the number one prescribed anti-VEGF treatment for serious retinal diseases, but it is poised to become the new standard of care in its approved indications. Likewise,</w:t>
      </w:r>
    </w:p>
    <w:p>
      <w:pPr>
        <w:spacing w:after="0" w:line="190" w:lineRule="auto"/>
        <w:rPr>
          <w:sz w:val="20"/>
          <w:szCs w:val="20"/>
          <w:color w:val="auto"/>
        </w:rPr>
      </w:pPr>
      <w:r>
        <w:rPr>
          <w:rFonts w:ascii="Arial" w:cs="Arial" w:eastAsia="Arial" w:hAnsi="Arial"/>
          <w:sz w:val="13"/>
          <w:szCs w:val="13"/>
          <w:color w:val="auto"/>
        </w:rPr>
        <w:t>Dupixent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(dupilumab), which led in new-to-brand prescription share in the United States across all five of its approved indications in 2023, continues to revolutionize the treatment of</w:t>
      </w:r>
    </w:p>
    <w:p>
      <w:pPr>
        <w:spacing w:after="0" w:line="1" w:lineRule="exact"/>
        <w:rPr>
          <w:sz w:val="20"/>
          <w:szCs w:val="20"/>
          <w:color w:val="auto"/>
        </w:rPr>
      </w:pPr>
    </w:p>
    <w:p>
      <w:pPr>
        <w:ind w:right="60"/>
        <w:spacing w:after="0" w:line="215" w:lineRule="auto"/>
        <w:rPr>
          <w:sz w:val="20"/>
          <w:szCs w:val="20"/>
          <w:color w:val="auto"/>
        </w:rPr>
      </w:pPr>
      <w:r>
        <w:rPr>
          <w:rFonts w:ascii="Arial" w:cs="Arial" w:eastAsia="Arial" w:hAnsi="Arial"/>
          <w:sz w:val="14"/>
          <w:szCs w:val="14"/>
          <w:color w:val="auto"/>
        </w:rPr>
        <w:t xml:space="preserve">allergic and other type 2 inflammatory diseases. It has now been prescribed to more than 850,000 patients globally, with significant opportunity for continued growth. Libtayo </w:t>
      </w:r>
      <w:r>
        <w:rPr>
          <w:rFonts w:ascii="Arial" w:cs="Arial" w:eastAsia="Arial" w:hAnsi="Arial"/>
          <w:sz w:val="22"/>
          <w:szCs w:val="22"/>
          <w:color w:val="auto"/>
          <w:vertAlign w:val="superscript"/>
        </w:rPr>
        <w:t>®</w:t>
      </w:r>
      <w:r>
        <w:rPr>
          <w:rFonts w:ascii="Arial" w:cs="Arial" w:eastAsia="Arial" w:hAnsi="Arial"/>
          <w:sz w:val="14"/>
          <w:szCs w:val="14"/>
          <w:color w:val="auto"/>
        </w:rPr>
        <w:t xml:space="preserve"> (cemiplimab), our checkpoint inhibitor for certain types of cancer, is a market leader in two of its approved indications and is growing substantially. Libtayo is the cornerstone of our cancer portfolio, now comprised of three validated, clinical-stage independent classes of homegrown immuno-oncology medicines.</w:t>
      </w:r>
    </w:p>
    <w:p>
      <w:pPr>
        <w:spacing w:after="0" w:line="139"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As we focus on helping patients, we have also delivered significant value to our shareholders. It was gratifying when, in early 2024, Regeneron first surpassed a $100 billion market capitalization, making us one of the few biotechnology companies to reach this valuation. We believe this milestone broadly reflects our ability to deliver on our mission, our track record of research and development (“R&amp;D”) success, and our strong outlook for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Advancing our pipeline and setting the stage for future growth</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Our robust and diversified pipeline is consistently producing scientific breakthroughs that could change lives. In 2023, we advanced several promising programs that represent first- or best-in-class opportunities that we believe have the potential to fuel Regeneron’s long-term growth.</w:t>
      </w:r>
    </w:p>
    <w:p>
      <w:pPr>
        <w:spacing w:after="0" w:line="128"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In inflammation and immunology, we announced positive results from two Phase 3 trials demonstrating the potential of Dupixent to treat eosinophilic chronic obstructive pulmonary disease (“COPD”) by improving lung function and reducing disease flare-ups. The U.S. Food and Drug Administration (“FDA”) recently accepted and granted priority review of our supplemental Biologics License Application, with a target action date set for June 27, 2024. If approved, Dupixent would offer the first new treatment approach for COPD in more than a decade and would be the only biologic treatment for this condition. The promise of Dupixent was further highlighted in a major scientific journal last year when preclinical data suggested that Dupixent, in combination with our bispecific antibody linvoseltamab, could potentially help cure severe allergies. We are eager to begin a Phase 1 study later this year to explore this opportunity in severe food allergy.</w:t>
      </w:r>
    </w:p>
    <w:p>
      <w:pPr>
        <w:spacing w:after="0" w:line="141"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In cancer, we are on a path towards global leadership by unleashing the body’s own immune system to fight back against these devasting diseases with potentially best-in-class treatments. Regulatory reviews are pending in the United States and European Union for linvoseltamab, our BCMAxCD3 bispecific antibody in multiple myeloma, and in the European Union for odronextamab, our CD20xCD3 bispecific antibody for follicular lymphoma and diffuse large B-cell lymphoma. We are also continuing to advance other opportunities in solid tumors. Our strategy is to create unique, customized, and potentially synergistic treatments for different cancers, with Libtayo as the cornerstone of our approach. Our most advanced combination with Libtayo is with our LAG-3 antibody, fianlimab, which has shown exciting and clinically meaningful benefits in early studies in melanoma. We look forward to additional data in melanoma and non-small cell lung cancer at the end of 2024.</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 xml:space="preserve">2024 Proxy Statement and Notice of Annual Shareholder Meeting                                                                             </w:t>
      </w:r>
      <w:r>
        <w:rPr>
          <w:sz w:val="1"/>
          <w:szCs w:val="1"/>
          <w:color w:val="auto"/>
        </w:rPr>
        <w:drawing>
          <wp:inline distT="0" distB="0" distL="0" distR="0">
            <wp:extent cx="629285" cy="717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85" cy="71755"/>
                    </a:xfrm>
                    <a:prstGeom prst="rect">
                      <a:avLst/>
                    </a:prstGeom>
                    <a:noFill/>
                    <a:ln>
                      <a:noFill/>
                    </a:ln>
                  </pic:spPr>
                </pic:pic>
              </a:graphicData>
            </a:graphic>
          </wp:inline>
        </w:drawing>
      </w:r>
      <w:r>
        <w:rPr>
          <w:rFonts w:ascii="Arial" w:cs="Arial" w:eastAsia="Arial" w:hAnsi="Arial"/>
          <w:sz w:val="14"/>
          <w:szCs w:val="14"/>
          <w:b w:val="1"/>
          <w:bCs w:val="1"/>
          <w:color w:val="D60058"/>
        </w:rPr>
        <w:t xml:space="preserve"> | </w:t>
      </w:r>
      <w:r>
        <w:rPr>
          <w:rFonts w:ascii="Arial" w:cs="Arial" w:eastAsia="Arial" w:hAnsi="Arial"/>
          <w:sz w:val="14"/>
          <w:szCs w:val="14"/>
          <w:b w:val="1"/>
          <w:bCs w:val="1"/>
          <w:color w:val="215AA8"/>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7155180"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 w:name="page6"/>
    <w:bookmarkEnd w:id="5"/>
    <w:p>
      <w:pPr>
        <w:ind w:right="340"/>
        <w:spacing w:after="0" w:line="307" w:lineRule="auto"/>
        <w:rPr>
          <w:sz w:val="20"/>
          <w:szCs w:val="20"/>
          <w:color w:val="auto"/>
        </w:rPr>
      </w:pPr>
      <w:r>
        <w:rPr>
          <w:rFonts w:ascii="Arial" w:cs="Arial" w:eastAsia="Arial" w:hAnsi="Arial"/>
          <w:sz w:val="12"/>
          <w:szCs w:val="12"/>
          <w:color w:val="auto"/>
        </w:rPr>
        <w:t>From the beginning, Regeneron has combined innovation in cutting-edge technologies with our deep expertise in biology to reimagine the drug discovery process. From our pioneering efforts in protein therapeutics and fully human antibodies to creating proprietary classes of bispecifics, we are now moving to leverage our expertise to unlock the potential of genetic medicines. Our next frontier is the pursuit of technologies in gene editing, gene silencing, and gene therapy approaches that have the potential to treat or cure diseases.</w:t>
      </w:r>
    </w:p>
    <w:p>
      <w:pPr>
        <w:spacing w:after="0" w:line="101"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 xml:space="preserve">In 2023, we made exciting progress in this area. With our collaborator Intellia Therapeutics, Inc., we produced the first example of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CRISPR-based gene editing of a pathological gene in humans and have since moved this program into Phase 3 development. Similarly, with our collaborator Alnylam Pharmaceuticals, Inc., we provided the first clinical evidence that siRNA can be used to silence genes in the brain. Following our acquisition of Decibel Therapeutics, Inc., we were the first U.S.-based company to report improvements in auditory responses in a profoundly deaf child using our novel gene therapy, DB-OTO. We look forward to potentially addressing more common types of genetic-based hearing loss using this fundamental approach.</w:t>
      </w:r>
    </w:p>
    <w:p>
      <w:pPr>
        <w:spacing w:after="0" w:line="107" w:lineRule="exact"/>
        <w:rPr>
          <w:sz w:val="20"/>
          <w:szCs w:val="20"/>
          <w:color w:val="auto"/>
        </w:rPr>
      </w:pPr>
    </w:p>
    <w:p>
      <w:pPr>
        <w:ind w:right="200"/>
        <w:spacing w:after="0" w:line="219" w:lineRule="auto"/>
        <w:rPr>
          <w:sz w:val="20"/>
          <w:szCs w:val="20"/>
          <w:color w:val="auto"/>
        </w:rPr>
      </w:pPr>
      <w:r>
        <w:rPr>
          <w:rFonts w:ascii="Arial" w:cs="Arial" w:eastAsia="Arial" w:hAnsi="Arial"/>
          <w:sz w:val="14"/>
          <w:szCs w:val="14"/>
          <w:color w:val="auto"/>
        </w:rPr>
        <w:t xml:space="preserve">Critical to the current and ongoing success of our pipeline is the Regeneron Genetics Center </w:t>
      </w:r>
      <w:r>
        <w:rPr>
          <w:rFonts w:ascii="Arial" w:cs="Arial" w:eastAsia="Arial" w:hAnsi="Arial"/>
          <w:sz w:val="22"/>
          <w:szCs w:val="22"/>
          <w:color w:val="auto"/>
          <w:vertAlign w:val="superscript"/>
        </w:rPr>
        <w:t>®</w:t>
      </w:r>
      <w:r>
        <w:rPr>
          <w:rFonts w:ascii="Arial" w:cs="Arial" w:eastAsia="Arial" w:hAnsi="Arial"/>
          <w:sz w:val="14"/>
          <w:szCs w:val="14"/>
          <w:color w:val="auto"/>
        </w:rPr>
        <w:t>, or RGC</w:t>
      </w:r>
      <w:r>
        <w:rPr>
          <w:rFonts w:ascii="Arial" w:cs="Arial" w:eastAsia="Arial" w:hAnsi="Arial"/>
          <w:sz w:val="22"/>
          <w:szCs w:val="22"/>
          <w:color w:val="auto"/>
          <w:vertAlign w:val="superscript"/>
        </w:rPr>
        <w:t>®</w:t>
      </w:r>
      <w:r>
        <w:rPr>
          <w:rFonts w:ascii="Arial" w:cs="Arial" w:eastAsia="Arial" w:hAnsi="Arial"/>
          <w:sz w:val="14"/>
          <w:szCs w:val="14"/>
          <w:color w:val="auto"/>
        </w:rPr>
        <w:t>, which celebrated its tenth year in 2023 and has built one of the largest and most diverse genomic biobanks in the world. As an analytical powerhouse, the RGC has used this data to discover brand new targets and many actionable insights that improve Regeneron’s discovery and clinical programs – one example of how our strategic reinvestment in R&amp;D produces tangible benefits.</w:t>
      </w:r>
    </w:p>
    <w:p>
      <w:pPr>
        <w:spacing w:after="0" w:line="140" w:lineRule="exact"/>
        <w:rPr>
          <w:sz w:val="20"/>
          <w:szCs w:val="20"/>
          <w:color w:val="auto"/>
        </w:rPr>
      </w:pPr>
    </w:p>
    <w:p>
      <w:pPr>
        <w:ind w:right="160"/>
        <w:spacing w:after="0" w:line="246" w:lineRule="auto"/>
        <w:rPr>
          <w:sz w:val="20"/>
          <w:szCs w:val="20"/>
          <w:color w:val="auto"/>
        </w:rPr>
      </w:pPr>
      <w:r>
        <w:rPr>
          <w:rFonts w:ascii="Arial" w:cs="Arial" w:eastAsia="Arial" w:hAnsi="Arial"/>
          <w:sz w:val="14"/>
          <w:szCs w:val="14"/>
          <w:color w:val="auto"/>
        </w:rPr>
        <w:t xml:space="preserve">In 2023, we also deepened our focus on obesity, where we are working on innovative potential treatment combinations that improve on current options by producing weight loss </w:t>
      </w:r>
      <w:r>
        <w:rPr>
          <w:rFonts w:ascii="Arial" w:cs="Arial" w:eastAsia="Arial" w:hAnsi="Arial"/>
          <w:sz w:val="14"/>
          <w:szCs w:val="14"/>
          <w:i w:val="1"/>
          <w:iCs w:val="1"/>
          <w:color w:val="auto"/>
        </w:rPr>
        <w:t>while also</w:t>
      </w:r>
      <w:r>
        <w:rPr>
          <w:rFonts w:ascii="Arial" w:cs="Arial" w:eastAsia="Arial" w:hAnsi="Arial"/>
          <w:sz w:val="14"/>
          <w:szCs w:val="14"/>
          <w:color w:val="auto"/>
        </w:rPr>
        <w:t xml:space="preserve"> preserving or even increasing muscle. A Phase 2 study is exploring combining GLP-1 agonists with our homegrown antibodies targeting myostatin and Activin A. We also continue to evaluate a novel RGC-informed approach targeting GPR75 mutations to help protect against obesity.</w:t>
      </w:r>
    </w:p>
    <w:p>
      <w:pPr>
        <w:spacing w:after="0" w:line="135" w:lineRule="exact"/>
        <w:rPr>
          <w:sz w:val="20"/>
          <w:szCs w:val="20"/>
          <w:color w:val="auto"/>
        </w:rPr>
      </w:pPr>
    </w:p>
    <w:p>
      <w:pPr>
        <w:ind w:right="160"/>
        <w:spacing w:after="0" w:line="257" w:lineRule="auto"/>
        <w:rPr>
          <w:sz w:val="20"/>
          <w:szCs w:val="20"/>
          <w:color w:val="auto"/>
        </w:rPr>
      </w:pPr>
      <w:r>
        <w:rPr>
          <w:rFonts w:ascii="Arial" w:cs="Arial" w:eastAsia="Arial" w:hAnsi="Arial"/>
          <w:sz w:val="14"/>
          <w:szCs w:val="14"/>
          <w:color w:val="auto"/>
        </w:rPr>
        <w:t>These R&amp;D programs, coupled with the commercial strength of our diversified portfolio, have positioned us well to deliver strong performance in 2024 and beyond. To ensure this industry-leading work can continue, we consistently invest in our science, capabilities, people, and facilities.</w:t>
      </w:r>
    </w:p>
    <w:p>
      <w:pPr>
        <w:spacing w:after="0" w:line="128"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For instance, to drive sustained productivity from our labs, we invested over $4.44 billion in Regeneron’s R&amp;D capabilities in 2023 and expect to invest approximately $5 billion in 2024. We also grew our global workforce by 13% to 13,450 full-time employees, continued working to expand our R&amp;D facilities in Tarrytown, NY, and increased our manufacturing capacity and capabilities, including completion of the construction of our first fill/finish facility in Rensselaer, NY.</w:t>
      </w:r>
    </w:p>
    <w:p>
      <w:pPr>
        <w:spacing w:after="0" w:line="135"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Our business development activities allow us to strengthen our own R&amp;D expertise through strategic acquisitions or collaborations. In addition to our acquisition of Decibel Therapeutics, we recently completed our purchase of 2seventy bio, Inc.’s oncology and autoimmune pipeline, positioning us at the forefront of developing innovative CAR-T and antibody combination approaches to treat cancer and other serious illnesses.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Improving the world through our corporate responsibility strategy</w:t>
      </w:r>
    </w:p>
    <w:p>
      <w:pPr>
        <w:spacing w:after="0" w:line="166" w:lineRule="exact"/>
        <w:rPr>
          <w:sz w:val="20"/>
          <w:szCs w:val="20"/>
          <w:color w:val="auto"/>
        </w:rPr>
      </w:pPr>
    </w:p>
    <w:p>
      <w:pPr>
        <w:jc w:val="both"/>
        <w:ind w:right="200"/>
        <w:spacing w:after="0" w:line="296" w:lineRule="auto"/>
        <w:rPr>
          <w:sz w:val="20"/>
          <w:szCs w:val="20"/>
          <w:color w:val="auto"/>
        </w:rPr>
      </w:pPr>
      <w:r>
        <w:rPr>
          <w:rFonts w:ascii="Arial" w:cs="Arial" w:eastAsia="Arial" w:hAnsi="Arial"/>
          <w:sz w:val="12"/>
          <w:szCs w:val="12"/>
          <w:color w:val="auto"/>
        </w:rPr>
        <w:t>Our corporate responsibility strategy is intentionally and inextricably linked to our business strategy, focusing on improving the lives of people with serious diseases, fostering a culture of integrity and excellence, and building sustainable communities. In 2023, we made substantial progress towards our five-year responsibility goals, as demonstrated by our inclusion on the Dow Jones Sustainability World Index for the fifth consecutive year. This consistent ranking reflects our dedication to sustainability and highlights our belief that advancing environmental, social, and governance practices with a nexus to Regeneron’s operations is fundamental to the long-term resiliency and ethical foundation of both our business and society.</w:t>
      </w:r>
    </w:p>
    <w:p>
      <w:pPr>
        <w:spacing w:after="0" w:line="107" w:lineRule="exact"/>
        <w:rPr>
          <w:sz w:val="20"/>
          <w:szCs w:val="20"/>
          <w:color w:val="auto"/>
        </w:rPr>
      </w:pPr>
    </w:p>
    <w:p>
      <w:pPr>
        <w:jc w:val="both"/>
        <w:ind w:right="160"/>
        <w:spacing w:after="0" w:line="307" w:lineRule="auto"/>
        <w:rPr>
          <w:sz w:val="20"/>
          <w:szCs w:val="20"/>
          <w:color w:val="auto"/>
        </w:rPr>
      </w:pPr>
      <w:r>
        <w:rPr>
          <w:rFonts w:ascii="Arial" w:cs="Arial" w:eastAsia="Arial" w:hAnsi="Arial"/>
          <w:sz w:val="12"/>
          <w:szCs w:val="12"/>
          <w:color w:val="auto"/>
        </w:rPr>
        <w:t>As part of our corporate responsibility strategy, we continue to deliver on our promise to invest in building a pipeline of future scientific innovators. In 2023, we renewed our sponsorship of the Regeneron International Science and Engineering Fair, the world’s largest high school science and engineering competition, and continued our sponsorship of the Regeneron Science Talent Search, America’s premier science competition for high school students. In total, we have committed nearly $170 million to support these prestigious science competitions.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 xml:space="preserve">2024 Proxy Statement and Notice of Annual Shareholder Meeting                                                                             </w:t>
      </w:r>
      <w:r>
        <w:rPr>
          <w:sz w:val="1"/>
          <w:szCs w:val="1"/>
          <w:color w:val="auto"/>
        </w:rPr>
        <w:drawing>
          <wp:inline distT="0" distB="0" distL="0" distR="0">
            <wp:extent cx="629285" cy="717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85" cy="71755"/>
                    </a:xfrm>
                    <a:prstGeom prst="rect">
                      <a:avLst/>
                    </a:prstGeom>
                    <a:noFill/>
                    <a:ln>
                      <a:noFill/>
                    </a:ln>
                  </pic:spPr>
                </pic:pic>
              </a:graphicData>
            </a:graphic>
          </wp:inline>
        </w:drawing>
      </w:r>
      <w:r>
        <w:rPr>
          <w:rFonts w:ascii="Arial" w:cs="Arial" w:eastAsia="Arial" w:hAnsi="Arial"/>
          <w:sz w:val="14"/>
          <w:szCs w:val="14"/>
          <w:b w:val="1"/>
          <w:bCs w:val="1"/>
          <w:color w:val="D60058"/>
        </w:rPr>
        <w:t xml:space="preserve"> | </w:t>
      </w:r>
      <w:r>
        <w:rPr>
          <w:rFonts w:ascii="Arial" w:cs="Arial" w:eastAsia="Arial" w:hAnsi="Arial"/>
          <w:sz w:val="14"/>
          <w:szCs w:val="14"/>
          <w:b w:val="1"/>
          <w:bCs w:val="1"/>
          <w:color w:val="215AA8"/>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7155180" cy="28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 w:name="page7"/>
    <w:bookmarkEnd w:id="6"/>
    <w:p>
      <w:pPr>
        <w:ind w:right="140"/>
        <w:spacing w:after="0" w:line="242" w:lineRule="auto"/>
        <w:rPr>
          <w:sz w:val="20"/>
          <w:szCs w:val="20"/>
          <w:color w:val="auto"/>
        </w:rPr>
      </w:pPr>
      <w:r>
        <w:rPr>
          <w:rFonts w:ascii="Arial" w:cs="Arial" w:eastAsia="Arial" w:hAnsi="Arial"/>
          <w:sz w:val="14"/>
          <w:szCs w:val="14"/>
          <w:color w:val="auto"/>
        </w:rPr>
        <w:t>In 2023, we also announced, alongside highly respected academic and industry partners, our founding role in Together for CHANGE™. This initiative is a 10-year endeavor aimed at addressing health disparities, promoting health, and advancing the science, technology, engineering, and mathematics talent pipeline in Black communities. Part of this initiative will aim to build an African ancestry genetic database with de-identified data from approximately 500,000 volunteer participants. Our hope is that this dataset will lead to discoveries that could help inform improvements in precision medicine and ultimately lead to better health outcomes for this community and beyond.</w:t>
      </w:r>
    </w:p>
    <w:p>
      <w:pPr>
        <w:spacing w:after="0" w:line="139"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In closing, we are proud of our 2023 accomplishments and are already carrying this momentum into 2024. Our commercial execution is strong, we have a pipeline of approximately 35 product candidates, including important and differentiated innovations, and we continue to efficiently deploy capital to drive long-term shareholder returns. Most importantly, we continue to carry forward our legacy of relentlessly using the power of science to help people in need.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104775</wp:posOffset>
            </wp:positionV>
            <wp:extent cx="1086485" cy="278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6485" cy="278765"/>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104775</wp:posOffset>
            </wp:positionV>
            <wp:extent cx="72898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25717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Leonard S. Schleifer,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M.D., Ph.D.</w:t>
      </w:r>
    </w:p>
    <w:p>
      <w:pPr>
        <w:ind w:right="500"/>
        <w:spacing w:after="0" w:line="239" w:lineRule="auto"/>
        <w:rPr>
          <w:sz w:val="20"/>
          <w:szCs w:val="20"/>
          <w:color w:val="auto"/>
        </w:rPr>
      </w:pPr>
      <w:r>
        <w:rPr>
          <w:rFonts w:ascii="Arial" w:cs="Arial" w:eastAsia="Arial" w:hAnsi="Arial"/>
          <w:sz w:val="14"/>
          <w:szCs w:val="14"/>
          <w:color w:val="auto"/>
        </w:rPr>
        <w:t>Board co-Chair, 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George D. Yancopoulos,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M.D., Ph.D.</w:t>
      </w:r>
    </w:p>
    <w:p>
      <w:pPr>
        <w:spacing w:after="0"/>
        <w:rPr>
          <w:sz w:val="20"/>
          <w:szCs w:val="20"/>
          <w:color w:val="auto"/>
        </w:rPr>
      </w:pPr>
      <w:r>
        <w:rPr>
          <w:rFonts w:ascii="Arial" w:cs="Arial" w:eastAsia="Arial" w:hAnsi="Arial"/>
          <w:sz w:val="12"/>
          <w:szCs w:val="12"/>
          <w:color w:val="auto"/>
        </w:rPr>
        <w:t>Board co-Chair, President and Chief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Scientific Officer</w:t>
      </w:r>
    </w:p>
    <w:p>
      <w:pPr>
        <w:spacing w:after="0" w:line="173" w:lineRule="exact"/>
        <w:rPr>
          <w:sz w:val="20"/>
          <w:szCs w:val="20"/>
          <w:color w:val="auto"/>
        </w:rPr>
      </w:pPr>
    </w:p>
    <w:p>
      <w:pPr>
        <w:sectPr>
          <w:pgSz w:w="11900" w:h="16838" w:orient="portrait"/>
          <w:cols w:equalWidth="0" w:num="2">
            <w:col w:w="2660" w:space="720"/>
            <w:col w:w="7880"/>
          </w:cols>
          <w:pgMar w:left="320" w:top="129" w:right="319" w:bottom="1440" w:gutter="0" w:footer="0" w:header="0"/>
          <w:type w:val="continuous"/>
        </w:sectPr>
      </w:pPr>
    </w:p>
    <w:p>
      <w:pPr>
        <w:spacing w:after="0"/>
        <w:rPr>
          <w:sz w:val="20"/>
          <w:szCs w:val="20"/>
          <w:color w:val="auto"/>
        </w:rPr>
      </w:pPr>
      <w:r>
        <w:rPr>
          <w:rFonts w:ascii="Arial" w:cs="Arial" w:eastAsia="Arial" w:hAnsi="Arial"/>
          <w:sz w:val="14"/>
          <w:szCs w:val="14"/>
          <w:b w:val="1"/>
          <w:bCs w:val="1"/>
          <w:color w:val="215AA8"/>
        </w:rPr>
        <w:t xml:space="preserve">2024 Proxy Statement and Notice of Annual Shareholder Meeting                                                                            </w:t>
      </w:r>
      <w:r>
        <w:rPr>
          <w:sz w:val="1"/>
          <w:szCs w:val="1"/>
          <w:color w:val="auto"/>
        </w:rPr>
        <w:drawing>
          <wp:inline distT="0" distB="0" distL="0" distR="0">
            <wp:extent cx="629285" cy="717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85" cy="71755"/>
                    </a:xfrm>
                    <a:prstGeom prst="rect">
                      <a:avLst/>
                    </a:prstGeom>
                    <a:noFill/>
                    <a:ln>
                      <a:noFill/>
                    </a:ln>
                  </pic:spPr>
                </pic:pic>
              </a:graphicData>
            </a:graphic>
          </wp:inline>
        </w:drawing>
      </w:r>
      <w:r>
        <w:rPr>
          <w:rFonts w:ascii="Arial" w:cs="Arial" w:eastAsia="Arial" w:hAnsi="Arial"/>
          <w:sz w:val="14"/>
          <w:szCs w:val="14"/>
          <w:b w:val="1"/>
          <w:bCs w:val="1"/>
          <w:color w:val="D60058"/>
        </w:rPr>
        <w:t xml:space="preserve"> | </w:t>
      </w:r>
      <w:r>
        <w:rPr>
          <w:rFonts w:ascii="Arial" w:cs="Arial" w:eastAsia="Arial" w:hAnsi="Arial"/>
          <w:sz w:val="14"/>
          <w:szCs w:val="14"/>
          <w:b w:val="1"/>
          <w:bCs w:val="1"/>
          <w:color w:val="215AA8"/>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7155180" cy="28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42"/>
          <w:szCs w:val="42"/>
          <w:b w:val="1"/>
          <w:bCs w:val="1"/>
          <w:color w:val="215AA8"/>
        </w:rPr>
        <w:t>Letter from Lead Independent Director to Shareholders</w:t>
      </w: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-67945</wp:posOffset>
            </wp:positionV>
            <wp:extent cx="152273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22730" cy="14605"/>
                    </a:xfrm>
                    <a:prstGeom prst="rect">
                      <a:avLst/>
                    </a:prstGeom>
                    <a:noFill/>
                  </pic:spPr>
                </pic:pic>
              </a:graphicData>
            </a:graphic>
          </wp:anchor>
        </w:drawing>
      </w:r>
    </w:p>
    <w:p>
      <w:pPr>
        <w:spacing w:after="0" w:line="289" w:lineRule="exact"/>
        <w:rPr>
          <w:sz w:val="20"/>
          <w:szCs w:val="20"/>
          <w:color w:val="auto"/>
        </w:rPr>
      </w:pPr>
    </w:p>
    <w:p>
      <w:pPr>
        <w:ind w:right="40"/>
        <w:spacing w:after="0"/>
        <w:rPr>
          <w:sz w:val="20"/>
          <w:szCs w:val="20"/>
          <w:color w:val="auto"/>
        </w:rPr>
      </w:pPr>
      <w:r>
        <w:rPr>
          <w:rFonts w:ascii="Arial" w:cs="Arial" w:eastAsia="Arial" w:hAnsi="Arial"/>
          <w:sz w:val="14"/>
          <w:szCs w:val="14"/>
          <w:color w:val="auto"/>
        </w:rPr>
        <w:t>In June 2023, I was elected by my fellow independent directors to serve as Regeneron’s Lead Independent Director, a role created as part of Regeneron’s new governance framework designed to provide balanced board leadership. At the same time, the board appointed Drs. Leonard Schleifer and George Yancopoulos, who have led the Company for over 35 years, as co-Chairs of the board. Together with the other independent directors and the co-Chairs, I am committed to ensuring that the board is effective in fulfilling its fiduciary responsibilities and providing strong oversight of Regeneron. In this letter, I would like to discuss three important topics: the board’s approach to corporate governance, director refreshment and board diversity, and responsiveness to shareholder feedback.</w:t>
      </w:r>
    </w:p>
    <w:p>
      <w:pPr>
        <w:spacing w:after="0" w:line="141" w:lineRule="exact"/>
        <w:rPr>
          <w:sz w:val="20"/>
          <w:szCs w:val="20"/>
          <w:color w:val="auto"/>
        </w:rPr>
      </w:pPr>
    </w:p>
    <w:p>
      <w:pPr>
        <w:ind w:right="160"/>
        <w:spacing w:after="0"/>
        <w:rPr>
          <w:sz w:val="20"/>
          <w:szCs w:val="20"/>
          <w:color w:val="auto"/>
        </w:rPr>
      </w:pPr>
      <w:r>
        <w:rPr>
          <w:rFonts w:ascii="Arial" w:cs="Arial" w:eastAsia="Arial" w:hAnsi="Arial"/>
          <w:sz w:val="14"/>
          <w:szCs w:val="14"/>
          <w:color w:val="auto"/>
        </w:rPr>
        <w:t>The board firmly believes that governance and compensation practices at Regeneron must be “fit for purpose” and aligned with the long-term outlook that is required to turn rigorous scientific research into important new medicines, the ultimate driver of sustainable, long-term value creation for Regeneron’s shareholders. Such practices must also serve to nurture Regeneron’s unique culture, which we discuss in greater detail in the accompanying proxy statement. As Regeneron grows, our governance and compensation practices must evolve with these objectives as our anchor. The board’s decision to establish a Lead Independent Director function is an example of how the board considers shareholder feedback and adjusts Regeneron’s corporate governance.</w:t>
      </w:r>
    </w:p>
    <w:p>
      <w:pPr>
        <w:spacing w:after="0" w:line="141"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The board’s commitment to thoughtful director refreshment was recently demonstrated by the election of Drs. Kathryn Guarini and David Schenkein in September 2023 and Dr. Craig Thompson in October 2022. These additions reflect the board’s belief that the composition of Regeneron’s board should emphasize science-based backgrounds while comprising an overall mix of skills and experiences necessary to provide independent oversight of management. Our director search efforts also prioritized diversity considerations, which enabled us to deliver on the previously announced goal of increasing board gender diversity to over 30%.</w:t>
      </w:r>
    </w:p>
    <w:p>
      <w:pPr>
        <w:spacing w:after="0" w:line="139" w:lineRule="exact"/>
        <w:rPr>
          <w:sz w:val="20"/>
          <w:szCs w:val="20"/>
          <w:color w:val="auto"/>
        </w:rPr>
      </w:pPr>
    </w:p>
    <w:p>
      <w:pPr>
        <w:ind w:right="260"/>
        <w:spacing w:after="0" w:line="257" w:lineRule="auto"/>
        <w:rPr>
          <w:sz w:val="20"/>
          <w:szCs w:val="20"/>
          <w:color w:val="auto"/>
        </w:rPr>
      </w:pPr>
      <w:r>
        <w:rPr>
          <w:rFonts w:ascii="Arial" w:cs="Arial" w:eastAsia="Arial" w:hAnsi="Arial"/>
          <w:sz w:val="14"/>
          <w:szCs w:val="14"/>
          <w:color w:val="auto"/>
        </w:rPr>
        <w:t>And, finally, we deeply value investor input. Your feedback through the years has informed board-level discussions and a continued review of governance and compensation practices at Regeneron. The accompanying proxy statement provides the board’s further perspectives on many topics we have discussed with our shareholders over the years.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On behalf of the board of directors, thank you for choosing to invest in Regeneron.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1050925" cy="285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50925" cy="28575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Christine A. Poon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84455</wp:posOffset>
            </wp:positionV>
            <wp:extent cx="7180580" cy="1011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0580" cy="10115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620" w:right="80"/>
        <w:spacing w:after="0"/>
        <w:rPr>
          <w:sz w:val="20"/>
          <w:szCs w:val="20"/>
          <w:color w:val="auto"/>
        </w:rPr>
      </w:pPr>
      <w:r>
        <w:rPr>
          <w:rFonts w:ascii="Arial" w:cs="Arial" w:eastAsia="Arial" w:hAnsi="Arial"/>
          <w:sz w:val="14"/>
          <w:szCs w:val="14"/>
          <w:color w:val="auto"/>
        </w:rPr>
        <w:t>Ms. Poon was elected by Regeneron’s independent directors to serve as Lead Independent Director effective June 9, 2023. She brings significant experience and knowledge to the Lead Independent Director role, both from her tenure at Regeneron and roles at other companies. Having served as a Regeneron director since 2010, Ms. Poon currently chairs the board’s Compensation Committee and serves on the board’s Corporate Governance and Compliance Committee. Ms. Poon possesses deep strategic and operational knowledge of the Company’s business and industry as well as prior experience as a lead independent director of another S&amp;P 500 company.</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 xml:space="preserve">2024 Proxy Statement and Notice of Annual Shareholder Meeting                                                                            </w:t>
      </w:r>
      <w:r>
        <w:rPr>
          <w:sz w:val="1"/>
          <w:szCs w:val="1"/>
          <w:color w:val="auto"/>
        </w:rPr>
        <w:drawing>
          <wp:inline distT="0" distB="0" distL="0" distR="0">
            <wp:extent cx="629285" cy="717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85" cy="71755"/>
                    </a:xfrm>
                    <a:prstGeom prst="rect">
                      <a:avLst/>
                    </a:prstGeom>
                    <a:noFill/>
                    <a:ln>
                      <a:noFill/>
                    </a:ln>
                  </pic:spPr>
                </pic:pic>
              </a:graphicData>
            </a:graphic>
          </wp:inline>
        </w:drawing>
      </w:r>
      <w:r>
        <w:rPr>
          <w:rFonts w:ascii="Arial" w:cs="Arial" w:eastAsia="Arial" w:hAnsi="Arial"/>
          <w:sz w:val="14"/>
          <w:szCs w:val="14"/>
          <w:b w:val="1"/>
          <w:bCs w:val="1"/>
          <w:color w:val="D60058"/>
        </w:rPr>
        <w:t xml:space="preserve"> | </w:t>
      </w:r>
      <w:r>
        <w:rPr>
          <w:rFonts w:ascii="Arial" w:cs="Arial" w:eastAsia="Arial" w:hAnsi="Arial"/>
          <w:sz w:val="14"/>
          <w:szCs w:val="14"/>
          <w:b w:val="1"/>
          <w:bCs w:val="1"/>
          <w:color w:val="215AA8"/>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7155180" cy="28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ectPr>
          <w:pgSz w:w="11900" w:h="16838" w:orient="portrait"/>
          <w:cols w:equalWidth="0" w:num="1">
            <w:col w:w="11260"/>
          </w:cols>
          <w:pgMar w:left="320" w:top="98" w:right="319" w:bottom="1440" w:gutter="0" w:footer="0" w:header="0"/>
        </w:sectPr>
      </w:pPr>
    </w:p>
    <w:bookmarkStart w:id="8" w:name="page9"/>
    <w:bookmarkEnd w:id="8"/>
    <w:p>
      <w:pPr>
        <w:ind w:left="1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1637030" cy="1930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637030" cy="193040"/>
                    </a:xfrm>
                    <a:prstGeom prst="rect">
                      <a:avLst/>
                    </a:prstGeom>
                    <a:noFill/>
                  </pic:spPr>
                </pic:pic>
              </a:graphicData>
            </a:graphic>
          </wp:anchor>
        </w:drawing>
        <w:t>REGENERON PHARMACEUTICALS, INC.</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4"/>
          <w:szCs w:val="14"/>
          <w:color w:val="auto"/>
        </w:rPr>
        <w:t>777 Old Saw Mill River Road</w:t>
      </w:r>
    </w:p>
    <w:p>
      <w:pPr>
        <w:ind w:left="10"/>
        <w:spacing w:after="0"/>
        <w:rPr>
          <w:sz w:val="20"/>
          <w:szCs w:val="20"/>
          <w:color w:val="auto"/>
        </w:rPr>
      </w:pPr>
      <w:r>
        <w:rPr>
          <w:rFonts w:ascii="Arial" w:cs="Arial" w:eastAsia="Arial" w:hAnsi="Arial"/>
          <w:sz w:val="14"/>
          <w:szCs w:val="14"/>
          <w:color w:val="auto"/>
        </w:rPr>
        <w:t>Tarrytown, New York 10591-6707</w:t>
      </w:r>
    </w:p>
    <w:p>
      <w:pPr>
        <w:spacing w:after="0" w:line="111" w:lineRule="exact"/>
        <w:rPr>
          <w:sz w:val="20"/>
          <w:szCs w:val="20"/>
          <w:color w:val="auto"/>
        </w:rPr>
      </w:pPr>
    </w:p>
    <w:p>
      <w:pPr>
        <w:ind w:left="10"/>
        <w:spacing w:after="0"/>
        <w:rPr>
          <w:sz w:val="20"/>
          <w:szCs w:val="20"/>
          <w:color w:val="auto"/>
        </w:rPr>
      </w:pPr>
      <w:r>
        <w:rPr>
          <w:rFonts w:ascii="Arial" w:cs="Arial" w:eastAsia="Arial" w:hAnsi="Arial"/>
          <w:sz w:val="42"/>
          <w:szCs w:val="42"/>
          <w:b w:val="1"/>
          <w:bCs w:val="1"/>
          <w:color w:val="215AA8"/>
        </w:rPr>
        <w:t>Notice of Annual Meeting of Shareholders</w:t>
      </w:r>
    </w:p>
    <w:p>
      <w:pPr>
        <w:spacing w:after="0" w:line="190" w:lineRule="exact"/>
        <w:rPr>
          <w:sz w:val="20"/>
          <w:szCs w:val="20"/>
          <w:color w:val="auto"/>
        </w:rPr>
      </w:pPr>
    </w:p>
    <w:p>
      <w:pPr>
        <w:ind w:left="10" w:right="20"/>
        <w:spacing w:after="0" w:line="269" w:lineRule="auto"/>
        <w:rPr>
          <w:sz w:val="20"/>
          <w:szCs w:val="20"/>
          <w:color w:val="auto"/>
        </w:rPr>
      </w:pPr>
      <w:r>
        <w:rPr>
          <w:rFonts w:ascii="Arial" w:cs="Arial" w:eastAsia="Arial" w:hAnsi="Arial"/>
          <w:sz w:val="14"/>
          <w:szCs w:val="14"/>
          <w:color w:val="auto"/>
        </w:rPr>
        <w:t xml:space="preserve">The 2024 Annual Meeting of Shareholders of Regeneron Pharmaceuticals, Inc. (the “Company”) will be held on Friday, June 14, 2024, commencing at 10:30 a.m., Eastern Time, virtually via the Internet at </w:t>
      </w:r>
      <w:r>
        <w:rPr>
          <w:rFonts w:ascii="Arial" w:cs="Arial" w:eastAsia="Arial" w:hAnsi="Arial"/>
          <w:sz w:val="14"/>
          <w:szCs w:val="14"/>
          <w:b w:val="1"/>
          <w:bCs w:val="1"/>
          <w:color w:val="215AA8"/>
        </w:rPr>
        <w:t>www.virtualshareholdermeeting.com/REGN2024</w:t>
      </w:r>
      <w:r>
        <w:rPr>
          <w:rFonts w:ascii="Arial" w:cs="Arial" w:eastAsia="Arial" w:hAnsi="Arial"/>
          <w:sz w:val="14"/>
          <w:szCs w:val="14"/>
          <w:color w:val="auto"/>
        </w:rPr>
        <w:t>,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5518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58" w:lineRule="exact"/>
        <w:rPr>
          <w:sz w:val="20"/>
          <w:szCs w:val="20"/>
          <w:color w:val="auto"/>
        </w:rPr>
      </w:pPr>
    </w:p>
    <w:p>
      <w:pPr>
        <w:ind w:left="270" w:hanging="270"/>
        <w:spacing w:after="0"/>
        <w:tabs>
          <w:tab w:leader="none" w:pos="270" w:val="left"/>
        </w:tabs>
        <w:numPr>
          <w:ilvl w:val="0"/>
          <w:numId w:val="1"/>
        </w:numPr>
        <w:rPr>
          <w:rFonts w:ascii="Arial" w:cs="Arial" w:eastAsia="Arial" w:hAnsi="Arial"/>
          <w:sz w:val="30"/>
          <w:szCs w:val="30"/>
          <w:b w:val="1"/>
          <w:bCs w:val="1"/>
          <w:color w:val="215AA8"/>
        </w:rPr>
      </w:pPr>
      <w:r>
        <w:rPr>
          <w:rFonts w:ascii="Arial" w:cs="Arial" w:eastAsia="Arial" w:hAnsi="Arial"/>
          <w:sz w:val="14"/>
          <w:szCs w:val="14"/>
          <w:color w:val="auto"/>
        </w:rPr>
        <w:t>to elect four Class III directors for a three-year term and one Class II director for a two-year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518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40" w:lineRule="exact"/>
        <w:rPr>
          <w:sz w:val="20"/>
          <w:szCs w:val="20"/>
          <w:color w:val="auto"/>
        </w:rPr>
      </w:pPr>
    </w:p>
    <w:p>
      <w:pPr>
        <w:ind w:left="270" w:hanging="270"/>
        <w:spacing w:after="0"/>
        <w:tabs>
          <w:tab w:leader="none" w:pos="270" w:val="left"/>
        </w:tabs>
        <w:numPr>
          <w:ilvl w:val="0"/>
          <w:numId w:val="2"/>
        </w:numPr>
        <w:rPr>
          <w:rFonts w:ascii="Arial" w:cs="Arial" w:eastAsia="Arial" w:hAnsi="Arial"/>
          <w:sz w:val="30"/>
          <w:szCs w:val="30"/>
          <w:b w:val="1"/>
          <w:bCs w:val="1"/>
          <w:color w:val="215AA8"/>
        </w:rPr>
      </w:pPr>
      <w:r>
        <w:rPr>
          <w:rFonts w:ascii="Arial" w:cs="Arial" w:eastAsia="Arial" w:hAnsi="Arial"/>
          <w:sz w:val="14"/>
          <w:szCs w:val="14"/>
          <w:color w:val="auto"/>
        </w:rPr>
        <w:t>to ratify the appointment of PricewaterhouseCoopers LLP as the Company’s independent registered public accounting firm for the 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518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40" w:lineRule="exact"/>
        <w:rPr>
          <w:sz w:val="20"/>
          <w:szCs w:val="20"/>
          <w:color w:val="auto"/>
        </w:rPr>
      </w:pPr>
    </w:p>
    <w:p>
      <w:pPr>
        <w:ind w:left="270" w:hanging="270"/>
        <w:spacing w:after="0"/>
        <w:tabs>
          <w:tab w:leader="none" w:pos="270" w:val="left"/>
        </w:tabs>
        <w:numPr>
          <w:ilvl w:val="0"/>
          <w:numId w:val="3"/>
        </w:numPr>
        <w:rPr>
          <w:rFonts w:ascii="Arial" w:cs="Arial" w:eastAsia="Arial" w:hAnsi="Arial"/>
          <w:sz w:val="30"/>
          <w:szCs w:val="30"/>
          <w:b w:val="1"/>
          <w:bCs w:val="1"/>
          <w:color w:val="215AA8"/>
        </w:rPr>
      </w:pPr>
      <w:r>
        <w:rPr>
          <w:rFonts w:ascii="Arial" w:cs="Arial" w:eastAsia="Arial" w:hAnsi="Arial"/>
          <w:sz w:val="14"/>
          <w:szCs w:val="14"/>
          <w:color w:val="auto"/>
        </w:rPr>
        <w:t>to cast an advisory vote to approve the compensation of the Company’s Named Executive Officers as disclosed in these proxy materials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518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40" w:lineRule="exact"/>
        <w:rPr>
          <w:sz w:val="20"/>
          <w:szCs w:val="20"/>
          <w:color w:val="auto"/>
        </w:rPr>
      </w:pPr>
    </w:p>
    <w:p>
      <w:pPr>
        <w:ind w:left="270" w:hanging="270"/>
        <w:spacing w:after="0"/>
        <w:tabs>
          <w:tab w:leader="none" w:pos="270" w:val="left"/>
        </w:tabs>
        <w:numPr>
          <w:ilvl w:val="0"/>
          <w:numId w:val="4"/>
        </w:numPr>
        <w:rPr>
          <w:rFonts w:ascii="Arial" w:cs="Arial" w:eastAsia="Arial" w:hAnsi="Arial"/>
          <w:sz w:val="30"/>
          <w:szCs w:val="30"/>
          <w:b w:val="1"/>
          <w:bCs w:val="1"/>
          <w:color w:val="215AA8"/>
        </w:rPr>
      </w:pPr>
      <w:r>
        <w:rPr>
          <w:rFonts w:ascii="Arial" w:cs="Arial" w:eastAsia="Arial" w:hAnsi="Arial"/>
          <w:sz w:val="14"/>
          <w:szCs w:val="14"/>
          <w:color w:val="auto"/>
        </w:rPr>
        <w:t>if properly presented, to vote on a non-binding shareholder proposal;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518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40" w:lineRule="exact"/>
        <w:rPr>
          <w:sz w:val="20"/>
          <w:szCs w:val="20"/>
          <w:color w:val="auto"/>
        </w:rPr>
      </w:pPr>
    </w:p>
    <w:p>
      <w:pPr>
        <w:ind w:left="270" w:hanging="270"/>
        <w:spacing w:after="0"/>
        <w:tabs>
          <w:tab w:leader="none" w:pos="270" w:val="left"/>
        </w:tabs>
        <w:numPr>
          <w:ilvl w:val="0"/>
          <w:numId w:val="5"/>
        </w:numPr>
        <w:rPr>
          <w:rFonts w:ascii="Arial" w:cs="Arial" w:eastAsia="Arial" w:hAnsi="Arial"/>
          <w:sz w:val="30"/>
          <w:szCs w:val="30"/>
          <w:b w:val="1"/>
          <w:bCs w:val="1"/>
          <w:color w:val="215AA8"/>
        </w:rPr>
      </w:pPr>
      <w:r>
        <w:rPr>
          <w:rFonts w:ascii="Arial" w:cs="Arial" w:eastAsia="Arial" w:hAnsi="Arial"/>
          <w:sz w:val="14"/>
          <w:szCs w:val="14"/>
          <w:color w:val="auto"/>
        </w:rPr>
        <w:t>to act upon such other matters as may properly come before the meeting and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518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65" w:lineRule="exact"/>
        <w:rPr>
          <w:sz w:val="20"/>
          <w:szCs w:val="20"/>
          <w:color w:val="auto"/>
        </w:rPr>
      </w:pPr>
    </w:p>
    <w:p>
      <w:pPr>
        <w:ind w:left="10" w:right="160"/>
        <w:spacing w:after="0" w:line="257" w:lineRule="auto"/>
        <w:rPr>
          <w:sz w:val="20"/>
          <w:szCs w:val="20"/>
          <w:color w:val="auto"/>
        </w:rPr>
      </w:pPr>
      <w:r>
        <w:rPr>
          <w:rFonts w:ascii="Arial" w:cs="Arial" w:eastAsia="Arial" w:hAnsi="Arial"/>
          <w:sz w:val="14"/>
          <w:szCs w:val="14"/>
          <w:color w:val="auto"/>
        </w:rPr>
        <w:t>The board of directors has fixed the close of business on April 16, 2024 as the record date for determining shareholders entitled to notice of, and to vote at, the Annual Meeting and at any adjournment(s) or postponement(s) thereof.</w:t>
      </w:r>
    </w:p>
    <w:p>
      <w:pPr>
        <w:spacing w:after="0" w:line="128" w:lineRule="exact"/>
        <w:rPr>
          <w:sz w:val="20"/>
          <w:szCs w:val="20"/>
          <w:color w:val="auto"/>
        </w:rPr>
      </w:pPr>
    </w:p>
    <w:p>
      <w:pPr>
        <w:ind w:left="10" w:right="20"/>
        <w:spacing w:after="0" w:line="239" w:lineRule="auto"/>
        <w:rPr>
          <w:sz w:val="20"/>
          <w:szCs w:val="20"/>
          <w:color w:val="auto"/>
        </w:rPr>
      </w:pPr>
      <w:r>
        <w:rPr>
          <w:rFonts w:ascii="Arial" w:cs="Arial" w:eastAsia="Arial" w:hAnsi="Arial"/>
          <w:sz w:val="14"/>
          <w:szCs w:val="14"/>
          <w:color w:val="auto"/>
        </w:rPr>
        <w:t>Pursuant to the rules of the Securities and Exchange Commission (the “SEC”), we have elected to use the “Notice and Access” method of providing our proxy materials over the Internet. Accordingly, we will mail, beginning on or about April 25, 2024, a Notice of Internet Availability of Proxy Materials to our shareholders of record and beneficial owners as of the record date (other than (i) those who previously elected to receive proxy materials by e-mail, (ii) those who have previously asked to receive paper copies of the proxy materials, and (iii) shareholders who participate and hold shares of common stock in the Regeneron Pharmaceuticals, Inc. 401(k) Savings Plan or the Regeneron Ireland Share Participation Plan).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141" w:lineRule="exact"/>
        <w:rPr>
          <w:sz w:val="20"/>
          <w:szCs w:val="20"/>
          <w:color w:val="auto"/>
        </w:rPr>
      </w:pPr>
    </w:p>
    <w:p>
      <w:pPr>
        <w:ind w:left="10" w:right="20"/>
        <w:spacing w:after="0" w:line="246" w:lineRule="auto"/>
        <w:rPr>
          <w:sz w:val="20"/>
          <w:szCs w:val="20"/>
          <w:color w:val="auto"/>
        </w:rPr>
      </w:pPr>
      <w:r>
        <w:rPr>
          <w:rFonts w:ascii="Arial" w:cs="Arial" w:eastAsia="Arial" w:hAnsi="Arial"/>
          <w:sz w:val="14"/>
          <w:szCs w:val="14"/>
          <w:color w:val="auto"/>
        </w:rPr>
        <w:t>The Notice of Internet Availability of Proxy Materials also contains a toll-free telephone number, an e-mail address, and a website where shareholders can request a paper or electronic copy of the proxy statement, our 2023 annual report, and/or a form of proxy relating to the Annual Meeting. These materials are available free of charge. The Notice of Internet Availability of Proxy Materials also contains information on how to access and vote the form of proxy.</w:t>
      </w:r>
    </w:p>
    <w:p>
      <w:pPr>
        <w:spacing w:after="0" w:line="135" w:lineRule="exact"/>
        <w:rPr>
          <w:sz w:val="20"/>
          <w:szCs w:val="20"/>
          <w:color w:val="auto"/>
        </w:rPr>
      </w:pPr>
    </w:p>
    <w:p>
      <w:pPr>
        <w:ind w:left="10"/>
        <w:spacing w:after="0" w:line="246" w:lineRule="auto"/>
        <w:rPr>
          <w:sz w:val="20"/>
          <w:szCs w:val="20"/>
          <w:color w:val="auto"/>
        </w:rPr>
      </w:pPr>
      <w:r>
        <w:rPr>
          <w:rFonts w:ascii="Arial" w:cs="Arial" w:eastAsia="Arial" w:hAnsi="Arial"/>
          <w:sz w:val="14"/>
          <w:szCs w:val="14"/>
          <w:color w:val="auto"/>
        </w:rPr>
        <w:t>We have opted to hold the Annual Meeting as a virtual-only meeting, which means that you will not be able to attend the Annual Meeting in person. All shareholders will be able to attend the Annual Meeting and participate electronically, which will allow them to vote their shares on the date of the Annual Meeting and ask questions during the meeting. We have designed the format of the Annual Meeting to ensure that shareholders are afforded similar rights and opportunities to participate as they would at an in-person meeting.</w:t>
      </w:r>
    </w:p>
    <w:p>
      <w:pPr>
        <w:spacing w:after="0" w:line="135" w:lineRule="exact"/>
        <w:rPr>
          <w:sz w:val="20"/>
          <w:szCs w:val="20"/>
          <w:color w:val="auto"/>
        </w:rPr>
      </w:pPr>
    </w:p>
    <w:p>
      <w:pPr>
        <w:ind w:left="10"/>
        <w:spacing w:after="0"/>
        <w:rPr>
          <w:sz w:val="20"/>
          <w:szCs w:val="20"/>
          <w:color w:val="auto"/>
        </w:rPr>
      </w:pPr>
      <w:r>
        <w:rPr>
          <w:rFonts w:ascii="Arial" w:cs="Arial" w:eastAsia="Arial" w:hAnsi="Arial"/>
          <w:sz w:val="14"/>
          <w:szCs w:val="14"/>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943610" cy="307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3610" cy="30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Joseph J. LaRosa</w:t>
      </w:r>
    </w:p>
    <w:p>
      <w:pPr>
        <w:spacing w:after="0" w:line="7" w:lineRule="exact"/>
        <w:rPr>
          <w:sz w:val="20"/>
          <w:szCs w:val="20"/>
          <w:color w:val="auto"/>
        </w:rPr>
      </w:pPr>
    </w:p>
    <w:p>
      <w:pPr>
        <w:ind w:left="10"/>
        <w:spacing w:after="0"/>
        <w:rPr>
          <w:sz w:val="20"/>
          <w:szCs w:val="20"/>
          <w:color w:val="auto"/>
        </w:rPr>
      </w:pPr>
      <w:r>
        <w:rPr>
          <w:rFonts w:ascii="Arial" w:cs="Arial" w:eastAsia="Arial" w:hAnsi="Arial"/>
          <w:sz w:val="14"/>
          <w:szCs w:val="14"/>
          <w:color w:val="auto"/>
        </w:rPr>
        <w:t>Executive Vice President, General Counsel and Secretary</w:t>
      </w:r>
    </w:p>
    <w:p>
      <w:pPr>
        <w:ind w:left="10"/>
        <w:spacing w:after="0"/>
        <w:rPr>
          <w:sz w:val="20"/>
          <w:szCs w:val="20"/>
          <w:color w:val="auto"/>
        </w:rPr>
      </w:pPr>
      <w:r>
        <w:rPr>
          <w:rFonts w:ascii="Arial" w:cs="Arial" w:eastAsia="Arial" w:hAnsi="Arial"/>
          <w:sz w:val="14"/>
          <w:szCs w:val="14"/>
          <w:color w:val="auto"/>
        </w:rPr>
        <w:t>April 25, 2024</w:t>
      </w:r>
    </w:p>
    <w:p>
      <w:pPr>
        <w:spacing w:after="0" w:line="140"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 xml:space="preserve">2024 Proxy Statement and Notice of Annual Shareholder Meeting                                                                             </w:t>
      </w:r>
      <w:r>
        <w:rPr>
          <w:sz w:val="1"/>
          <w:szCs w:val="1"/>
          <w:color w:val="auto"/>
        </w:rPr>
        <w:drawing>
          <wp:inline distT="0" distB="0" distL="0" distR="0">
            <wp:extent cx="629285" cy="7175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85" cy="71755"/>
                    </a:xfrm>
                    <a:prstGeom prst="rect">
                      <a:avLst/>
                    </a:prstGeom>
                    <a:noFill/>
                    <a:ln>
                      <a:noFill/>
                    </a:ln>
                  </pic:spPr>
                </pic:pic>
              </a:graphicData>
            </a:graphic>
          </wp:inline>
        </w:drawing>
      </w:r>
      <w:r>
        <w:rPr>
          <w:rFonts w:ascii="Arial" w:cs="Arial" w:eastAsia="Arial" w:hAnsi="Arial"/>
          <w:sz w:val="14"/>
          <w:szCs w:val="14"/>
          <w:b w:val="1"/>
          <w:bCs w:val="1"/>
          <w:color w:val="D60058"/>
        </w:rPr>
        <w:t xml:space="preserve"> | </w:t>
      </w:r>
      <w:r>
        <w:rPr>
          <w:rFonts w:ascii="Arial" w:cs="Arial" w:eastAsia="Arial" w:hAnsi="Arial"/>
          <w:sz w:val="14"/>
          <w:szCs w:val="14"/>
          <w:b w:val="1"/>
          <w:bCs w:val="1"/>
          <w:color w:val="215AA8"/>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155180" cy="28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ectPr>
          <w:pgSz w:w="11900" w:h="16838" w:orient="portrait"/>
          <w:cols w:equalWidth="0" w:num="1">
            <w:col w:w="11270"/>
          </w:cols>
          <w:pgMar w:left="310" w:top="478" w:right="319" w:bottom="1440" w:gutter="0" w:footer="0" w:header="0"/>
        </w:sectPr>
      </w:pPr>
    </w:p>
    <w:bookmarkStart w:id="9" w:name="page10"/>
    <w:bookmarkEnd w:id="9"/>
    <w:p>
      <w:pPr>
        <w:spacing w:after="0"/>
        <w:rPr>
          <w:sz w:val="20"/>
          <w:szCs w:val="20"/>
          <w:color w:val="auto"/>
        </w:rPr>
      </w:pPr>
      <w:r>
        <w:rPr>
          <w:rFonts w:ascii="Arial" w:cs="Arial" w:eastAsia="Arial" w:hAnsi="Arial"/>
          <w:sz w:val="42"/>
          <w:szCs w:val="42"/>
          <w:b w:val="1"/>
          <w:bCs w:val="1"/>
          <w:color w:val="215AA8"/>
        </w:rPr>
        <w:t>Table of Contents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20"/>
                <w:szCs w:val="20"/>
                <w:color w:val="auto"/>
              </w:rPr>
            </w:pPr>
            <w:r>
              <w:rPr>
                <w:rFonts w:ascii="Arial" w:cs="Arial" w:eastAsia="Arial" w:hAnsi="Arial"/>
                <w:sz w:val="14"/>
                <w:szCs w:val="14"/>
                <w:b w:val="1"/>
                <w:bCs w:val="1"/>
                <w:color w:val="215AA8"/>
              </w:rPr>
              <w:t>Users’ Guide</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215AA8"/>
              </w:rPr>
              <w:t>1</w:t>
            </w:r>
          </w:p>
        </w:tc>
      </w:tr>
      <w:tr>
        <w:trPr>
          <w:trHeight w:val="203"/>
        </w:trPr>
        <w:tc>
          <w:tcPr>
            <w:tcW w:w="8300" w:type="dxa"/>
            <w:vAlign w:val="bottom"/>
          </w:tcPr>
          <w:p>
            <w:pPr>
              <w:ind w:left="140"/>
              <w:spacing w:after="0"/>
              <w:rPr>
                <w:sz w:val="20"/>
                <w:szCs w:val="20"/>
                <w:color w:val="auto"/>
              </w:rPr>
            </w:pPr>
            <w:r>
              <w:rPr>
                <w:rFonts w:ascii="Arial" w:cs="Arial" w:eastAsia="Arial" w:hAnsi="Arial"/>
                <w:sz w:val="14"/>
                <w:szCs w:val="14"/>
                <w:b w:val="1"/>
                <w:bCs w:val="1"/>
                <w:color w:val="auto"/>
              </w:rPr>
              <w:t>Proxy Dashboard</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auto"/>
              </w:rPr>
              <w:t>1</w:t>
            </w:r>
          </w:p>
        </w:tc>
      </w:tr>
      <w:tr>
        <w:trPr>
          <w:trHeight w:val="203"/>
        </w:trPr>
        <w:tc>
          <w:tcPr>
            <w:tcW w:w="8300" w:type="dxa"/>
            <w:vAlign w:val="bottom"/>
          </w:tcPr>
          <w:p>
            <w:pPr>
              <w:ind w:left="140"/>
              <w:spacing w:after="0"/>
              <w:rPr>
                <w:sz w:val="20"/>
                <w:szCs w:val="20"/>
                <w:color w:val="auto"/>
              </w:rPr>
            </w:pPr>
            <w:r>
              <w:rPr>
                <w:rFonts w:ascii="Arial" w:cs="Arial" w:eastAsia="Arial" w:hAnsi="Arial"/>
                <w:sz w:val="14"/>
                <w:szCs w:val="14"/>
                <w:b w:val="1"/>
                <w:bCs w:val="1"/>
                <w:color w:val="auto"/>
              </w:rPr>
              <w:t>Proxy Highlights</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auto"/>
              </w:rPr>
              <w:t>2</w:t>
            </w:r>
          </w:p>
        </w:tc>
      </w:tr>
      <w:tr>
        <w:trPr>
          <w:trHeight w:val="195"/>
        </w:trPr>
        <w:tc>
          <w:tcPr>
            <w:tcW w:w="8300" w:type="dxa"/>
            <w:vAlign w:val="bottom"/>
          </w:tcPr>
          <w:p>
            <w:pPr>
              <w:ind w:left="300"/>
              <w:spacing w:after="0"/>
              <w:rPr>
                <w:sz w:val="20"/>
                <w:szCs w:val="20"/>
                <w:color w:val="auto"/>
              </w:rPr>
            </w:pPr>
            <w:r>
              <w:rPr>
                <w:rFonts w:ascii="Arial" w:cs="Arial" w:eastAsia="Arial" w:hAnsi="Arial"/>
                <w:sz w:val="14"/>
                <w:szCs w:val="14"/>
                <w:color w:val="auto"/>
              </w:rPr>
              <w:t>New Board Leadership Structure</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2</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Recent Director Refreshment</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2</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Compensation and Governance Practices Designed to Drive Long-Term Performance</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3</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Longstanding Commitment to Shareholder Engagement</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Board Snapshot</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5</w:t>
            </w:r>
          </w:p>
        </w:tc>
      </w:tr>
      <w:tr>
        <w:trPr>
          <w:trHeight w:val="211"/>
        </w:trPr>
        <w:tc>
          <w:tcPr>
            <w:tcW w:w="8300" w:type="dxa"/>
            <w:vAlign w:val="bottom"/>
          </w:tcPr>
          <w:p>
            <w:pPr>
              <w:spacing w:after="0"/>
              <w:rPr>
                <w:sz w:val="20"/>
                <w:szCs w:val="20"/>
                <w:color w:val="auto"/>
              </w:rPr>
            </w:pPr>
            <w:r>
              <w:rPr>
                <w:rFonts w:ascii="Arial" w:cs="Arial" w:eastAsia="Arial" w:hAnsi="Arial"/>
                <w:sz w:val="14"/>
                <w:szCs w:val="14"/>
                <w:b w:val="1"/>
                <w:bCs w:val="1"/>
                <w:color w:val="215AA8"/>
              </w:rPr>
              <w:t>Board of Directors</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215AA8"/>
              </w:rPr>
              <w:t>6</w:t>
            </w:r>
          </w:p>
        </w:tc>
      </w:tr>
      <w:tr>
        <w:trPr>
          <w:trHeight w:val="203"/>
        </w:trPr>
        <w:tc>
          <w:tcPr>
            <w:tcW w:w="8300" w:type="dxa"/>
            <w:vAlign w:val="bottom"/>
          </w:tcPr>
          <w:p>
            <w:pPr>
              <w:ind w:left="140"/>
              <w:spacing w:after="0"/>
              <w:rPr>
                <w:sz w:val="20"/>
                <w:szCs w:val="20"/>
                <w:color w:val="auto"/>
              </w:rPr>
            </w:pPr>
            <w:r>
              <w:rPr>
                <w:rFonts w:ascii="Arial" w:cs="Arial" w:eastAsia="Arial" w:hAnsi="Arial"/>
                <w:sz w:val="14"/>
                <w:szCs w:val="14"/>
                <w:b w:val="1"/>
                <w:bCs w:val="1"/>
                <w:color w:val="auto"/>
              </w:rPr>
              <w:t>Meet the Board</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auto"/>
              </w:rPr>
              <w:t>6</w:t>
            </w:r>
          </w:p>
        </w:tc>
      </w:tr>
      <w:tr>
        <w:trPr>
          <w:trHeight w:val="203"/>
        </w:trPr>
        <w:tc>
          <w:tcPr>
            <w:tcW w:w="8300" w:type="dxa"/>
            <w:vAlign w:val="bottom"/>
          </w:tcPr>
          <w:p>
            <w:pPr>
              <w:ind w:left="140"/>
              <w:spacing w:after="0"/>
              <w:rPr>
                <w:sz w:val="20"/>
                <w:szCs w:val="20"/>
                <w:color w:val="auto"/>
              </w:rPr>
            </w:pPr>
            <w:r>
              <w:rPr>
                <w:rFonts w:ascii="Arial" w:cs="Arial" w:eastAsia="Arial" w:hAnsi="Arial"/>
                <w:sz w:val="14"/>
                <w:szCs w:val="14"/>
                <w:b w:val="1"/>
                <w:bCs w:val="1"/>
                <w:color w:val="auto"/>
              </w:rPr>
              <w:t>Board Committees</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auto"/>
              </w:rPr>
              <w:t>21</w:t>
            </w:r>
          </w:p>
        </w:tc>
      </w:tr>
      <w:tr>
        <w:trPr>
          <w:trHeight w:val="203"/>
        </w:trPr>
        <w:tc>
          <w:tcPr>
            <w:tcW w:w="8300" w:type="dxa"/>
            <w:vAlign w:val="bottom"/>
          </w:tcPr>
          <w:p>
            <w:pPr>
              <w:ind w:left="140"/>
              <w:spacing w:after="0"/>
              <w:rPr>
                <w:sz w:val="20"/>
                <w:szCs w:val="20"/>
                <w:color w:val="auto"/>
              </w:rPr>
            </w:pPr>
            <w:r>
              <w:rPr>
                <w:rFonts w:ascii="Arial" w:cs="Arial" w:eastAsia="Arial" w:hAnsi="Arial"/>
                <w:sz w:val="14"/>
                <w:szCs w:val="14"/>
                <w:b w:val="1"/>
                <w:bCs w:val="1"/>
                <w:color w:val="auto"/>
              </w:rPr>
              <w:t>Board Governance</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auto"/>
              </w:rPr>
              <w:t>24</w:t>
            </w:r>
          </w:p>
        </w:tc>
      </w:tr>
      <w:tr>
        <w:trPr>
          <w:trHeight w:val="195"/>
        </w:trPr>
        <w:tc>
          <w:tcPr>
            <w:tcW w:w="8300" w:type="dxa"/>
            <w:vAlign w:val="bottom"/>
          </w:tcPr>
          <w:p>
            <w:pPr>
              <w:ind w:left="300"/>
              <w:spacing w:after="0"/>
              <w:rPr>
                <w:sz w:val="20"/>
                <w:szCs w:val="20"/>
                <w:color w:val="auto"/>
              </w:rPr>
            </w:pPr>
            <w:r>
              <w:rPr>
                <w:rFonts w:ascii="Arial" w:cs="Arial" w:eastAsia="Arial" w:hAnsi="Arial"/>
                <w:sz w:val="14"/>
                <w:szCs w:val="14"/>
                <w:color w:val="auto"/>
              </w:rPr>
              <w:t>Board Structure</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24</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Board Meetings and Attendance of Directors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24</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Director Refreshment Philosophy</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25</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Procedures Relating to Nominees; Board Succession Planning</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26</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Director Onboarding</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27</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Board and Committee Self-Assessments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27</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Shareholder Right to Call Special Shareholder Meeting</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27</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Director Independence</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28</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Board Leadership Structure; Responsibilities of Lead Independent Director</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28</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Board Oversight of Risk and Key Pricing Decisions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30</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Executive Compensation Processes and Procedures; Role of Compensation Consultants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31</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Shareholder Engagement Philosophy and Board Responsiveness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31</w:t>
            </w:r>
          </w:p>
        </w:tc>
      </w:tr>
      <w:tr>
        <w:trPr>
          <w:trHeight w:val="211"/>
        </w:trPr>
        <w:tc>
          <w:tcPr>
            <w:tcW w:w="8300" w:type="dxa"/>
            <w:vAlign w:val="bottom"/>
          </w:tcPr>
          <w:p>
            <w:pPr>
              <w:ind w:left="140"/>
              <w:spacing w:after="0"/>
              <w:rPr>
                <w:sz w:val="20"/>
                <w:szCs w:val="20"/>
                <w:color w:val="auto"/>
              </w:rPr>
            </w:pPr>
            <w:r>
              <w:rPr>
                <w:rFonts w:ascii="Arial" w:cs="Arial" w:eastAsia="Arial" w:hAnsi="Arial"/>
                <w:sz w:val="14"/>
                <w:szCs w:val="14"/>
                <w:b w:val="1"/>
                <w:bCs w:val="1"/>
                <w:color w:val="auto"/>
              </w:rPr>
              <w:t>Compensation of Directors</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auto"/>
              </w:rPr>
              <w:t>32</w:t>
            </w:r>
          </w:p>
        </w:tc>
      </w:tr>
      <w:tr>
        <w:trPr>
          <w:trHeight w:val="394"/>
        </w:trPr>
        <w:tc>
          <w:tcPr>
            <w:tcW w:w="8300" w:type="dxa"/>
            <w:vAlign w:val="bottom"/>
          </w:tcPr>
          <w:p>
            <w:pPr>
              <w:ind w:left="100"/>
              <w:spacing w:after="0"/>
              <w:rPr>
                <w:sz w:val="20"/>
                <w:szCs w:val="20"/>
                <w:color w:val="auto"/>
              </w:rPr>
            </w:pPr>
            <w:r>
              <w:rPr>
                <w:rFonts w:ascii="Arial" w:cs="Arial" w:eastAsia="Arial" w:hAnsi="Arial"/>
                <w:sz w:val="14"/>
                <w:szCs w:val="14"/>
                <w:b w:val="1"/>
                <w:bCs w:val="1"/>
                <w:color w:val="FFFFFF"/>
              </w:rPr>
              <w:t>PROPOSAL NO. 1</w:t>
            </w:r>
          </w:p>
        </w:tc>
        <w:tc>
          <w:tcPr>
            <w:tcW w:w="2960" w:type="dxa"/>
            <w:vAlign w:val="bottom"/>
          </w:tcPr>
          <w:p>
            <w:pPr>
              <w:spacing w:after="0"/>
              <w:rPr>
                <w:sz w:val="24"/>
                <w:szCs w:val="24"/>
                <w:color w:val="auto"/>
              </w:rPr>
            </w:pPr>
          </w:p>
        </w:tc>
      </w:tr>
      <w:tr>
        <w:trPr>
          <w:trHeight w:val="63"/>
        </w:trPr>
        <w:tc>
          <w:tcPr>
            <w:tcW w:w="8300" w:type="dxa"/>
            <w:vAlign w:val="bottom"/>
          </w:tcPr>
          <w:p>
            <w:pPr>
              <w:spacing w:after="0"/>
              <w:rPr>
                <w:sz w:val="5"/>
                <w:szCs w:val="5"/>
                <w:color w:val="auto"/>
              </w:rPr>
            </w:pPr>
          </w:p>
        </w:tc>
        <w:tc>
          <w:tcPr>
            <w:tcW w:w="2960" w:type="dxa"/>
            <w:vAlign w:val="bottom"/>
          </w:tcPr>
          <w:p>
            <w:pPr>
              <w:spacing w:after="0"/>
              <w:rPr>
                <w:sz w:val="5"/>
                <w:szCs w:val="5"/>
                <w:color w:val="auto"/>
              </w:rPr>
            </w:pPr>
          </w:p>
        </w:tc>
      </w:tr>
      <w:tr>
        <w:trPr>
          <w:trHeight w:val="286"/>
        </w:trPr>
        <w:tc>
          <w:tcPr>
            <w:tcW w:w="8300" w:type="dxa"/>
            <w:vAlign w:val="bottom"/>
            <w:shd w:val="clear" w:color="auto" w:fill="E8ECF5"/>
          </w:tcPr>
          <w:p>
            <w:pPr>
              <w:ind w:left="440"/>
              <w:spacing w:after="0"/>
              <w:rPr>
                <w:sz w:val="20"/>
                <w:szCs w:val="20"/>
                <w:color w:val="auto"/>
              </w:rPr>
            </w:pPr>
            <w:r>
              <w:rPr>
                <w:rFonts w:ascii="Arial" w:cs="Arial" w:eastAsia="Arial" w:hAnsi="Arial"/>
                <w:sz w:val="14"/>
                <w:szCs w:val="14"/>
                <w:b w:val="1"/>
                <w:bCs w:val="1"/>
                <w:color w:val="215AA8"/>
              </w:rPr>
              <w:t>Election of Directors</w:t>
            </w:r>
          </w:p>
        </w:tc>
        <w:tc>
          <w:tcPr>
            <w:tcW w:w="2960" w:type="dxa"/>
            <w:vAlign w:val="bottom"/>
            <w:shd w:val="clear" w:color="auto" w:fill="E8ECF5"/>
          </w:tcPr>
          <w:p>
            <w:pPr>
              <w:jc w:val="right"/>
              <w:ind w:right="52"/>
              <w:spacing w:after="0"/>
              <w:rPr>
                <w:sz w:val="20"/>
                <w:szCs w:val="20"/>
                <w:color w:val="auto"/>
              </w:rPr>
            </w:pPr>
            <w:r>
              <w:rPr>
                <w:rFonts w:ascii="Arial" w:cs="Arial" w:eastAsia="Arial" w:hAnsi="Arial"/>
                <w:sz w:val="14"/>
                <w:szCs w:val="14"/>
                <w:b w:val="1"/>
                <w:bCs w:val="1"/>
                <w:color w:val="215AA8"/>
              </w:rPr>
              <w:t>36</w:t>
            </w:r>
          </w:p>
        </w:tc>
      </w:tr>
      <w:tr>
        <w:trPr>
          <w:trHeight w:val="96"/>
        </w:trPr>
        <w:tc>
          <w:tcPr>
            <w:tcW w:w="8300" w:type="dxa"/>
            <w:vAlign w:val="bottom"/>
            <w:shd w:val="clear" w:color="auto" w:fill="E8ECF5"/>
          </w:tcPr>
          <w:p>
            <w:pPr>
              <w:spacing w:after="0"/>
              <w:rPr>
                <w:sz w:val="8"/>
                <w:szCs w:val="8"/>
                <w:color w:val="auto"/>
              </w:rPr>
            </w:pPr>
          </w:p>
        </w:tc>
        <w:tc>
          <w:tcPr>
            <w:tcW w:w="2960" w:type="dxa"/>
            <w:vAlign w:val="bottom"/>
            <w:shd w:val="clear" w:color="auto" w:fill="E8ECF5"/>
          </w:tcPr>
          <w:p>
            <w:pPr>
              <w:spacing w:after="0"/>
              <w:rPr>
                <w:sz w:val="8"/>
                <w:szCs w:val="8"/>
                <w:color w:val="auto"/>
              </w:rPr>
            </w:pPr>
          </w:p>
        </w:tc>
      </w:tr>
      <w:tr>
        <w:trPr>
          <w:trHeight w:val="331"/>
        </w:trPr>
        <w:tc>
          <w:tcPr>
            <w:tcW w:w="8300" w:type="dxa"/>
            <w:vAlign w:val="bottom"/>
          </w:tcPr>
          <w:p>
            <w:pPr>
              <w:spacing w:after="0"/>
              <w:rPr>
                <w:sz w:val="20"/>
                <w:szCs w:val="20"/>
                <w:color w:val="auto"/>
              </w:rPr>
            </w:pPr>
            <w:r>
              <w:rPr>
                <w:rFonts w:ascii="Arial" w:cs="Arial" w:eastAsia="Arial" w:hAnsi="Arial"/>
                <w:sz w:val="14"/>
                <w:szCs w:val="14"/>
                <w:b w:val="1"/>
                <w:bCs w:val="1"/>
                <w:color w:val="215AA8"/>
              </w:rPr>
              <w:t>The Company</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215AA8"/>
              </w:rPr>
              <w:t>37</w:t>
            </w:r>
          </w:p>
        </w:tc>
      </w:tr>
      <w:tr>
        <w:trPr>
          <w:trHeight w:val="203"/>
        </w:trPr>
        <w:tc>
          <w:tcPr>
            <w:tcW w:w="8300" w:type="dxa"/>
            <w:vAlign w:val="bottom"/>
          </w:tcPr>
          <w:p>
            <w:pPr>
              <w:ind w:left="140"/>
              <w:spacing w:after="0"/>
              <w:rPr>
                <w:sz w:val="20"/>
                <w:szCs w:val="20"/>
                <w:color w:val="auto"/>
              </w:rPr>
            </w:pPr>
            <w:r>
              <w:rPr>
                <w:rFonts w:ascii="Arial" w:cs="Arial" w:eastAsia="Arial" w:hAnsi="Arial"/>
                <w:sz w:val="14"/>
                <w:szCs w:val="14"/>
                <w:b w:val="1"/>
                <w:bCs w:val="1"/>
                <w:color w:val="auto"/>
              </w:rPr>
              <w:t>Executive Officers of the Company</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auto"/>
              </w:rPr>
              <w:t>37</w:t>
            </w:r>
          </w:p>
        </w:tc>
      </w:tr>
      <w:tr>
        <w:trPr>
          <w:trHeight w:val="203"/>
        </w:trPr>
        <w:tc>
          <w:tcPr>
            <w:tcW w:w="8300" w:type="dxa"/>
            <w:vAlign w:val="bottom"/>
          </w:tcPr>
          <w:p>
            <w:pPr>
              <w:ind w:left="140"/>
              <w:spacing w:after="0"/>
              <w:rPr>
                <w:sz w:val="20"/>
                <w:szCs w:val="20"/>
                <w:color w:val="auto"/>
              </w:rPr>
            </w:pPr>
            <w:r>
              <w:rPr>
                <w:rFonts w:ascii="Arial" w:cs="Arial" w:eastAsia="Arial" w:hAnsi="Arial"/>
                <w:sz w:val="14"/>
                <w:szCs w:val="14"/>
                <w:b w:val="1"/>
                <w:bCs w:val="1"/>
                <w:color w:val="auto"/>
              </w:rPr>
              <w:t>Corporate Governance</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auto"/>
              </w:rPr>
              <w:t>40</w:t>
            </w:r>
          </w:p>
        </w:tc>
      </w:tr>
      <w:tr>
        <w:trPr>
          <w:trHeight w:val="195"/>
        </w:trPr>
        <w:tc>
          <w:tcPr>
            <w:tcW w:w="8300" w:type="dxa"/>
            <w:vAlign w:val="bottom"/>
          </w:tcPr>
          <w:p>
            <w:pPr>
              <w:ind w:left="300"/>
              <w:spacing w:after="0"/>
              <w:rPr>
                <w:sz w:val="20"/>
                <w:szCs w:val="20"/>
                <w:color w:val="auto"/>
              </w:rPr>
            </w:pPr>
            <w:r>
              <w:rPr>
                <w:rFonts w:ascii="Arial" w:cs="Arial" w:eastAsia="Arial" w:hAnsi="Arial"/>
                <w:sz w:val="14"/>
                <w:szCs w:val="14"/>
                <w:color w:val="auto"/>
              </w:rPr>
              <w:t>Overview</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40</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Capital Structure</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41</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Code of Ethics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41</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Succession Planning and Talent Development Process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42</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Corporate Responsibility</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42</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Public Policy Engagement</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45</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Stock Ownership Guidelines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45</w:t>
            </w:r>
          </w:p>
        </w:tc>
      </w:tr>
      <w:tr>
        <w:trPr>
          <w:trHeight w:val="211"/>
        </w:trPr>
        <w:tc>
          <w:tcPr>
            <w:tcW w:w="8300" w:type="dxa"/>
            <w:vAlign w:val="bottom"/>
          </w:tcPr>
          <w:p>
            <w:pPr>
              <w:ind w:left="140"/>
              <w:spacing w:after="0"/>
              <w:rPr>
                <w:sz w:val="20"/>
                <w:szCs w:val="20"/>
                <w:color w:val="auto"/>
              </w:rPr>
            </w:pPr>
            <w:r>
              <w:rPr>
                <w:rFonts w:ascii="Arial" w:cs="Arial" w:eastAsia="Arial" w:hAnsi="Arial"/>
                <w:sz w:val="14"/>
                <w:szCs w:val="14"/>
                <w:b w:val="1"/>
                <w:bCs w:val="1"/>
                <w:color w:val="auto"/>
              </w:rPr>
              <w:t>Certain Relationships and Related Transactions</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auto"/>
              </w:rPr>
              <w:t>46</w:t>
            </w:r>
          </w:p>
        </w:tc>
      </w:tr>
      <w:tr>
        <w:trPr>
          <w:trHeight w:val="195"/>
        </w:trPr>
        <w:tc>
          <w:tcPr>
            <w:tcW w:w="8300" w:type="dxa"/>
            <w:vAlign w:val="bottom"/>
          </w:tcPr>
          <w:p>
            <w:pPr>
              <w:ind w:left="300"/>
              <w:spacing w:after="0"/>
              <w:rPr>
                <w:sz w:val="20"/>
                <w:szCs w:val="20"/>
                <w:color w:val="auto"/>
              </w:rPr>
            </w:pPr>
            <w:r>
              <w:rPr>
                <w:rFonts w:ascii="Arial" w:cs="Arial" w:eastAsia="Arial" w:hAnsi="Arial"/>
                <w:sz w:val="14"/>
                <w:szCs w:val="14"/>
                <w:color w:val="auto"/>
              </w:rPr>
              <w:t>Review, Approval, or Ratification of Transactions with Related Persons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46</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Transactions with Related Persons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46</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Other</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47</w:t>
            </w:r>
          </w:p>
        </w:tc>
      </w:tr>
      <w:tr>
        <w:trPr>
          <w:trHeight w:val="211"/>
        </w:trPr>
        <w:tc>
          <w:tcPr>
            <w:tcW w:w="8300" w:type="dxa"/>
            <w:vAlign w:val="bottom"/>
          </w:tcPr>
          <w:p>
            <w:pPr>
              <w:ind w:left="140"/>
              <w:spacing w:after="0"/>
              <w:rPr>
                <w:sz w:val="20"/>
                <w:szCs w:val="20"/>
                <w:color w:val="auto"/>
              </w:rPr>
            </w:pPr>
            <w:r>
              <w:rPr>
                <w:rFonts w:ascii="Arial" w:cs="Arial" w:eastAsia="Arial" w:hAnsi="Arial"/>
                <w:sz w:val="14"/>
                <w:szCs w:val="14"/>
                <w:b w:val="1"/>
                <w:bCs w:val="1"/>
                <w:color w:val="auto"/>
              </w:rPr>
              <w:t>Audit Matters</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auto"/>
              </w:rPr>
              <w:t>47</w:t>
            </w:r>
          </w:p>
        </w:tc>
      </w:tr>
      <w:tr>
        <w:trPr>
          <w:trHeight w:val="195"/>
        </w:trPr>
        <w:tc>
          <w:tcPr>
            <w:tcW w:w="8300" w:type="dxa"/>
            <w:vAlign w:val="bottom"/>
          </w:tcPr>
          <w:p>
            <w:pPr>
              <w:ind w:left="300"/>
              <w:spacing w:after="0"/>
              <w:rPr>
                <w:sz w:val="20"/>
                <w:szCs w:val="20"/>
                <w:color w:val="auto"/>
              </w:rPr>
            </w:pPr>
            <w:r>
              <w:rPr>
                <w:rFonts w:ascii="Arial" w:cs="Arial" w:eastAsia="Arial" w:hAnsi="Arial"/>
                <w:sz w:val="14"/>
                <w:szCs w:val="14"/>
                <w:color w:val="auto"/>
              </w:rPr>
              <w:t>Introduction</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47</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Information about Fees Paid to Independent Registered Public Accounting Firm</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48</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Audit Committee Report</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49</w:t>
            </w:r>
          </w:p>
        </w:tc>
      </w:tr>
      <w:tr>
        <w:trPr>
          <w:trHeight w:val="402"/>
        </w:trPr>
        <w:tc>
          <w:tcPr>
            <w:tcW w:w="8300" w:type="dxa"/>
            <w:vAlign w:val="bottom"/>
          </w:tcPr>
          <w:p>
            <w:pPr>
              <w:ind w:left="100"/>
              <w:spacing w:after="0"/>
              <w:rPr>
                <w:sz w:val="20"/>
                <w:szCs w:val="20"/>
                <w:color w:val="auto"/>
              </w:rPr>
            </w:pPr>
            <w:r>
              <w:rPr>
                <w:rFonts w:ascii="Arial" w:cs="Arial" w:eastAsia="Arial" w:hAnsi="Arial"/>
                <w:sz w:val="14"/>
                <w:szCs w:val="14"/>
                <w:b w:val="1"/>
                <w:bCs w:val="1"/>
                <w:color w:val="FFFFFF"/>
              </w:rPr>
              <w:t>PROPOSAL NO. 2</w:t>
            </w:r>
          </w:p>
        </w:tc>
        <w:tc>
          <w:tcPr>
            <w:tcW w:w="2960" w:type="dxa"/>
            <w:vAlign w:val="bottom"/>
          </w:tcPr>
          <w:p>
            <w:pPr>
              <w:spacing w:after="0"/>
              <w:rPr>
                <w:sz w:val="24"/>
                <w:szCs w:val="24"/>
                <w:color w:val="auto"/>
              </w:rPr>
            </w:pPr>
          </w:p>
        </w:tc>
      </w:tr>
      <w:tr>
        <w:trPr>
          <w:trHeight w:val="63"/>
        </w:trPr>
        <w:tc>
          <w:tcPr>
            <w:tcW w:w="8300" w:type="dxa"/>
            <w:vAlign w:val="bottom"/>
          </w:tcPr>
          <w:p>
            <w:pPr>
              <w:spacing w:after="0"/>
              <w:rPr>
                <w:sz w:val="5"/>
                <w:szCs w:val="5"/>
                <w:color w:val="auto"/>
              </w:rPr>
            </w:pPr>
          </w:p>
        </w:tc>
        <w:tc>
          <w:tcPr>
            <w:tcW w:w="2960" w:type="dxa"/>
            <w:vAlign w:val="bottom"/>
          </w:tcPr>
          <w:p>
            <w:pPr>
              <w:spacing w:after="0"/>
              <w:rPr>
                <w:sz w:val="5"/>
                <w:szCs w:val="5"/>
                <w:color w:val="auto"/>
              </w:rPr>
            </w:pPr>
          </w:p>
        </w:tc>
      </w:tr>
      <w:tr>
        <w:trPr>
          <w:trHeight w:val="286"/>
        </w:trPr>
        <w:tc>
          <w:tcPr>
            <w:tcW w:w="8300" w:type="dxa"/>
            <w:vAlign w:val="bottom"/>
            <w:shd w:val="clear" w:color="auto" w:fill="E8ECF5"/>
          </w:tcPr>
          <w:p>
            <w:pPr>
              <w:ind w:left="440"/>
              <w:spacing w:after="0"/>
              <w:rPr>
                <w:sz w:val="20"/>
                <w:szCs w:val="20"/>
                <w:color w:val="auto"/>
              </w:rPr>
            </w:pPr>
            <w:r>
              <w:rPr>
                <w:rFonts w:ascii="Arial" w:cs="Arial" w:eastAsia="Arial" w:hAnsi="Arial"/>
                <w:sz w:val="14"/>
                <w:szCs w:val="14"/>
                <w:b w:val="1"/>
                <w:bCs w:val="1"/>
                <w:color w:val="215AA8"/>
              </w:rPr>
              <w:t>Ratification of Appointment of Independent Registered Public Accounting Firm</w:t>
            </w:r>
          </w:p>
        </w:tc>
        <w:tc>
          <w:tcPr>
            <w:tcW w:w="2960" w:type="dxa"/>
            <w:vAlign w:val="bottom"/>
            <w:shd w:val="clear" w:color="auto" w:fill="E8ECF5"/>
          </w:tcPr>
          <w:p>
            <w:pPr>
              <w:jc w:val="right"/>
              <w:ind w:right="52"/>
              <w:spacing w:after="0"/>
              <w:rPr>
                <w:sz w:val="20"/>
                <w:szCs w:val="20"/>
                <w:color w:val="auto"/>
              </w:rPr>
            </w:pPr>
            <w:r>
              <w:rPr>
                <w:rFonts w:ascii="Arial" w:cs="Arial" w:eastAsia="Arial" w:hAnsi="Arial"/>
                <w:sz w:val="14"/>
                <w:szCs w:val="14"/>
                <w:b w:val="1"/>
                <w:bCs w:val="1"/>
                <w:color w:val="215AA8"/>
              </w:rPr>
              <w:t>49</w:t>
            </w:r>
          </w:p>
        </w:tc>
      </w:tr>
      <w:tr>
        <w:trPr>
          <w:trHeight w:val="96"/>
        </w:trPr>
        <w:tc>
          <w:tcPr>
            <w:tcW w:w="8300" w:type="dxa"/>
            <w:vAlign w:val="bottom"/>
            <w:shd w:val="clear" w:color="auto" w:fill="E8ECF5"/>
          </w:tcPr>
          <w:p>
            <w:pPr>
              <w:spacing w:after="0"/>
              <w:rPr>
                <w:sz w:val="8"/>
                <w:szCs w:val="8"/>
                <w:color w:val="auto"/>
              </w:rPr>
            </w:pPr>
          </w:p>
        </w:tc>
        <w:tc>
          <w:tcPr>
            <w:tcW w:w="2960" w:type="dxa"/>
            <w:vAlign w:val="bottom"/>
            <w:shd w:val="clear" w:color="auto" w:fill="E8ECF5"/>
          </w:tcPr>
          <w:p>
            <w:pPr>
              <w:spacing w:after="0"/>
              <w:rPr>
                <w:sz w:val="8"/>
                <w:szCs w:val="8"/>
                <w:color w:val="auto"/>
              </w:rPr>
            </w:pPr>
          </w:p>
        </w:tc>
      </w:tr>
      <w:tr>
        <w:trPr>
          <w:trHeight w:val="331"/>
        </w:trPr>
        <w:tc>
          <w:tcPr>
            <w:tcW w:w="8300" w:type="dxa"/>
            <w:vAlign w:val="bottom"/>
          </w:tcPr>
          <w:p>
            <w:pPr>
              <w:spacing w:after="0"/>
              <w:rPr>
                <w:sz w:val="20"/>
                <w:szCs w:val="20"/>
                <w:color w:val="auto"/>
              </w:rPr>
            </w:pPr>
            <w:r>
              <w:rPr>
                <w:rFonts w:ascii="Arial" w:cs="Arial" w:eastAsia="Arial" w:hAnsi="Arial"/>
                <w:sz w:val="14"/>
                <w:szCs w:val="14"/>
                <w:b w:val="1"/>
                <w:bCs w:val="1"/>
                <w:color w:val="215AA8"/>
              </w:rPr>
              <w:t>Shareholders</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215AA8"/>
              </w:rPr>
              <w:t>50</w:t>
            </w:r>
          </w:p>
        </w:tc>
      </w:tr>
      <w:tr>
        <w:trPr>
          <w:trHeight w:val="195"/>
        </w:trPr>
        <w:tc>
          <w:tcPr>
            <w:tcW w:w="8300" w:type="dxa"/>
            <w:vAlign w:val="bottom"/>
          </w:tcPr>
          <w:p>
            <w:pPr>
              <w:ind w:left="140"/>
              <w:spacing w:after="0"/>
              <w:rPr>
                <w:sz w:val="20"/>
                <w:szCs w:val="20"/>
                <w:color w:val="auto"/>
              </w:rPr>
            </w:pPr>
            <w:r>
              <w:rPr>
                <w:rFonts w:ascii="Arial" w:cs="Arial" w:eastAsia="Arial" w:hAnsi="Arial"/>
                <w:sz w:val="14"/>
                <w:szCs w:val="14"/>
                <w:color w:val="auto"/>
              </w:rPr>
              <w:t>Security Ownership of Certain Beneficial Owners and Management</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50</w:t>
            </w:r>
          </w:p>
        </w:tc>
      </w:tr>
      <w:tr>
        <w:trPr>
          <w:trHeight w:val="203"/>
        </w:trPr>
        <w:tc>
          <w:tcPr>
            <w:tcW w:w="8300" w:type="dxa"/>
            <w:vAlign w:val="bottom"/>
          </w:tcPr>
          <w:p>
            <w:pPr>
              <w:ind w:left="140"/>
              <w:spacing w:after="0"/>
              <w:rPr>
                <w:sz w:val="20"/>
                <w:szCs w:val="20"/>
                <w:color w:val="auto"/>
              </w:rPr>
            </w:pPr>
            <w:r>
              <w:rPr>
                <w:rFonts w:ascii="Arial" w:cs="Arial" w:eastAsia="Arial" w:hAnsi="Arial"/>
                <w:sz w:val="14"/>
                <w:szCs w:val="14"/>
                <w:color w:val="auto"/>
              </w:rPr>
              <w:t>Shareholder Communications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53</w:t>
            </w:r>
          </w:p>
        </w:tc>
      </w:tr>
      <w:tr>
        <w:trPr>
          <w:trHeight w:val="211"/>
        </w:trPr>
        <w:tc>
          <w:tcPr>
            <w:tcW w:w="8300" w:type="dxa"/>
            <w:vAlign w:val="bottom"/>
          </w:tcPr>
          <w:p>
            <w:pPr>
              <w:spacing w:after="0"/>
              <w:rPr>
                <w:sz w:val="20"/>
                <w:szCs w:val="20"/>
                <w:color w:val="auto"/>
              </w:rPr>
            </w:pPr>
            <w:r>
              <w:rPr>
                <w:rFonts w:ascii="Arial" w:cs="Arial" w:eastAsia="Arial" w:hAnsi="Arial"/>
                <w:sz w:val="14"/>
                <w:szCs w:val="14"/>
                <w:b w:val="1"/>
                <w:bCs w:val="1"/>
                <w:color w:val="215AA8"/>
              </w:rPr>
              <w:t>Compensation-Related Matters</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215AA8"/>
              </w:rPr>
              <w:t>54</w:t>
            </w:r>
          </w:p>
        </w:tc>
      </w:tr>
      <w:tr>
        <w:trPr>
          <w:trHeight w:val="203"/>
        </w:trPr>
        <w:tc>
          <w:tcPr>
            <w:tcW w:w="8300" w:type="dxa"/>
            <w:vAlign w:val="bottom"/>
          </w:tcPr>
          <w:p>
            <w:pPr>
              <w:ind w:left="140"/>
              <w:spacing w:after="0"/>
              <w:rPr>
                <w:sz w:val="20"/>
                <w:szCs w:val="20"/>
                <w:color w:val="auto"/>
              </w:rPr>
            </w:pPr>
            <w:r>
              <w:rPr>
                <w:rFonts w:ascii="Arial" w:cs="Arial" w:eastAsia="Arial" w:hAnsi="Arial"/>
                <w:sz w:val="14"/>
                <w:szCs w:val="14"/>
                <w:b w:val="1"/>
                <w:bCs w:val="1"/>
                <w:color w:val="auto"/>
              </w:rPr>
              <w:t>Table of Contents</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auto"/>
              </w:rPr>
              <w:t>54</w:t>
            </w:r>
          </w:p>
        </w:tc>
      </w:tr>
      <w:tr>
        <w:trPr>
          <w:trHeight w:val="203"/>
        </w:trPr>
        <w:tc>
          <w:tcPr>
            <w:tcW w:w="8300" w:type="dxa"/>
            <w:vAlign w:val="bottom"/>
          </w:tcPr>
          <w:p>
            <w:pPr>
              <w:ind w:left="140"/>
              <w:spacing w:after="0"/>
              <w:rPr>
                <w:sz w:val="20"/>
                <w:szCs w:val="20"/>
                <w:color w:val="auto"/>
              </w:rPr>
            </w:pPr>
            <w:r>
              <w:rPr>
                <w:rFonts w:ascii="Arial" w:cs="Arial" w:eastAsia="Arial" w:hAnsi="Arial"/>
                <w:sz w:val="14"/>
                <w:szCs w:val="14"/>
                <w:b w:val="1"/>
                <w:bCs w:val="1"/>
                <w:color w:val="auto"/>
              </w:rPr>
              <w:t>Compensation Discussion and Analysis</w:t>
            </w:r>
          </w:p>
        </w:tc>
        <w:tc>
          <w:tcPr>
            <w:tcW w:w="2960" w:type="dxa"/>
            <w:vAlign w:val="bottom"/>
          </w:tcPr>
          <w:p>
            <w:pPr>
              <w:jc w:val="right"/>
              <w:ind w:right="52"/>
              <w:spacing w:after="0"/>
              <w:rPr>
                <w:sz w:val="20"/>
                <w:szCs w:val="20"/>
                <w:color w:val="auto"/>
              </w:rPr>
            </w:pPr>
            <w:r>
              <w:rPr>
                <w:rFonts w:ascii="Arial" w:cs="Arial" w:eastAsia="Arial" w:hAnsi="Arial"/>
                <w:sz w:val="14"/>
                <w:szCs w:val="14"/>
                <w:b w:val="1"/>
                <w:bCs w:val="1"/>
                <w:color w:val="auto"/>
              </w:rPr>
              <w:t>54</w:t>
            </w:r>
          </w:p>
        </w:tc>
      </w:tr>
      <w:tr>
        <w:trPr>
          <w:trHeight w:val="195"/>
        </w:trPr>
        <w:tc>
          <w:tcPr>
            <w:tcW w:w="8300" w:type="dxa"/>
            <w:vAlign w:val="bottom"/>
          </w:tcPr>
          <w:p>
            <w:pPr>
              <w:ind w:left="300"/>
              <w:spacing w:after="0"/>
              <w:rPr>
                <w:sz w:val="20"/>
                <w:szCs w:val="20"/>
                <w:color w:val="auto"/>
              </w:rPr>
            </w:pPr>
            <w:r>
              <w:rPr>
                <w:rFonts w:ascii="Arial" w:cs="Arial" w:eastAsia="Arial" w:hAnsi="Arial"/>
                <w:sz w:val="14"/>
                <w:szCs w:val="14"/>
                <w:color w:val="auto"/>
              </w:rPr>
              <w:t>Executive Summary</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55</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Compensation Program Overview</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57</w:t>
            </w:r>
          </w:p>
        </w:tc>
      </w:tr>
      <w:tr>
        <w:trPr>
          <w:trHeight w:val="203"/>
        </w:trPr>
        <w:tc>
          <w:tcPr>
            <w:tcW w:w="8300" w:type="dxa"/>
            <w:vAlign w:val="bottom"/>
          </w:tcPr>
          <w:p>
            <w:pPr>
              <w:ind w:left="440"/>
              <w:spacing w:after="0"/>
              <w:rPr>
                <w:sz w:val="20"/>
                <w:szCs w:val="20"/>
                <w:color w:val="auto"/>
              </w:rPr>
            </w:pPr>
            <w:r>
              <w:rPr>
                <w:rFonts w:ascii="Arial" w:cs="Arial" w:eastAsia="Arial" w:hAnsi="Arial"/>
                <w:sz w:val="14"/>
                <w:szCs w:val="14"/>
                <w:color w:val="auto"/>
              </w:rPr>
              <w:t>Our Corporate Culture and Pay Philosophy</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57</w:t>
            </w:r>
          </w:p>
        </w:tc>
      </w:tr>
      <w:tr>
        <w:trPr>
          <w:trHeight w:val="203"/>
        </w:trPr>
        <w:tc>
          <w:tcPr>
            <w:tcW w:w="8300" w:type="dxa"/>
            <w:vAlign w:val="bottom"/>
          </w:tcPr>
          <w:p>
            <w:pPr>
              <w:ind w:left="440"/>
              <w:spacing w:after="0"/>
              <w:rPr>
                <w:sz w:val="20"/>
                <w:szCs w:val="20"/>
                <w:color w:val="auto"/>
              </w:rPr>
            </w:pPr>
            <w:r>
              <w:rPr>
                <w:rFonts w:ascii="Arial" w:cs="Arial" w:eastAsia="Arial" w:hAnsi="Arial"/>
                <w:sz w:val="14"/>
                <w:szCs w:val="14"/>
                <w:color w:val="auto"/>
              </w:rPr>
              <w:t>2023 Business Highlights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58</w:t>
            </w:r>
          </w:p>
        </w:tc>
      </w:tr>
      <w:tr>
        <w:trPr>
          <w:trHeight w:val="203"/>
        </w:trPr>
        <w:tc>
          <w:tcPr>
            <w:tcW w:w="8300" w:type="dxa"/>
            <w:vAlign w:val="bottom"/>
          </w:tcPr>
          <w:p>
            <w:pPr>
              <w:ind w:left="440"/>
              <w:spacing w:after="0"/>
              <w:rPr>
                <w:sz w:val="20"/>
                <w:szCs w:val="20"/>
                <w:color w:val="auto"/>
              </w:rPr>
            </w:pPr>
            <w:r>
              <w:rPr>
                <w:rFonts w:ascii="Arial" w:cs="Arial" w:eastAsia="Arial" w:hAnsi="Arial"/>
                <w:sz w:val="14"/>
                <w:szCs w:val="14"/>
                <w:color w:val="auto"/>
              </w:rPr>
              <w:t>2023 Compensation Highlights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59</w:t>
            </w:r>
          </w:p>
        </w:tc>
      </w:tr>
      <w:tr>
        <w:trPr>
          <w:trHeight w:val="203"/>
        </w:trPr>
        <w:tc>
          <w:tcPr>
            <w:tcW w:w="8300" w:type="dxa"/>
            <w:vAlign w:val="bottom"/>
          </w:tcPr>
          <w:p>
            <w:pPr>
              <w:ind w:left="440"/>
              <w:spacing w:after="0"/>
              <w:rPr>
                <w:sz w:val="20"/>
                <w:szCs w:val="20"/>
                <w:color w:val="auto"/>
              </w:rPr>
            </w:pPr>
            <w:r>
              <w:rPr>
                <w:rFonts w:ascii="Arial" w:cs="Arial" w:eastAsia="Arial" w:hAnsi="Arial"/>
                <w:sz w:val="14"/>
                <w:szCs w:val="14"/>
                <w:color w:val="auto"/>
              </w:rPr>
              <w:t>Shareholder Engagement and Feedback</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61</w:t>
            </w:r>
          </w:p>
        </w:tc>
      </w:tr>
      <w:tr>
        <w:trPr>
          <w:trHeight w:val="203"/>
        </w:trPr>
        <w:tc>
          <w:tcPr>
            <w:tcW w:w="8300" w:type="dxa"/>
            <w:vAlign w:val="bottom"/>
          </w:tcPr>
          <w:p>
            <w:pPr>
              <w:ind w:left="440"/>
              <w:spacing w:after="0"/>
              <w:rPr>
                <w:sz w:val="20"/>
                <w:szCs w:val="20"/>
                <w:color w:val="auto"/>
              </w:rPr>
            </w:pPr>
            <w:r>
              <w:rPr>
                <w:rFonts w:ascii="Arial" w:cs="Arial" w:eastAsia="Arial" w:hAnsi="Arial"/>
                <w:sz w:val="14"/>
                <w:szCs w:val="14"/>
                <w:color w:val="auto"/>
              </w:rPr>
              <w:t>How Our Pay Program Works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62</w:t>
            </w:r>
          </w:p>
        </w:tc>
      </w:tr>
      <w:tr>
        <w:trPr>
          <w:trHeight w:val="203"/>
        </w:trPr>
        <w:tc>
          <w:tcPr>
            <w:tcW w:w="8300" w:type="dxa"/>
            <w:vAlign w:val="bottom"/>
          </w:tcPr>
          <w:p>
            <w:pPr>
              <w:ind w:left="440"/>
              <w:spacing w:after="0"/>
              <w:rPr>
                <w:sz w:val="20"/>
                <w:szCs w:val="20"/>
                <w:color w:val="auto"/>
              </w:rPr>
            </w:pPr>
            <w:r>
              <w:rPr>
                <w:rFonts w:ascii="Arial" w:cs="Arial" w:eastAsia="Arial" w:hAnsi="Arial"/>
                <w:sz w:val="14"/>
                <w:szCs w:val="14"/>
                <w:color w:val="auto"/>
              </w:rPr>
              <w:t>Key Governance Features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63</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Compensation Program Objectives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64</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Components of Executive Pay: What We Pay and Why We Pay It</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65</w:t>
            </w:r>
          </w:p>
        </w:tc>
      </w:tr>
      <w:tr>
        <w:trPr>
          <w:trHeight w:val="203"/>
        </w:trPr>
        <w:tc>
          <w:tcPr>
            <w:tcW w:w="8300" w:type="dxa"/>
            <w:vAlign w:val="bottom"/>
          </w:tcPr>
          <w:p>
            <w:pPr>
              <w:ind w:left="440"/>
              <w:spacing w:after="0"/>
              <w:rPr>
                <w:sz w:val="20"/>
                <w:szCs w:val="20"/>
                <w:color w:val="auto"/>
              </w:rPr>
            </w:pPr>
            <w:r>
              <w:rPr>
                <w:rFonts w:ascii="Arial" w:cs="Arial" w:eastAsia="Arial" w:hAnsi="Arial"/>
                <w:sz w:val="14"/>
                <w:szCs w:val="14"/>
                <w:color w:val="auto"/>
              </w:rPr>
              <w:t>Base Salaries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66</w:t>
            </w:r>
          </w:p>
        </w:tc>
      </w:tr>
      <w:tr>
        <w:trPr>
          <w:trHeight w:val="203"/>
        </w:trPr>
        <w:tc>
          <w:tcPr>
            <w:tcW w:w="8300" w:type="dxa"/>
            <w:vAlign w:val="bottom"/>
          </w:tcPr>
          <w:p>
            <w:pPr>
              <w:ind w:left="440"/>
              <w:spacing w:after="0"/>
              <w:rPr>
                <w:sz w:val="20"/>
                <w:szCs w:val="20"/>
                <w:color w:val="auto"/>
              </w:rPr>
            </w:pPr>
            <w:r>
              <w:rPr>
                <w:rFonts w:ascii="Arial" w:cs="Arial" w:eastAsia="Arial" w:hAnsi="Arial"/>
                <w:sz w:val="14"/>
                <w:szCs w:val="14"/>
                <w:color w:val="auto"/>
              </w:rPr>
              <w:t>Annual Cash Incentives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66</w:t>
            </w:r>
          </w:p>
        </w:tc>
      </w:tr>
      <w:tr>
        <w:trPr>
          <w:trHeight w:val="203"/>
        </w:trPr>
        <w:tc>
          <w:tcPr>
            <w:tcW w:w="8300" w:type="dxa"/>
            <w:vAlign w:val="bottom"/>
          </w:tcPr>
          <w:p>
            <w:pPr>
              <w:ind w:left="440"/>
              <w:spacing w:after="0"/>
              <w:rPr>
                <w:sz w:val="20"/>
                <w:szCs w:val="20"/>
                <w:color w:val="auto"/>
              </w:rPr>
            </w:pPr>
            <w:r>
              <w:rPr>
                <w:rFonts w:ascii="Arial" w:cs="Arial" w:eastAsia="Arial" w:hAnsi="Arial"/>
                <w:sz w:val="14"/>
                <w:szCs w:val="14"/>
                <w:color w:val="auto"/>
              </w:rPr>
              <w:t>Annual Equity Awards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70</w:t>
            </w:r>
          </w:p>
        </w:tc>
      </w:tr>
      <w:tr>
        <w:trPr>
          <w:trHeight w:val="203"/>
        </w:trPr>
        <w:tc>
          <w:tcPr>
            <w:tcW w:w="8300" w:type="dxa"/>
            <w:vAlign w:val="bottom"/>
          </w:tcPr>
          <w:p>
            <w:pPr>
              <w:ind w:left="440"/>
              <w:spacing w:after="0"/>
              <w:rPr>
                <w:sz w:val="20"/>
                <w:szCs w:val="20"/>
                <w:color w:val="auto"/>
              </w:rPr>
            </w:pPr>
            <w:r>
              <w:rPr>
                <w:rFonts w:ascii="Arial" w:cs="Arial" w:eastAsia="Arial" w:hAnsi="Arial"/>
                <w:sz w:val="14"/>
                <w:szCs w:val="14"/>
                <w:color w:val="auto"/>
              </w:rPr>
              <w:t>Perquisites and Personal Benefits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73</w:t>
            </w:r>
          </w:p>
        </w:tc>
      </w:tr>
      <w:tr>
        <w:trPr>
          <w:trHeight w:val="203"/>
        </w:trPr>
        <w:tc>
          <w:tcPr>
            <w:tcW w:w="8300" w:type="dxa"/>
            <w:vAlign w:val="bottom"/>
          </w:tcPr>
          <w:p>
            <w:pPr>
              <w:ind w:left="440"/>
              <w:spacing w:after="0"/>
              <w:rPr>
                <w:sz w:val="20"/>
                <w:szCs w:val="20"/>
                <w:color w:val="auto"/>
              </w:rPr>
            </w:pPr>
            <w:r>
              <w:rPr>
                <w:rFonts w:ascii="Arial" w:cs="Arial" w:eastAsia="Arial" w:hAnsi="Arial"/>
                <w:sz w:val="14"/>
                <w:szCs w:val="14"/>
                <w:color w:val="auto"/>
              </w:rPr>
              <w:t>Potential Severance Payments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74</w:t>
            </w:r>
          </w:p>
        </w:tc>
      </w:tr>
      <w:tr>
        <w:trPr>
          <w:trHeight w:val="203"/>
        </w:trPr>
        <w:tc>
          <w:tcPr>
            <w:tcW w:w="8300" w:type="dxa"/>
            <w:vAlign w:val="bottom"/>
          </w:tcPr>
          <w:p>
            <w:pPr>
              <w:ind w:left="300"/>
              <w:spacing w:after="0"/>
              <w:rPr>
                <w:sz w:val="20"/>
                <w:szCs w:val="20"/>
                <w:color w:val="auto"/>
              </w:rPr>
            </w:pPr>
            <w:r>
              <w:rPr>
                <w:rFonts w:ascii="Arial" w:cs="Arial" w:eastAsia="Arial" w:hAnsi="Arial"/>
                <w:sz w:val="14"/>
                <w:szCs w:val="14"/>
                <w:color w:val="auto"/>
              </w:rPr>
              <w:t>Compensation Processes</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74</w:t>
            </w:r>
          </w:p>
        </w:tc>
      </w:tr>
      <w:tr>
        <w:trPr>
          <w:trHeight w:val="203"/>
        </w:trPr>
        <w:tc>
          <w:tcPr>
            <w:tcW w:w="8300" w:type="dxa"/>
            <w:vAlign w:val="bottom"/>
          </w:tcPr>
          <w:p>
            <w:pPr>
              <w:ind w:left="440"/>
              <w:spacing w:after="0"/>
              <w:rPr>
                <w:sz w:val="20"/>
                <w:szCs w:val="20"/>
                <w:color w:val="auto"/>
              </w:rPr>
            </w:pPr>
            <w:r>
              <w:rPr>
                <w:rFonts w:ascii="Arial" w:cs="Arial" w:eastAsia="Arial" w:hAnsi="Arial"/>
                <w:sz w:val="14"/>
                <w:szCs w:val="14"/>
                <w:color w:val="auto"/>
              </w:rPr>
              <w:t>Compensation Committee</w:t>
            </w:r>
          </w:p>
        </w:tc>
        <w:tc>
          <w:tcPr>
            <w:tcW w:w="2960" w:type="dxa"/>
            <w:vAlign w:val="bottom"/>
          </w:tcPr>
          <w:p>
            <w:pPr>
              <w:jc w:val="right"/>
              <w:ind w:right="52"/>
              <w:spacing w:after="0"/>
              <w:rPr>
                <w:sz w:val="20"/>
                <w:szCs w:val="20"/>
                <w:color w:val="auto"/>
              </w:rPr>
            </w:pPr>
            <w:r>
              <w:rPr>
                <w:rFonts w:ascii="Arial" w:cs="Arial" w:eastAsia="Arial" w:hAnsi="Arial"/>
                <w:sz w:val="14"/>
                <w:szCs w:val="14"/>
                <w:color w:val="auto"/>
              </w:rPr>
              <w:t>74</w:t>
            </w:r>
          </w:p>
        </w:tc>
      </w:tr>
      <w:tr>
        <w:trPr>
          <w:trHeight w:val="323"/>
        </w:trPr>
        <w:tc>
          <w:tcPr>
            <w:tcW w:w="830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296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vi</w:t>
            </w:r>
          </w:p>
        </w:tc>
      </w:tr>
      <w:tr>
        <w:trPr>
          <w:trHeight w:val="211"/>
        </w:trPr>
        <w:tc>
          <w:tcPr>
            <w:tcW w:w="8300" w:type="dxa"/>
            <w:vAlign w:val="bottom"/>
            <w:tcBorders>
              <w:bottom w:val="single" w:sz="8" w:color="C0C0C0"/>
            </w:tcBorders>
          </w:tcPr>
          <w:p>
            <w:pPr>
              <w:spacing w:after="0"/>
              <w:rPr>
                <w:sz w:val="18"/>
                <w:szCs w:val="18"/>
                <w:color w:val="auto"/>
              </w:rPr>
            </w:pPr>
          </w:p>
        </w:tc>
        <w:tc>
          <w:tcPr>
            <w:tcW w:w="296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-6761480</wp:posOffset>
            </wp:positionV>
            <wp:extent cx="857885" cy="414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885" cy="4146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-3830955</wp:posOffset>
            </wp:positionV>
            <wp:extent cx="857885" cy="414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885" cy="414655"/>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-242570</wp:posOffset>
            </wp:positionV>
            <wp:extent cx="629285" cy="71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98" w:right="31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6"/>
        </w:trPr>
        <w:tc>
          <w:tcPr>
            <w:tcW w:w="8900" w:type="dxa"/>
            <w:vAlign w:val="bottom"/>
          </w:tcPr>
          <w:p>
            <w:pPr>
              <w:ind w:left="440"/>
              <w:spacing w:after="0"/>
              <w:rPr>
                <w:sz w:val="20"/>
                <w:szCs w:val="20"/>
                <w:color w:val="auto"/>
              </w:rPr>
            </w:pPr>
            <w:r>
              <w:rPr>
                <w:rFonts w:ascii="Arial" w:cs="Arial" w:eastAsia="Arial" w:hAnsi="Arial"/>
                <w:sz w:val="14"/>
                <w:szCs w:val="14"/>
                <w:color w:val="auto"/>
              </w:rPr>
              <w:t>Management</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75</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Shareholder Input and Outreach and the 2023 Say-on-Pay Vote Result</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75</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Independent Compensation Consultant</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78</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Peer Data</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78</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Risk Assessment</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80</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Tax Implications</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80</w:t>
            </w:r>
          </w:p>
        </w:tc>
      </w:tr>
      <w:tr>
        <w:trPr>
          <w:trHeight w:val="211"/>
        </w:trPr>
        <w:tc>
          <w:tcPr>
            <w:tcW w:w="8900" w:type="dxa"/>
            <w:vAlign w:val="bottom"/>
          </w:tcPr>
          <w:p>
            <w:pPr>
              <w:ind w:left="140"/>
              <w:spacing w:after="0"/>
              <w:rPr>
                <w:sz w:val="20"/>
                <w:szCs w:val="20"/>
                <w:color w:val="auto"/>
              </w:rPr>
            </w:pPr>
            <w:r>
              <w:rPr>
                <w:rFonts w:ascii="Arial" w:cs="Arial" w:eastAsia="Arial" w:hAnsi="Arial"/>
                <w:sz w:val="14"/>
                <w:szCs w:val="14"/>
                <w:b w:val="1"/>
                <w:bCs w:val="1"/>
                <w:color w:val="auto"/>
              </w:rPr>
              <w:t>Compensation Committee Report</w:t>
            </w:r>
          </w:p>
        </w:tc>
        <w:tc>
          <w:tcPr>
            <w:tcW w:w="2360" w:type="dxa"/>
            <w:vAlign w:val="bottom"/>
          </w:tcPr>
          <w:p>
            <w:pPr>
              <w:jc w:val="right"/>
              <w:ind w:right="52"/>
              <w:spacing w:after="0"/>
              <w:rPr>
                <w:sz w:val="20"/>
                <w:szCs w:val="20"/>
                <w:color w:val="auto"/>
              </w:rPr>
            </w:pPr>
            <w:r>
              <w:rPr>
                <w:rFonts w:ascii="Arial" w:cs="Arial" w:eastAsia="Arial" w:hAnsi="Arial"/>
                <w:sz w:val="14"/>
                <w:szCs w:val="14"/>
                <w:b w:val="1"/>
                <w:bCs w:val="1"/>
                <w:color w:val="auto"/>
              </w:rPr>
              <w:t>81</w:t>
            </w:r>
          </w:p>
        </w:tc>
      </w:tr>
      <w:tr>
        <w:trPr>
          <w:trHeight w:val="203"/>
        </w:trPr>
        <w:tc>
          <w:tcPr>
            <w:tcW w:w="8900" w:type="dxa"/>
            <w:vAlign w:val="bottom"/>
          </w:tcPr>
          <w:p>
            <w:pPr>
              <w:ind w:left="140"/>
              <w:spacing w:after="0"/>
              <w:rPr>
                <w:sz w:val="20"/>
                <w:szCs w:val="20"/>
                <w:color w:val="auto"/>
              </w:rPr>
            </w:pPr>
            <w:r>
              <w:rPr>
                <w:rFonts w:ascii="Arial" w:cs="Arial" w:eastAsia="Arial" w:hAnsi="Arial"/>
                <w:sz w:val="14"/>
                <w:szCs w:val="14"/>
                <w:b w:val="1"/>
                <w:bCs w:val="1"/>
                <w:color w:val="auto"/>
              </w:rPr>
              <w:t>Compensation Committee Interlocks and Insider Participation</w:t>
            </w:r>
          </w:p>
        </w:tc>
        <w:tc>
          <w:tcPr>
            <w:tcW w:w="2360" w:type="dxa"/>
            <w:vAlign w:val="bottom"/>
          </w:tcPr>
          <w:p>
            <w:pPr>
              <w:jc w:val="right"/>
              <w:ind w:right="52"/>
              <w:spacing w:after="0"/>
              <w:rPr>
                <w:sz w:val="20"/>
                <w:szCs w:val="20"/>
                <w:color w:val="auto"/>
              </w:rPr>
            </w:pPr>
            <w:r>
              <w:rPr>
                <w:rFonts w:ascii="Arial" w:cs="Arial" w:eastAsia="Arial" w:hAnsi="Arial"/>
                <w:sz w:val="14"/>
                <w:szCs w:val="14"/>
                <w:b w:val="1"/>
                <w:bCs w:val="1"/>
                <w:color w:val="auto"/>
              </w:rPr>
              <w:t>81</w:t>
            </w:r>
          </w:p>
        </w:tc>
      </w:tr>
      <w:tr>
        <w:trPr>
          <w:trHeight w:val="203"/>
        </w:trPr>
        <w:tc>
          <w:tcPr>
            <w:tcW w:w="8900" w:type="dxa"/>
            <w:vAlign w:val="bottom"/>
          </w:tcPr>
          <w:p>
            <w:pPr>
              <w:ind w:left="140"/>
              <w:spacing w:after="0"/>
              <w:rPr>
                <w:sz w:val="20"/>
                <w:szCs w:val="20"/>
                <w:color w:val="auto"/>
              </w:rPr>
            </w:pPr>
            <w:r>
              <w:rPr>
                <w:rFonts w:ascii="Arial" w:cs="Arial" w:eastAsia="Arial" w:hAnsi="Arial"/>
                <w:sz w:val="14"/>
                <w:szCs w:val="14"/>
                <w:b w:val="1"/>
                <w:bCs w:val="1"/>
                <w:color w:val="auto"/>
              </w:rPr>
              <w:t>Compensation Dashboard</w:t>
            </w:r>
          </w:p>
        </w:tc>
        <w:tc>
          <w:tcPr>
            <w:tcW w:w="2360" w:type="dxa"/>
            <w:vAlign w:val="bottom"/>
          </w:tcPr>
          <w:p>
            <w:pPr>
              <w:jc w:val="right"/>
              <w:ind w:right="52"/>
              <w:spacing w:after="0"/>
              <w:rPr>
                <w:sz w:val="20"/>
                <w:szCs w:val="20"/>
                <w:color w:val="auto"/>
              </w:rPr>
            </w:pPr>
            <w:r>
              <w:rPr>
                <w:rFonts w:ascii="Arial" w:cs="Arial" w:eastAsia="Arial" w:hAnsi="Arial"/>
                <w:sz w:val="14"/>
                <w:szCs w:val="14"/>
                <w:b w:val="1"/>
                <w:bCs w:val="1"/>
                <w:color w:val="auto"/>
              </w:rPr>
              <w:t>82</w:t>
            </w:r>
          </w:p>
        </w:tc>
      </w:tr>
      <w:tr>
        <w:trPr>
          <w:trHeight w:val="195"/>
        </w:trPr>
        <w:tc>
          <w:tcPr>
            <w:tcW w:w="8900" w:type="dxa"/>
            <w:vAlign w:val="bottom"/>
          </w:tcPr>
          <w:p>
            <w:pPr>
              <w:ind w:left="300"/>
              <w:spacing w:after="0"/>
              <w:rPr>
                <w:sz w:val="20"/>
                <w:szCs w:val="20"/>
                <w:color w:val="auto"/>
              </w:rPr>
            </w:pPr>
            <w:r>
              <w:rPr>
                <w:rFonts w:ascii="Arial" w:cs="Arial" w:eastAsia="Arial" w:hAnsi="Arial"/>
                <w:sz w:val="14"/>
                <w:szCs w:val="14"/>
                <w:color w:val="auto"/>
              </w:rPr>
              <w:t>2023 Executive Compensation Tables</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82</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2023 Summary Compensation Table</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82</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2023 Grants of Plan-Based Awards</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83</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Outstanding Equity Awards at 2023 Fiscal Year-End</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84</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2023 Option Exercises and Stock Vested</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86</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Post-Employment Compensation</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86</w:t>
            </w:r>
          </w:p>
        </w:tc>
      </w:tr>
      <w:tr>
        <w:trPr>
          <w:trHeight w:val="203"/>
        </w:trPr>
        <w:tc>
          <w:tcPr>
            <w:tcW w:w="8900" w:type="dxa"/>
            <w:vAlign w:val="bottom"/>
          </w:tcPr>
          <w:p>
            <w:pPr>
              <w:ind w:left="300"/>
              <w:spacing w:after="0"/>
              <w:rPr>
                <w:sz w:val="20"/>
                <w:szCs w:val="20"/>
                <w:color w:val="auto"/>
              </w:rPr>
            </w:pPr>
            <w:r>
              <w:rPr>
                <w:rFonts w:ascii="Arial" w:cs="Arial" w:eastAsia="Arial" w:hAnsi="Arial"/>
                <w:sz w:val="14"/>
                <w:szCs w:val="14"/>
                <w:color w:val="auto"/>
              </w:rPr>
              <w:t>Additional Compensation Information</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91</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Annual Cash Incentives</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91</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Perquisites and Personal Benefits</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93</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Potential Severance Payments</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94</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Pay Ratio</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95</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Pay Versus Performance</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96</w:t>
            </w:r>
          </w:p>
        </w:tc>
      </w:tr>
      <w:tr>
        <w:trPr>
          <w:trHeight w:val="203"/>
        </w:trPr>
        <w:tc>
          <w:tcPr>
            <w:tcW w:w="8900" w:type="dxa"/>
            <w:vAlign w:val="bottom"/>
          </w:tcPr>
          <w:p>
            <w:pPr>
              <w:ind w:left="440"/>
              <w:spacing w:after="0"/>
              <w:rPr>
                <w:sz w:val="20"/>
                <w:szCs w:val="20"/>
                <w:color w:val="auto"/>
              </w:rPr>
            </w:pPr>
            <w:r>
              <w:rPr>
                <w:rFonts w:ascii="Arial" w:cs="Arial" w:eastAsia="Arial" w:hAnsi="Arial"/>
                <w:sz w:val="14"/>
                <w:szCs w:val="14"/>
                <w:color w:val="auto"/>
              </w:rPr>
              <w:t>Equity Compensation Information</w:t>
            </w:r>
          </w:p>
        </w:tc>
        <w:tc>
          <w:tcPr>
            <w:tcW w:w="2360" w:type="dxa"/>
            <w:vAlign w:val="bottom"/>
          </w:tcPr>
          <w:p>
            <w:pPr>
              <w:jc w:val="right"/>
              <w:ind w:right="52"/>
              <w:spacing w:after="0"/>
              <w:rPr>
                <w:sz w:val="20"/>
                <w:szCs w:val="20"/>
                <w:color w:val="auto"/>
              </w:rPr>
            </w:pPr>
            <w:r>
              <w:rPr>
                <w:rFonts w:ascii="Arial" w:cs="Arial" w:eastAsia="Arial" w:hAnsi="Arial"/>
                <w:sz w:val="14"/>
                <w:szCs w:val="14"/>
                <w:color w:val="auto"/>
              </w:rPr>
              <w:t>100</w:t>
            </w:r>
          </w:p>
        </w:tc>
      </w:tr>
      <w:tr>
        <w:trPr>
          <w:trHeight w:val="402"/>
        </w:trPr>
        <w:tc>
          <w:tcPr>
            <w:tcW w:w="8900" w:type="dxa"/>
            <w:vAlign w:val="bottom"/>
          </w:tcPr>
          <w:p>
            <w:pPr>
              <w:ind w:left="100"/>
              <w:spacing w:after="0"/>
              <w:rPr>
                <w:sz w:val="20"/>
                <w:szCs w:val="20"/>
                <w:color w:val="auto"/>
              </w:rPr>
            </w:pPr>
            <w:r>
              <w:rPr>
                <w:rFonts w:ascii="Arial" w:cs="Arial" w:eastAsia="Arial" w:hAnsi="Arial"/>
                <w:sz w:val="14"/>
                <w:szCs w:val="14"/>
                <w:b w:val="1"/>
                <w:bCs w:val="1"/>
                <w:color w:val="FFFFFF"/>
              </w:rPr>
              <w:t>PROPOSAL NO. 3</w:t>
            </w:r>
          </w:p>
        </w:tc>
        <w:tc>
          <w:tcPr>
            <w:tcW w:w="2360" w:type="dxa"/>
            <w:vAlign w:val="bottom"/>
          </w:tcPr>
          <w:p>
            <w:pPr>
              <w:spacing w:after="0"/>
              <w:rPr>
                <w:sz w:val="24"/>
                <w:szCs w:val="24"/>
                <w:color w:val="auto"/>
              </w:rPr>
            </w:pPr>
          </w:p>
        </w:tc>
      </w:tr>
      <w:tr>
        <w:trPr>
          <w:trHeight w:val="63"/>
        </w:trPr>
        <w:tc>
          <w:tcPr>
            <w:tcW w:w="8900" w:type="dxa"/>
            <w:vAlign w:val="bottom"/>
          </w:tcPr>
          <w:p>
            <w:pPr>
              <w:spacing w:after="0"/>
              <w:rPr>
                <w:sz w:val="5"/>
                <w:szCs w:val="5"/>
                <w:color w:val="auto"/>
              </w:rPr>
            </w:pPr>
          </w:p>
        </w:tc>
        <w:tc>
          <w:tcPr>
            <w:tcW w:w="2360" w:type="dxa"/>
            <w:vAlign w:val="bottom"/>
          </w:tcPr>
          <w:p>
            <w:pPr>
              <w:spacing w:after="0"/>
              <w:rPr>
                <w:sz w:val="5"/>
                <w:szCs w:val="5"/>
                <w:color w:val="auto"/>
              </w:rPr>
            </w:pPr>
          </w:p>
        </w:tc>
      </w:tr>
      <w:tr>
        <w:trPr>
          <w:trHeight w:val="286"/>
        </w:trPr>
        <w:tc>
          <w:tcPr>
            <w:tcW w:w="8900" w:type="dxa"/>
            <w:vAlign w:val="bottom"/>
            <w:shd w:val="clear" w:color="auto" w:fill="E8ECF5"/>
          </w:tcPr>
          <w:p>
            <w:pPr>
              <w:ind w:left="440"/>
              <w:spacing w:after="0"/>
              <w:rPr>
                <w:sz w:val="20"/>
                <w:szCs w:val="20"/>
                <w:color w:val="auto"/>
              </w:rPr>
            </w:pPr>
            <w:r>
              <w:rPr>
                <w:rFonts w:ascii="Arial" w:cs="Arial" w:eastAsia="Arial" w:hAnsi="Arial"/>
                <w:sz w:val="14"/>
                <w:szCs w:val="14"/>
                <w:b w:val="1"/>
                <w:bCs w:val="1"/>
                <w:color w:val="215AA8"/>
              </w:rPr>
              <w:t>Advisory Vote on Compensation of Named Executive Officers (Say-on-Pay)</w:t>
            </w:r>
          </w:p>
        </w:tc>
        <w:tc>
          <w:tcPr>
            <w:tcW w:w="2360" w:type="dxa"/>
            <w:vAlign w:val="bottom"/>
            <w:shd w:val="clear" w:color="auto" w:fill="E8ECF5"/>
          </w:tcPr>
          <w:p>
            <w:pPr>
              <w:jc w:val="right"/>
              <w:ind w:right="52"/>
              <w:spacing w:after="0"/>
              <w:rPr>
                <w:sz w:val="20"/>
                <w:szCs w:val="20"/>
                <w:color w:val="auto"/>
              </w:rPr>
            </w:pPr>
            <w:r>
              <w:rPr>
                <w:rFonts w:ascii="Arial" w:cs="Arial" w:eastAsia="Arial" w:hAnsi="Arial"/>
                <w:sz w:val="14"/>
                <w:szCs w:val="14"/>
                <w:b w:val="1"/>
                <w:bCs w:val="1"/>
                <w:color w:val="215AA8"/>
              </w:rPr>
              <w:t>103</w:t>
            </w:r>
          </w:p>
        </w:tc>
      </w:tr>
      <w:tr>
        <w:trPr>
          <w:trHeight w:val="96"/>
        </w:trPr>
        <w:tc>
          <w:tcPr>
            <w:tcW w:w="8900" w:type="dxa"/>
            <w:vAlign w:val="bottom"/>
            <w:shd w:val="clear" w:color="auto" w:fill="E8ECF5"/>
          </w:tcPr>
          <w:p>
            <w:pPr>
              <w:spacing w:after="0"/>
              <w:rPr>
                <w:sz w:val="8"/>
                <w:szCs w:val="8"/>
                <w:color w:val="auto"/>
              </w:rPr>
            </w:pPr>
          </w:p>
        </w:tc>
        <w:tc>
          <w:tcPr>
            <w:tcW w:w="2360" w:type="dxa"/>
            <w:vAlign w:val="bottom"/>
            <w:shd w:val="clear" w:color="auto" w:fill="E8ECF5"/>
          </w:tcPr>
          <w:p>
            <w:pPr>
              <w:spacing w:after="0"/>
              <w:rPr>
                <w:sz w:val="8"/>
                <w:szCs w:val="8"/>
                <w:color w:val="auto"/>
              </w:rPr>
            </w:pPr>
          </w:p>
        </w:tc>
      </w:tr>
      <w:tr>
        <w:trPr>
          <w:trHeight w:val="421"/>
        </w:trPr>
        <w:tc>
          <w:tcPr>
            <w:tcW w:w="8900" w:type="dxa"/>
            <w:vAlign w:val="bottom"/>
          </w:tcPr>
          <w:p>
            <w:pPr>
              <w:ind w:left="100"/>
              <w:spacing w:after="0"/>
              <w:rPr>
                <w:sz w:val="20"/>
                <w:szCs w:val="20"/>
                <w:color w:val="auto"/>
              </w:rPr>
            </w:pPr>
            <w:r>
              <w:rPr>
                <w:rFonts w:ascii="Arial" w:cs="Arial" w:eastAsia="Arial" w:hAnsi="Arial"/>
                <w:sz w:val="14"/>
                <w:szCs w:val="14"/>
                <w:b w:val="1"/>
                <w:bCs w:val="1"/>
                <w:color w:val="FFFFFF"/>
              </w:rPr>
              <w:t>PROPOSAL NO. 4</w:t>
            </w:r>
          </w:p>
        </w:tc>
        <w:tc>
          <w:tcPr>
            <w:tcW w:w="2360" w:type="dxa"/>
            <w:vAlign w:val="bottom"/>
          </w:tcPr>
          <w:p>
            <w:pPr>
              <w:spacing w:after="0"/>
              <w:rPr>
                <w:sz w:val="24"/>
                <w:szCs w:val="24"/>
                <w:color w:val="auto"/>
              </w:rPr>
            </w:pPr>
          </w:p>
        </w:tc>
      </w:tr>
      <w:tr>
        <w:trPr>
          <w:trHeight w:val="63"/>
        </w:trPr>
        <w:tc>
          <w:tcPr>
            <w:tcW w:w="8900" w:type="dxa"/>
            <w:vAlign w:val="bottom"/>
          </w:tcPr>
          <w:p>
            <w:pPr>
              <w:spacing w:after="0"/>
              <w:rPr>
                <w:sz w:val="5"/>
                <w:szCs w:val="5"/>
                <w:color w:val="auto"/>
              </w:rPr>
            </w:pPr>
          </w:p>
        </w:tc>
        <w:tc>
          <w:tcPr>
            <w:tcW w:w="2360" w:type="dxa"/>
            <w:vAlign w:val="bottom"/>
          </w:tcPr>
          <w:p>
            <w:pPr>
              <w:spacing w:after="0"/>
              <w:rPr>
                <w:sz w:val="5"/>
                <w:szCs w:val="5"/>
                <w:color w:val="auto"/>
              </w:rPr>
            </w:pPr>
          </w:p>
        </w:tc>
      </w:tr>
      <w:tr>
        <w:trPr>
          <w:trHeight w:val="298"/>
        </w:trPr>
        <w:tc>
          <w:tcPr>
            <w:tcW w:w="8900" w:type="dxa"/>
            <w:vAlign w:val="bottom"/>
            <w:shd w:val="clear" w:color="auto" w:fill="F8E7EC"/>
          </w:tcPr>
          <w:p>
            <w:pPr>
              <w:ind w:left="440"/>
              <w:spacing w:after="0"/>
              <w:rPr>
                <w:sz w:val="20"/>
                <w:szCs w:val="20"/>
                <w:color w:val="auto"/>
              </w:rPr>
            </w:pPr>
            <w:r>
              <w:rPr>
                <w:rFonts w:ascii="Arial" w:cs="Arial" w:eastAsia="Arial" w:hAnsi="Arial"/>
                <w:sz w:val="14"/>
                <w:szCs w:val="14"/>
                <w:b w:val="1"/>
                <w:bCs w:val="1"/>
                <w:color w:val="D60058"/>
              </w:rPr>
              <w:t>Non-Binding Shareholder Proposal Requesting Simple Majority Voting Requirements</w:t>
            </w:r>
          </w:p>
        </w:tc>
        <w:tc>
          <w:tcPr>
            <w:tcW w:w="2360" w:type="dxa"/>
            <w:vAlign w:val="bottom"/>
            <w:shd w:val="clear" w:color="auto" w:fill="F8E7EC"/>
          </w:tcPr>
          <w:p>
            <w:pPr>
              <w:jc w:val="right"/>
              <w:ind w:right="52"/>
              <w:spacing w:after="0"/>
              <w:rPr>
                <w:sz w:val="20"/>
                <w:szCs w:val="20"/>
                <w:color w:val="auto"/>
              </w:rPr>
            </w:pPr>
            <w:r>
              <w:rPr>
                <w:rFonts w:ascii="Arial" w:cs="Arial" w:eastAsia="Arial" w:hAnsi="Arial"/>
                <w:sz w:val="14"/>
                <w:szCs w:val="14"/>
                <w:b w:val="1"/>
                <w:bCs w:val="1"/>
                <w:color w:val="D60058"/>
              </w:rPr>
              <w:t>104</w:t>
            </w:r>
          </w:p>
        </w:tc>
      </w:tr>
      <w:tr>
        <w:trPr>
          <w:trHeight w:val="108"/>
        </w:trPr>
        <w:tc>
          <w:tcPr>
            <w:tcW w:w="8900" w:type="dxa"/>
            <w:vAlign w:val="bottom"/>
            <w:shd w:val="clear" w:color="auto" w:fill="F8E7EC"/>
          </w:tcPr>
          <w:p>
            <w:pPr>
              <w:spacing w:after="0"/>
              <w:rPr>
                <w:sz w:val="9"/>
                <w:szCs w:val="9"/>
                <w:color w:val="auto"/>
              </w:rPr>
            </w:pPr>
          </w:p>
        </w:tc>
        <w:tc>
          <w:tcPr>
            <w:tcW w:w="2360" w:type="dxa"/>
            <w:vAlign w:val="bottom"/>
            <w:shd w:val="clear" w:color="auto" w:fill="F8E7EC"/>
          </w:tcPr>
          <w:p>
            <w:pPr>
              <w:spacing w:after="0"/>
              <w:rPr>
                <w:sz w:val="9"/>
                <w:szCs w:val="9"/>
                <w:color w:val="auto"/>
              </w:rPr>
            </w:pPr>
          </w:p>
        </w:tc>
      </w:tr>
      <w:tr>
        <w:trPr>
          <w:trHeight w:val="331"/>
        </w:trPr>
        <w:tc>
          <w:tcPr>
            <w:tcW w:w="8900" w:type="dxa"/>
            <w:vAlign w:val="bottom"/>
          </w:tcPr>
          <w:p>
            <w:pPr>
              <w:spacing w:after="0"/>
              <w:rPr>
                <w:sz w:val="20"/>
                <w:szCs w:val="20"/>
                <w:color w:val="auto"/>
              </w:rPr>
            </w:pPr>
            <w:r>
              <w:rPr>
                <w:rFonts w:ascii="Arial" w:cs="Arial" w:eastAsia="Arial" w:hAnsi="Arial"/>
                <w:sz w:val="14"/>
                <w:szCs w:val="14"/>
                <w:b w:val="1"/>
                <w:bCs w:val="1"/>
                <w:color w:val="215AA8"/>
              </w:rPr>
              <w:t>General Information about the Meeting and Other Matters</w:t>
            </w:r>
          </w:p>
        </w:tc>
        <w:tc>
          <w:tcPr>
            <w:tcW w:w="2360" w:type="dxa"/>
            <w:vAlign w:val="bottom"/>
          </w:tcPr>
          <w:p>
            <w:pPr>
              <w:jc w:val="right"/>
              <w:ind w:right="52"/>
              <w:spacing w:after="0"/>
              <w:rPr>
                <w:sz w:val="20"/>
                <w:szCs w:val="20"/>
                <w:color w:val="auto"/>
              </w:rPr>
            </w:pPr>
            <w:r>
              <w:rPr>
                <w:rFonts w:ascii="Arial" w:cs="Arial" w:eastAsia="Arial" w:hAnsi="Arial"/>
                <w:sz w:val="14"/>
                <w:szCs w:val="14"/>
                <w:b w:val="1"/>
                <w:bCs w:val="1"/>
                <w:color w:val="215AA8"/>
              </w:rPr>
              <w:t>106</w:t>
            </w:r>
          </w:p>
        </w:tc>
      </w:tr>
      <w:tr>
        <w:trPr>
          <w:trHeight w:val="315"/>
        </w:trPr>
        <w:tc>
          <w:tcPr>
            <w:tcW w:w="8900" w:type="dxa"/>
            <w:vAlign w:val="bottom"/>
          </w:tcPr>
          <w:p>
            <w:pPr>
              <w:spacing w:after="0"/>
              <w:rPr>
                <w:sz w:val="20"/>
                <w:szCs w:val="20"/>
                <w:color w:val="auto"/>
              </w:rPr>
            </w:pPr>
            <w:r>
              <w:rPr>
                <w:rFonts w:ascii="Arial" w:cs="Arial" w:eastAsia="Arial" w:hAnsi="Arial"/>
                <w:sz w:val="14"/>
                <w:szCs w:val="14"/>
                <w:b w:val="1"/>
                <w:bCs w:val="1"/>
                <w:color w:val="215AA8"/>
              </w:rPr>
              <w:t>Appendix A – Note Regarding Forward-Looking Statements and Non-GAAP Financial Measures</w:t>
            </w:r>
          </w:p>
        </w:tc>
        <w:tc>
          <w:tcPr>
            <w:tcW w:w="2360" w:type="dxa"/>
            <w:vAlign w:val="bottom"/>
          </w:tcPr>
          <w:p>
            <w:pPr>
              <w:jc w:val="right"/>
              <w:ind w:right="52"/>
              <w:spacing w:after="0"/>
              <w:rPr>
                <w:sz w:val="20"/>
                <w:szCs w:val="20"/>
                <w:color w:val="auto"/>
              </w:rPr>
            </w:pPr>
            <w:r>
              <w:rPr>
                <w:rFonts w:ascii="Arial" w:cs="Arial" w:eastAsia="Arial" w:hAnsi="Arial"/>
                <w:sz w:val="14"/>
                <w:szCs w:val="14"/>
                <w:b w:val="1"/>
                <w:bCs w:val="1"/>
                <w:color w:val="215AA8"/>
              </w:rPr>
              <w:t>112</w:t>
            </w:r>
          </w:p>
        </w:tc>
      </w:tr>
      <w:tr>
        <w:trPr>
          <w:trHeight w:val="315"/>
        </w:trPr>
        <w:tc>
          <w:tcPr>
            <w:tcW w:w="8900" w:type="dxa"/>
            <w:vAlign w:val="bottom"/>
          </w:tcPr>
          <w:p>
            <w:pPr>
              <w:spacing w:after="0"/>
              <w:rPr>
                <w:sz w:val="20"/>
                <w:szCs w:val="20"/>
                <w:color w:val="auto"/>
              </w:rPr>
            </w:pPr>
            <w:r>
              <w:rPr>
                <w:rFonts w:ascii="Arial" w:cs="Arial" w:eastAsia="Arial" w:hAnsi="Arial"/>
                <w:sz w:val="14"/>
                <w:szCs w:val="14"/>
                <w:b w:val="1"/>
                <w:bCs w:val="1"/>
                <w:color w:val="215AA8"/>
              </w:rPr>
              <w:t>Appendix B – Supplemental Information Regarding Outstanding Performance Restricted Stock Unit Awards</w:t>
            </w:r>
          </w:p>
        </w:tc>
        <w:tc>
          <w:tcPr>
            <w:tcW w:w="2360" w:type="dxa"/>
            <w:vAlign w:val="bottom"/>
          </w:tcPr>
          <w:p>
            <w:pPr>
              <w:jc w:val="right"/>
              <w:ind w:right="52"/>
              <w:spacing w:after="0"/>
              <w:rPr>
                <w:sz w:val="20"/>
                <w:szCs w:val="20"/>
                <w:color w:val="auto"/>
              </w:rPr>
            </w:pPr>
            <w:r>
              <w:rPr>
                <w:rFonts w:ascii="Arial" w:cs="Arial" w:eastAsia="Arial" w:hAnsi="Arial"/>
                <w:sz w:val="14"/>
                <w:szCs w:val="14"/>
                <w:b w:val="1"/>
                <w:bCs w:val="1"/>
                <w:color w:val="215AA8"/>
              </w:rPr>
              <w:t>115</w:t>
            </w:r>
          </w:p>
        </w:tc>
      </w:tr>
      <w:tr>
        <w:trPr>
          <w:trHeight w:val="490"/>
        </w:trPr>
        <w:tc>
          <w:tcPr>
            <w:tcW w:w="8900" w:type="dxa"/>
            <w:vAlign w:val="bottom"/>
          </w:tcPr>
          <w:p>
            <w:pPr>
              <w:ind w:left="140"/>
              <w:spacing w:after="0"/>
              <w:rPr>
                <w:sz w:val="20"/>
                <w:szCs w:val="20"/>
                <w:color w:val="auto"/>
              </w:rPr>
            </w:pPr>
            <w:r>
              <w:rPr>
                <w:rFonts w:ascii="Arial" w:cs="Arial" w:eastAsia="Arial" w:hAnsi="Arial"/>
                <w:sz w:val="15"/>
                <w:szCs w:val="15"/>
                <w:b w:val="1"/>
                <w:bCs w:val="1"/>
                <w:color w:val="D60058"/>
              </w:rPr>
              <w:t>KEY PROXY INFORMATION</w:t>
            </w:r>
          </w:p>
        </w:tc>
        <w:tc>
          <w:tcPr>
            <w:tcW w:w="2360" w:type="dxa"/>
            <w:vAlign w:val="bottom"/>
          </w:tcPr>
          <w:p>
            <w:pPr>
              <w:spacing w:after="0"/>
              <w:rPr>
                <w:sz w:val="24"/>
                <w:szCs w:val="24"/>
                <w:color w:val="auto"/>
              </w:rPr>
            </w:pPr>
          </w:p>
        </w:tc>
      </w:tr>
      <w:tr>
        <w:trPr>
          <w:trHeight w:val="189"/>
        </w:trPr>
        <w:tc>
          <w:tcPr>
            <w:tcW w:w="8900" w:type="dxa"/>
            <w:vAlign w:val="bottom"/>
          </w:tcPr>
          <w:p>
            <w:pPr>
              <w:ind w:left="140"/>
              <w:spacing w:after="0"/>
              <w:rPr>
                <w:sz w:val="20"/>
                <w:szCs w:val="20"/>
                <w:color w:val="auto"/>
              </w:rPr>
            </w:pPr>
            <w:r>
              <w:rPr>
                <w:rFonts w:ascii="Arial" w:cs="Arial" w:eastAsia="Arial" w:hAnsi="Arial"/>
                <w:sz w:val="14"/>
                <w:szCs w:val="14"/>
                <w:color w:val="auto"/>
              </w:rPr>
              <w:t>Proxy Highlights</w:t>
            </w:r>
          </w:p>
        </w:tc>
        <w:tc>
          <w:tcPr>
            <w:tcW w:w="2360" w:type="dxa"/>
            <w:vAlign w:val="bottom"/>
          </w:tcPr>
          <w:p>
            <w:pPr>
              <w:jc w:val="right"/>
              <w:ind w:right="92"/>
              <w:spacing w:after="0"/>
              <w:rPr>
                <w:sz w:val="20"/>
                <w:szCs w:val="20"/>
                <w:color w:val="auto"/>
              </w:rPr>
            </w:pPr>
            <w:r>
              <w:rPr>
                <w:rFonts w:ascii="Arial" w:cs="Arial" w:eastAsia="Arial" w:hAnsi="Arial"/>
                <w:sz w:val="14"/>
                <w:szCs w:val="14"/>
                <w:color w:val="auto"/>
              </w:rPr>
              <w:t>2</w:t>
            </w:r>
          </w:p>
        </w:tc>
      </w:tr>
      <w:tr>
        <w:trPr>
          <w:trHeight w:val="203"/>
        </w:trPr>
        <w:tc>
          <w:tcPr>
            <w:tcW w:w="8900" w:type="dxa"/>
            <w:vAlign w:val="bottom"/>
          </w:tcPr>
          <w:p>
            <w:pPr>
              <w:ind w:left="140"/>
              <w:spacing w:after="0"/>
              <w:rPr>
                <w:sz w:val="20"/>
                <w:szCs w:val="20"/>
                <w:color w:val="auto"/>
              </w:rPr>
            </w:pPr>
            <w:r>
              <w:rPr>
                <w:rFonts w:ascii="Arial" w:cs="Arial" w:eastAsia="Arial" w:hAnsi="Arial"/>
                <w:sz w:val="14"/>
                <w:szCs w:val="14"/>
                <w:color w:val="auto"/>
              </w:rPr>
              <w:t>Board Diversity</w:t>
            </w:r>
          </w:p>
        </w:tc>
        <w:tc>
          <w:tcPr>
            <w:tcW w:w="2360" w:type="dxa"/>
            <w:vAlign w:val="bottom"/>
          </w:tcPr>
          <w:p>
            <w:pPr>
              <w:jc w:val="right"/>
              <w:ind w:right="92"/>
              <w:spacing w:after="0"/>
              <w:rPr>
                <w:sz w:val="20"/>
                <w:szCs w:val="20"/>
                <w:color w:val="auto"/>
              </w:rPr>
            </w:pPr>
            <w:r>
              <w:rPr>
                <w:rFonts w:ascii="Arial" w:cs="Arial" w:eastAsia="Arial" w:hAnsi="Arial"/>
                <w:sz w:val="14"/>
                <w:szCs w:val="14"/>
                <w:color w:val="auto"/>
              </w:rPr>
              <w:t>6</w:t>
            </w:r>
          </w:p>
        </w:tc>
      </w:tr>
      <w:tr>
        <w:trPr>
          <w:trHeight w:val="203"/>
        </w:trPr>
        <w:tc>
          <w:tcPr>
            <w:tcW w:w="8900" w:type="dxa"/>
            <w:vAlign w:val="bottom"/>
          </w:tcPr>
          <w:p>
            <w:pPr>
              <w:ind w:left="140"/>
              <w:spacing w:after="0"/>
              <w:rPr>
                <w:sz w:val="20"/>
                <w:szCs w:val="20"/>
                <w:color w:val="auto"/>
              </w:rPr>
            </w:pPr>
            <w:r>
              <w:rPr>
                <w:rFonts w:ascii="Arial" w:cs="Arial" w:eastAsia="Arial" w:hAnsi="Arial"/>
                <w:sz w:val="14"/>
                <w:szCs w:val="14"/>
                <w:color w:val="auto"/>
              </w:rPr>
              <w:t>Risk Oversight</w:t>
            </w:r>
          </w:p>
        </w:tc>
        <w:tc>
          <w:tcPr>
            <w:tcW w:w="2360" w:type="dxa"/>
            <w:vAlign w:val="bottom"/>
          </w:tcPr>
          <w:p>
            <w:pPr>
              <w:jc w:val="right"/>
              <w:ind w:right="92"/>
              <w:spacing w:after="0"/>
              <w:rPr>
                <w:sz w:val="20"/>
                <w:szCs w:val="20"/>
                <w:color w:val="auto"/>
              </w:rPr>
            </w:pPr>
            <w:r>
              <w:rPr>
                <w:rFonts w:ascii="Arial" w:cs="Arial" w:eastAsia="Arial" w:hAnsi="Arial"/>
                <w:sz w:val="14"/>
                <w:szCs w:val="14"/>
                <w:color w:val="auto"/>
              </w:rPr>
              <w:t>30</w:t>
            </w:r>
          </w:p>
        </w:tc>
      </w:tr>
      <w:tr>
        <w:trPr>
          <w:trHeight w:val="203"/>
        </w:trPr>
        <w:tc>
          <w:tcPr>
            <w:tcW w:w="8900" w:type="dxa"/>
            <w:vAlign w:val="bottom"/>
          </w:tcPr>
          <w:p>
            <w:pPr>
              <w:ind w:left="140"/>
              <w:spacing w:after="0"/>
              <w:rPr>
                <w:sz w:val="20"/>
                <w:szCs w:val="20"/>
                <w:color w:val="auto"/>
              </w:rPr>
            </w:pPr>
            <w:r>
              <w:rPr>
                <w:rFonts w:ascii="Arial" w:cs="Arial" w:eastAsia="Arial" w:hAnsi="Arial"/>
                <w:sz w:val="14"/>
                <w:szCs w:val="14"/>
                <w:color w:val="auto"/>
              </w:rPr>
              <w:t>Corporate Responsibility</w:t>
            </w:r>
          </w:p>
        </w:tc>
        <w:tc>
          <w:tcPr>
            <w:tcW w:w="2360" w:type="dxa"/>
            <w:vAlign w:val="bottom"/>
          </w:tcPr>
          <w:p>
            <w:pPr>
              <w:jc w:val="right"/>
              <w:ind w:right="92"/>
              <w:spacing w:after="0"/>
              <w:rPr>
                <w:sz w:val="20"/>
                <w:szCs w:val="20"/>
                <w:color w:val="auto"/>
              </w:rPr>
            </w:pPr>
            <w:r>
              <w:rPr>
                <w:rFonts w:ascii="Arial" w:cs="Arial" w:eastAsia="Arial" w:hAnsi="Arial"/>
                <w:sz w:val="14"/>
                <w:szCs w:val="14"/>
                <w:color w:val="auto"/>
              </w:rPr>
              <w:t>42</w:t>
            </w:r>
          </w:p>
        </w:tc>
      </w:tr>
      <w:tr>
        <w:trPr>
          <w:trHeight w:val="203"/>
        </w:trPr>
        <w:tc>
          <w:tcPr>
            <w:tcW w:w="8900" w:type="dxa"/>
            <w:vAlign w:val="bottom"/>
          </w:tcPr>
          <w:p>
            <w:pPr>
              <w:ind w:left="140"/>
              <w:spacing w:after="0"/>
              <w:rPr>
                <w:sz w:val="20"/>
                <w:szCs w:val="20"/>
                <w:color w:val="auto"/>
              </w:rPr>
            </w:pPr>
            <w:r>
              <w:rPr>
                <w:rFonts w:ascii="Arial" w:cs="Arial" w:eastAsia="Arial" w:hAnsi="Arial"/>
                <w:sz w:val="14"/>
                <w:szCs w:val="14"/>
                <w:color w:val="auto"/>
              </w:rPr>
              <w:t>Executive Compensation Program Overview</w:t>
            </w:r>
          </w:p>
        </w:tc>
        <w:tc>
          <w:tcPr>
            <w:tcW w:w="2360" w:type="dxa"/>
            <w:vAlign w:val="bottom"/>
          </w:tcPr>
          <w:p>
            <w:pPr>
              <w:jc w:val="right"/>
              <w:ind w:right="92"/>
              <w:spacing w:after="0"/>
              <w:rPr>
                <w:sz w:val="20"/>
                <w:szCs w:val="20"/>
                <w:color w:val="auto"/>
              </w:rPr>
            </w:pPr>
            <w:r>
              <w:rPr>
                <w:rFonts w:ascii="Arial" w:cs="Arial" w:eastAsia="Arial" w:hAnsi="Arial"/>
                <w:sz w:val="14"/>
                <w:szCs w:val="14"/>
                <w:color w:val="auto"/>
              </w:rPr>
              <w:t>57</w:t>
            </w:r>
          </w:p>
        </w:tc>
      </w:tr>
      <w:tr>
        <w:trPr>
          <w:trHeight w:val="203"/>
        </w:trPr>
        <w:tc>
          <w:tcPr>
            <w:tcW w:w="8900" w:type="dxa"/>
            <w:vAlign w:val="bottom"/>
          </w:tcPr>
          <w:p>
            <w:pPr>
              <w:ind w:left="140"/>
              <w:spacing w:after="0"/>
              <w:rPr>
                <w:sz w:val="20"/>
                <w:szCs w:val="20"/>
                <w:color w:val="auto"/>
              </w:rPr>
            </w:pPr>
            <w:r>
              <w:rPr>
                <w:rFonts w:ascii="Arial" w:cs="Arial" w:eastAsia="Arial" w:hAnsi="Arial"/>
                <w:sz w:val="14"/>
                <w:szCs w:val="14"/>
                <w:color w:val="auto"/>
              </w:rPr>
              <w:t>Shareholder Engagement</w:t>
            </w:r>
          </w:p>
        </w:tc>
        <w:tc>
          <w:tcPr>
            <w:tcW w:w="2360" w:type="dxa"/>
            <w:vAlign w:val="bottom"/>
          </w:tcPr>
          <w:p>
            <w:pPr>
              <w:jc w:val="right"/>
              <w:ind w:right="92"/>
              <w:spacing w:after="0"/>
              <w:rPr>
                <w:sz w:val="20"/>
                <w:szCs w:val="20"/>
                <w:color w:val="auto"/>
              </w:rPr>
            </w:pPr>
            <w:r>
              <w:rPr>
                <w:rFonts w:ascii="Arial" w:cs="Arial" w:eastAsia="Arial" w:hAnsi="Arial"/>
                <w:sz w:val="14"/>
                <w:szCs w:val="14"/>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-996315</wp:posOffset>
            </wp:positionV>
            <wp:extent cx="7180580" cy="1104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0580" cy="11049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316230</wp:posOffset>
            </wp:positionV>
            <wp:extent cx="715518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-2692400</wp:posOffset>
            </wp:positionV>
            <wp:extent cx="857885" cy="414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885" cy="4146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-2148840</wp:posOffset>
            </wp:positionV>
            <wp:extent cx="857885" cy="436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885" cy="43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0"/>
        <w:spacing w:after="0" w:line="260" w:lineRule="auto"/>
        <w:rPr>
          <w:sz w:val="20"/>
          <w:szCs w:val="20"/>
          <w:color w:val="auto"/>
        </w:rPr>
      </w:pPr>
      <w:r>
        <w:rPr>
          <w:rFonts w:ascii="Arial" w:cs="Arial" w:eastAsia="Arial" w:hAnsi="Arial"/>
          <w:sz w:val="14"/>
          <w:szCs w:val="14"/>
          <w:b w:val="1"/>
          <w:bCs w:val="1"/>
          <w:color w:val="auto"/>
        </w:rPr>
        <w:t xml:space="preserve">NOTE REGARDING FORWARD-LOOKING STATEMENTS AND NON-GAAP FINANCIAL MEASURES: </w:t>
      </w:r>
      <w:r>
        <w:rPr>
          <w:rFonts w:ascii="Arial" w:cs="Arial" w:eastAsia="Arial" w:hAnsi="Arial"/>
          <w:sz w:val="14"/>
          <w:szCs w:val="14"/>
          <w:color w:val="auto"/>
        </w:rPr>
        <w:t>See Appendix A for important information regarding forward-looking statements</w:t>
      </w:r>
      <w:r>
        <w:rPr>
          <w:rFonts w:ascii="Arial" w:cs="Arial" w:eastAsia="Arial" w:hAnsi="Arial"/>
          <w:sz w:val="14"/>
          <w:szCs w:val="14"/>
          <w:b w:val="1"/>
          <w:bCs w:val="1"/>
          <w:color w:val="auto"/>
        </w:rPr>
        <w:t xml:space="preserve"> </w:t>
      </w:r>
      <w:r>
        <w:rPr>
          <w:rFonts w:ascii="Arial" w:cs="Arial" w:eastAsia="Arial" w:hAnsi="Arial"/>
          <w:sz w:val="14"/>
          <w:szCs w:val="14"/>
          <w:color w:val="auto"/>
        </w:rPr>
        <w:t>and financial measures not calculated in accordance with U.S. Generally Accepted Accounting Principles contained in this proxy statement.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REGARDING TRADEMARKS AND PRODUCT NAMES: </w:t>
      </w:r>
      <w:r>
        <w:rPr>
          <w:rFonts w:ascii="Arial" w:cs="Arial" w:eastAsia="Arial" w:hAnsi="Arial"/>
          <w:sz w:val="14"/>
          <w:szCs w:val="14"/>
          <w:color w:val="auto"/>
        </w:rPr>
        <w:t>“ARCALYST</w:t>
      </w:r>
      <w:r>
        <w:rPr>
          <w:rFonts w:ascii="Arial" w:cs="Arial" w:eastAsia="Arial" w:hAnsi="Arial"/>
          <w:sz w:val="22"/>
          <w:szCs w:val="22"/>
          <w:color w:val="auto"/>
          <w:vertAlign w:val="superscript"/>
        </w:rPr>
        <w:t>®</w:t>
      </w:r>
      <w:r>
        <w:rPr>
          <w:rFonts w:ascii="Arial" w:cs="Arial" w:eastAsia="Arial" w:hAnsi="Arial"/>
          <w:sz w:val="14"/>
          <w:szCs w:val="14"/>
          <w:color w:val="auto"/>
        </w:rPr>
        <w:t>,” “Evkeeza</w:t>
      </w:r>
      <w:r>
        <w:rPr>
          <w:rFonts w:ascii="Arial" w:cs="Arial" w:eastAsia="Arial" w:hAnsi="Arial"/>
          <w:sz w:val="22"/>
          <w:szCs w:val="22"/>
          <w:color w:val="auto"/>
          <w:vertAlign w:val="superscript"/>
        </w:rPr>
        <w:t>®</w:t>
      </w:r>
      <w:r>
        <w:rPr>
          <w:rFonts w:ascii="Arial" w:cs="Arial" w:eastAsia="Arial" w:hAnsi="Arial"/>
          <w:sz w:val="14"/>
          <w:szCs w:val="14"/>
          <w:color w:val="auto"/>
        </w:rPr>
        <w:t>,” “EYLEA</w:t>
      </w:r>
      <w:r>
        <w:rPr>
          <w:rFonts w:ascii="Arial" w:cs="Arial" w:eastAsia="Arial" w:hAnsi="Arial"/>
          <w:sz w:val="22"/>
          <w:szCs w:val="22"/>
          <w:color w:val="auto"/>
          <w:vertAlign w:val="superscript"/>
        </w:rPr>
        <w:t>®</w:t>
      </w:r>
      <w:r>
        <w:rPr>
          <w:rFonts w:ascii="Arial" w:cs="Arial" w:eastAsia="Arial" w:hAnsi="Arial"/>
          <w:sz w:val="14"/>
          <w:szCs w:val="14"/>
          <w:color w:val="auto"/>
        </w:rPr>
        <w:t>,” “EYLEA</w:t>
      </w:r>
      <w:r>
        <w:rPr>
          <w:rFonts w:ascii="Arial" w:cs="Arial" w:eastAsia="Arial" w:hAnsi="Arial"/>
          <w:sz w:val="22"/>
          <w:szCs w:val="22"/>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HD,” “Inmazeb</w:t>
      </w:r>
      <w:r>
        <w:rPr>
          <w:rFonts w:ascii="Arial" w:cs="Arial" w:eastAsia="Arial" w:hAnsi="Arial"/>
          <w:sz w:val="22"/>
          <w:szCs w:val="22"/>
          <w:color w:val="auto"/>
          <w:vertAlign w:val="superscript"/>
        </w:rPr>
        <w:t>®</w:t>
      </w:r>
      <w:r>
        <w:rPr>
          <w:rFonts w:ascii="Arial" w:cs="Arial" w:eastAsia="Arial" w:hAnsi="Arial"/>
          <w:sz w:val="14"/>
          <w:szCs w:val="14"/>
          <w:color w:val="auto"/>
        </w:rPr>
        <w:t>,” “Libtayo</w:t>
      </w:r>
      <w:r>
        <w:rPr>
          <w:rFonts w:ascii="Arial" w:cs="Arial" w:eastAsia="Arial" w:hAnsi="Arial"/>
          <w:sz w:val="22"/>
          <w:szCs w:val="22"/>
          <w:color w:val="auto"/>
          <w:vertAlign w:val="superscript"/>
        </w:rPr>
        <w:t>®</w:t>
      </w:r>
      <w:r>
        <w:rPr>
          <w:rFonts w:ascii="Arial" w:cs="Arial" w:eastAsia="Arial" w:hAnsi="Arial"/>
          <w:sz w:val="14"/>
          <w:szCs w:val="14"/>
          <w:color w:val="auto"/>
        </w:rPr>
        <w:t>”, “Praluent</w:t>
      </w:r>
      <w:r>
        <w:rPr>
          <w:rFonts w:ascii="Arial" w:cs="Arial" w:eastAsia="Arial" w:hAnsi="Arial"/>
          <w:sz w:val="22"/>
          <w:szCs w:val="22"/>
          <w:color w:val="auto"/>
          <w:vertAlign w:val="superscript"/>
        </w:rPr>
        <w:t>®</w:t>
      </w:r>
      <w:r>
        <w:rPr>
          <w:rFonts w:ascii="Arial" w:cs="Arial" w:eastAsia="Arial" w:hAnsi="Arial"/>
          <w:sz w:val="14"/>
          <w:szCs w:val="14"/>
          <w:color w:val="auto"/>
        </w:rPr>
        <w:t>” (in the United States),</w:t>
      </w:r>
    </w:p>
    <w:p>
      <w:pPr>
        <w:ind w:right="120"/>
        <w:spacing w:after="0" w:line="215" w:lineRule="auto"/>
        <w:rPr>
          <w:sz w:val="20"/>
          <w:szCs w:val="20"/>
          <w:color w:val="auto"/>
        </w:rPr>
      </w:pPr>
      <w:r>
        <w:rPr>
          <w:rFonts w:ascii="Arial" w:cs="Arial" w:eastAsia="Arial" w:hAnsi="Arial"/>
          <w:sz w:val="14"/>
          <w:szCs w:val="14"/>
          <w:color w:val="auto"/>
        </w:rPr>
        <w:t>“REGEN-COV</w:t>
      </w:r>
      <w:r>
        <w:rPr>
          <w:rFonts w:ascii="Arial" w:cs="Arial" w:eastAsia="Arial" w:hAnsi="Arial"/>
          <w:sz w:val="22"/>
          <w:szCs w:val="22"/>
          <w:color w:val="auto"/>
          <w:vertAlign w:val="superscript"/>
        </w:rPr>
        <w:t>®</w:t>
      </w:r>
      <w:r>
        <w:rPr>
          <w:rFonts w:ascii="Arial" w:cs="Arial" w:eastAsia="Arial" w:hAnsi="Arial"/>
          <w:sz w:val="14"/>
          <w:szCs w:val="14"/>
          <w:color w:val="auto"/>
        </w:rPr>
        <w:t>,” Regeneron</w:t>
      </w:r>
      <w:r>
        <w:rPr>
          <w:rFonts w:ascii="Arial" w:cs="Arial" w:eastAsia="Arial" w:hAnsi="Arial"/>
          <w:sz w:val="22"/>
          <w:szCs w:val="22"/>
          <w:color w:val="auto"/>
          <w:vertAlign w:val="superscript"/>
        </w:rPr>
        <w:t>®</w:t>
      </w:r>
      <w:r>
        <w:rPr>
          <w:rFonts w:ascii="Arial" w:cs="Arial" w:eastAsia="Arial" w:hAnsi="Arial"/>
          <w:sz w:val="14"/>
          <w:szCs w:val="14"/>
          <w:color w:val="auto"/>
        </w:rPr>
        <w:t>,” “Regeneron Genetics Center</w:t>
      </w:r>
      <w:r>
        <w:rPr>
          <w:rFonts w:ascii="Arial" w:cs="Arial" w:eastAsia="Arial" w:hAnsi="Arial"/>
          <w:sz w:val="22"/>
          <w:szCs w:val="22"/>
          <w:color w:val="auto"/>
          <w:vertAlign w:val="superscript"/>
        </w:rPr>
        <w:t>®</w:t>
      </w:r>
      <w:r>
        <w:rPr>
          <w:rFonts w:ascii="Arial" w:cs="Arial" w:eastAsia="Arial" w:hAnsi="Arial"/>
          <w:sz w:val="14"/>
          <w:szCs w:val="14"/>
          <w:color w:val="auto"/>
        </w:rPr>
        <w:t>,” “Veopoz</w:t>
      </w:r>
      <w:r>
        <w:rPr>
          <w:rFonts w:ascii="Arial" w:cs="Arial" w:eastAsia="Arial" w:hAnsi="Arial"/>
          <w:sz w:val="22"/>
          <w:szCs w:val="22"/>
          <w:color w:val="auto"/>
          <w:vertAlign w:val="superscript"/>
        </w:rPr>
        <w:t>®</w:t>
      </w:r>
      <w:r>
        <w:rPr>
          <w:rFonts w:ascii="Arial" w:cs="Arial" w:eastAsia="Arial" w:hAnsi="Arial"/>
          <w:sz w:val="14"/>
          <w:szCs w:val="14"/>
          <w:color w:val="auto"/>
        </w:rPr>
        <w:t>,” “</w:t>
      </w:r>
      <w:r>
        <w:rPr>
          <w:rFonts w:ascii="Arial" w:cs="Arial" w:eastAsia="Arial" w:hAnsi="Arial"/>
          <w:sz w:val="14"/>
          <w:szCs w:val="14"/>
          <w:i w:val="1"/>
          <w:iCs w:val="1"/>
          <w:color w:val="auto"/>
        </w:rPr>
        <w:t>VelociGene</w:t>
      </w:r>
      <w:r>
        <w:rPr>
          <w:rFonts w:ascii="Arial" w:cs="Arial" w:eastAsia="Arial" w:hAnsi="Arial"/>
          <w:sz w:val="22"/>
          <w:szCs w:val="22"/>
          <w:color w:val="auto"/>
          <w:vertAlign w:val="superscript"/>
        </w:rPr>
        <w:t>®</w:t>
      </w:r>
      <w:r>
        <w:rPr>
          <w:rFonts w:ascii="Arial" w:cs="Arial" w:eastAsia="Arial" w:hAnsi="Arial"/>
          <w:sz w:val="14"/>
          <w:szCs w:val="14"/>
          <w:color w:val="auto"/>
        </w:rPr>
        <w:t>,” “</w:t>
      </w:r>
      <w:r>
        <w:rPr>
          <w:rFonts w:ascii="Arial" w:cs="Arial" w:eastAsia="Arial" w:hAnsi="Arial"/>
          <w:sz w:val="14"/>
          <w:szCs w:val="14"/>
          <w:i w:val="1"/>
          <w:iCs w:val="1"/>
          <w:color w:val="auto"/>
        </w:rPr>
        <w:t>VelocImmune</w:t>
      </w:r>
      <w:r>
        <w:rPr>
          <w:rFonts w:ascii="Arial" w:cs="Arial" w:eastAsia="Arial" w:hAnsi="Arial"/>
          <w:sz w:val="22"/>
          <w:szCs w:val="22"/>
          <w:color w:val="auto"/>
          <w:vertAlign w:val="superscript"/>
        </w:rPr>
        <w:t>®</w:t>
      </w:r>
      <w:r>
        <w:rPr>
          <w:rFonts w:ascii="Arial" w:cs="Arial" w:eastAsia="Arial" w:hAnsi="Arial"/>
          <w:sz w:val="14"/>
          <w:szCs w:val="14"/>
          <w:color w:val="auto"/>
        </w:rPr>
        <w:t>,” and “ZALTRAP</w:t>
      </w:r>
      <w:r>
        <w:rPr>
          <w:rFonts w:ascii="Arial" w:cs="Arial" w:eastAsia="Arial" w:hAnsi="Arial"/>
          <w:sz w:val="22"/>
          <w:szCs w:val="22"/>
          <w:color w:val="auto"/>
          <w:vertAlign w:val="superscript"/>
        </w:rPr>
        <w:t>®</w:t>
      </w:r>
      <w:r>
        <w:rPr>
          <w:rFonts w:ascii="Arial" w:cs="Arial" w:eastAsia="Arial" w:hAnsi="Arial"/>
          <w:sz w:val="14"/>
          <w:szCs w:val="14"/>
          <w:color w:val="auto"/>
        </w:rPr>
        <w:t>” are trademarks of Regeneron Pharmaceuticals, Inc. (“Regeneron”). This proxy statement refers to products marketed or otherwise commercialized by Regeneron, its collaborators, and other parties. Consult the product label in each territory for specific information about such products.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 xml:space="preserve">2024 Proxy Statement and Notice of Annual Shareholder Meeting                                                                           </w:t>
      </w:r>
      <w:r>
        <w:rPr>
          <w:sz w:val="1"/>
          <w:szCs w:val="1"/>
          <w:color w:val="auto"/>
        </w:rPr>
        <w:drawing>
          <wp:inline distT="0" distB="0" distL="0" distR="0">
            <wp:extent cx="629285" cy="7175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85" cy="71755"/>
                    </a:xfrm>
                    <a:prstGeom prst="rect">
                      <a:avLst/>
                    </a:prstGeom>
                    <a:noFill/>
                    <a:ln>
                      <a:noFill/>
                    </a:ln>
                  </pic:spPr>
                </pic:pic>
              </a:graphicData>
            </a:graphic>
          </wp:inline>
        </w:drawing>
      </w:r>
      <w:r>
        <w:rPr>
          <w:rFonts w:ascii="Arial" w:cs="Arial" w:eastAsia="Arial" w:hAnsi="Arial"/>
          <w:sz w:val="14"/>
          <w:szCs w:val="14"/>
          <w:b w:val="1"/>
          <w:bCs w:val="1"/>
          <w:color w:val="D60058"/>
        </w:rPr>
        <w:t xml:space="preserve"> | </w:t>
      </w:r>
      <w:r>
        <w:rPr>
          <w:rFonts w:ascii="Arial" w:cs="Arial" w:eastAsia="Arial" w:hAnsi="Arial"/>
          <w:sz w:val="14"/>
          <w:szCs w:val="14"/>
          <w:b w:val="1"/>
          <w:bCs w:val="1"/>
          <w:color w:val="215AA8"/>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7155180" cy="28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10" w:lineRule="exact"/>
        <w:rPr>
          <w:sz w:val="20"/>
          <w:szCs w:val="20"/>
          <w:color w:val="auto"/>
        </w:rPr>
      </w:pPr>
    </w:p>
    <w:p>
      <w:pPr>
        <w:spacing w:after="0"/>
        <w:rPr>
          <w:sz w:val="20"/>
          <w:szCs w:val="20"/>
          <w:color w:val="auto"/>
        </w:rPr>
      </w:pPr>
      <w:r>
        <w:rPr>
          <w:rFonts w:ascii="Arial" w:cs="Arial" w:eastAsia="Arial" w:hAnsi="Arial"/>
          <w:sz w:val="42"/>
          <w:szCs w:val="42"/>
          <w:b w:val="1"/>
          <w:bCs w:val="1"/>
          <w:color w:val="215AA8"/>
        </w:rPr>
        <w:t>Users’ Guide</w:t>
      </w:r>
    </w:p>
    <w:p>
      <w:pPr>
        <w:spacing w:after="0" w:line="169" w:lineRule="exact"/>
        <w:rPr>
          <w:sz w:val="20"/>
          <w:szCs w:val="20"/>
          <w:color w:val="auto"/>
        </w:rPr>
      </w:pPr>
    </w:p>
    <w:p>
      <w:pPr>
        <w:spacing w:after="0"/>
        <w:rPr>
          <w:sz w:val="20"/>
          <w:szCs w:val="20"/>
          <w:color w:val="auto"/>
        </w:rPr>
      </w:pPr>
      <w:r>
        <w:rPr>
          <w:rFonts w:ascii="Arial" w:cs="Arial" w:eastAsia="Arial" w:hAnsi="Arial"/>
          <w:sz w:val="30"/>
          <w:szCs w:val="30"/>
          <w:b w:val="1"/>
          <w:bCs w:val="1"/>
          <w:color w:val="D60058"/>
        </w:rPr>
        <w:t>Proxy Dashboard</w:t>
      </w:r>
    </w:p>
    <w:p>
      <w:pPr>
        <w:spacing w:after="0" w:line="267"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General Information</w:t>
      </w:r>
    </w:p>
    <w:p>
      <w:pPr>
        <w:spacing w:after="0" w:line="167" w:lineRule="exact"/>
        <w:rPr>
          <w:sz w:val="20"/>
          <w:szCs w:val="20"/>
          <w:color w:val="auto"/>
        </w:rPr>
      </w:pPr>
    </w:p>
    <w:tbl>
      <w:tblPr>
        <w:tblLayout w:type="fixed"/>
        <w:tblInd w:w="560" w:type="dxa"/>
        <w:tblCellMar>
          <w:top w:w="0" w:type="dxa"/>
          <w:left w:w="0" w:type="dxa"/>
          <w:bottom w:w="0" w:type="dxa"/>
          <w:right w:w="0" w:type="dxa"/>
        </w:tblCellMar>
      </w:tblPr>
      <w:tr>
        <w:trPr>
          <w:trHeight w:val="23"/>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215AA8"/>
              </w:rPr>
              <w:t>Meeting Date and Time</w:t>
            </w:r>
          </w:p>
        </w:tc>
        <w:tc>
          <w:tcPr>
            <w:tcW w:w="20" w:type="dxa"/>
            <w:vAlign w:val="bottom"/>
          </w:tcPr>
          <w:p>
            <w:pPr>
              <w:spacing w:after="0"/>
              <w:rPr>
                <w:sz w:val="2"/>
                <w:szCs w:val="2"/>
                <w:color w:val="auto"/>
              </w:rPr>
            </w:pPr>
          </w:p>
        </w:tc>
        <w:tc>
          <w:tcPr>
            <w:tcW w:w="4900" w:type="dxa"/>
            <w:vAlign w:val="bottom"/>
            <w:vMerge w:val="restart"/>
          </w:tcPr>
          <w:p>
            <w:pPr>
              <w:ind w:left="580"/>
              <w:spacing w:after="0"/>
              <w:rPr>
                <w:sz w:val="20"/>
                <w:szCs w:val="20"/>
                <w:color w:val="auto"/>
              </w:rPr>
            </w:pPr>
            <w:r>
              <w:rPr>
                <w:rFonts w:ascii="Arial" w:cs="Arial" w:eastAsia="Arial" w:hAnsi="Arial"/>
                <w:sz w:val="18"/>
                <w:szCs w:val="18"/>
                <w:b w:val="1"/>
                <w:bCs w:val="1"/>
                <w:color w:val="215AA8"/>
              </w:rPr>
              <w:t>Location</w:t>
            </w:r>
          </w:p>
        </w:tc>
        <w:tc>
          <w:tcPr>
            <w:tcW w:w="20" w:type="dxa"/>
            <w:vAlign w:val="bottom"/>
          </w:tcPr>
          <w:p>
            <w:pPr>
              <w:spacing w:after="0"/>
              <w:rPr>
                <w:sz w:val="2"/>
                <w:szCs w:val="2"/>
                <w:color w:val="auto"/>
              </w:rPr>
            </w:pPr>
          </w:p>
        </w:tc>
        <w:tc>
          <w:tcPr>
            <w:tcW w:w="1760" w:type="dxa"/>
            <w:vAlign w:val="bottom"/>
            <w:vMerge w:val="restart"/>
          </w:tcPr>
          <w:p>
            <w:pPr>
              <w:ind w:left="700"/>
              <w:spacing w:after="0"/>
              <w:rPr>
                <w:sz w:val="20"/>
                <w:szCs w:val="20"/>
                <w:color w:val="auto"/>
              </w:rPr>
            </w:pPr>
            <w:r>
              <w:rPr>
                <w:rFonts w:ascii="Arial" w:cs="Arial" w:eastAsia="Arial" w:hAnsi="Arial"/>
                <w:sz w:val="18"/>
                <w:szCs w:val="18"/>
                <w:b w:val="1"/>
                <w:bCs w:val="1"/>
                <w:color w:val="215AA8"/>
                <w:w w:val="98"/>
              </w:rPr>
              <w:t>Record Date</w:t>
            </w:r>
          </w:p>
        </w:tc>
        <w:tc>
          <w:tcPr>
            <w:tcW w:w="0" w:type="dxa"/>
            <w:vAlign w:val="bottom"/>
          </w:tcPr>
          <w:p>
            <w:pPr>
              <w:spacing w:after="0" w:line="20" w:lineRule="exact"/>
              <w:rPr>
                <w:sz w:val="1"/>
                <w:szCs w:val="1"/>
                <w:color w:val="auto"/>
              </w:rPr>
            </w:pPr>
          </w:p>
        </w:tc>
      </w:tr>
      <w:tr>
        <w:trPr>
          <w:trHeight w:val="224"/>
        </w:trPr>
        <w:tc>
          <w:tcPr>
            <w:tcW w:w="3680" w:type="dxa"/>
            <w:vAlign w:val="bottom"/>
            <w:vMerge w:val="continue"/>
          </w:tcPr>
          <w:p>
            <w:pPr>
              <w:spacing w:after="0"/>
              <w:rPr>
                <w:sz w:val="19"/>
                <w:szCs w:val="19"/>
                <w:color w:val="auto"/>
              </w:rPr>
            </w:pPr>
          </w:p>
        </w:tc>
        <w:tc>
          <w:tcPr>
            <w:tcW w:w="20" w:type="dxa"/>
            <w:vAlign w:val="bottom"/>
            <w:shd w:val="clear" w:color="auto" w:fill="D60058"/>
          </w:tcPr>
          <w:p>
            <w:pPr>
              <w:spacing w:after="0"/>
              <w:rPr>
                <w:sz w:val="19"/>
                <w:szCs w:val="19"/>
                <w:color w:val="auto"/>
              </w:rPr>
            </w:pPr>
          </w:p>
        </w:tc>
        <w:tc>
          <w:tcPr>
            <w:tcW w:w="4900" w:type="dxa"/>
            <w:vAlign w:val="bottom"/>
            <w:vMerge w:val="continue"/>
          </w:tcPr>
          <w:p>
            <w:pPr>
              <w:spacing w:after="0"/>
              <w:rPr>
                <w:sz w:val="19"/>
                <w:szCs w:val="19"/>
                <w:color w:val="auto"/>
              </w:rPr>
            </w:pPr>
          </w:p>
        </w:tc>
        <w:tc>
          <w:tcPr>
            <w:tcW w:w="20" w:type="dxa"/>
            <w:vAlign w:val="bottom"/>
            <w:shd w:val="clear" w:color="auto" w:fill="D60058"/>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3680" w:type="dxa"/>
            <w:vAlign w:val="bottom"/>
          </w:tcPr>
          <w:p>
            <w:pPr>
              <w:spacing w:after="0"/>
              <w:rPr>
                <w:sz w:val="20"/>
                <w:szCs w:val="20"/>
                <w:color w:val="auto"/>
              </w:rPr>
            </w:pPr>
            <w:r>
              <w:rPr>
                <w:rFonts w:ascii="Arial" w:cs="Arial" w:eastAsia="Arial" w:hAnsi="Arial"/>
                <w:sz w:val="14"/>
                <w:szCs w:val="14"/>
                <w:color w:val="auto"/>
              </w:rPr>
              <w:t>June 14, 2024</w:t>
            </w:r>
          </w:p>
        </w:tc>
        <w:tc>
          <w:tcPr>
            <w:tcW w:w="20" w:type="dxa"/>
            <w:vAlign w:val="bottom"/>
            <w:shd w:val="clear" w:color="auto" w:fill="D60058"/>
          </w:tcPr>
          <w:p>
            <w:pPr>
              <w:spacing w:after="0"/>
              <w:rPr>
                <w:sz w:val="16"/>
                <w:szCs w:val="16"/>
                <w:color w:val="auto"/>
              </w:rPr>
            </w:pPr>
          </w:p>
        </w:tc>
        <w:tc>
          <w:tcPr>
            <w:tcW w:w="4900" w:type="dxa"/>
            <w:vAlign w:val="bottom"/>
          </w:tcPr>
          <w:p>
            <w:pPr>
              <w:ind w:left="580"/>
              <w:spacing w:after="0"/>
              <w:rPr>
                <w:sz w:val="20"/>
                <w:szCs w:val="20"/>
                <w:color w:val="auto"/>
              </w:rPr>
            </w:pPr>
            <w:r>
              <w:rPr>
                <w:rFonts w:ascii="Arial" w:cs="Arial" w:eastAsia="Arial" w:hAnsi="Arial"/>
                <w:sz w:val="14"/>
                <w:szCs w:val="14"/>
                <w:color w:val="auto"/>
              </w:rPr>
              <w:t>Online at</w:t>
            </w:r>
          </w:p>
        </w:tc>
        <w:tc>
          <w:tcPr>
            <w:tcW w:w="20" w:type="dxa"/>
            <w:vAlign w:val="bottom"/>
            <w:shd w:val="clear" w:color="auto" w:fill="D60058"/>
          </w:tcPr>
          <w:p>
            <w:pPr>
              <w:spacing w:after="0"/>
              <w:rPr>
                <w:sz w:val="16"/>
                <w:szCs w:val="16"/>
                <w:color w:val="auto"/>
              </w:rPr>
            </w:pPr>
          </w:p>
        </w:tc>
        <w:tc>
          <w:tcPr>
            <w:tcW w:w="1760" w:type="dxa"/>
            <w:vAlign w:val="bottom"/>
          </w:tcPr>
          <w:p>
            <w:pPr>
              <w:ind w:left="700"/>
              <w:spacing w:after="0"/>
              <w:rPr>
                <w:sz w:val="20"/>
                <w:szCs w:val="20"/>
                <w:color w:val="auto"/>
              </w:rPr>
            </w:pPr>
            <w:r>
              <w:rPr>
                <w:rFonts w:ascii="Arial" w:cs="Arial" w:eastAsia="Arial" w:hAnsi="Arial"/>
                <w:sz w:val="14"/>
                <w:szCs w:val="14"/>
                <w:color w:val="auto"/>
              </w:rPr>
              <w:t>April 16, 2024</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Arial" w:cs="Arial" w:eastAsia="Arial" w:hAnsi="Arial"/>
                <w:sz w:val="14"/>
                <w:szCs w:val="14"/>
                <w:color w:val="auto"/>
              </w:rPr>
              <w:t>10:30 a.m., Eastern Time</w:t>
            </w:r>
          </w:p>
        </w:tc>
        <w:tc>
          <w:tcPr>
            <w:tcW w:w="20" w:type="dxa"/>
            <w:vAlign w:val="bottom"/>
            <w:shd w:val="clear" w:color="auto" w:fill="D60058"/>
          </w:tcPr>
          <w:p>
            <w:pPr>
              <w:spacing w:after="0"/>
              <w:rPr>
                <w:sz w:val="16"/>
                <w:szCs w:val="16"/>
                <w:color w:val="auto"/>
              </w:rPr>
            </w:pPr>
          </w:p>
        </w:tc>
        <w:tc>
          <w:tcPr>
            <w:tcW w:w="4900" w:type="dxa"/>
            <w:vAlign w:val="bottom"/>
          </w:tcPr>
          <w:p>
            <w:pPr>
              <w:ind w:left="580"/>
              <w:spacing w:after="0"/>
              <w:rPr>
                <w:sz w:val="20"/>
                <w:szCs w:val="20"/>
                <w:color w:val="auto"/>
              </w:rPr>
            </w:pPr>
            <w:r>
              <w:rPr>
                <w:rFonts w:ascii="Arial" w:cs="Arial" w:eastAsia="Arial" w:hAnsi="Arial"/>
                <w:sz w:val="14"/>
                <w:szCs w:val="14"/>
                <w:b w:val="1"/>
                <w:bCs w:val="1"/>
                <w:color w:val="215AA8"/>
              </w:rPr>
              <w:t>www.virtualshareholdermeeting.com/REGN2024</w:t>
            </w:r>
          </w:p>
        </w:tc>
        <w:tc>
          <w:tcPr>
            <w:tcW w:w="20" w:type="dxa"/>
            <w:vAlign w:val="bottom"/>
            <w:shd w:val="clear" w:color="auto" w:fill="D60058"/>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20" w:type="dxa"/>
            <w:vAlign w:val="bottom"/>
            <w:shd w:val="clear" w:color="auto" w:fill="D60058"/>
          </w:tcPr>
          <w:p>
            <w:pPr>
              <w:spacing w:after="0"/>
              <w:rPr>
                <w:sz w:val="4"/>
                <w:szCs w:val="4"/>
                <w:color w:val="auto"/>
              </w:rPr>
            </w:pPr>
          </w:p>
        </w:tc>
        <w:tc>
          <w:tcPr>
            <w:tcW w:w="4900" w:type="dxa"/>
            <w:vAlign w:val="bottom"/>
          </w:tcPr>
          <w:p>
            <w:pPr>
              <w:spacing w:after="0"/>
              <w:rPr>
                <w:sz w:val="4"/>
                <w:szCs w:val="4"/>
                <w:color w:val="auto"/>
              </w:rPr>
            </w:pPr>
          </w:p>
        </w:tc>
        <w:tc>
          <w:tcPr>
            <w:tcW w:w="20" w:type="dxa"/>
            <w:vAlign w:val="bottom"/>
            <w:shd w:val="clear" w:color="auto" w:fill="D60058"/>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264160" cy="271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160" cy="27178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-370840</wp:posOffset>
            </wp:positionV>
            <wp:extent cx="178435" cy="271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435" cy="27178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-370840</wp:posOffset>
            </wp:positionV>
            <wp:extent cx="257175" cy="264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7175" cy="26416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Meeting Agenda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760" w:type="dxa"/>
            <w:vAlign w:val="bottom"/>
          </w:tcPr>
          <w:p>
            <w:pPr>
              <w:ind w:left="340"/>
              <w:spacing w:after="0"/>
              <w:rPr>
                <w:sz w:val="20"/>
                <w:szCs w:val="20"/>
                <w:color w:val="auto"/>
              </w:rPr>
            </w:pPr>
            <w:r>
              <w:rPr>
                <w:rFonts w:ascii="Arial" w:cs="Arial" w:eastAsia="Arial" w:hAnsi="Arial"/>
                <w:sz w:val="14"/>
                <w:szCs w:val="14"/>
                <w:b w:val="1"/>
                <w:bCs w:val="1"/>
                <w:color w:val="215AA8"/>
              </w:rPr>
              <w:t>Board Vote</w:t>
            </w:r>
          </w:p>
        </w:tc>
        <w:tc>
          <w:tcPr>
            <w:tcW w:w="0" w:type="dxa"/>
            <w:vAlign w:val="bottom"/>
          </w:tcPr>
          <w:p>
            <w:pPr>
              <w:spacing w:after="0"/>
              <w:rPr>
                <w:sz w:val="1"/>
                <w:szCs w:val="1"/>
                <w:color w:val="auto"/>
              </w:rPr>
            </w:pPr>
          </w:p>
        </w:tc>
      </w:tr>
      <w:tr>
        <w:trPr>
          <w:trHeight w:val="218"/>
        </w:trPr>
        <w:tc>
          <w:tcPr>
            <w:tcW w:w="200" w:type="dxa"/>
            <w:vAlign w:val="bottom"/>
            <w:tcBorders>
              <w:bottom w:val="single" w:sz="8" w:color="215AA8"/>
            </w:tcBorders>
          </w:tcPr>
          <w:p>
            <w:pPr>
              <w:spacing w:after="0"/>
              <w:rPr>
                <w:sz w:val="18"/>
                <w:szCs w:val="18"/>
                <w:color w:val="auto"/>
              </w:rPr>
            </w:pPr>
          </w:p>
        </w:tc>
        <w:tc>
          <w:tcPr>
            <w:tcW w:w="8300" w:type="dxa"/>
            <w:vAlign w:val="bottom"/>
            <w:tcBorders>
              <w:bottom w:val="single" w:sz="8" w:color="215AA8"/>
            </w:tcBorders>
          </w:tcPr>
          <w:p>
            <w:pPr>
              <w:ind w:left="80"/>
              <w:spacing w:after="0"/>
              <w:rPr>
                <w:sz w:val="20"/>
                <w:szCs w:val="20"/>
                <w:color w:val="auto"/>
              </w:rPr>
            </w:pPr>
            <w:r>
              <w:rPr>
                <w:rFonts w:ascii="Arial" w:cs="Arial" w:eastAsia="Arial" w:hAnsi="Arial"/>
                <w:sz w:val="14"/>
                <w:szCs w:val="14"/>
                <w:b w:val="1"/>
                <w:bCs w:val="1"/>
                <w:color w:val="215AA8"/>
              </w:rPr>
              <w:t>Matter</w:t>
            </w:r>
          </w:p>
        </w:tc>
        <w:tc>
          <w:tcPr>
            <w:tcW w:w="2760" w:type="dxa"/>
            <w:vAlign w:val="bottom"/>
            <w:tcBorders>
              <w:bottom w:val="single" w:sz="8" w:color="215AA8"/>
            </w:tcBorders>
          </w:tcPr>
          <w:p>
            <w:pPr>
              <w:ind w:left="340"/>
              <w:spacing w:after="0"/>
              <w:rPr>
                <w:sz w:val="20"/>
                <w:szCs w:val="20"/>
                <w:color w:val="auto"/>
              </w:rPr>
            </w:pPr>
            <w:r>
              <w:rPr>
                <w:rFonts w:ascii="Arial" w:cs="Arial" w:eastAsia="Arial" w:hAnsi="Arial"/>
                <w:sz w:val="14"/>
                <w:szCs w:val="14"/>
                <w:b w:val="1"/>
                <w:bCs w:val="1"/>
                <w:color w:val="215AA8"/>
              </w:rPr>
              <w:t>Recommendation</w:t>
            </w:r>
          </w:p>
        </w:tc>
        <w:tc>
          <w:tcPr>
            <w:tcW w:w="0" w:type="dxa"/>
            <w:vAlign w:val="bottom"/>
          </w:tcPr>
          <w:p>
            <w:pPr>
              <w:spacing w:after="0"/>
              <w:rPr>
                <w:sz w:val="1"/>
                <w:szCs w:val="1"/>
                <w:color w:val="auto"/>
              </w:rPr>
            </w:pPr>
          </w:p>
        </w:tc>
      </w:tr>
      <w:tr>
        <w:trPr>
          <w:trHeight w:val="226"/>
        </w:trPr>
        <w:tc>
          <w:tcPr>
            <w:tcW w:w="200" w:type="dxa"/>
            <w:vAlign w:val="bottom"/>
            <w:vMerge w:val="restart"/>
          </w:tcPr>
          <w:p>
            <w:pPr>
              <w:ind w:left="40"/>
              <w:spacing w:after="0"/>
              <w:rPr>
                <w:sz w:val="20"/>
                <w:szCs w:val="20"/>
                <w:color w:val="auto"/>
              </w:rPr>
            </w:pPr>
            <w:r>
              <w:rPr>
                <w:rFonts w:ascii="Arial" w:cs="Arial" w:eastAsia="Arial" w:hAnsi="Arial"/>
                <w:sz w:val="30"/>
                <w:szCs w:val="30"/>
                <w:b w:val="1"/>
                <w:bCs w:val="1"/>
                <w:color w:val="215AA8"/>
                <w:w w:val="83"/>
              </w:rPr>
              <w:t>1</w:t>
            </w:r>
          </w:p>
        </w:tc>
        <w:tc>
          <w:tcPr>
            <w:tcW w:w="8300" w:type="dxa"/>
            <w:vAlign w:val="bottom"/>
          </w:tcPr>
          <w:p>
            <w:pPr>
              <w:ind w:left="80"/>
              <w:spacing w:after="0"/>
              <w:rPr>
                <w:sz w:val="20"/>
                <w:szCs w:val="20"/>
                <w:color w:val="auto"/>
              </w:rPr>
            </w:pPr>
            <w:r>
              <w:rPr>
                <w:rFonts w:ascii="Arial" w:cs="Arial" w:eastAsia="Arial" w:hAnsi="Arial"/>
                <w:sz w:val="14"/>
                <w:szCs w:val="14"/>
                <w:color w:val="auto"/>
              </w:rPr>
              <w:t>Election of four Class III directors for a three-year term and one Class II director for a two-year term:</w:t>
            </w:r>
          </w:p>
        </w:tc>
        <w:tc>
          <w:tcPr>
            <w:tcW w:w="2760" w:type="dxa"/>
            <w:vAlign w:val="bottom"/>
          </w:tcPr>
          <w:p>
            <w:pPr>
              <w:ind w:left="820"/>
              <w:spacing w:after="0"/>
              <w:rPr>
                <w:sz w:val="20"/>
                <w:szCs w:val="20"/>
                <w:color w:val="auto"/>
              </w:rPr>
            </w:pPr>
            <w:r>
              <w:rPr>
                <w:rFonts w:ascii="Arial" w:cs="Arial" w:eastAsia="Arial" w:hAnsi="Arial"/>
                <w:sz w:val="14"/>
                <w:szCs w:val="14"/>
                <w:b w:val="1"/>
                <w:bCs w:val="1"/>
                <w:color w:val="215AA8"/>
              </w:rPr>
              <w:t xml:space="preserve">FOR </w:t>
            </w:r>
            <w:r>
              <w:rPr>
                <w:rFonts w:ascii="Arial" w:cs="Arial" w:eastAsia="Arial" w:hAnsi="Arial"/>
                <w:sz w:val="14"/>
                <w:szCs w:val="14"/>
                <w:color w:val="000000"/>
              </w:rPr>
              <w:t>each</w:t>
            </w:r>
          </w:p>
        </w:tc>
        <w:tc>
          <w:tcPr>
            <w:tcW w:w="0" w:type="dxa"/>
            <w:vAlign w:val="bottom"/>
          </w:tcPr>
          <w:p>
            <w:pPr>
              <w:spacing w:after="0"/>
              <w:rPr>
                <w:sz w:val="1"/>
                <w:szCs w:val="1"/>
                <w:color w:val="auto"/>
              </w:rPr>
            </w:pPr>
          </w:p>
        </w:tc>
      </w:tr>
      <w:tr>
        <w:trPr>
          <w:trHeight w:val="201"/>
        </w:trPr>
        <w:tc>
          <w:tcPr>
            <w:tcW w:w="200" w:type="dxa"/>
            <w:vAlign w:val="bottom"/>
            <w:vMerge w:val="continue"/>
          </w:tcPr>
          <w:p>
            <w:pPr>
              <w:spacing w:after="0"/>
              <w:rPr>
                <w:sz w:val="17"/>
                <w:szCs w:val="17"/>
                <w:color w:val="auto"/>
              </w:rPr>
            </w:pPr>
          </w:p>
        </w:tc>
        <w:tc>
          <w:tcPr>
            <w:tcW w:w="8300" w:type="dxa"/>
            <w:vAlign w:val="bottom"/>
          </w:tcPr>
          <w:p>
            <w:pPr>
              <w:spacing w:after="0"/>
              <w:rPr>
                <w:sz w:val="17"/>
                <w:szCs w:val="17"/>
                <w:color w:val="auto"/>
              </w:rPr>
            </w:pPr>
          </w:p>
        </w:tc>
        <w:tc>
          <w:tcPr>
            <w:tcW w:w="2760" w:type="dxa"/>
            <w:vAlign w:val="bottom"/>
          </w:tcPr>
          <w:p>
            <w:pPr>
              <w:ind w:left="820"/>
              <w:spacing w:after="0"/>
              <w:rPr>
                <w:sz w:val="20"/>
                <w:szCs w:val="20"/>
                <w:color w:val="auto"/>
              </w:rPr>
            </w:pPr>
            <w:r>
              <w:rPr>
                <w:rFonts w:ascii="Arial" w:cs="Arial" w:eastAsia="Arial" w:hAnsi="Arial"/>
                <w:sz w:val="14"/>
                <w:szCs w:val="14"/>
                <w:color w:val="auto"/>
              </w:rPr>
              <w:t>director nominee</w:t>
            </w:r>
          </w:p>
        </w:tc>
        <w:tc>
          <w:tcPr>
            <w:tcW w:w="0" w:type="dxa"/>
            <w:vAlign w:val="bottom"/>
          </w:tcPr>
          <w:p>
            <w:pPr>
              <w:spacing w:after="0"/>
              <w:rPr>
                <w:sz w:val="1"/>
                <w:szCs w:val="1"/>
                <w:color w:val="auto"/>
              </w:rPr>
            </w:pPr>
          </w:p>
        </w:tc>
      </w:tr>
      <w:tr>
        <w:trPr>
          <w:trHeight w:val="224"/>
        </w:trPr>
        <w:tc>
          <w:tcPr>
            <w:tcW w:w="200" w:type="dxa"/>
            <w:vAlign w:val="bottom"/>
            <w:tcBorders>
              <w:bottom w:val="single" w:sz="8" w:color="BDBEC0"/>
            </w:tcBorders>
          </w:tcPr>
          <w:p>
            <w:pPr>
              <w:spacing w:after="0"/>
              <w:rPr>
                <w:sz w:val="19"/>
                <w:szCs w:val="19"/>
                <w:color w:val="auto"/>
              </w:rPr>
            </w:pPr>
          </w:p>
        </w:tc>
        <w:tc>
          <w:tcPr>
            <w:tcW w:w="8300" w:type="dxa"/>
            <w:vAlign w:val="bottom"/>
            <w:tcBorders>
              <w:bottom w:val="single" w:sz="8" w:color="BDBEC0"/>
            </w:tcBorders>
          </w:tcPr>
          <w:p>
            <w:pPr>
              <w:ind w:left="80"/>
              <w:spacing w:after="0"/>
              <w:rPr>
                <w:sz w:val="20"/>
                <w:szCs w:val="20"/>
                <w:color w:val="auto"/>
              </w:rPr>
            </w:pPr>
            <w:r>
              <w:rPr>
                <w:rFonts w:ascii="Arial" w:cs="Arial" w:eastAsia="Arial" w:hAnsi="Arial"/>
                <w:sz w:val="14"/>
                <w:szCs w:val="14"/>
                <w:color w:val="auto"/>
              </w:rPr>
              <w:t>Class III Directors</w:t>
            </w:r>
          </w:p>
        </w:tc>
        <w:tc>
          <w:tcPr>
            <w:tcW w:w="2760" w:type="dxa"/>
            <w:vAlign w:val="bottom"/>
            <w:tcBorders>
              <w:bottom w:val="single" w:sz="8" w:color="BDBEC0"/>
            </w:tcBorders>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00" w:type="dxa"/>
            <w:vAlign w:val="bottom"/>
          </w:tcPr>
          <w:p>
            <w:pPr>
              <w:spacing w:after="0"/>
              <w:rPr>
                <w:sz w:val="24"/>
                <w:szCs w:val="24"/>
                <w:color w:val="auto"/>
              </w:rPr>
            </w:pPr>
          </w:p>
        </w:tc>
        <w:tc>
          <w:tcPr>
            <w:tcW w:w="8300" w:type="dxa"/>
            <w:vAlign w:val="bottom"/>
          </w:tcPr>
          <w:p>
            <w:pPr>
              <w:ind w:left="560"/>
              <w:spacing w:after="0"/>
              <w:rPr>
                <w:sz w:val="20"/>
                <w:szCs w:val="20"/>
                <w:color w:val="auto"/>
              </w:rPr>
            </w:pPr>
            <w:r>
              <w:rPr>
                <w:rFonts w:ascii="Arial" w:cs="Arial" w:eastAsia="Arial" w:hAnsi="Arial"/>
                <w:sz w:val="14"/>
                <w:szCs w:val="14"/>
                <w:b w:val="1"/>
                <w:bCs w:val="1"/>
                <w:color w:val="215AA8"/>
              </w:rPr>
              <w:t>N. Anthony Coles, M.D.</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0" w:type="dxa"/>
            <w:vAlign w:val="bottom"/>
          </w:tcPr>
          <w:p>
            <w:pPr>
              <w:spacing w:after="0"/>
              <w:rPr>
                <w:sz w:val="12"/>
                <w:szCs w:val="12"/>
                <w:color w:val="auto"/>
              </w:rPr>
            </w:pPr>
          </w:p>
        </w:tc>
        <w:tc>
          <w:tcPr>
            <w:tcW w:w="8300" w:type="dxa"/>
            <w:vAlign w:val="bottom"/>
            <w:tcBorders>
              <w:bottom w:val="single" w:sz="8" w:color="BDBEC0"/>
            </w:tcBorders>
          </w:tcPr>
          <w:p>
            <w:pPr>
              <w:spacing w:after="0"/>
              <w:rPr>
                <w:sz w:val="12"/>
                <w:szCs w:val="12"/>
                <w:color w:val="auto"/>
              </w:rPr>
            </w:pPr>
          </w:p>
        </w:tc>
        <w:tc>
          <w:tcPr>
            <w:tcW w:w="2760" w:type="dxa"/>
            <w:vAlign w:val="bottom"/>
            <w:tcBorders>
              <w:bottom w:val="single" w:sz="8" w:color="BDBEC0"/>
            </w:tcBorders>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200" w:type="dxa"/>
            <w:vAlign w:val="bottom"/>
          </w:tcPr>
          <w:p>
            <w:pPr>
              <w:spacing w:after="0"/>
              <w:rPr>
                <w:sz w:val="24"/>
                <w:szCs w:val="24"/>
                <w:color w:val="auto"/>
              </w:rPr>
            </w:pPr>
          </w:p>
        </w:tc>
        <w:tc>
          <w:tcPr>
            <w:tcW w:w="8300" w:type="dxa"/>
            <w:vAlign w:val="bottom"/>
          </w:tcPr>
          <w:p>
            <w:pPr>
              <w:ind w:left="560"/>
              <w:spacing w:after="0"/>
              <w:rPr>
                <w:sz w:val="20"/>
                <w:szCs w:val="20"/>
                <w:color w:val="auto"/>
              </w:rPr>
            </w:pPr>
            <w:r>
              <w:rPr>
                <w:rFonts w:ascii="Arial" w:cs="Arial" w:eastAsia="Arial" w:hAnsi="Arial"/>
                <w:sz w:val="14"/>
                <w:szCs w:val="14"/>
                <w:b w:val="1"/>
                <w:bCs w:val="1"/>
                <w:color w:val="215AA8"/>
              </w:rPr>
              <w:t>Kathryn Guarini, Ph.D.</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0" w:type="dxa"/>
            <w:vAlign w:val="bottom"/>
          </w:tcPr>
          <w:p>
            <w:pPr>
              <w:spacing w:after="0"/>
              <w:rPr>
                <w:sz w:val="12"/>
                <w:szCs w:val="12"/>
                <w:color w:val="auto"/>
              </w:rPr>
            </w:pPr>
          </w:p>
        </w:tc>
        <w:tc>
          <w:tcPr>
            <w:tcW w:w="8300" w:type="dxa"/>
            <w:vAlign w:val="bottom"/>
            <w:tcBorders>
              <w:bottom w:val="single" w:sz="8" w:color="BDBEC0"/>
            </w:tcBorders>
          </w:tcPr>
          <w:p>
            <w:pPr>
              <w:spacing w:after="0"/>
              <w:rPr>
                <w:sz w:val="12"/>
                <w:szCs w:val="12"/>
                <w:color w:val="auto"/>
              </w:rPr>
            </w:pPr>
          </w:p>
        </w:tc>
        <w:tc>
          <w:tcPr>
            <w:tcW w:w="2760" w:type="dxa"/>
            <w:vAlign w:val="bottom"/>
            <w:tcBorders>
              <w:bottom w:val="single" w:sz="8" w:color="BDBEC0"/>
            </w:tcBorders>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0" w:type="dxa"/>
            <w:vAlign w:val="bottom"/>
          </w:tcPr>
          <w:p>
            <w:pPr>
              <w:spacing w:after="0"/>
              <w:rPr>
                <w:sz w:val="24"/>
                <w:szCs w:val="24"/>
                <w:color w:val="auto"/>
              </w:rPr>
            </w:pPr>
          </w:p>
        </w:tc>
        <w:tc>
          <w:tcPr>
            <w:tcW w:w="8300" w:type="dxa"/>
            <w:vAlign w:val="bottom"/>
          </w:tcPr>
          <w:p>
            <w:pPr>
              <w:ind w:left="560"/>
              <w:spacing w:after="0"/>
              <w:rPr>
                <w:sz w:val="20"/>
                <w:szCs w:val="20"/>
                <w:color w:val="auto"/>
              </w:rPr>
            </w:pPr>
            <w:r>
              <w:rPr>
                <w:rFonts w:ascii="Arial" w:cs="Arial" w:eastAsia="Arial" w:hAnsi="Arial"/>
                <w:sz w:val="14"/>
                <w:szCs w:val="14"/>
                <w:b w:val="1"/>
                <w:bCs w:val="1"/>
                <w:color w:val="215AA8"/>
              </w:rPr>
              <w:t>Arthur F. Ryan</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0" w:type="dxa"/>
            <w:vAlign w:val="bottom"/>
          </w:tcPr>
          <w:p>
            <w:pPr>
              <w:spacing w:after="0"/>
              <w:rPr>
                <w:sz w:val="12"/>
                <w:szCs w:val="12"/>
                <w:color w:val="auto"/>
              </w:rPr>
            </w:pPr>
          </w:p>
        </w:tc>
        <w:tc>
          <w:tcPr>
            <w:tcW w:w="8300" w:type="dxa"/>
            <w:vAlign w:val="bottom"/>
            <w:tcBorders>
              <w:bottom w:val="single" w:sz="8" w:color="BDBEC0"/>
            </w:tcBorders>
          </w:tcPr>
          <w:p>
            <w:pPr>
              <w:spacing w:after="0"/>
              <w:rPr>
                <w:sz w:val="12"/>
                <w:szCs w:val="12"/>
                <w:color w:val="auto"/>
              </w:rPr>
            </w:pPr>
          </w:p>
        </w:tc>
        <w:tc>
          <w:tcPr>
            <w:tcW w:w="2760" w:type="dxa"/>
            <w:vAlign w:val="bottom"/>
            <w:tcBorders>
              <w:bottom w:val="single" w:sz="8" w:color="BDBEC0"/>
            </w:tcBorders>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0" w:type="dxa"/>
            <w:vAlign w:val="bottom"/>
          </w:tcPr>
          <w:p>
            <w:pPr>
              <w:spacing w:after="0"/>
              <w:rPr>
                <w:sz w:val="24"/>
                <w:szCs w:val="24"/>
                <w:color w:val="auto"/>
              </w:rPr>
            </w:pPr>
          </w:p>
        </w:tc>
        <w:tc>
          <w:tcPr>
            <w:tcW w:w="8300" w:type="dxa"/>
            <w:vAlign w:val="bottom"/>
          </w:tcPr>
          <w:p>
            <w:pPr>
              <w:ind w:left="560"/>
              <w:spacing w:after="0"/>
              <w:rPr>
                <w:sz w:val="20"/>
                <w:szCs w:val="20"/>
                <w:color w:val="auto"/>
              </w:rPr>
            </w:pPr>
            <w:r>
              <w:rPr>
                <w:rFonts w:ascii="Arial" w:cs="Arial" w:eastAsia="Arial" w:hAnsi="Arial"/>
                <w:sz w:val="14"/>
                <w:szCs w:val="14"/>
                <w:b w:val="1"/>
                <w:bCs w:val="1"/>
                <w:color w:val="215AA8"/>
              </w:rPr>
              <w:t>George L. Sing</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0" w:type="dxa"/>
            <w:vAlign w:val="bottom"/>
            <w:tcBorders>
              <w:bottom w:val="single" w:sz="8" w:color="BDBEC0"/>
            </w:tcBorders>
          </w:tcPr>
          <w:p>
            <w:pPr>
              <w:spacing w:after="0"/>
              <w:rPr>
                <w:sz w:val="12"/>
                <w:szCs w:val="12"/>
                <w:color w:val="auto"/>
              </w:rPr>
            </w:pPr>
          </w:p>
        </w:tc>
        <w:tc>
          <w:tcPr>
            <w:tcW w:w="8300" w:type="dxa"/>
            <w:vAlign w:val="bottom"/>
            <w:tcBorders>
              <w:bottom w:val="single" w:sz="8" w:color="BDBEC0"/>
            </w:tcBorders>
          </w:tcPr>
          <w:p>
            <w:pPr>
              <w:spacing w:after="0"/>
              <w:rPr>
                <w:sz w:val="12"/>
                <w:szCs w:val="12"/>
                <w:color w:val="auto"/>
              </w:rPr>
            </w:pPr>
          </w:p>
        </w:tc>
        <w:tc>
          <w:tcPr>
            <w:tcW w:w="2760" w:type="dxa"/>
            <w:vAlign w:val="bottom"/>
            <w:tcBorders>
              <w:bottom w:val="single" w:sz="8" w:color="BDBEC0"/>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8300" w:type="dxa"/>
            <w:vAlign w:val="bottom"/>
          </w:tcPr>
          <w:p>
            <w:pPr>
              <w:ind w:left="80"/>
              <w:spacing w:after="0"/>
              <w:rPr>
                <w:sz w:val="20"/>
                <w:szCs w:val="20"/>
                <w:color w:val="auto"/>
              </w:rPr>
            </w:pPr>
            <w:r>
              <w:rPr>
                <w:rFonts w:ascii="Arial" w:cs="Arial" w:eastAsia="Arial" w:hAnsi="Arial"/>
                <w:sz w:val="14"/>
                <w:szCs w:val="14"/>
                <w:color w:val="auto"/>
              </w:rPr>
              <w:t>Class II Director</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BDBEC0"/>
            </w:tcBorders>
          </w:tcPr>
          <w:p>
            <w:pPr>
              <w:spacing w:after="0"/>
              <w:rPr>
                <w:sz w:val="2"/>
                <w:szCs w:val="2"/>
                <w:color w:val="auto"/>
              </w:rPr>
            </w:pPr>
          </w:p>
        </w:tc>
        <w:tc>
          <w:tcPr>
            <w:tcW w:w="8300" w:type="dxa"/>
            <w:vAlign w:val="bottom"/>
            <w:tcBorders>
              <w:bottom w:val="single" w:sz="8" w:color="BDBEC0"/>
            </w:tcBorders>
          </w:tcPr>
          <w:p>
            <w:pPr>
              <w:spacing w:after="0"/>
              <w:rPr>
                <w:sz w:val="2"/>
                <w:szCs w:val="2"/>
                <w:color w:val="auto"/>
              </w:rPr>
            </w:pPr>
          </w:p>
        </w:tc>
        <w:tc>
          <w:tcPr>
            <w:tcW w:w="2760" w:type="dxa"/>
            <w:vAlign w:val="bottom"/>
            <w:tcBorders>
              <w:bottom w:val="single" w:sz="8" w:color="BDBEC0"/>
            </w:tcBorders>
          </w:tcPr>
          <w:p>
            <w:pPr>
              <w:spacing w:after="0"/>
              <w:rPr>
                <w:sz w:val="2"/>
                <w:szCs w:val="2"/>
                <w:color w:val="auto"/>
              </w:rPr>
            </w:pPr>
          </w:p>
        </w:tc>
        <w:tc>
          <w:tcPr>
            <w:tcW w:w="0" w:type="dxa"/>
            <w:vAlign w:val="bottom"/>
          </w:tcPr>
          <w:p>
            <w:pPr>
              <w:spacing w:after="0"/>
              <w:rPr>
                <w:sz w:val="1"/>
                <w:szCs w:val="1"/>
                <w:color w:val="auto"/>
              </w:rPr>
            </w:pPr>
          </w:p>
        </w:tc>
      </w:tr>
      <w:tr>
        <w:trPr>
          <w:trHeight w:val="323"/>
        </w:trPr>
        <w:tc>
          <w:tcPr>
            <w:tcW w:w="200" w:type="dxa"/>
            <w:vAlign w:val="bottom"/>
          </w:tcPr>
          <w:p>
            <w:pPr>
              <w:spacing w:after="0"/>
              <w:rPr>
                <w:sz w:val="24"/>
                <w:szCs w:val="24"/>
                <w:color w:val="auto"/>
              </w:rPr>
            </w:pPr>
          </w:p>
        </w:tc>
        <w:tc>
          <w:tcPr>
            <w:tcW w:w="8300" w:type="dxa"/>
            <w:vAlign w:val="bottom"/>
          </w:tcPr>
          <w:p>
            <w:pPr>
              <w:ind w:left="560"/>
              <w:spacing w:after="0"/>
              <w:rPr>
                <w:sz w:val="20"/>
                <w:szCs w:val="20"/>
                <w:color w:val="auto"/>
              </w:rPr>
            </w:pPr>
            <w:r>
              <w:rPr>
                <w:rFonts w:ascii="Arial" w:cs="Arial" w:eastAsia="Arial" w:hAnsi="Arial"/>
                <w:sz w:val="14"/>
                <w:szCs w:val="14"/>
                <w:b w:val="1"/>
                <w:bCs w:val="1"/>
                <w:color w:val="215AA8"/>
              </w:rPr>
              <w:t>David P. Schenkein, M.D.</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0" w:type="dxa"/>
            <w:vAlign w:val="bottom"/>
            <w:tcBorders>
              <w:bottom w:val="single" w:sz="8" w:color="BDBEC0"/>
            </w:tcBorders>
          </w:tcPr>
          <w:p>
            <w:pPr>
              <w:spacing w:after="0"/>
              <w:rPr>
                <w:sz w:val="12"/>
                <w:szCs w:val="12"/>
                <w:color w:val="auto"/>
              </w:rPr>
            </w:pPr>
          </w:p>
        </w:tc>
        <w:tc>
          <w:tcPr>
            <w:tcW w:w="8300" w:type="dxa"/>
            <w:vAlign w:val="bottom"/>
            <w:tcBorders>
              <w:bottom w:val="single" w:sz="8" w:color="BDBEC0"/>
            </w:tcBorders>
          </w:tcPr>
          <w:p>
            <w:pPr>
              <w:spacing w:after="0"/>
              <w:rPr>
                <w:sz w:val="12"/>
                <w:szCs w:val="12"/>
                <w:color w:val="auto"/>
              </w:rPr>
            </w:pPr>
          </w:p>
        </w:tc>
        <w:tc>
          <w:tcPr>
            <w:tcW w:w="2760" w:type="dxa"/>
            <w:vAlign w:val="bottom"/>
            <w:tcBorders>
              <w:bottom w:val="single" w:sz="8" w:color="BDBEC0"/>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8300" w:type="dxa"/>
            <w:vAlign w:val="bottom"/>
          </w:tcPr>
          <w:p>
            <w:pPr>
              <w:ind w:left="80"/>
              <w:spacing w:after="0"/>
              <w:rPr>
                <w:sz w:val="20"/>
                <w:szCs w:val="20"/>
                <w:color w:val="auto"/>
              </w:rPr>
            </w:pPr>
            <w:r>
              <w:rPr>
                <w:rFonts w:ascii="Arial" w:cs="Arial" w:eastAsia="Arial" w:hAnsi="Arial"/>
                <w:sz w:val="14"/>
                <w:szCs w:val="14"/>
                <w:color w:val="auto"/>
              </w:rPr>
              <w:t>Ratification of the appointment of PricewaterhouseCoopers LLP as the Company’s independent registered public accounting firm for</w:t>
            </w:r>
          </w:p>
        </w:tc>
        <w:tc>
          <w:tcPr>
            <w:tcW w:w="2760" w:type="dxa"/>
            <w:vAlign w:val="bottom"/>
            <w:vMerge w:val="restart"/>
          </w:tcPr>
          <w:p>
            <w:pPr>
              <w:ind w:left="820"/>
              <w:spacing w:after="0"/>
              <w:rPr>
                <w:sz w:val="20"/>
                <w:szCs w:val="20"/>
                <w:color w:val="auto"/>
              </w:rPr>
            </w:pPr>
            <w:r>
              <w:rPr>
                <w:rFonts w:ascii="Arial" w:cs="Arial" w:eastAsia="Arial" w:hAnsi="Arial"/>
                <w:sz w:val="14"/>
                <w:szCs w:val="14"/>
                <w:b w:val="1"/>
                <w:bCs w:val="1"/>
                <w:color w:val="215AA8"/>
              </w:rPr>
              <w:t>FOR</w:t>
            </w:r>
          </w:p>
        </w:tc>
        <w:tc>
          <w:tcPr>
            <w:tcW w:w="0" w:type="dxa"/>
            <w:vAlign w:val="bottom"/>
          </w:tcPr>
          <w:p>
            <w:pPr>
              <w:spacing w:after="0"/>
              <w:rPr>
                <w:sz w:val="1"/>
                <w:szCs w:val="1"/>
                <w:color w:val="auto"/>
              </w:rPr>
            </w:pPr>
          </w:p>
        </w:tc>
      </w:tr>
      <w:tr>
        <w:trPr>
          <w:trHeight w:val="106"/>
        </w:trPr>
        <w:tc>
          <w:tcPr>
            <w:tcW w:w="8500" w:type="dxa"/>
            <w:vAlign w:val="bottom"/>
            <w:gridSpan w:val="2"/>
            <w:vMerge w:val="restart"/>
          </w:tcPr>
          <w:p>
            <w:pPr>
              <w:ind w:left="40"/>
              <w:spacing w:after="0" w:line="236" w:lineRule="exact"/>
              <w:rPr>
                <w:sz w:val="20"/>
                <w:szCs w:val="20"/>
                <w:color w:val="auto"/>
              </w:rPr>
            </w:pPr>
            <w:r>
              <w:rPr>
                <w:rFonts w:ascii="Arial" w:cs="Arial" w:eastAsia="Arial" w:hAnsi="Arial"/>
                <w:sz w:val="27"/>
                <w:szCs w:val="27"/>
                <w:b w:val="1"/>
                <w:bCs w:val="1"/>
                <w:color w:val="215AA8"/>
              </w:rPr>
              <w:t xml:space="preserve">2 </w:t>
            </w:r>
            <w:r>
              <w:rPr>
                <w:rFonts w:ascii="Arial" w:cs="Arial" w:eastAsia="Arial" w:hAnsi="Arial"/>
                <w:sz w:val="12"/>
                <w:szCs w:val="12"/>
                <w:color w:val="000000"/>
              </w:rPr>
              <w:t>the fiscal year ending December 31, 2024</w:t>
            </w: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8500" w:type="dxa"/>
            <w:vAlign w:val="bottom"/>
            <w:tcBorders>
              <w:bottom w:val="single" w:sz="8" w:color="BDBEC0"/>
            </w:tcBorders>
            <w:gridSpan w:val="2"/>
            <w:vMerge w:val="continue"/>
          </w:tcPr>
          <w:p>
            <w:pPr>
              <w:spacing w:after="0"/>
              <w:rPr>
                <w:sz w:val="11"/>
                <w:szCs w:val="11"/>
                <w:color w:val="auto"/>
              </w:rPr>
            </w:pPr>
          </w:p>
        </w:tc>
        <w:tc>
          <w:tcPr>
            <w:tcW w:w="2760" w:type="dxa"/>
            <w:vAlign w:val="bottom"/>
            <w:tcBorders>
              <w:bottom w:val="single" w:sz="8" w:color="BDBEC0"/>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8300" w:type="dxa"/>
            <w:vAlign w:val="bottom"/>
          </w:tcPr>
          <w:p>
            <w:pPr>
              <w:ind w:left="80"/>
              <w:spacing w:after="0"/>
              <w:rPr>
                <w:sz w:val="20"/>
                <w:szCs w:val="20"/>
                <w:color w:val="auto"/>
              </w:rPr>
            </w:pPr>
            <w:r>
              <w:rPr>
                <w:rFonts w:ascii="Arial" w:cs="Arial" w:eastAsia="Arial" w:hAnsi="Arial"/>
                <w:sz w:val="14"/>
                <w:szCs w:val="14"/>
                <w:color w:val="auto"/>
              </w:rPr>
              <w:t>Advisory vote to approve the compensation of the Company’s Named Executive Officers as disclosed in these proxy materials (say-</w:t>
            </w:r>
          </w:p>
        </w:tc>
        <w:tc>
          <w:tcPr>
            <w:tcW w:w="2760" w:type="dxa"/>
            <w:vAlign w:val="bottom"/>
            <w:vMerge w:val="restart"/>
          </w:tcPr>
          <w:p>
            <w:pPr>
              <w:ind w:left="820"/>
              <w:spacing w:after="0"/>
              <w:rPr>
                <w:sz w:val="20"/>
                <w:szCs w:val="20"/>
                <w:color w:val="auto"/>
              </w:rPr>
            </w:pPr>
            <w:r>
              <w:rPr>
                <w:rFonts w:ascii="Arial" w:cs="Arial" w:eastAsia="Arial" w:hAnsi="Arial"/>
                <w:sz w:val="14"/>
                <w:szCs w:val="14"/>
                <w:b w:val="1"/>
                <w:bCs w:val="1"/>
                <w:color w:val="215AA8"/>
              </w:rPr>
              <w:t>FOR</w:t>
            </w:r>
          </w:p>
        </w:tc>
        <w:tc>
          <w:tcPr>
            <w:tcW w:w="0" w:type="dxa"/>
            <w:vAlign w:val="bottom"/>
          </w:tcPr>
          <w:p>
            <w:pPr>
              <w:spacing w:after="0"/>
              <w:rPr>
                <w:sz w:val="1"/>
                <w:szCs w:val="1"/>
                <w:color w:val="auto"/>
              </w:rPr>
            </w:pPr>
          </w:p>
        </w:tc>
      </w:tr>
      <w:tr>
        <w:trPr>
          <w:trHeight w:val="118"/>
        </w:trPr>
        <w:tc>
          <w:tcPr>
            <w:tcW w:w="8500" w:type="dxa"/>
            <w:vAlign w:val="bottom"/>
            <w:gridSpan w:val="2"/>
            <w:vMerge w:val="restart"/>
          </w:tcPr>
          <w:p>
            <w:pPr>
              <w:ind w:left="40"/>
              <w:spacing w:after="0" w:line="225" w:lineRule="exact"/>
              <w:rPr>
                <w:sz w:val="20"/>
                <w:szCs w:val="20"/>
                <w:color w:val="auto"/>
              </w:rPr>
            </w:pPr>
            <w:r>
              <w:rPr>
                <w:rFonts w:ascii="Arial" w:cs="Arial" w:eastAsia="Arial" w:hAnsi="Arial"/>
                <w:sz w:val="26"/>
                <w:szCs w:val="26"/>
                <w:b w:val="1"/>
                <w:bCs w:val="1"/>
                <w:color w:val="215AA8"/>
              </w:rPr>
              <w:t xml:space="preserve">3 </w:t>
            </w:r>
            <w:r>
              <w:rPr>
                <w:rFonts w:ascii="Arial" w:cs="Arial" w:eastAsia="Arial" w:hAnsi="Arial"/>
                <w:sz w:val="12"/>
                <w:szCs w:val="12"/>
                <w:color w:val="000000"/>
              </w:rPr>
              <w:t>on-pay)</w:t>
            </w:r>
          </w:p>
        </w:tc>
        <w:tc>
          <w:tcPr>
            <w:tcW w:w="2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500" w:type="dxa"/>
            <w:vAlign w:val="bottom"/>
            <w:tcBorders>
              <w:bottom w:val="single" w:sz="8" w:color="BDBEC0"/>
            </w:tcBorders>
            <w:gridSpan w:val="2"/>
            <w:vMerge w:val="continue"/>
          </w:tcPr>
          <w:p>
            <w:pPr>
              <w:spacing w:after="0"/>
              <w:rPr>
                <w:sz w:val="9"/>
                <w:szCs w:val="9"/>
                <w:color w:val="auto"/>
              </w:rPr>
            </w:pPr>
          </w:p>
        </w:tc>
        <w:tc>
          <w:tcPr>
            <w:tcW w:w="2760" w:type="dxa"/>
            <w:vAlign w:val="bottom"/>
            <w:tcBorders>
              <w:bottom w:val="single" w:sz="8" w:color="BDBEC0"/>
            </w:tcBorders>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8500" w:type="dxa"/>
            <w:vAlign w:val="bottom"/>
            <w:tcBorders>
              <w:bottom w:val="single" w:sz="8" w:color="215AA8"/>
            </w:tcBorders>
            <w:gridSpan w:val="2"/>
          </w:tcPr>
          <w:p>
            <w:pPr>
              <w:ind w:left="40"/>
              <w:spacing w:after="0"/>
              <w:rPr>
                <w:sz w:val="20"/>
                <w:szCs w:val="20"/>
                <w:color w:val="auto"/>
              </w:rPr>
            </w:pPr>
            <w:r>
              <w:rPr>
                <w:rFonts w:ascii="Arial" w:cs="Arial" w:eastAsia="Arial" w:hAnsi="Arial"/>
                <w:sz w:val="30"/>
                <w:szCs w:val="30"/>
                <w:b w:val="1"/>
                <w:bCs w:val="1"/>
                <w:color w:val="D60058"/>
              </w:rPr>
              <w:t xml:space="preserve">4 </w:t>
            </w:r>
            <w:r>
              <w:rPr>
                <w:rFonts w:ascii="Arial" w:cs="Arial" w:eastAsia="Arial" w:hAnsi="Arial"/>
                <w:sz w:val="13"/>
                <w:szCs w:val="13"/>
                <w:color w:val="000000"/>
              </w:rPr>
              <w:t>Non-binding shareholder proposal requesting simple majority voting requirements, if properly presented</w:t>
            </w:r>
          </w:p>
        </w:tc>
        <w:tc>
          <w:tcPr>
            <w:tcW w:w="2760" w:type="dxa"/>
            <w:vAlign w:val="bottom"/>
            <w:tcBorders>
              <w:bottom w:val="single" w:sz="8" w:color="215AA8"/>
            </w:tcBorders>
          </w:tcPr>
          <w:p>
            <w:pPr>
              <w:ind w:left="820"/>
              <w:spacing w:after="0"/>
              <w:rPr>
                <w:sz w:val="20"/>
                <w:szCs w:val="20"/>
                <w:color w:val="auto"/>
              </w:rPr>
            </w:pPr>
            <w:r>
              <w:rPr>
                <w:rFonts w:ascii="Arial" w:cs="Arial" w:eastAsia="Arial" w:hAnsi="Arial"/>
                <w:sz w:val="14"/>
                <w:szCs w:val="14"/>
                <w:b w:val="1"/>
                <w:bCs w:val="1"/>
                <w:color w:val="D60058"/>
              </w:rPr>
              <w:t>AGAINST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-2894330</wp:posOffset>
            </wp:positionV>
            <wp:extent cx="200025" cy="200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0025" cy="20002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-2472690</wp:posOffset>
            </wp:positionV>
            <wp:extent cx="257175" cy="1165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175" cy="116522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-1100455</wp:posOffset>
            </wp:positionV>
            <wp:extent cx="257175" cy="264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7175" cy="264160"/>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-792480</wp:posOffset>
            </wp:positionV>
            <wp:extent cx="200025" cy="200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0025" cy="20002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-506730</wp:posOffset>
            </wp:positionV>
            <wp:extent cx="200025" cy="200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0025" cy="20002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-242570</wp:posOffset>
            </wp:positionV>
            <wp:extent cx="193040" cy="200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3040" cy="20002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See “General Information about the Meeting and Other Matters” starting on page 106 for questions and answers related to the annual meeting, how to vote, and other matters.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w:t>
            </w:r>
          </w:p>
        </w:tc>
      </w:tr>
      <w:tr>
        <w:trPr>
          <w:trHeight w:val="211"/>
        </w:trPr>
        <w:tc>
          <w:tcPr>
            <w:tcW w:w="7600" w:type="dxa"/>
            <w:vAlign w:val="bottom"/>
            <w:tcBorders>
              <w:bottom w:val="single" w:sz="8" w:color="C0C0C0"/>
            </w:tcBorders>
          </w:tcPr>
          <w:p>
            <w:pPr>
              <w:spacing w:after="0"/>
              <w:rPr>
                <w:sz w:val="18"/>
                <w:szCs w:val="18"/>
                <w:color w:val="auto"/>
              </w:rPr>
            </w:pPr>
          </w:p>
        </w:tc>
        <w:tc>
          <w:tcPr>
            <w:tcW w:w="366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6348095</wp:posOffset>
            </wp:positionH>
            <wp:positionV relativeFrom="paragraph">
              <wp:posOffset>-242570</wp:posOffset>
            </wp:positionV>
            <wp:extent cx="629285" cy="71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22"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b w:val="1"/>
                <w:bCs w:val="1"/>
                <w:color w:val="0000EE"/>
                <w:w w:val="97"/>
              </w:rPr>
              <w:t>Back to Contents</w:t>
            </w:r>
          </w:p>
        </w:tc>
        <w:tc>
          <w:tcPr>
            <w:tcW w:w="2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85"/>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r>
      <w:tr>
        <w:trPr>
          <w:trHeight w:val="204"/>
        </w:trPr>
        <w:tc>
          <w:tcPr>
            <w:tcW w:w="84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4"/>
              </w:rPr>
              <w:t>Users’ Guide</w:t>
            </w:r>
          </w:p>
        </w:tc>
        <w:tc>
          <w:tcPr>
            <w:tcW w:w="140" w:type="dxa"/>
            <w:vAlign w:val="bottom"/>
          </w:tcPr>
          <w:p>
            <w:pPr>
              <w:spacing w:after="0"/>
              <w:rPr>
                <w:sz w:val="17"/>
                <w:szCs w:val="17"/>
                <w:color w:val="auto"/>
              </w:rPr>
            </w:pPr>
          </w:p>
        </w:tc>
        <w:tc>
          <w:tcPr>
            <w:tcW w:w="2720" w:type="dxa"/>
            <w:vAlign w:val="bottom"/>
          </w:tcPr>
          <w:p>
            <w:pPr>
              <w:ind w:left="104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5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30"/>
          <w:szCs w:val="30"/>
          <w:b w:val="1"/>
          <w:bCs w:val="1"/>
          <w:color w:val="D60058"/>
        </w:rPr>
        <w:t>Proxy Highlights</w:t>
      </w:r>
    </w:p>
    <w:p>
      <w:pPr>
        <w:spacing w:after="0" w:line="267"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New Board Leadership Structure</w:t>
      </w:r>
    </w:p>
    <w:p>
      <w:pPr>
        <w:spacing w:after="0" w:line="180"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In June 2023, the board of directors implemented a new board leadership structure designed to provide balanced board leadership. As part of this new governance framework, the board elected Drs. Schleifer and Yancopoulos as co-Chairs of the Board, and the independent directors designated Ms. Poon as the board’s Lead Independent Director. Informed by shareholder feedback, the Lead Independent Director role was assigned a robust set of duties and responsibilities, which are set forth in Regeneron’s Lead Independent Director Charter and summarized in the subsection “Board of Directors – Board Governance – Board Leadership Structure.”</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Recent Director Refreshment</w:t>
      </w:r>
    </w:p>
    <w:p>
      <w:pPr>
        <w:spacing w:after="0" w:line="180"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In September 2023, Regeneron’s board of directors elected Kathryn Guarini, Ph.D. and David P. Schenkein, M.D. as board members. As shown below, in the last 18 months, three new directors have joined Regeneron’s board of directors and two directors have retired – a testament to the board’s commitment to thoughtful director refreshment. The board’s director search efforts prioritized diversity considerations, which enabled us to deliver on the previously announced goal of increasing board gender diversity to over 30%. The board’s director refreshment philosophy is further discussed in the subsection “Board of Directors – Board Governance – Director Refreshment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94615</wp:posOffset>
            </wp:positionV>
            <wp:extent cx="5532755" cy="1715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32755" cy="171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2</w:t>
            </w:r>
          </w:p>
        </w:tc>
      </w:tr>
      <w:tr>
        <w:trPr>
          <w:trHeight w:val="211"/>
        </w:trPr>
        <w:tc>
          <w:tcPr>
            <w:tcW w:w="7600" w:type="dxa"/>
            <w:vAlign w:val="bottom"/>
            <w:tcBorders>
              <w:bottom w:val="single" w:sz="8" w:color="C0C0C0"/>
            </w:tcBorders>
          </w:tcPr>
          <w:p>
            <w:pPr>
              <w:spacing w:after="0"/>
              <w:rPr>
                <w:sz w:val="18"/>
                <w:szCs w:val="18"/>
                <w:color w:val="auto"/>
              </w:rPr>
            </w:pPr>
          </w:p>
        </w:tc>
        <w:tc>
          <w:tcPr>
            <w:tcW w:w="366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6348095</wp:posOffset>
            </wp:positionH>
            <wp:positionV relativeFrom="paragraph">
              <wp:posOffset>-242570</wp:posOffset>
            </wp:positionV>
            <wp:extent cx="629285" cy="71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b w:val="1"/>
                <w:bCs w:val="1"/>
                <w:color w:val="0000EE"/>
                <w:w w:val="97"/>
              </w:rPr>
              <w:t>Back to Contents</w:t>
            </w:r>
          </w:p>
        </w:tc>
        <w:tc>
          <w:tcPr>
            <w:tcW w:w="2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85"/>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r>
      <w:tr>
        <w:trPr>
          <w:trHeight w:val="204"/>
        </w:trPr>
        <w:tc>
          <w:tcPr>
            <w:tcW w:w="84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4"/>
              </w:rPr>
              <w:t>Users’ Guide</w:t>
            </w:r>
          </w:p>
        </w:tc>
        <w:tc>
          <w:tcPr>
            <w:tcW w:w="140" w:type="dxa"/>
            <w:vAlign w:val="bottom"/>
          </w:tcPr>
          <w:p>
            <w:pPr>
              <w:spacing w:after="0"/>
              <w:rPr>
                <w:sz w:val="17"/>
                <w:szCs w:val="17"/>
                <w:color w:val="auto"/>
              </w:rPr>
            </w:pPr>
          </w:p>
        </w:tc>
        <w:tc>
          <w:tcPr>
            <w:tcW w:w="2720" w:type="dxa"/>
            <w:vAlign w:val="bottom"/>
          </w:tcPr>
          <w:p>
            <w:pPr>
              <w:ind w:left="104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5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Compensation and Governance Practices Designed to Drive Long-Term Performance</w:t>
      </w:r>
    </w:p>
    <w:p>
      <w:pPr>
        <w:spacing w:after="0" w:line="180"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We believe that governance and compensation practices at Regeneron must be “fit for purpose” and aligned with the long-term outlook that is required to turn rigorous scientific research into important new medicines, the ultimate driver of sustainable, long-term value creation for Regeneron’s shareholders. We encourage you to evaluate our compensation and governance practices with these considerations in mind.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Shareholder value creation over the last decade driven by relentless innovation and product pipeline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112395</wp:posOffset>
            </wp:positionV>
            <wp:extent cx="5360670" cy="3152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60670" cy="315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spacing w:after="0" w:line="243" w:lineRule="auto"/>
        <w:rPr>
          <w:sz w:val="20"/>
          <w:szCs w:val="20"/>
          <w:color w:val="auto"/>
        </w:rPr>
      </w:pPr>
      <w:r>
        <w:rPr>
          <w:rFonts w:ascii="Arial" w:cs="Arial" w:eastAsia="Arial" w:hAnsi="Arial"/>
          <w:sz w:val="12"/>
          <w:szCs w:val="12"/>
          <w:color w:val="auto"/>
        </w:rPr>
        <w:t>DME = diabetic macular edema; DR = diabetic retinopathy; LDL-C = low-density lipoprotein cholesterol; AD = atopic dermatitis; RA = rheumatoid arthritis; CSCC = cutaneous squamous cell carcinoma; CRSwNP = chronic rhinosinusitis with nasal polyposis; EUA = Emergency Use Authorization from FDA; FDA = U.S. Food and Drug Administration; HoFH = homozygous familial hypercholesterolemia; NSCLC = non-small cell lung cancer; BCC = basal cell carcinoma; EoE = eosinophilic esophagitis; PN = prurigo nodularis; ROP = retinopathy of prematurity; PMR = polymyalgia rheumatica; wAMD = wet age-related macular degeneration; CHAPLE = CD55-deficient protein-losing enteropathy; and NQ US Pharma = NASDAQ US Benchmark Pharmaceuticals Total Return Index. Consult the product label in each approved territory for specific information about the products and indications shown in this chart.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3</w:t>
            </w:r>
          </w:p>
        </w:tc>
      </w:tr>
      <w:tr>
        <w:trPr>
          <w:trHeight w:val="211"/>
        </w:trPr>
        <w:tc>
          <w:tcPr>
            <w:tcW w:w="7600" w:type="dxa"/>
            <w:vAlign w:val="bottom"/>
            <w:tcBorders>
              <w:bottom w:val="single" w:sz="8" w:color="C0C0C0"/>
            </w:tcBorders>
          </w:tcPr>
          <w:p>
            <w:pPr>
              <w:spacing w:after="0"/>
              <w:rPr>
                <w:sz w:val="18"/>
                <w:szCs w:val="18"/>
                <w:color w:val="auto"/>
              </w:rPr>
            </w:pPr>
          </w:p>
        </w:tc>
        <w:tc>
          <w:tcPr>
            <w:tcW w:w="366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6348095</wp:posOffset>
            </wp:positionH>
            <wp:positionV relativeFrom="paragraph">
              <wp:posOffset>-242570</wp:posOffset>
            </wp:positionV>
            <wp:extent cx="629285" cy="71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b w:val="1"/>
                <w:bCs w:val="1"/>
                <w:color w:val="0000EE"/>
                <w:w w:val="97"/>
              </w:rPr>
              <w:t>Back to Contents</w:t>
            </w:r>
          </w:p>
        </w:tc>
        <w:tc>
          <w:tcPr>
            <w:tcW w:w="2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85"/>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r>
      <w:tr>
        <w:trPr>
          <w:trHeight w:val="204"/>
        </w:trPr>
        <w:tc>
          <w:tcPr>
            <w:tcW w:w="84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4"/>
              </w:rPr>
              <w:t>Users’ Guide</w:t>
            </w:r>
          </w:p>
        </w:tc>
        <w:tc>
          <w:tcPr>
            <w:tcW w:w="140" w:type="dxa"/>
            <w:vAlign w:val="bottom"/>
          </w:tcPr>
          <w:p>
            <w:pPr>
              <w:spacing w:after="0"/>
              <w:rPr>
                <w:sz w:val="17"/>
                <w:szCs w:val="17"/>
                <w:color w:val="auto"/>
              </w:rPr>
            </w:pPr>
          </w:p>
        </w:tc>
        <w:tc>
          <w:tcPr>
            <w:tcW w:w="2720" w:type="dxa"/>
            <w:vAlign w:val="bottom"/>
          </w:tcPr>
          <w:p>
            <w:pPr>
              <w:ind w:left="104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5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r>
    </w:tbl>
    <w:p>
      <w:pPr>
        <w:spacing w:after="0" w:line="322"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Longstanding Commitment to Shareholder Engagement</w:t>
      </w:r>
    </w:p>
    <w:p>
      <w:pPr>
        <w:spacing w:after="0" w:line="180" w:lineRule="exact"/>
        <w:rPr>
          <w:sz w:val="20"/>
          <w:szCs w:val="20"/>
          <w:color w:val="auto"/>
        </w:rPr>
      </w:pPr>
    </w:p>
    <w:p>
      <w:pPr>
        <w:ind w:left="10" w:right="100"/>
        <w:spacing w:after="0" w:line="242" w:lineRule="auto"/>
        <w:rPr>
          <w:sz w:val="20"/>
          <w:szCs w:val="20"/>
          <w:color w:val="auto"/>
        </w:rPr>
      </w:pPr>
      <w:r>
        <w:rPr>
          <w:rFonts w:ascii="Arial" w:cs="Arial" w:eastAsia="Arial" w:hAnsi="Arial"/>
          <w:sz w:val="14"/>
          <w:szCs w:val="14"/>
          <w:color w:val="auto"/>
        </w:rPr>
        <w:t>In the last decade, we have actively and regularly engaged with our shareholders to receive feedback on many important areas including governance, compensation, and corporate responsibility matters. Shareholder feedback is discussed with management and, depending on the topic, relayed for consideration to the appropriate committee of the board of directors (typically the Compensation Committee or the Corporate Governance and Compliance Committee), the full board, or both. In recent years, shareholder input resulted in specific changes to our compensation and corporate governance practices and policies.</w:t>
      </w:r>
    </w:p>
    <w:p>
      <w:pPr>
        <w:spacing w:after="0" w:line="139" w:lineRule="exact"/>
        <w:rPr>
          <w:sz w:val="20"/>
          <w:szCs w:val="20"/>
          <w:color w:val="auto"/>
        </w:rPr>
      </w:pPr>
    </w:p>
    <w:p>
      <w:pPr>
        <w:ind w:left="10" w:right="240"/>
        <w:spacing w:after="0" w:line="340" w:lineRule="auto"/>
        <w:rPr>
          <w:sz w:val="20"/>
          <w:szCs w:val="20"/>
          <w:color w:val="auto"/>
        </w:rPr>
      </w:pPr>
      <w:r>
        <w:rPr>
          <w:rFonts w:ascii="Arial" w:cs="Arial" w:eastAsia="Arial" w:hAnsi="Arial"/>
          <w:sz w:val="12"/>
          <w:szCs w:val="12"/>
          <w:color w:val="auto"/>
        </w:rPr>
        <w:t>In 2023, we reached out to shareholders collectively representing approximately 60% of the public shares (i.e., shares of common stock outstanding as of December 31, 2023, excluding shares held by our directors and executive officers). This outreach resulted in one-on-one discussions with shareholders representing approximately 40% of our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58420</wp:posOffset>
            </wp:positionV>
            <wp:extent cx="4789170" cy="1922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89170" cy="192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rPr>
          <w:sz w:val="20"/>
          <w:szCs w:val="20"/>
          <w:color w:val="auto"/>
        </w:rPr>
      </w:pPr>
      <w:r>
        <w:rPr>
          <w:rFonts w:ascii="Arial" w:cs="Arial" w:eastAsia="Arial" w:hAnsi="Arial"/>
          <w:sz w:val="14"/>
          <w:szCs w:val="14"/>
          <w:color w:val="auto"/>
        </w:rPr>
        <w:t>Our 2023 engagement built on an active outreach program in prior years and focused on, among other matters:</w:t>
      </w:r>
    </w:p>
    <w:p>
      <w:pPr>
        <w:spacing w:after="0" w:line="152" w:lineRule="exact"/>
        <w:rPr>
          <w:sz w:val="20"/>
          <w:szCs w:val="20"/>
          <w:color w:val="auto"/>
        </w:rPr>
      </w:pPr>
    </w:p>
    <w:p>
      <w:pPr>
        <w:ind w:left="150" w:hanging="150"/>
        <w:spacing w:after="0"/>
        <w:tabs>
          <w:tab w:leader="none" w:pos="150" w:val="left"/>
        </w:tabs>
        <w:numPr>
          <w:ilvl w:val="0"/>
          <w:numId w:val="6"/>
        </w:numPr>
        <w:rPr>
          <w:rFonts w:ascii="Arial" w:cs="Arial" w:eastAsia="Arial" w:hAnsi="Arial"/>
          <w:sz w:val="14"/>
          <w:szCs w:val="14"/>
          <w:color w:val="215AA8"/>
        </w:rPr>
      </w:pPr>
      <w:r>
        <w:rPr>
          <w:rFonts w:ascii="Arial" w:cs="Arial" w:eastAsia="Arial" w:hAnsi="Arial"/>
          <w:sz w:val="14"/>
          <w:szCs w:val="14"/>
          <w:color w:val="auto"/>
        </w:rPr>
        <w:t xml:space="preserve">recent changes to </w:t>
      </w:r>
      <w:r>
        <w:rPr>
          <w:rFonts w:ascii="Arial" w:cs="Arial" w:eastAsia="Arial" w:hAnsi="Arial"/>
          <w:sz w:val="14"/>
          <w:szCs w:val="14"/>
          <w:b w:val="1"/>
          <w:bCs w:val="1"/>
          <w:color w:val="auto"/>
        </w:rPr>
        <w:t>our board leadership structure</w:t>
      </w:r>
      <w:r>
        <w:rPr>
          <w:rFonts w:ascii="Arial" w:cs="Arial" w:eastAsia="Arial" w:hAnsi="Arial"/>
          <w:sz w:val="14"/>
          <w:szCs w:val="14"/>
          <w:color w:val="auto"/>
        </w:rPr>
        <w:t xml:space="preserve"> (discussed further in the subsection “Board of Directors – Board Governance – Board Leadership Structure”);</w:t>
      </w:r>
    </w:p>
    <w:p>
      <w:pPr>
        <w:spacing w:after="0" w:line="64" w:lineRule="exact"/>
        <w:rPr>
          <w:rFonts w:ascii="Arial" w:cs="Arial" w:eastAsia="Arial" w:hAnsi="Arial"/>
          <w:sz w:val="14"/>
          <w:szCs w:val="14"/>
          <w:color w:val="215AA8"/>
        </w:rPr>
      </w:pPr>
    </w:p>
    <w:p>
      <w:pPr>
        <w:ind w:left="150" w:right="140" w:hanging="150"/>
        <w:spacing w:after="0" w:line="260" w:lineRule="auto"/>
        <w:tabs>
          <w:tab w:leader="none" w:pos="150" w:val="left"/>
        </w:tabs>
        <w:numPr>
          <w:ilvl w:val="0"/>
          <w:numId w:val="6"/>
        </w:numPr>
        <w:rPr>
          <w:rFonts w:ascii="Arial" w:cs="Arial" w:eastAsia="Arial" w:hAnsi="Arial"/>
          <w:sz w:val="14"/>
          <w:szCs w:val="14"/>
          <w:color w:val="215AA8"/>
        </w:rPr>
      </w:pPr>
      <w:r>
        <w:rPr>
          <w:rFonts w:ascii="Arial" w:cs="Arial" w:eastAsia="Arial" w:hAnsi="Arial"/>
          <w:sz w:val="14"/>
          <w:szCs w:val="14"/>
          <w:color w:val="auto"/>
        </w:rPr>
        <w:t xml:space="preserve">the board’s </w:t>
      </w:r>
      <w:r>
        <w:rPr>
          <w:rFonts w:ascii="Arial" w:cs="Arial" w:eastAsia="Arial" w:hAnsi="Arial"/>
          <w:sz w:val="14"/>
          <w:szCs w:val="14"/>
          <w:b w:val="1"/>
          <w:bCs w:val="1"/>
          <w:color w:val="auto"/>
        </w:rPr>
        <w:t>director refreshment</w:t>
      </w:r>
      <w:r>
        <w:rPr>
          <w:rFonts w:ascii="Arial" w:cs="Arial" w:eastAsia="Arial" w:hAnsi="Arial"/>
          <w:sz w:val="14"/>
          <w:szCs w:val="14"/>
          <w:color w:val="auto"/>
        </w:rPr>
        <w:t xml:space="preserve"> efforts, including how the additions of Drs. Guarini and Schenkein as directors in the fall of 2023 were consistent with the board’s director refreshment philosophy (discussed further in the subsection “Board of Directors – Board Governance – Director Refreshment Philosophy”);</w:t>
      </w:r>
    </w:p>
    <w:p>
      <w:pPr>
        <w:spacing w:after="0" w:line="33" w:lineRule="exact"/>
        <w:rPr>
          <w:rFonts w:ascii="Arial" w:cs="Arial" w:eastAsia="Arial" w:hAnsi="Arial"/>
          <w:sz w:val="14"/>
          <w:szCs w:val="14"/>
          <w:color w:val="215AA8"/>
        </w:rPr>
      </w:pPr>
    </w:p>
    <w:p>
      <w:pPr>
        <w:ind w:left="150" w:right="80" w:hanging="150"/>
        <w:spacing w:after="0" w:line="260" w:lineRule="auto"/>
        <w:tabs>
          <w:tab w:leader="none" w:pos="150" w:val="left"/>
        </w:tabs>
        <w:numPr>
          <w:ilvl w:val="0"/>
          <w:numId w:val="6"/>
        </w:numPr>
        <w:rPr>
          <w:rFonts w:ascii="Arial" w:cs="Arial" w:eastAsia="Arial" w:hAnsi="Arial"/>
          <w:sz w:val="14"/>
          <w:szCs w:val="14"/>
          <w:color w:val="215AA8"/>
        </w:rPr>
      </w:pPr>
      <w:r>
        <w:rPr>
          <w:rFonts w:ascii="Arial" w:cs="Arial" w:eastAsia="Arial" w:hAnsi="Arial"/>
          <w:sz w:val="14"/>
          <w:szCs w:val="14"/>
          <w:color w:val="auto"/>
        </w:rPr>
        <w:t xml:space="preserve">the board’s previously disclosed goal to increase </w:t>
      </w:r>
      <w:r>
        <w:rPr>
          <w:rFonts w:ascii="Arial" w:cs="Arial" w:eastAsia="Arial" w:hAnsi="Arial"/>
          <w:sz w:val="14"/>
          <w:szCs w:val="14"/>
          <w:b w:val="1"/>
          <w:bCs w:val="1"/>
          <w:color w:val="auto"/>
        </w:rPr>
        <w:t>board gender diversity</w:t>
      </w:r>
      <w:r>
        <w:rPr>
          <w:rFonts w:ascii="Arial" w:cs="Arial" w:eastAsia="Arial" w:hAnsi="Arial"/>
          <w:sz w:val="14"/>
          <w:szCs w:val="14"/>
          <w:color w:val="auto"/>
        </w:rPr>
        <w:t>, which contributed to the selection of Dr. Guarini as a director candidate and her election to the board in the fall of 2023 (see the subsection “Board of Directors – Board Governance – Director Refreshment Philosophy”);</w:t>
      </w:r>
    </w:p>
    <w:p>
      <w:pPr>
        <w:spacing w:after="0" w:line="33" w:lineRule="exact"/>
        <w:rPr>
          <w:rFonts w:ascii="Arial" w:cs="Arial" w:eastAsia="Arial" w:hAnsi="Arial"/>
          <w:sz w:val="14"/>
          <w:szCs w:val="14"/>
          <w:color w:val="215AA8"/>
        </w:rPr>
      </w:pPr>
    </w:p>
    <w:p>
      <w:pPr>
        <w:ind w:left="150" w:hanging="150"/>
        <w:spacing w:after="0"/>
        <w:tabs>
          <w:tab w:leader="none" w:pos="150" w:val="left"/>
        </w:tabs>
        <w:numPr>
          <w:ilvl w:val="0"/>
          <w:numId w:val="6"/>
        </w:numPr>
        <w:rPr>
          <w:rFonts w:ascii="Arial" w:cs="Arial" w:eastAsia="Arial" w:hAnsi="Arial"/>
          <w:sz w:val="12"/>
          <w:szCs w:val="12"/>
          <w:color w:val="215AA8"/>
        </w:rPr>
      </w:pPr>
      <w:r>
        <w:rPr>
          <w:rFonts w:ascii="Arial" w:cs="Arial" w:eastAsia="Arial" w:hAnsi="Arial"/>
          <w:sz w:val="12"/>
          <w:szCs w:val="12"/>
          <w:color w:val="auto"/>
        </w:rPr>
        <w:t xml:space="preserve">the Company’s </w:t>
      </w:r>
      <w:r>
        <w:rPr>
          <w:rFonts w:ascii="Arial" w:cs="Arial" w:eastAsia="Arial" w:hAnsi="Arial"/>
          <w:sz w:val="12"/>
          <w:szCs w:val="12"/>
          <w:b w:val="1"/>
          <w:bCs w:val="1"/>
          <w:color w:val="auto"/>
        </w:rPr>
        <w:t>classified board structure</w:t>
      </w:r>
      <w:r>
        <w:rPr>
          <w:rFonts w:ascii="Arial" w:cs="Arial" w:eastAsia="Arial" w:hAnsi="Arial"/>
          <w:sz w:val="12"/>
          <w:szCs w:val="12"/>
          <w:color w:val="auto"/>
        </w:rPr>
        <w:t>, including relevant considerations unique to the Company and its long-term orientation (discussed further in the subsection “Board of Directors</w:t>
      </w:r>
    </w:p>
    <w:p>
      <w:pPr>
        <w:spacing w:after="0" w:line="33" w:lineRule="exact"/>
        <w:rPr>
          <w:rFonts w:ascii="Arial" w:cs="Arial" w:eastAsia="Arial" w:hAnsi="Arial"/>
          <w:sz w:val="12"/>
          <w:szCs w:val="12"/>
          <w:color w:val="215AA8"/>
        </w:rPr>
      </w:pPr>
    </w:p>
    <w:p>
      <w:pPr>
        <w:ind w:left="150"/>
        <w:spacing w:after="0"/>
        <w:rPr>
          <w:rFonts w:ascii="Arial" w:cs="Arial" w:eastAsia="Arial" w:hAnsi="Arial"/>
          <w:sz w:val="12"/>
          <w:szCs w:val="12"/>
          <w:color w:val="215AA8"/>
        </w:rPr>
      </w:pPr>
      <w:r>
        <w:rPr>
          <w:rFonts w:ascii="Arial" w:cs="Arial" w:eastAsia="Arial" w:hAnsi="Arial"/>
          <w:sz w:val="14"/>
          <w:szCs w:val="14"/>
          <w:color w:val="auto"/>
        </w:rPr>
        <w:t>– Board Governance – Board Structure”); and</w:t>
      </w:r>
    </w:p>
    <w:p>
      <w:pPr>
        <w:spacing w:after="0" w:line="50" w:lineRule="exact"/>
        <w:rPr>
          <w:rFonts w:ascii="Arial" w:cs="Arial" w:eastAsia="Arial" w:hAnsi="Arial"/>
          <w:sz w:val="12"/>
          <w:szCs w:val="12"/>
          <w:color w:val="215AA8"/>
        </w:rPr>
      </w:pPr>
    </w:p>
    <w:p>
      <w:pPr>
        <w:ind w:left="150" w:right="140" w:hanging="150"/>
        <w:spacing w:after="0" w:line="247" w:lineRule="auto"/>
        <w:tabs>
          <w:tab w:leader="none" w:pos="150" w:val="left"/>
        </w:tabs>
        <w:numPr>
          <w:ilvl w:val="0"/>
          <w:numId w:val="6"/>
        </w:numPr>
        <w:rPr>
          <w:rFonts w:ascii="Arial" w:cs="Arial" w:eastAsia="Arial" w:hAnsi="Arial"/>
          <w:sz w:val="14"/>
          <w:szCs w:val="14"/>
          <w:color w:val="215AA8"/>
        </w:rPr>
      </w:pPr>
      <w:r>
        <w:rPr>
          <w:rFonts w:ascii="Arial" w:cs="Arial" w:eastAsia="Arial" w:hAnsi="Arial"/>
          <w:sz w:val="14"/>
          <w:szCs w:val="14"/>
          <w:color w:val="auto"/>
        </w:rPr>
        <w:t xml:space="preserve">the Company’s </w:t>
      </w:r>
      <w:r>
        <w:rPr>
          <w:rFonts w:ascii="Arial" w:cs="Arial" w:eastAsia="Arial" w:hAnsi="Arial"/>
          <w:sz w:val="14"/>
          <w:szCs w:val="14"/>
          <w:b w:val="1"/>
          <w:bCs w:val="1"/>
          <w:color w:val="auto"/>
        </w:rPr>
        <w:t>dual-class capital structure</w:t>
      </w:r>
      <w:r>
        <w:rPr>
          <w:rFonts w:ascii="Arial" w:cs="Arial" w:eastAsia="Arial" w:hAnsi="Arial"/>
          <w:sz w:val="14"/>
          <w:szCs w:val="14"/>
          <w:color w:val="auto"/>
        </w:rPr>
        <w:t>, including relevant mitigating factors such as the steady decline in the number of shares of Class A stock outstanding since the Company’s initial public offering (“IPO”) and the relatively low percentage of overall votes controlled by the Class A shareholders, particularly when compared to other founder-led companies (discussed further in the subsection “The Company – Corporate Governance – Capital Structure”).</w:t>
      </w:r>
    </w:p>
    <w:p>
      <w:pPr>
        <w:spacing w:after="0" w:line="135" w:lineRule="exact"/>
        <w:rPr>
          <w:sz w:val="20"/>
          <w:szCs w:val="20"/>
          <w:color w:val="auto"/>
        </w:rPr>
      </w:pPr>
    </w:p>
    <w:p>
      <w:pPr>
        <w:ind w:left="10" w:right="140"/>
        <w:spacing w:after="0" w:line="242" w:lineRule="auto"/>
        <w:rPr>
          <w:sz w:val="20"/>
          <w:szCs w:val="20"/>
          <w:color w:val="auto"/>
        </w:rPr>
      </w:pPr>
      <w:r>
        <w:rPr>
          <w:rFonts w:ascii="Arial" w:cs="Arial" w:eastAsia="Arial" w:hAnsi="Arial"/>
          <w:sz w:val="14"/>
          <w:szCs w:val="14"/>
          <w:color w:val="auto"/>
        </w:rPr>
        <w:t>We had meaningful and candid discussions about these and other corporate governance topics in 2023, and the feedback received from shareholders was discussed in detail at the board level, including by way of regular updates on specific shareholder comments provided to the Corporate Governance and Compliance Committee. We remain committed to continued engagement with shareholders to understand your viewpoints and better convey the board’s approach to corporate governance with the goal of ensuring independent oversight of management’s execution of our business strategy and the continued creation of sustainable shareholder value.</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60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4</w:t>
            </w:r>
          </w:p>
        </w:tc>
      </w:tr>
      <w:tr>
        <w:trPr>
          <w:trHeight w:val="211"/>
        </w:trPr>
        <w:tc>
          <w:tcPr>
            <w:tcW w:w="7600" w:type="dxa"/>
            <w:vAlign w:val="bottom"/>
            <w:tcBorders>
              <w:bottom w:val="single" w:sz="8" w:color="C0C0C0"/>
            </w:tcBorders>
          </w:tcPr>
          <w:p>
            <w:pPr>
              <w:spacing w:after="0"/>
              <w:rPr>
                <w:sz w:val="18"/>
                <w:szCs w:val="18"/>
                <w:color w:val="auto"/>
              </w:rPr>
            </w:pPr>
          </w:p>
        </w:tc>
        <w:tc>
          <w:tcPr>
            <w:tcW w:w="366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6354445</wp:posOffset>
            </wp:positionH>
            <wp:positionV relativeFrom="paragraph">
              <wp:posOffset>-242570</wp:posOffset>
            </wp:positionV>
            <wp:extent cx="629285" cy="71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b w:val="1"/>
                <w:bCs w:val="1"/>
                <w:color w:val="0000EE"/>
                <w:w w:val="97"/>
              </w:rPr>
              <w:t>Back to Contents</w:t>
            </w:r>
          </w:p>
        </w:tc>
        <w:tc>
          <w:tcPr>
            <w:tcW w:w="2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85"/>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r>
      <w:tr>
        <w:trPr>
          <w:trHeight w:val="204"/>
        </w:trPr>
        <w:tc>
          <w:tcPr>
            <w:tcW w:w="84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4"/>
              </w:rPr>
              <w:t>Users’ Guide</w:t>
            </w:r>
          </w:p>
        </w:tc>
        <w:tc>
          <w:tcPr>
            <w:tcW w:w="140" w:type="dxa"/>
            <w:vAlign w:val="bottom"/>
          </w:tcPr>
          <w:p>
            <w:pPr>
              <w:spacing w:after="0"/>
              <w:rPr>
                <w:sz w:val="17"/>
                <w:szCs w:val="17"/>
                <w:color w:val="auto"/>
              </w:rPr>
            </w:pPr>
          </w:p>
        </w:tc>
        <w:tc>
          <w:tcPr>
            <w:tcW w:w="2720" w:type="dxa"/>
            <w:vAlign w:val="bottom"/>
          </w:tcPr>
          <w:p>
            <w:pPr>
              <w:ind w:left="104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5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r>
    </w:tbl>
    <w:p>
      <w:pPr>
        <w:spacing w:after="0" w:line="200" w:lineRule="exact"/>
        <w:rPr>
          <w:sz w:val="20"/>
          <w:szCs w:val="20"/>
          <w:color w:val="auto"/>
        </w:rPr>
      </w:pPr>
    </w:p>
    <w:p>
      <w:pPr>
        <w:spacing w:after="0" w:line="263" w:lineRule="exact"/>
        <w:rPr>
          <w:sz w:val="20"/>
          <w:szCs w:val="20"/>
          <w:color w:val="auto"/>
        </w:rPr>
      </w:pPr>
    </w:p>
    <w:p>
      <w:pPr>
        <w:ind w:left="1120"/>
        <w:spacing w:after="0"/>
        <w:rPr>
          <w:sz w:val="20"/>
          <w:szCs w:val="20"/>
          <w:color w:val="auto"/>
        </w:rPr>
      </w:pPr>
      <w:r>
        <w:rPr>
          <w:rFonts w:ascii="Arial" w:cs="Arial" w:eastAsia="Arial" w:hAnsi="Arial"/>
          <w:sz w:val="21"/>
          <w:szCs w:val="21"/>
          <w:b w:val="1"/>
          <w:bCs w:val="1"/>
          <w:color w:val="215AA8"/>
        </w:rPr>
        <w:t>Board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-67945</wp:posOffset>
            </wp:positionV>
            <wp:extent cx="5675630" cy="7376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5630" cy="7376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5</w:t>
            </w:r>
          </w:p>
        </w:tc>
      </w:tr>
      <w:tr>
        <w:trPr>
          <w:trHeight w:val="211"/>
        </w:trPr>
        <w:tc>
          <w:tcPr>
            <w:tcW w:w="7600" w:type="dxa"/>
            <w:vAlign w:val="bottom"/>
            <w:tcBorders>
              <w:bottom w:val="single" w:sz="8" w:color="C0C0C0"/>
            </w:tcBorders>
          </w:tcPr>
          <w:p>
            <w:pPr>
              <w:spacing w:after="0"/>
              <w:rPr>
                <w:sz w:val="18"/>
                <w:szCs w:val="18"/>
                <w:color w:val="auto"/>
              </w:rPr>
            </w:pPr>
          </w:p>
        </w:tc>
        <w:tc>
          <w:tcPr>
            <w:tcW w:w="366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6348095</wp:posOffset>
            </wp:positionH>
            <wp:positionV relativeFrom="paragraph">
              <wp:posOffset>-242570</wp:posOffset>
            </wp:positionV>
            <wp:extent cx="629285" cy="71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0"/>
        <w:spacing w:after="0"/>
        <w:rPr>
          <w:sz w:val="20"/>
          <w:szCs w:val="20"/>
          <w:color w:val="auto"/>
        </w:rPr>
      </w:pPr>
      <w:r>
        <w:rPr>
          <w:rFonts w:ascii="Arial" w:cs="Arial" w:eastAsia="Arial" w:hAnsi="Arial"/>
          <w:sz w:val="42"/>
          <w:szCs w:val="42"/>
          <w:b w:val="1"/>
          <w:bCs w:val="1"/>
          <w:color w:val="215AA8"/>
        </w:rPr>
        <w:t>Board of Directors</w:t>
      </w:r>
    </w:p>
    <w:p>
      <w:pPr>
        <w:spacing w:after="0" w:line="364"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D60058"/>
        </w:rPr>
        <w:t>Meet the Board</w:t>
      </w:r>
    </w:p>
    <w:p>
      <w:pPr>
        <w:spacing w:after="0" w:line="180" w:lineRule="exact"/>
        <w:rPr>
          <w:sz w:val="20"/>
          <w:szCs w:val="20"/>
          <w:color w:val="auto"/>
        </w:rPr>
      </w:pPr>
    </w:p>
    <w:p>
      <w:pPr>
        <w:ind w:left="10" w:right="400"/>
        <w:spacing w:after="0" w:line="257" w:lineRule="auto"/>
        <w:rPr>
          <w:sz w:val="20"/>
          <w:szCs w:val="20"/>
          <w:color w:val="auto"/>
        </w:rPr>
      </w:pPr>
      <w:r>
        <w:rPr>
          <w:rFonts w:ascii="Arial" w:cs="Arial" w:eastAsia="Arial" w:hAnsi="Arial"/>
          <w:sz w:val="14"/>
          <w:szCs w:val="14"/>
          <w:color w:val="auto"/>
        </w:rPr>
        <w:t>At Regeneron, we lead with science as we pursue our mission of repeatedly bringing life-changing medicines to patients. Our business is built on investment in our deep scientific and technological capabilities, which drives our research, preclinical development, clinical, and manufacturing efforts.</w:t>
      </w:r>
    </w:p>
    <w:p>
      <w:pPr>
        <w:spacing w:after="0" w:line="128" w:lineRule="exact"/>
        <w:rPr>
          <w:sz w:val="20"/>
          <w:szCs w:val="20"/>
          <w:color w:val="auto"/>
        </w:rPr>
      </w:pPr>
    </w:p>
    <w:p>
      <w:pPr>
        <w:ind w:left="10" w:right="180"/>
        <w:spacing w:after="0"/>
        <w:rPr>
          <w:sz w:val="20"/>
          <w:szCs w:val="20"/>
          <w:color w:val="auto"/>
        </w:rPr>
      </w:pPr>
      <w:r>
        <w:rPr>
          <w:rFonts w:ascii="Arial" w:cs="Arial" w:eastAsia="Arial" w:hAnsi="Arial"/>
          <w:sz w:val="14"/>
          <w:szCs w:val="14"/>
          <w:color w:val="auto"/>
        </w:rPr>
        <w:t>The composition of our board is shaped by this business model and the recognition that our board members must have predominantly science-based backgrounds to effectively provide robust, independent oversight of management. The current makeup of our board reflects this principle: Six of our 13 directors are members of the National Academy of Sciences, and our board includes two Nobel laureates and holders of many scientific awards. In addition, the board includes individuals with experience building shareholder value through all stages of corporate development. Various members also bring substantial governance, financial, policy, and management expertise gained from their professional backgrounds and their service on other boards.</w:t>
      </w:r>
    </w:p>
    <w:p>
      <w:pPr>
        <w:spacing w:after="0" w:line="141" w:lineRule="exact"/>
        <w:rPr>
          <w:sz w:val="20"/>
          <w:szCs w:val="20"/>
          <w:color w:val="auto"/>
        </w:rPr>
      </w:pPr>
    </w:p>
    <w:p>
      <w:pPr>
        <w:ind w:left="10" w:right="80"/>
        <w:spacing w:after="0" w:line="246" w:lineRule="auto"/>
        <w:rPr>
          <w:sz w:val="20"/>
          <w:szCs w:val="20"/>
          <w:color w:val="auto"/>
        </w:rPr>
      </w:pPr>
      <w:r>
        <w:rPr>
          <w:rFonts w:ascii="Arial" w:cs="Arial" w:eastAsia="Arial" w:hAnsi="Arial"/>
          <w:sz w:val="14"/>
          <w:szCs w:val="14"/>
          <w:color w:val="auto"/>
        </w:rPr>
        <w:t>The board’s composition also reflects our commitment to ensure diversity of thought, experience, attributes, and background, as demonstrated by the fact that four of our board’s current 13 members are women and four members are racially or ethnically diverse. The following Board Diversity Matrix sets forth certain diversity information as self-reported by the current members of the board.</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3860" w:type="dxa"/>
            <w:vAlign w:val="bottom"/>
            <w:tcBorders>
              <w:bottom w:val="single" w:sz="8" w:color="215AA8"/>
            </w:tcBorders>
          </w:tcPr>
          <w:p>
            <w:pPr>
              <w:spacing w:after="0"/>
              <w:rPr>
                <w:sz w:val="20"/>
                <w:szCs w:val="20"/>
                <w:color w:val="auto"/>
              </w:rPr>
            </w:pPr>
            <w:r>
              <w:rPr>
                <w:rFonts w:ascii="Arial" w:cs="Arial" w:eastAsia="Arial" w:hAnsi="Arial"/>
                <w:sz w:val="15"/>
                <w:szCs w:val="15"/>
                <w:b w:val="1"/>
                <w:bCs w:val="1"/>
                <w:color w:val="D60058"/>
              </w:rPr>
              <w:t>Board Diversity Matrix*</w:t>
            </w:r>
          </w:p>
        </w:tc>
        <w:tc>
          <w:tcPr>
            <w:tcW w:w="2220" w:type="dxa"/>
            <w:vAlign w:val="bottom"/>
            <w:tcBorders>
              <w:bottom w:val="single" w:sz="8" w:color="215AA8"/>
            </w:tcBorders>
          </w:tcPr>
          <w:p>
            <w:pPr>
              <w:spacing w:after="0"/>
              <w:rPr>
                <w:sz w:val="20"/>
                <w:szCs w:val="20"/>
                <w:color w:val="auto"/>
              </w:rPr>
            </w:pPr>
          </w:p>
        </w:tc>
        <w:tc>
          <w:tcPr>
            <w:tcW w:w="960" w:type="dxa"/>
            <w:vAlign w:val="bottom"/>
            <w:tcBorders>
              <w:bottom w:val="single" w:sz="8" w:color="215AA8"/>
            </w:tcBorders>
          </w:tcPr>
          <w:p>
            <w:pPr>
              <w:spacing w:after="0"/>
              <w:rPr>
                <w:sz w:val="20"/>
                <w:szCs w:val="20"/>
                <w:color w:val="auto"/>
              </w:rPr>
            </w:pPr>
          </w:p>
        </w:tc>
        <w:tc>
          <w:tcPr>
            <w:tcW w:w="2780" w:type="dxa"/>
            <w:vAlign w:val="bottom"/>
          </w:tcPr>
          <w:p>
            <w:pPr>
              <w:ind w:left="280"/>
              <w:spacing w:after="0"/>
              <w:rPr>
                <w:sz w:val="20"/>
                <w:szCs w:val="20"/>
                <w:color w:val="auto"/>
              </w:rPr>
            </w:pPr>
            <w:r>
              <w:rPr>
                <w:rFonts w:ascii="Arial" w:cs="Arial" w:eastAsia="Arial" w:hAnsi="Arial"/>
                <w:sz w:val="15"/>
                <w:szCs w:val="15"/>
                <w:b w:val="1"/>
                <w:bCs w:val="1"/>
                <w:color w:val="D60058"/>
                <w:w w:val="99"/>
              </w:rPr>
              <w:t>Gender and Racial/Ethnic Diversity</w:t>
            </w:r>
          </w:p>
        </w:tc>
      </w:tr>
      <w:tr>
        <w:trPr>
          <w:trHeight w:val="259"/>
        </w:trPr>
        <w:tc>
          <w:tcPr>
            <w:tcW w:w="3860" w:type="dxa"/>
            <w:vAlign w:val="bottom"/>
            <w:tcBorders>
              <w:bottom w:val="single" w:sz="8" w:color="949599"/>
            </w:tcBorders>
          </w:tcPr>
          <w:p>
            <w:pPr>
              <w:ind w:left="40"/>
              <w:spacing w:after="0"/>
              <w:rPr>
                <w:sz w:val="20"/>
                <w:szCs w:val="20"/>
                <w:color w:val="auto"/>
              </w:rPr>
            </w:pPr>
            <w:r>
              <w:rPr>
                <w:rFonts w:ascii="Arial" w:cs="Arial" w:eastAsia="Arial" w:hAnsi="Arial"/>
                <w:sz w:val="14"/>
                <w:szCs w:val="14"/>
                <w:color w:val="auto"/>
              </w:rPr>
              <w:t>Total Number of Directors</w:t>
            </w:r>
          </w:p>
        </w:tc>
        <w:tc>
          <w:tcPr>
            <w:tcW w:w="2220" w:type="dxa"/>
            <w:vAlign w:val="bottom"/>
            <w:tcBorders>
              <w:bottom w:val="single" w:sz="8" w:color="949599"/>
            </w:tcBorders>
          </w:tcPr>
          <w:p>
            <w:pPr>
              <w:spacing w:after="0"/>
              <w:rPr>
                <w:sz w:val="22"/>
                <w:szCs w:val="22"/>
                <w:color w:val="auto"/>
              </w:rPr>
            </w:pPr>
          </w:p>
        </w:tc>
        <w:tc>
          <w:tcPr>
            <w:tcW w:w="960" w:type="dxa"/>
            <w:vAlign w:val="bottom"/>
            <w:tcBorders>
              <w:bottom w:val="single" w:sz="8" w:color="949599"/>
            </w:tcBorders>
          </w:tcPr>
          <w:p>
            <w:pPr>
              <w:jc w:val="right"/>
              <w:ind w:right="692"/>
              <w:spacing w:after="0"/>
              <w:rPr>
                <w:sz w:val="20"/>
                <w:szCs w:val="20"/>
                <w:color w:val="auto"/>
              </w:rPr>
            </w:pPr>
            <w:r>
              <w:rPr>
                <w:rFonts w:ascii="Arial" w:cs="Arial" w:eastAsia="Arial" w:hAnsi="Arial"/>
                <w:sz w:val="14"/>
                <w:szCs w:val="14"/>
                <w:b w:val="1"/>
                <w:bCs w:val="1"/>
                <w:color w:val="auto"/>
              </w:rPr>
              <w:t>13</w:t>
            </w:r>
          </w:p>
        </w:tc>
        <w:tc>
          <w:tcPr>
            <w:tcW w:w="2780" w:type="dxa"/>
            <w:vAlign w:val="bottom"/>
          </w:tcPr>
          <w:p>
            <w:pPr>
              <w:spacing w:after="0"/>
              <w:rPr>
                <w:sz w:val="22"/>
                <w:szCs w:val="22"/>
                <w:color w:val="auto"/>
              </w:rPr>
            </w:pPr>
          </w:p>
        </w:tc>
      </w:tr>
      <w:tr>
        <w:trPr>
          <w:trHeight w:val="261"/>
        </w:trPr>
        <w:tc>
          <w:tcPr>
            <w:tcW w:w="3860" w:type="dxa"/>
            <w:vAlign w:val="bottom"/>
          </w:tcPr>
          <w:p>
            <w:pPr>
              <w:spacing w:after="0"/>
              <w:rPr>
                <w:sz w:val="22"/>
                <w:szCs w:val="22"/>
                <w:color w:val="auto"/>
              </w:rPr>
            </w:pPr>
          </w:p>
        </w:tc>
        <w:tc>
          <w:tcPr>
            <w:tcW w:w="2220" w:type="dxa"/>
            <w:vAlign w:val="bottom"/>
          </w:tcPr>
          <w:p>
            <w:pPr>
              <w:ind w:left="1680"/>
              <w:spacing w:after="0"/>
              <w:rPr>
                <w:sz w:val="20"/>
                <w:szCs w:val="20"/>
                <w:color w:val="auto"/>
              </w:rPr>
            </w:pPr>
            <w:r>
              <w:rPr>
                <w:rFonts w:ascii="Arial" w:cs="Arial" w:eastAsia="Arial" w:hAnsi="Arial"/>
                <w:sz w:val="14"/>
                <w:szCs w:val="14"/>
                <w:b w:val="1"/>
                <w:bCs w:val="1"/>
                <w:color w:val="215AA8"/>
              </w:rPr>
              <w:t>Female</w:t>
            </w:r>
          </w:p>
        </w:tc>
        <w:tc>
          <w:tcPr>
            <w:tcW w:w="3740" w:type="dxa"/>
            <w:vAlign w:val="bottom"/>
            <w:gridSpan w:val="2"/>
          </w:tcPr>
          <w:p>
            <w:pPr>
              <w:jc w:val="center"/>
              <w:ind w:right="2485"/>
              <w:spacing w:after="0"/>
              <w:rPr>
                <w:sz w:val="20"/>
                <w:szCs w:val="20"/>
                <w:color w:val="auto"/>
              </w:rPr>
            </w:pPr>
            <w:r>
              <w:rPr>
                <w:rFonts w:ascii="Arial" w:cs="Arial" w:eastAsia="Arial" w:hAnsi="Arial"/>
                <w:sz w:val="14"/>
                <w:szCs w:val="14"/>
                <w:b w:val="1"/>
                <w:bCs w:val="1"/>
                <w:color w:val="215AA8"/>
                <w:w w:val="96"/>
              </w:rPr>
              <w:t>Male</w:t>
            </w:r>
          </w:p>
        </w:tc>
      </w:tr>
      <w:tr>
        <w:trPr>
          <w:trHeight w:val="261"/>
        </w:trPr>
        <w:tc>
          <w:tcPr>
            <w:tcW w:w="3860" w:type="dxa"/>
            <w:vAlign w:val="bottom"/>
            <w:tcBorders>
              <w:top w:val="single" w:sz="8" w:color="949599"/>
              <w:bottom w:val="single" w:sz="8" w:color="949599"/>
            </w:tcBorders>
          </w:tcPr>
          <w:p>
            <w:pPr>
              <w:ind w:left="40"/>
              <w:spacing w:after="0"/>
              <w:rPr>
                <w:sz w:val="20"/>
                <w:szCs w:val="20"/>
                <w:color w:val="auto"/>
              </w:rPr>
            </w:pPr>
            <w:r>
              <w:rPr>
                <w:rFonts w:ascii="Arial" w:cs="Arial" w:eastAsia="Arial" w:hAnsi="Arial"/>
                <w:sz w:val="14"/>
                <w:szCs w:val="14"/>
                <w:b w:val="1"/>
                <w:bCs w:val="1"/>
                <w:color w:val="215AA8"/>
              </w:rPr>
              <w:t>Part I: Gender Identity</w:t>
            </w:r>
          </w:p>
        </w:tc>
        <w:tc>
          <w:tcPr>
            <w:tcW w:w="2220" w:type="dxa"/>
            <w:vAlign w:val="bottom"/>
            <w:tcBorders>
              <w:top w:val="single" w:sz="8" w:color="949599"/>
              <w:bottom w:val="single" w:sz="8" w:color="949599"/>
            </w:tcBorders>
          </w:tcPr>
          <w:p>
            <w:pPr>
              <w:spacing w:after="0"/>
              <w:rPr>
                <w:sz w:val="22"/>
                <w:szCs w:val="22"/>
                <w:color w:val="auto"/>
              </w:rPr>
            </w:pPr>
          </w:p>
        </w:tc>
        <w:tc>
          <w:tcPr>
            <w:tcW w:w="960" w:type="dxa"/>
            <w:vAlign w:val="bottom"/>
            <w:tcBorders>
              <w:top w:val="single" w:sz="8" w:color="949599"/>
              <w:bottom w:val="single" w:sz="8" w:color="949599"/>
            </w:tcBorders>
          </w:tcPr>
          <w:p>
            <w:pPr>
              <w:spacing w:after="0"/>
              <w:rPr>
                <w:sz w:val="22"/>
                <w:szCs w:val="22"/>
                <w:color w:val="auto"/>
              </w:rPr>
            </w:pPr>
          </w:p>
        </w:tc>
        <w:tc>
          <w:tcPr>
            <w:tcW w:w="2780" w:type="dxa"/>
            <w:vAlign w:val="bottom"/>
          </w:tcPr>
          <w:p>
            <w:pPr>
              <w:spacing w:after="0"/>
              <w:rPr>
                <w:sz w:val="22"/>
                <w:szCs w:val="22"/>
                <w:color w:val="auto"/>
              </w:rPr>
            </w:pPr>
          </w:p>
        </w:tc>
      </w:tr>
      <w:tr>
        <w:trPr>
          <w:trHeight w:val="261"/>
        </w:trPr>
        <w:tc>
          <w:tcPr>
            <w:tcW w:w="3860" w:type="dxa"/>
            <w:vAlign w:val="bottom"/>
            <w:tcBorders>
              <w:bottom w:val="single" w:sz="8" w:color="949599"/>
            </w:tcBorders>
          </w:tcPr>
          <w:p>
            <w:pPr>
              <w:ind w:left="40"/>
              <w:spacing w:after="0"/>
              <w:rPr>
                <w:sz w:val="20"/>
                <w:szCs w:val="20"/>
                <w:color w:val="auto"/>
              </w:rPr>
            </w:pPr>
            <w:r>
              <w:rPr>
                <w:rFonts w:ascii="Arial" w:cs="Arial" w:eastAsia="Arial" w:hAnsi="Arial"/>
                <w:sz w:val="14"/>
                <w:szCs w:val="14"/>
                <w:color w:val="auto"/>
              </w:rPr>
              <w:t>Directors</w:t>
            </w:r>
          </w:p>
        </w:tc>
        <w:tc>
          <w:tcPr>
            <w:tcW w:w="2220" w:type="dxa"/>
            <w:vAlign w:val="bottom"/>
            <w:tcBorders>
              <w:bottom w:val="single" w:sz="8" w:color="949599"/>
            </w:tcBorders>
          </w:tcPr>
          <w:p>
            <w:pPr>
              <w:jc w:val="center"/>
              <w:ind w:left="1552"/>
              <w:spacing w:after="0"/>
              <w:rPr>
                <w:sz w:val="20"/>
                <w:szCs w:val="20"/>
                <w:color w:val="auto"/>
              </w:rPr>
            </w:pPr>
            <w:r>
              <w:rPr>
                <w:rFonts w:ascii="Arial" w:cs="Arial" w:eastAsia="Arial" w:hAnsi="Arial"/>
                <w:sz w:val="14"/>
                <w:szCs w:val="14"/>
                <w:b w:val="1"/>
                <w:bCs w:val="1"/>
                <w:color w:val="215AA8"/>
              </w:rPr>
              <w:t>4</w:t>
            </w:r>
          </w:p>
        </w:tc>
        <w:tc>
          <w:tcPr>
            <w:tcW w:w="960" w:type="dxa"/>
            <w:vAlign w:val="bottom"/>
            <w:tcBorders>
              <w:bottom w:val="single" w:sz="8" w:color="949599"/>
            </w:tcBorders>
          </w:tcPr>
          <w:p>
            <w:pPr>
              <w:jc w:val="center"/>
              <w:ind w:left="132"/>
              <w:spacing w:after="0"/>
              <w:rPr>
                <w:sz w:val="20"/>
                <w:szCs w:val="20"/>
                <w:color w:val="auto"/>
              </w:rPr>
            </w:pPr>
            <w:r>
              <w:rPr>
                <w:rFonts w:ascii="Arial" w:cs="Arial" w:eastAsia="Arial" w:hAnsi="Arial"/>
                <w:sz w:val="14"/>
                <w:szCs w:val="14"/>
                <w:b w:val="1"/>
                <w:bCs w:val="1"/>
                <w:color w:val="215AA8"/>
              </w:rPr>
              <w:t>9</w:t>
            </w:r>
          </w:p>
        </w:tc>
        <w:tc>
          <w:tcPr>
            <w:tcW w:w="2780" w:type="dxa"/>
            <w:vAlign w:val="bottom"/>
          </w:tcPr>
          <w:p>
            <w:pPr>
              <w:spacing w:after="0"/>
              <w:rPr>
                <w:sz w:val="22"/>
                <w:szCs w:val="22"/>
                <w:color w:val="auto"/>
              </w:rPr>
            </w:pPr>
          </w:p>
        </w:tc>
      </w:tr>
      <w:tr>
        <w:trPr>
          <w:trHeight w:val="250"/>
        </w:trPr>
        <w:tc>
          <w:tcPr>
            <w:tcW w:w="3860" w:type="dxa"/>
            <w:vAlign w:val="bottom"/>
            <w:tcBorders>
              <w:bottom w:val="single" w:sz="8" w:color="949599"/>
            </w:tcBorders>
          </w:tcPr>
          <w:p>
            <w:pPr>
              <w:ind w:left="40"/>
              <w:spacing w:after="0"/>
              <w:rPr>
                <w:sz w:val="20"/>
                <w:szCs w:val="20"/>
                <w:color w:val="auto"/>
              </w:rPr>
            </w:pPr>
            <w:r>
              <w:rPr>
                <w:rFonts w:ascii="Arial" w:cs="Arial" w:eastAsia="Arial" w:hAnsi="Arial"/>
                <w:sz w:val="14"/>
                <w:szCs w:val="14"/>
                <w:b w:val="1"/>
                <w:bCs w:val="1"/>
                <w:color w:val="215AA8"/>
              </w:rPr>
              <w:t>Part II: Demographic Background</w:t>
            </w:r>
          </w:p>
        </w:tc>
        <w:tc>
          <w:tcPr>
            <w:tcW w:w="2220" w:type="dxa"/>
            <w:vAlign w:val="bottom"/>
            <w:tcBorders>
              <w:bottom w:val="single" w:sz="8" w:color="949599"/>
            </w:tcBorders>
          </w:tcPr>
          <w:p>
            <w:pPr>
              <w:spacing w:after="0"/>
              <w:rPr>
                <w:sz w:val="21"/>
                <w:szCs w:val="21"/>
                <w:color w:val="auto"/>
              </w:rPr>
            </w:pPr>
          </w:p>
        </w:tc>
        <w:tc>
          <w:tcPr>
            <w:tcW w:w="960" w:type="dxa"/>
            <w:vAlign w:val="bottom"/>
            <w:tcBorders>
              <w:bottom w:val="single" w:sz="8" w:color="949599"/>
            </w:tcBorders>
          </w:tcPr>
          <w:p>
            <w:pPr>
              <w:spacing w:after="0"/>
              <w:rPr>
                <w:sz w:val="21"/>
                <w:szCs w:val="21"/>
                <w:color w:val="auto"/>
              </w:rPr>
            </w:pPr>
          </w:p>
        </w:tc>
        <w:tc>
          <w:tcPr>
            <w:tcW w:w="2780" w:type="dxa"/>
            <w:vAlign w:val="bottom"/>
          </w:tcPr>
          <w:p>
            <w:pPr>
              <w:spacing w:after="0"/>
              <w:rPr>
                <w:sz w:val="21"/>
                <w:szCs w:val="21"/>
                <w:color w:val="auto"/>
              </w:rPr>
            </w:pPr>
          </w:p>
        </w:tc>
      </w:tr>
      <w:tr>
        <w:trPr>
          <w:trHeight w:val="261"/>
        </w:trPr>
        <w:tc>
          <w:tcPr>
            <w:tcW w:w="3860" w:type="dxa"/>
            <w:vAlign w:val="bottom"/>
            <w:tcBorders>
              <w:bottom w:val="single" w:sz="8" w:color="949599"/>
            </w:tcBorders>
          </w:tcPr>
          <w:p>
            <w:pPr>
              <w:ind w:left="40"/>
              <w:spacing w:after="0"/>
              <w:rPr>
                <w:sz w:val="20"/>
                <w:szCs w:val="20"/>
                <w:color w:val="auto"/>
              </w:rPr>
            </w:pPr>
            <w:r>
              <w:rPr>
                <w:rFonts w:ascii="Arial" w:cs="Arial" w:eastAsia="Arial" w:hAnsi="Arial"/>
                <w:sz w:val="14"/>
                <w:szCs w:val="14"/>
                <w:color w:val="auto"/>
              </w:rPr>
              <w:t>African American or Black</w:t>
            </w:r>
          </w:p>
        </w:tc>
        <w:tc>
          <w:tcPr>
            <w:tcW w:w="2220" w:type="dxa"/>
            <w:vAlign w:val="bottom"/>
            <w:tcBorders>
              <w:bottom w:val="single" w:sz="8" w:color="949599"/>
            </w:tcBorders>
          </w:tcPr>
          <w:p>
            <w:pPr>
              <w:jc w:val="center"/>
              <w:ind w:left="1552"/>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949599"/>
            </w:tcBorders>
          </w:tcPr>
          <w:p>
            <w:pPr>
              <w:jc w:val="center"/>
              <w:ind w:left="132"/>
              <w:spacing w:after="0"/>
              <w:rPr>
                <w:sz w:val="20"/>
                <w:szCs w:val="20"/>
                <w:color w:val="auto"/>
              </w:rPr>
            </w:pPr>
            <w:r>
              <w:rPr>
                <w:rFonts w:ascii="Arial" w:cs="Arial" w:eastAsia="Arial" w:hAnsi="Arial"/>
                <w:sz w:val="14"/>
                <w:szCs w:val="14"/>
                <w:b w:val="1"/>
                <w:bCs w:val="1"/>
                <w:color w:val="215AA8"/>
              </w:rPr>
              <w:t>1</w:t>
            </w:r>
          </w:p>
        </w:tc>
        <w:tc>
          <w:tcPr>
            <w:tcW w:w="2780" w:type="dxa"/>
            <w:vAlign w:val="bottom"/>
          </w:tcPr>
          <w:p>
            <w:pPr>
              <w:spacing w:after="0"/>
              <w:rPr>
                <w:sz w:val="22"/>
                <w:szCs w:val="22"/>
                <w:color w:val="auto"/>
              </w:rPr>
            </w:pPr>
          </w:p>
        </w:tc>
      </w:tr>
      <w:tr>
        <w:trPr>
          <w:trHeight w:val="261"/>
        </w:trPr>
        <w:tc>
          <w:tcPr>
            <w:tcW w:w="3860" w:type="dxa"/>
            <w:vAlign w:val="bottom"/>
            <w:tcBorders>
              <w:bottom w:val="single" w:sz="8" w:color="949599"/>
            </w:tcBorders>
          </w:tcPr>
          <w:p>
            <w:pPr>
              <w:ind w:left="40"/>
              <w:spacing w:after="0"/>
              <w:rPr>
                <w:sz w:val="20"/>
                <w:szCs w:val="20"/>
                <w:color w:val="auto"/>
              </w:rPr>
            </w:pPr>
            <w:r>
              <w:rPr>
                <w:rFonts w:ascii="Arial" w:cs="Arial" w:eastAsia="Arial" w:hAnsi="Arial"/>
                <w:sz w:val="14"/>
                <w:szCs w:val="14"/>
                <w:color w:val="auto"/>
              </w:rPr>
              <w:t>Asian</w:t>
            </w:r>
          </w:p>
        </w:tc>
        <w:tc>
          <w:tcPr>
            <w:tcW w:w="2220" w:type="dxa"/>
            <w:vAlign w:val="bottom"/>
            <w:tcBorders>
              <w:bottom w:val="single" w:sz="8" w:color="949599"/>
            </w:tcBorders>
          </w:tcPr>
          <w:p>
            <w:pPr>
              <w:jc w:val="center"/>
              <w:ind w:left="1552"/>
              <w:spacing w:after="0"/>
              <w:rPr>
                <w:sz w:val="20"/>
                <w:szCs w:val="20"/>
                <w:color w:val="auto"/>
              </w:rPr>
            </w:pPr>
            <w:r>
              <w:rPr>
                <w:rFonts w:ascii="Arial" w:cs="Arial" w:eastAsia="Arial" w:hAnsi="Arial"/>
                <w:sz w:val="14"/>
                <w:szCs w:val="14"/>
                <w:b w:val="1"/>
                <w:bCs w:val="1"/>
                <w:color w:val="215AA8"/>
              </w:rPr>
              <w:t>1</w:t>
            </w:r>
          </w:p>
        </w:tc>
        <w:tc>
          <w:tcPr>
            <w:tcW w:w="960" w:type="dxa"/>
            <w:vAlign w:val="bottom"/>
            <w:tcBorders>
              <w:bottom w:val="single" w:sz="8" w:color="949599"/>
            </w:tcBorders>
          </w:tcPr>
          <w:p>
            <w:pPr>
              <w:jc w:val="center"/>
              <w:ind w:left="132"/>
              <w:spacing w:after="0"/>
              <w:rPr>
                <w:sz w:val="20"/>
                <w:szCs w:val="20"/>
                <w:color w:val="auto"/>
              </w:rPr>
            </w:pPr>
            <w:r>
              <w:rPr>
                <w:rFonts w:ascii="Arial" w:cs="Arial" w:eastAsia="Arial" w:hAnsi="Arial"/>
                <w:sz w:val="14"/>
                <w:szCs w:val="14"/>
                <w:b w:val="1"/>
                <w:bCs w:val="1"/>
                <w:color w:val="215AA8"/>
              </w:rPr>
              <w:t>1</w:t>
            </w:r>
          </w:p>
        </w:tc>
        <w:tc>
          <w:tcPr>
            <w:tcW w:w="2780" w:type="dxa"/>
            <w:vAlign w:val="bottom"/>
          </w:tcPr>
          <w:p>
            <w:pPr>
              <w:spacing w:after="0"/>
              <w:rPr>
                <w:sz w:val="22"/>
                <w:szCs w:val="22"/>
                <w:color w:val="auto"/>
              </w:rPr>
            </w:pPr>
          </w:p>
        </w:tc>
      </w:tr>
      <w:tr>
        <w:trPr>
          <w:trHeight w:val="275"/>
        </w:trPr>
        <w:tc>
          <w:tcPr>
            <w:tcW w:w="3860" w:type="dxa"/>
            <w:vAlign w:val="bottom"/>
            <w:tcBorders>
              <w:bottom w:val="single" w:sz="8" w:color="215AA8"/>
            </w:tcBorders>
          </w:tcPr>
          <w:p>
            <w:pPr>
              <w:ind w:left="40"/>
              <w:spacing w:after="0"/>
              <w:rPr>
                <w:sz w:val="20"/>
                <w:szCs w:val="20"/>
                <w:color w:val="auto"/>
              </w:rPr>
            </w:pPr>
            <w:r>
              <w:rPr>
                <w:rFonts w:ascii="Arial" w:cs="Arial" w:eastAsia="Arial" w:hAnsi="Arial"/>
                <w:sz w:val="14"/>
                <w:szCs w:val="14"/>
                <w:color w:val="auto"/>
              </w:rPr>
              <w:t>White</w:t>
            </w:r>
          </w:p>
        </w:tc>
        <w:tc>
          <w:tcPr>
            <w:tcW w:w="2220" w:type="dxa"/>
            <w:vAlign w:val="bottom"/>
            <w:tcBorders>
              <w:bottom w:val="single" w:sz="8" w:color="215AA8"/>
            </w:tcBorders>
          </w:tcPr>
          <w:p>
            <w:pPr>
              <w:jc w:val="center"/>
              <w:ind w:left="1552"/>
              <w:spacing w:after="0"/>
              <w:rPr>
                <w:sz w:val="20"/>
                <w:szCs w:val="20"/>
                <w:color w:val="auto"/>
              </w:rPr>
            </w:pPr>
            <w:r>
              <w:rPr>
                <w:rFonts w:ascii="Arial" w:cs="Arial" w:eastAsia="Arial" w:hAnsi="Arial"/>
                <w:sz w:val="14"/>
                <w:szCs w:val="14"/>
                <w:b w:val="1"/>
                <w:bCs w:val="1"/>
                <w:color w:val="215AA8"/>
              </w:rPr>
              <w:t>2</w:t>
            </w:r>
          </w:p>
        </w:tc>
        <w:tc>
          <w:tcPr>
            <w:tcW w:w="960" w:type="dxa"/>
            <w:vAlign w:val="bottom"/>
            <w:tcBorders>
              <w:bottom w:val="single" w:sz="8" w:color="215AA8"/>
            </w:tcBorders>
          </w:tcPr>
          <w:p>
            <w:pPr>
              <w:jc w:val="center"/>
              <w:ind w:left="132"/>
              <w:spacing w:after="0"/>
              <w:rPr>
                <w:sz w:val="20"/>
                <w:szCs w:val="20"/>
                <w:color w:val="auto"/>
              </w:rPr>
            </w:pPr>
            <w:r>
              <w:rPr>
                <w:rFonts w:ascii="Arial" w:cs="Arial" w:eastAsia="Arial" w:hAnsi="Arial"/>
                <w:sz w:val="14"/>
                <w:szCs w:val="14"/>
                <w:b w:val="1"/>
                <w:bCs w:val="1"/>
                <w:color w:val="215AA8"/>
              </w:rPr>
              <w:t>7</w:t>
            </w:r>
          </w:p>
        </w:tc>
        <w:tc>
          <w:tcPr>
            <w:tcW w:w="27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-1393190</wp:posOffset>
            </wp:positionV>
            <wp:extent cx="2501900" cy="13868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01900" cy="1386840"/>
                    </a:xfrm>
                    <a:prstGeom prst="rect">
                      <a:avLst/>
                    </a:prstGeom>
                    <a:noFill/>
                  </pic:spPr>
                </pic:pic>
              </a:graphicData>
            </a:graphic>
          </wp:anchor>
        </w:drawing>
      </w:r>
    </w:p>
    <w:p>
      <w:pPr>
        <w:spacing w:after="0" w:line="130" w:lineRule="exact"/>
        <w:rPr>
          <w:sz w:val="20"/>
          <w:szCs w:val="20"/>
          <w:color w:val="auto"/>
        </w:rPr>
      </w:pPr>
    </w:p>
    <w:p>
      <w:pPr>
        <w:ind w:left="10"/>
        <w:spacing w:after="0"/>
        <w:rPr>
          <w:sz w:val="20"/>
          <w:szCs w:val="20"/>
          <w:color w:val="auto"/>
        </w:rPr>
      </w:pPr>
      <w:r>
        <w:rPr>
          <w:rFonts w:ascii="Arial" w:cs="Arial" w:eastAsia="Arial" w:hAnsi="Arial"/>
          <w:sz w:val="12"/>
          <w:szCs w:val="12"/>
          <w:color w:val="auto"/>
        </w:rPr>
        <w:t>Directors who identify as Middle Eastern/Arab American: 1</w:t>
      </w:r>
    </w:p>
    <w:p>
      <w:pPr>
        <w:spacing w:after="0" w:line="42" w:lineRule="exact"/>
        <w:rPr>
          <w:sz w:val="20"/>
          <w:szCs w:val="20"/>
          <w:color w:val="auto"/>
        </w:rPr>
      </w:pPr>
    </w:p>
    <w:p>
      <w:pPr>
        <w:ind w:left="10"/>
        <w:spacing w:after="0"/>
        <w:rPr>
          <w:sz w:val="20"/>
          <w:szCs w:val="20"/>
          <w:color w:val="auto"/>
        </w:rPr>
      </w:pPr>
      <w:r>
        <w:rPr>
          <w:rFonts w:ascii="Arial" w:cs="Arial" w:eastAsia="Arial" w:hAnsi="Arial"/>
          <w:sz w:val="12"/>
          <w:szCs w:val="12"/>
          <w:color w:val="auto"/>
        </w:rPr>
        <w:t>Directors who are Military Veterans: 2</w:t>
      </w:r>
    </w:p>
    <w:p>
      <w:pPr>
        <w:spacing w:after="0" w:line="155" w:lineRule="exact"/>
        <w:rPr>
          <w:sz w:val="20"/>
          <w:szCs w:val="20"/>
          <w:color w:val="auto"/>
        </w:rPr>
      </w:pPr>
    </w:p>
    <w:p>
      <w:pPr>
        <w:ind w:left="270" w:hanging="270"/>
        <w:spacing w:after="0"/>
        <w:tabs>
          <w:tab w:leader="none" w:pos="270" w:val="left"/>
        </w:tabs>
        <w:numPr>
          <w:ilvl w:val="0"/>
          <w:numId w:val="7"/>
        </w:numPr>
        <w:rPr>
          <w:rFonts w:ascii="Arial" w:cs="Arial" w:eastAsia="Arial" w:hAnsi="Arial"/>
          <w:sz w:val="12"/>
          <w:szCs w:val="12"/>
          <w:color w:val="auto"/>
        </w:rPr>
      </w:pPr>
      <w:r>
        <w:rPr>
          <w:rFonts w:ascii="Arial" w:cs="Arial" w:eastAsia="Arial" w:hAnsi="Arial"/>
          <w:sz w:val="12"/>
          <w:szCs w:val="12"/>
          <w:color w:val="auto"/>
        </w:rPr>
        <w:t>As of April 25, 2024</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60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6</w:t>
            </w:r>
          </w:p>
        </w:tc>
      </w:tr>
      <w:tr>
        <w:trPr>
          <w:trHeight w:val="211"/>
        </w:trPr>
        <w:tc>
          <w:tcPr>
            <w:tcW w:w="7600" w:type="dxa"/>
            <w:vAlign w:val="bottom"/>
            <w:tcBorders>
              <w:bottom w:val="single" w:sz="8" w:color="C0C0C0"/>
            </w:tcBorders>
          </w:tcPr>
          <w:p>
            <w:pPr>
              <w:spacing w:after="0"/>
              <w:rPr>
                <w:sz w:val="18"/>
                <w:szCs w:val="18"/>
                <w:color w:val="auto"/>
              </w:rPr>
            </w:pPr>
          </w:p>
        </w:tc>
        <w:tc>
          <w:tcPr>
            <w:tcW w:w="366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6354445</wp:posOffset>
            </wp:positionH>
            <wp:positionV relativeFrom="paragraph">
              <wp:posOffset>-242570</wp:posOffset>
            </wp:positionV>
            <wp:extent cx="629285" cy="71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Director Skills Matrix</w:t>
      </w:r>
    </w:p>
    <w:p>
      <w:pPr>
        <w:spacing w:after="0" w:line="180"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The board and the Corporate Governance and Compliance Committee seek to ensure that our directors as a group possess the mix of skills and experiences to provide effective oversight and guidance to management to execute on the Company’s long-term strategy. The board and the Committee also consider succession planning for board and committee chairs for purposes of continuity and to maintain relevant expertise and depth of experience.</w:t>
      </w:r>
    </w:p>
    <w:p>
      <w:pPr>
        <w:spacing w:after="0" w:line="135"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The table below summarizes key qualifications, skills, or attributes most relevant to the decision to nominate the director to serve on the board of directors. A mark indicates a specific area of focus or expertise on which the board of directors relies most. The lack of a mark does not mean the director does not possess that qualification or skill. Each director biography below describes these qualifications and relevant experience in more detail. We believe the table below demonstrates the breadth and diversity of the collective experience, expertise, and skills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237490</wp:posOffset>
            </wp:positionV>
            <wp:extent cx="5455920" cy="864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5920" cy="86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9780"/>
        <w:spacing w:after="0" w:line="343" w:lineRule="auto"/>
        <w:rPr>
          <w:sz w:val="20"/>
          <w:szCs w:val="20"/>
          <w:color w:val="auto"/>
        </w:rPr>
      </w:pPr>
      <w:r>
        <w:rPr>
          <w:rFonts w:ascii="Arial" w:cs="Arial" w:eastAsia="Arial" w:hAnsi="Arial"/>
          <w:sz w:val="12"/>
          <w:szCs w:val="12"/>
          <w:b w:val="1"/>
          <w:bCs w:val="1"/>
          <w:color w:val="215AA8"/>
        </w:rPr>
        <w:t>Experience, Expertise, or Attribute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wp:posOffset>
            </wp:positionV>
            <wp:extent cx="7207250" cy="2723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7250" cy="2723515"/>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214630" cy="18097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4630" cy="180975"/>
                    </a:xfrm>
                    <a:prstGeom prst="rect">
                      <a:avLst/>
                    </a:prstGeom>
                    <a:noFill/>
                    <a:ln>
                      <a:noFill/>
                    </a:ln>
                  </pic:spPr>
                </pic:pic>
              </a:graphicData>
            </a:graphic>
          </wp:inline>
        </w:drawing>
      </w:r>
      <w:r>
        <w:rPr>
          <w:rFonts w:ascii="Arial" w:cs="Arial" w:eastAsia="Arial" w:hAnsi="Arial"/>
          <w:sz w:val="14"/>
          <w:szCs w:val="14"/>
          <w:color w:val="auto"/>
        </w:rPr>
        <w:t xml:space="preserve"> Industry Experience</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Executive/Leadership</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Experience</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Science/Biotech</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Background</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Research/Academic</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Experience</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Business Strategy/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Operations Experience</w:t>
      </w:r>
    </w:p>
    <w:p>
      <w:pPr>
        <w:spacing w:after="0" w:line="44" w:lineRule="exact"/>
        <w:rPr>
          <w:sz w:val="20"/>
          <w:szCs w:val="20"/>
          <w:color w:val="auto"/>
        </w:rPr>
      </w:pPr>
    </w:p>
    <w:p>
      <w:pPr>
        <w:ind w:left="40"/>
        <w:spacing w:after="0"/>
        <w:rPr>
          <w:sz w:val="20"/>
          <w:szCs w:val="20"/>
          <w:color w:val="auto"/>
        </w:rPr>
      </w:pPr>
      <w:r>
        <w:rPr>
          <w:sz w:val="1"/>
          <w:szCs w:val="1"/>
          <w:color w:val="auto"/>
        </w:rPr>
        <w:drawing>
          <wp:inline distT="0" distB="0" distL="0" distR="0">
            <wp:extent cx="214630" cy="2000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4630" cy="200025"/>
                    </a:xfrm>
                    <a:prstGeom prst="rect">
                      <a:avLst/>
                    </a:prstGeom>
                    <a:noFill/>
                    <a:ln>
                      <a:noFill/>
                    </a:ln>
                  </pic:spPr>
                </pic:pic>
              </a:graphicData>
            </a:graphic>
          </wp:inline>
        </w:drawing>
      </w:r>
      <w:r>
        <w:rPr>
          <w:rFonts w:ascii="Arial" w:cs="Arial" w:eastAsia="Arial" w:hAnsi="Arial"/>
          <w:sz w:val="14"/>
          <w:szCs w:val="14"/>
          <w:color w:val="auto"/>
        </w:rPr>
        <w:t xml:space="preserve"> Financial Expertise</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Public Company CEO</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Experience</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Technology/Digital</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Experience</w:t>
      </w:r>
    </w:p>
    <w:p>
      <w:pPr>
        <w:spacing w:after="0" w:line="75" w:lineRule="exact"/>
        <w:rPr>
          <w:sz w:val="20"/>
          <w:szCs w:val="20"/>
          <w:color w:val="auto"/>
        </w:rPr>
      </w:pPr>
    </w:p>
    <w:p>
      <w:pPr>
        <w:ind w:left="420" w:right="9520"/>
        <w:spacing w:after="0" w:line="340" w:lineRule="auto"/>
        <w:rPr>
          <w:sz w:val="20"/>
          <w:szCs w:val="20"/>
          <w:color w:val="auto"/>
        </w:rPr>
      </w:pPr>
      <w:r>
        <w:rPr>
          <w:rFonts w:ascii="Arial" w:cs="Arial" w:eastAsia="Arial" w:hAnsi="Arial"/>
          <w:sz w:val="12"/>
          <w:szCs w:val="12"/>
          <w:color w:val="auto"/>
        </w:rPr>
        <w:t>National Academy of Sciences Membership</w:t>
      </w:r>
    </w:p>
    <w:p>
      <w:pPr>
        <w:spacing w:after="0" w:line="13" w:lineRule="exact"/>
        <w:rPr>
          <w:sz w:val="20"/>
          <w:szCs w:val="20"/>
          <w:color w:val="auto"/>
        </w:rPr>
      </w:pPr>
    </w:p>
    <w:p>
      <w:pPr>
        <w:ind w:left="40" w:right="9300"/>
        <w:spacing w:after="0" w:line="625" w:lineRule="auto"/>
        <w:rPr>
          <w:sz w:val="20"/>
          <w:szCs w:val="20"/>
          <w:color w:val="auto"/>
        </w:rPr>
      </w:pPr>
      <w:r>
        <w:rPr>
          <w:sz w:val="1"/>
          <w:szCs w:val="1"/>
          <w:color w:val="auto"/>
        </w:rPr>
        <w:drawing>
          <wp:inline distT="0" distB="0" distL="0" distR="0">
            <wp:extent cx="214630" cy="20002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630" cy="200025"/>
                    </a:xfrm>
                    <a:prstGeom prst="rect">
                      <a:avLst/>
                    </a:prstGeom>
                    <a:noFill/>
                    <a:ln>
                      <a:noFill/>
                    </a:ln>
                  </pic:spPr>
                </pic:pic>
              </a:graphicData>
            </a:graphic>
          </wp:inline>
        </w:drawing>
      </w:r>
      <w:r>
        <w:rPr>
          <w:rFonts w:ascii="Arial" w:cs="Arial" w:eastAsia="Arial" w:hAnsi="Arial"/>
          <w:sz w:val="12"/>
          <w:szCs w:val="12"/>
          <w:color w:val="auto"/>
        </w:rPr>
        <w:t xml:space="preserve"> Diverse by Gender </w:t>
      </w:r>
      <w:r>
        <w:rPr>
          <w:sz w:val="1"/>
          <w:szCs w:val="1"/>
          <w:color w:val="auto"/>
        </w:rPr>
        <w:drawing>
          <wp:inline distT="0" distB="0" distL="0" distR="0">
            <wp:extent cx="214630" cy="1498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4630" cy="149860"/>
                    </a:xfrm>
                    <a:prstGeom prst="rect">
                      <a:avLst/>
                    </a:prstGeom>
                    <a:noFill/>
                    <a:ln>
                      <a:noFill/>
                    </a:ln>
                  </pic:spPr>
                </pic:pic>
              </a:graphicData>
            </a:graphic>
          </wp:inline>
        </w:drawing>
      </w:r>
      <w:r>
        <w:rPr>
          <w:rFonts w:ascii="Arial" w:cs="Arial" w:eastAsia="Arial" w:hAnsi="Arial"/>
          <w:sz w:val="12"/>
          <w:szCs w:val="12"/>
          <w:color w:val="auto"/>
        </w:rPr>
        <w:t xml:space="preserve"> Diverse by Race/Ethnicity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-5715</wp:posOffset>
            </wp:positionV>
            <wp:extent cx="14605" cy="1437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05" cy="143700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p>
      <w:pPr>
        <w:spacing w:after="0" w:line="7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-93980</wp:posOffset>
            </wp:positionV>
            <wp:extent cx="214630" cy="2000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4630" cy="20002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Significant experience with complex issues within the healthcare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350266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02660" cy="6985"/>
                    </a:xfrm>
                    <a:prstGeom prst="rect">
                      <a:avLst/>
                    </a:prstGeom>
                    <a:noFill/>
                  </pic:spPr>
                </pic:pic>
              </a:graphicData>
            </a:graphic>
          </wp:anchor>
        </w:drawing>
      </w:r>
    </w:p>
    <w:p>
      <w:pPr>
        <w:spacing w:after="0" w:line="9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Executive/Leadership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-50800</wp:posOffset>
            </wp:positionV>
            <wp:extent cx="214630"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480" w:right="240"/>
        <w:spacing w:after="0" w:line="319" w:lineRule="auto"/>
        <w:rPr>
          <w:sz w:val="20"/>
          <w:szCs w:val="20"/>
          <w:color w:val="auto"/>
        </w:rPr>
      </w:pPr>
      <w:r>
        <w:rPr>
          <w:rFonts w:ascii="Arial" w:cs="Arial" w:eastAsia="Arial" w:hAnsi="Arial"/>
          <w:sz w:val="12"/>
          <w:szCs w:val="12"/>
          <w:color w:val="auto"/>
        </w:rPr>
        <w:t>Experience in a senior management position at a large publicly traded or private company or other large complex organization (including academic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350266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02660" cy="6985"/>
                    </a:xfrm>
                    <a:prstGeom prst="rect">
                      <a:avLst/>
                    </a:prstGeom>
                    <a:noFill/>
                  </pic:spPr>
                </pic:pic>
              </a:graphicData>
            </a:graphic>
          </wp:anchor>
        </w:drawing>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Science/Biotech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-57785</wp:posOffset>
            </wp:positionV>
            <wp:extent cx="214630" cy="221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4630" cy="221615"/>
                    </a:xfrm>
                    <a:prstGeom prst="rect">
                      <a:avLst/>
                    </a:prstGeom>
                    <a:noFill/>
                  </pic:spPr>
                </pic:pic>
              </a:graphicData>
            </a:graphic>
          </wp:anchor>
        </w:drawing>
      </w:r>
    </w:p>
    <w:p>
      <w:pPr>
        <w:ind w:left="480" w:right="160"/>
        <w:spacing w:after="0" w:line="239" w:lineRule="auto"/>
        <w:rPr>
          <w:sz w:val="20"/>
          <w:szCs w:val="20"/>
          <w:color w:val="auto"/>
        </w:rPr>
      </w:pPr>
      <w:r>
        <w:rPr>
          <w:rFonts w:ascii="Arial" w:cs="Arial" w:eastAsia="Arial" w:hAnsi="Arial"/>
          <w:sz w:val="14"/>
          <w:szCs w:val="14"/>
          <w:color w:val="auto"/>
        </w:rPr>
        <w:t>Advanced scientific degree and/or related work experience in the scientific and/or biotechnology fields.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350266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02660" cy="6985"/>
                    </a:xfrm>
                    <a:prstGeom prst="rect">
                      <a:avLst/>
                    </a:prstGeom>
                    <a:noFill/>
                  </pic:spPr>
                </pic:pic>
              </a:graphicData>
            </a:graphic>
          </wp:anchor>
        </w:drawing>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Research/Academic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-65405</wp:posOffset>
            </wp:positionV>
            <wp:extent cx="214630" cy="2355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4630" cy="235585"/>
                    </a:xfrm>
                    <a:prstGeom prst="rect">
                      <a:avLst/>
                    </a:prstGeom>
                    <a:noFill/>
                  </pic:spPr>
                </pic:pic>
              </a:graphicData>
            </a:graphic>
          </wp:anchor>
        </w:drawing>
      </w:r>
    </w:p>
    <w:p>
      <w:pPr>
        <w:ind w:left="480" w:right="580"/>
        <w:spacing w:after="0" w:line="319" w:lineRule="auto"/>
        <w:rPr>
          <w:sz w:val="20"/>
          <w:szCs w:val="20"/>
          <w:color w:val="auto"/>
        </w:rPr>
      </w:pPr>
      <w:r>
        <w:rPr>
          <w:rFonts w:ascii="Arial" w:cs="Arial" w:eastAsia="Arial" w:hAnsi="Arial"/>
          <w:sz w:val="12"/>
          <w:szCs w:val="12"/>
          <w:color w:val="auto"/>
        </w:rPr>
        <w:t>Experience in a leadership or senior advisory position at a research and/or academic institution (including in an administrative or faculty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350266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026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Business Strategy/Operations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-57785</wp:posOffset>
            </wp:positionV>
            <wp:extent cx="214630" cy="221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4630" cy="221615"/>
                    </a:xfrm>
                    <a:prstGeom prst="rect">
                      <a:avLst/>
                    </a:prstGeom>
                    <a:noFill/>
                  </pic:spPr>
                </pic:pic>
              </a:graphicData>
            </a:graphic>
          </wp:anchor>
        </w:drawing>
      </w:r>
    </w:p>
    <w:p>
      <w:pPr>
        <w:ind w:right="80"/>
        <w:spacing w:after="0" w:line="239" w:lineRule="auto"/>
        <w:rPr>
          <w:sz w:val="20"/>
          <w:szCs w:val="20"/>
          <w:color w:val="auto"/>
        </w:rPr>
      </w:pPr>
      <w:r>
        <w:rPr>
          <w:rFonts w:ascii="Arial" w:cs="Arial" w:eastAsia="Arial" w:hAnsi="Arial"/>
          <w:sz w:val="14"/>
          <w:szCs w:val="14"/>
          <w:color w:val="auto"/>
        </w:rPr>
        <w:t>Experience in positions advising or overseeing strategic development or operations of an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9525</wp:posOffset>
            </wp:positionV>
            <wp:extent cx="350964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09645" cy="698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-43815</wp:posOffset>
            </wp:positionV>
            <wp:extent cx="214630" cy="2000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4630" cy="200025"/>
                    </a:xfrm>
                    <a:prstGeom prst="rect">
                      <a:avLst/>
                    </a:prstGeom>
                    <a:noFill/>
                  </pic:spPr>
                </pic:pic>
              </a:graphicData>
            </a:graphic>
          </wp:anchor>
        </w:drawing>
      </w:r>
    </w:p>
    <w:p>
      <w:pPr>
        <w:ind w:right="240"/>
        <w:spacing w:after="0" w:line="239" w:lineRule="auto"/>
        <w:rPr>
          <w:sz w:val="20"/>
          <w:szCs w:val="20"/>
          <w:color w:val="auto"/>
        </w:rPr>
      </w:pPr>
      <w:r>
        <w:rPr>
          <w:rFonts w:ascii="Arial" w:cs="Arial" w:eastAsia="Arial" w:hAnsi="Arial"/>
          <w:sz w:val="14"/>
          <w:szCs w:val="14"/>
          <w:color w:val="auto"/>
        </w:rPr>
        <w:t>Expertise in financial accounting and reporting processes or the direct or indirect supervision of the financial management of a major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9525</wp:posOffset>
            </wp:positionV>
            <wp:extent cx="350964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09645" cy="698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Technology/Digital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-635</wp:posOffset>
            </wp:positionV>
            <wp:extent cx="214630"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right="360"/>
        <w:spacing w:after="0" w:line="238" w:lineRule="auto"/>
        <w:rPr>
          <w:sz w:val="20"/>
          <w:szCs w:val="20"/>
          <w:color w:val="auto"/>
        </w:rPr>
      </w:pPr>
      <w:r>
        <w:rPr>
          <w:rFonts w:ascii="Arial" w:cs="Arial" w:eastAsia="Arial" w:hAnsi="Arial"/>
          <w:sz w:val="14"/>
          <w:szCs w:val="14"/>
          <w:color w:val="auto"/>
        </w:rPr>
        <w:t>Experience in the technology field, including related to digital technologies that facilitate business objectives (such as information technology and artificial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9525</wp:posOffset>
            </wp:positionV>
            <wp:extent cx="350964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09645" cy="6985"/>
                    </a:xfrm>
                    <a:prstGeom prst="rect">
                      <a:avLst/>
                    </a:prstGeom>
                    <a:noFill/>
                  </pic:spPr>
                </pic:pic>
              </a:graphicData>
            </a:graphic>
          </wp:anchor>
        </w:drawing>
      </w:r>
    </w:p>
    <w:p>
      <w:pPr>
        <w:spacing w:after="0" w:line="700" w:lineRule="exact"/>
        <w:rPr>
          <w:sz w:val="20"/>
          <w:szCs w:val="20"/>
          <w:color w:val="auto"/>
        </w:rPr>
      </w:pPr>
    </w:p>
    <w:p>
      <w:pPr>
        <w:sectPr>
          <w:pgSz w:w="11900" w:h="16838" w:orient="portrait"/>
          <w:cols w:equalWidth="0" w:num="2">
            <w:col w:w="5500" w:space="720"/>
            <w:col w:w="5040"/>
          </w:cols>
          <w:pgMar w:left="320" w:top="215" w:right="31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7</w:t>
            </w:r>
          </w:p>
        </w:tc>
      </w:tr>
      <w:tr>
        <w:trPr>
          <w:trHeight w:val="211"/>
        </w:trPr>
        <w:tc>
          <w:tcPr>
            <w:tcW w:w="7600" w:type="dxa"/>
            <w:vAlign w:val="bottom"/>
            <w:tcBorders>
              <w:bottom w:val="single" w:sz="8" w:color="C0C0C0"/>
            </w:tcBorders>
          </w:tcPr>
          <w:p>
            <w:pPr>
              <w:spacing w:after="0"/>
              <w:rPr>
                <w:sz w:val="18"/>
                <w:szCs w:val="18"/>
                <w:color w:val="auto"/>
              </w:rPr>
            </w:pPr>
          </w:p>
        </w:tc>
        <w:tc>
          <w:tcPr>
            <w:tcW w:w="366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6348095</wp:posOffset>
            </wp:positionH>
            <wp:positionV relativeFrom="paragraph">
              <wp:posOffset>-242570</wp:posOffset>
            </wp:positionV>
            <wp:extent cx="629285" cy="717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120" w:right="1380"/>
        <w:spacing w:after="0" w:line="266" w:lineRule="auto"/>
        <w:rPr>
          <w:sz w:val="20"/>
          <w:szCs w:val="20"/>
          <w:color w:val="auto"/>
        </w:rPr>
      </w:pPr>
      <w:r>
        <w:rPr>
          <w:rFonts w:ascii="Arial" w:cs="Arial" w:eastAsia="Arial" w:hAnsi="Arial"/>
          <w:sz w:val="24"/>
          <w:szCs w:val="24"/>
          <w:b w:val="1"/>
          <w:bCs w:val="1"/>
          <w:color w:val="215AA8"/>
        </w:rPr>
        <w:t>Nominees for Class III Directors for Election at the 2024 Annual Meeting for a Term Expiring at the 2027 Annual Meeting</w:t>
      </w:r>
      <w:r>
        <w:rPr>
          <w:rFonts w:ascii="Arial" w:cs="Arial" w:eastAsia="Arial" w:hAnsi="Arial"/>
          <w:sz w:val="40"/>
          <w:szCs w:val="40"/>
          <w:b w:val="1"/>
          <w:bCs w:val="1"/>
          <w:color w:val="215AA8"/>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0</wp:posOffset>
            </wp:positionV>
            <wp:extent cx="857885" cy="857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215AA8"/>
        </w:rPr>
        <w:t>Board and Committee</w:t>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Membership—2023</w:t>
      </w:r>
    </w:p>
    <w:p>
      <w:pPr>
        <w:ind w:left="1120"/>
        <w:spacing w:after="0"/>
        <w:rPr>
          <w:sz w:val="20"/>
          <w:szCs w:val="20"/>
          <w:color w:val="auto"/>
        </w:rPr>
      </w:pPr>
      <w:r>
        <w:rPr>
          <w:rFonts w:ascii="Arial" w:cs="Arial" w:eastAsia="Arial" w:hAnsi="Arial"/>
          <w:sz w:val="14"/>
          <w:szCs w:val="14"/>
          <w:b w:val="1"/>
          <w:bCs w:val="1"/>
          <w:color w:val="215AA8"/>
        </w:rPr>
        <w:t>Attendance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Board of Directors: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5/6</w:t>
      </w:r>
    </w:p>
    <w:p>
      <w:pPr>
        <w:ind w:left="1120"/>
        <w:spacing w:after="0" w:line="234" w:lineRule="auto"/>
        <w:rPr>
          <w:sz w:val="20"/>
          <w:szCs w:val="20"/>
          <w:color w:val="auto"/>
        </w:rPr>
      </w:pPr>
      <w:r>
        <w:rPr>
          <w:rFonts w:ascii="Arial" w:cs="Arial" w:eastAsia="Arial" w:hAnsi="Arial"/>
          <w:sz w:val="14"/>
          <w:szCs w:val="14"/>
          <w:color w:val="auto"/>
        </w:rPr>
        <w:t>Audit Committee:</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13/13</w:t>
      </w:r>
    </w:p>
    <w:p>
      <w:pPr>
        <w:spacing w:after="0" w:line="20" w:lineRule="exact"/>
        <w:rPr>
          <w:sz w:val="20"/>
          <w:szCs w:val="20"/>
          <w:color w:val="auto"/>
        </w:rPr>
      </w:pPr>
      <w:r>
        <w:rPr>
          <w:sz w:val="20"/>
          <w:szCs w:val="20"/>
          <w:color w:val="auto"/>
        </w:rPr>
        <w:br w:type="column"/>
      </w:r>
    </w:p>
    <w:p>
      <w:pPr>
        <w:ind w:left="8"/>
        <w:spacing w:after="0"/>
        <w:tabs>
          <w:tab w:leader="none" w:pos="2507" w:val="left"/>
        </w:tabs>
        <w:rPr>
          <w:sz w:val="20"/>
          <w:szCs w:val="20"/>
          <w:color w:val="auto"/>
        </w:rPr>
      </w:pPr>
      <w:r>
        <w:rPr>
          <w:rFonts w:ascii="Arial" w:cs="Arial" w:eastAsia="Arial" w:hAnsi="Arial"/>
          <w:sz w:val="21"/>
          <w:szCs w:val="21"/>
          <w:b w:val="1"/>
          <w:bCs w:val="1"/>
          <w:color w:val="215AA8"/>
        </w:rPr>
        <w:t>N. Anthony Coles, M.D.</w:t>
      </w:r>
      <w:r>
        <w:rPr>
          <w:sz w:val="20"/>
          <w:szCs w:val="20"/>
          <w:color w:val="auto"/>
        </w:rPr>
        <w:tab/>
      </w:r>
      <w:r>
        <w:rPr>
          <w:rFonts w:ascii="Arial" w:cs="Arial" w:eastAsia="Arial" w:hAnsi="Arial"/>
          <w:sz w:val="12"/>
          <w:szCs w:val="12"/>
          <w:b w:val="1"/>
          <w:bCs w:val="1"/>
          <w:color w:val="FFFFFF"/>
          <w:shd w:val="clear" w:color="auto" w:fill="215AA8"/>
        </w:rPr>
        <w:t>Independent</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215AA8"/>
        </w:rPr>
        <w:t xml:space="preserve">Director since: </w:t>
      </w:r>
      <w:r>
        <w:rPr>
          <w:rFonts w:ascii="Arial" w:cs="Arial" w:eastAsia="Arial" w:hAnsi="Arial"/>
          <w:sz w:val="14"/>
          <w:szCs w:val="14"/>
          <w:color w:val="000000"/>
        </w:rPr>
        <w:t>2017 |</w:t>
      </w:r>
      <w:r>
        <w:rPr>
          <w:rFonts w:ascii="Arial" w:cs="Arial" w:eastAsia="Arial" w:hAnsi="Arial"/>
          <w:sz w:val="14"/>
          <w:szCs w:val="14"/>
          <w:b w:val="1"/>
          <w:bCs w:val="1"/>
          <w:color w:val="215AA8"/>
        </w:rPr>
        <w:t xml:space="preserve"> Age: </w:t>
      </w:r>
      <w:r>
        <w:rPr>
          <w:rFonts w:ascii="Arial" w:cs="Arial" w:eastAsia="Arial" w:hAnsi="Arial"/>
          <w:sz w:val="14"/>
          <w:szCs w:val="14"/>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-43815</wp:posOffset>
            </wp:positionV>
            <wp:extent cx="316674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66745" cy="6985"/>
                    </a:xfrm>
                    <a:prstGeom prst="rect">
                      <a:avLst/>
                    </a:prstGeom>
                    <a:noFill/>
                  </pic:spPr>
                </pic:pic>
              </a:graphicData>
            </a:graphic>
          </wp:anchor>
        </w:drawing>
      </w:r>
    </w:p>
    <w:p>
      <w:pPr>
        <w:spacing w:after="0" w:line="15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Career Highlights</w:t>
      </w:r>
    </w:p>
    <w:p>
      <w:pPr>
        <w:spacing w:after="0" w:line="77" w:lineRule="exact"/>
        <w:rPr>
          <w:sz w:val="20"/>
          <w:szCs w:val="20"/>
          <w:color w:val="auto"/>
        </w:rPr>
      </w:pPr>
    </w:p>
    <w:p>
      <w:pPr>
        <w:ind w:left="168" w:right="1320" w:hanging="168"/>
        <w:spacing w:after="0" w:line="257" w:lineRule="auto"/>
        <w:tabs>
          <w:tab w:leader="none" w:pos="162" w:val="left"/>
        </w:tabs>
        <w:numPr>
          <w:ilvl w:val="0"/>
          <w:numId w:val="8"/>
        </w:numPr>
        <w:rPr>
          <w:rFonts w:ascii="Arial" w:cs="Arial" w:eastAsia="Arial" w:hAnsi="Arial"/>
          <w:sz w:val="14"/>
          <w:szCs w:val="14"/>
          <w:color w:val="215AA8"/>
        </w:rPr>
      </w:pPr>
      <w:r>
        <w:rPr>
          <w:rFonts w:ascii="Arial" w:cs="Arial" w:eastAsia="Arial" w:hAnsi="Arial"/>
          <w:sz w:val="14"/>
          <w:szCs w:val="14"/>
          <w:color w:val="auto"/>
        </w:rPr>
        <w:t>Chair (since 2018) and former President and Chief Executive Officer (from 2019 to 2023) of Cerevel Therapeutics Holdings, Inc., the parent entity of Cerevel Therapeutics, Inc.</w:t>
      </w:r>
    </w:p>
    <w:p>
      <w:pPr>
        <w:spacing w:after="0" w:line="49" w:lineRule="exact"/>
        <w:rPr>
          <w:rFonts w:ascii="Arial" w:cs="Arial" w:eastAsia="Arial" w:hAnsi="Arial"/>
          <w:sz w:val="14"/>
          <w:szCs w:val="14"/>
          <w:color w:val="215AA8"/>
        </w:rPr>
      </w:pPr>
    </w:p>
    <w:p>
      <w:pPr>
        <w:ind w:left="168" w:hanging="168"/>
        <w:spacing w:after="0"/>
        <w:tabs>
          <w:tab w:leader="none" w:pos="168" w:val="left"/>
        </w:tabs>
        <w:numPr>
          <w:ilvl w:val="0"/>
          <w:numId w:val="8"/>
        </w:numPr>
        <w:rPr>
          <w:rFonts w:ascii="Arial" w:cs="Arial" w:eastAsia="Arial" w:hAnsi="Arial"/>
          <w:sz w:val="14"/>
          <w:szCs w:val="14"/>
          <w:color w:val="215AA8"/>
        </w:rPr>
      </w:pPr>
      <w:r>
        <w:rPr>
          <w:rFonts w:ascii="Arial" w:cs="Arial" w:eastAsia="Arial" w:hAnsi="Arial"/>
          <w:sz w:val="14"/>
          <w:szCs w:val="14"/>
          <w:color w:val="auto"/>
        </w:rPr>
        <w:t>Chair and CEO of TRATE Enterprises LLC, a privately-held company, since 2013</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8"/>
        </w:numPr>
        <w:rPr>
          <w:rFonts w:ascii="Arial" w:cs="Arial" w:eastAsia="Arial" w:hAnsi="Arial"/>
          <w:sz w:val="14"/>
          <w:szCs w:val="14"/>
          <w:color w:val="215AA8"/>
        </w:rPr>
      </w:pPr>
      <w:r>
        <w:rPr>
          <w:rFonts w:ascii="Arial" w:cs="Arial" w:eastAsia="Arial" w:hAnsi="Arial"/>
          <w:sz w:val="14"/>
          <w:szCs w:val="14"/>
          <w:color w:val="auto"/>
        </w:rPr>
        <w:t>Former Chief Executive Officer and Chair of the Board of Yumanity Therapeutics, Inc.</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8"/>
        </w:numPr>
        <w:rPr>
          <w:rFonts w:ascii="Arial" w:cs="Arial" w:eastAsia="Arial" w:hAnsi="Arial"/>
          <w:sz w:val="14"/>
          <w:szCs w:val="14"/>
          <w:color w:val="215AA8"/>
        </w:rPr>
      </w:pPr>
      <w:r>
        <w:rPr>
          <w:rFonts w:ascii="Arial" w:cs="Arial" w:eastAsia="Arial" w:hAnsi="Arial"/>
          <w:sz w:val="14"/>
          <w:szCs w:val="14"/>
          <w:color w:val="auto"/>
        </w:rPr>
        <w:t>Former President, Chief Executive Officer and Chair of the Board of Onyx Pharmaceuticals, Inc.</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8"/>
        </w:numPr>
        <w:rPr>
          <w:rFonts w:ascii="Arial" w:cs="Arial" w:eastAsia="Arial" w:hAnsi="Arial"/>
          <w:sz w:val="12"/>
          <w:szCs w:val="12"/>
          <w:color w:val="215AA8"/>
        </w:rPr>
      </w:pPr>
      <w:r>
        <w:rPr>
          <w:rFonts w:ascii="Arial" w:cs="Arial" w:eastAsia="Arial" w:hAnsi="Arial"/>
          <w:sz w:val="12"/>
          <w:szCs w:val="12"/>
          <w:color w:val="auto"/>
        </w:rPr>
        <w:t>Former President, Chief Executive Officer, and member of the board of directors of NPS Pharmaceuticals, Inc.</w:t>
      </w:r>
    </w:p>
    <w:p>
      <w:pPr>
        <w:spacing w:after="0" w:line="98" w:lineRule="exact"/>
        <w:rPr>
          <w:rFonts w:ascii="Arial" w:cs="Arial" w:eastAsia="Arial" w:hAnsi="Arial"/>
          <w:sz w:val="12"/>
          <w:szCs w:val="12"/>
          <w:color w:val="215AA8"/>
        </w:rPr>
      </w:pPr>
    </w:p>
    <w:p>
      <w:pPr>
        <w:ind w:left="168" w:right="1380" w:hanging="168"/>
        <w:spacing w:after="0" w:line="257" w:lineRule="auto"/>
        <w:tabs>
          <w:tab w:leader="none" w:pos="162" w:val="left"/>
        </w:tabs>
        <w:numPr>
          <w:ilvl w:val="0"/>
          <w:numId w:val="8"/>
        </w:numPr>
        <w:rPr>
          <w:rFonts w:ascii="Arial" w:cs="Arial" w:eastAsia="Arial" w:hAnsi="Arial"/>
          <w:sz w:val="14"/>
          <w:szCs w:val="14"/>
          <w:color w:val="215AA8"/>
        </w:rPr>
      </w:pPr>
      <w:r>
        <w:rPr>
          <w:rFonts w:ascii="Arial" w:cs="Arial" w:eastAsia="Arial" w:hAnsi="Arial"/>
          <w:sz w:val="14"/>
          <w:szCs w:val="14"/>
          <w:color w:val="auto"/>
        </w:rPr>
        <w:t>Previously held various leadership positions in the biopharmaceutical and pharmaceutical industries, including at Merck &amp; Co., Inc., Bristol-Myers Squibb Company, and Vertex Pharmaceuticals Incorporated</w:t>
      </w:r>
    </w:p>
    <w:p>
      <w:pPr>
        <w:spacing w:after="0" w:line="49" w:lineRule="exact"/>
        <w:rPr>
          <w:rFonts w:ascii="Arial" w:cs="Arial" w:eastAsia="Arial" w:hAnsi="Arial"/>
          <w:sz w:val="14"/>
          <w:szCs w:val="14"/>
          <w:color w:val="215AA8"/>
        </w:rPr>
      </w:pPr>
    </w:p>
    <w:p>
      <w:pPr>
        <w:ind w:left="168" w:right="1700" w:hanging="168"/>
        <w:spacing w:after="0" w:line="257" w:lineRule="auto"/>
        <w:tabs>
          <w:tab w:leader="none" w:pos="162" w:val="left"/>
        </w:tabs>
        <w:numPr>
          <w:ilvl w:val="0"/>
          <w:numId w:val="8"/>
        </w:numPr>
        <w:rPr>
          <w:rFonts w:ascii="Arial" w:cs="Arial" w:eastAsia="Arial" w:hAnsi="Arial"/>
          <w:sz w:val="14"/>
          <w:szCs w:val="14"/>
          <w:color w:val="215AA8"/>
        </w:rPr>
      </w:pPr>
      <w:r>
        <w:rPr>
          <w:rFonts w:ascii="Arial" w:cs="Arial" w:eastAsia="Arial" w:hAnsi="Arial"/>
          <w:sz w:val="14"/>
          <w:szCs w:val="14"/>
          <w:color w:val="auto"/>
        </w:rPr>
        <w:t>Former director of Laboratory Corporation of America Holdings, Campus Crest Communities, Inc., CRISPR Therapeutics AG, and McKesson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451739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286"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250190" cy="2432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0190" cy="243205"/>
                    </a:xfrm>
                    <a:prstGeom prst="rect">
                      <a:avLst/>
                    </a:prstGeom>
                    <a:noFill/>
                  </pic:spPr>
                </pic:pic>
              </a:graphicData>
            </a:graphic>
          </wp:anchor>
        </w:drawing>
      </w:r>
    </w:p>
    <w:p>
      <w:pPr>
        <w:spacing w:after="0" w:line="61" w:lineRule="exact"/>
        <w:rPr>
          <w:sz w:val="20"/>
          <w:szCs w:val="20"/>
          <w:color w:val="auto"/>
        </w:rPr>
      </w:pPr>
    </w:p>
    <w:p>
      <w:pPr>
        <w:ind w:left="508"/>
        <w:spacing w:after="0"/>
        <w:rPr>
          <w:sz w:val="20"/>
          <w:szCs w:val="20"/>
          <w:color w:val="auto"/>
        </w:rPr>
      </w:pPr>
      <w:r>
        <w:rPr>
          <w:rFonts w:ascii="Arial" w:cs="Arial" w:eastAsia="Arial" w:hAnsi="Arial"/>
          <w:sz w:val="14"/>
          <w:szCs w:val="14"/>
          <w:color w:val="auto"/>
        </w:rPr>
        <w:t xml:space="preserve">Industry Experience                         </w:t>
      </w:r>
      <w:r>
        <w:rPr>
          <w:sz w:val="1"/>
          <w:szCs w:val="1"/>
          <w:color w:val="auto"/>
        </w:rPr>
        <w:drawing>
          <wp:inline distT="0" distB="0" distL="0" distR="0">
            <wp:extent cx="250190" cy="22161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0190" cy="221615"/>
                    </a:xfrm>
                    <a:prstGeom prst="rect">
                      <a:avLst/>
                    </a:prstGeom>
                    <a:noFill/>
                    <a:ln>
                      <a:noFill/>
                    </a:ln>
                  </pic:spPr>
                </pic:pic>
              </a:graphicData>
            </a:graphic>
          </wp:inline>
        </w:drawing>
      </w:r>
      <w:r>
        <w:rPr>
          <w:rFonts w:ascii="Arial" w:cs="Arial" w:eastAsia="Arial" w:hAnsi="Arial"/>
          <w:sz w:val="14"/>
          <w:szCs w:val="14"/>
          <w:color w:val="auto"/>
        </w:rPr>
        <w:t xml:space="preserve">  Executive/Leadership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250190" cy="2501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0190" cy="2501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64135</wp:posOffset>
            </wp:positionV>
            <wp:extent cx="200025" cy="264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0025" cy="264160"/>
                    </a:xfrm>
                    <a:prstGeom prst="rect">
                      <a:avLst/>
                    </a:prstGeom>
                    <a:noFill/>
                  </pic:spPr>
                </pic:pic>
              </a:graphicData>
            </a:graphic>
          </wp:anchor>
        </w:drawing>
      </w:r>
    </w:p>
    <w:p>
      <w:pPr>
        <w:spacing w:after="0" w:line="195" w:lineRule="exact"/>
        <w:rPr>
          <w:sz w:val="20"/>
          <w:szCs w:val="20"/>
          <w:color w:val="auto"/>
        </w:rPr>
      </w:pPr>
    </w:p>
    <w:p>
      <w:pPr>
        <w:ind w:left="508"/>
        <w:spacing w:after="0"/>
        <w:tabs>
          <w:tab w:leader="none" w:pos="4047" w:val="left"/>
        </w:tabs>
        <w:rPr>
          <w:sz w:val="20"/>
          <w:szCs w:val="20"/>
          <w:color w:val="auto"/>
        </w:rPr>
      </w:pPr>
      <w:r>
        <w:rPr>
          <w:rFonts w:ascii="Arial" w:cs="Arial" w:eastAsia="Arial" w:hAnsi="Arial"/>
          <w:sz w:val="14"/>
          <w:szCs w:val="14"/>
          <w:color w:val="auto"/>
        </w:rPr>
        <w:t>Science/Biotech Background</w:t>
      </w:r>
      <w:r>
        <w:rPr>
          <w:sz w:val="20"/>
          <w:szCs w:val="20"/>
          <w:color w:val="auto"/>
        </w:rPr>
        <w:tab/>
      </w:r>
      <w:r>
        <w:rPr>
          <w:rFonts w:ascii="Arial" w:cs="Arial" w:eastAsia="Arial" w:hAnsi="Arial"/>
          <w:sz w:val="12"/>
          <w:szCs w:val="12"/>
          <w:color w:val="auto"/>
        </w:rPr>
        <w:t>Research/Academic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250190" cy="2501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182" w:lineRule="exact"/>
        <w:rPr>
          <w:sz w:val="20"/>
          <w:szCs w:val="20"/>
          <w:color w:val="auto"/>
        </w:rPr>
      </w:pPr>
    </w:p>
    <w:p>
      <w:pPr>
        <w:ind w:left="508"/>
        <w:spacing w:after="0"/>
        <w:rPr>
          <w:sz w:val="20"/>
          <w:szCs w:val="20"/>
          <w:color w:val="auto"/>
        </w:rPr>
      </w:pPr>
      <w:r>
        <w:rPr>
          <w:rFonts w:ascii="Arial" w:cs="Arial" w:eastAsia="Arial" w:hAnsi="Arial"/>
          <w:sz w:val="14"/>
          <w:szCs w:val="14"/>
          <w:color w:val="auto"/>
        </w:rPr>
        <w:t xml:space="preserve">Business Strategy/Operations Experience        </w:t>
      </w:r>
      <w:r>
        <w:rPr>
          <w:sz w:val="1"/>
          <w:szCs w:val="1"/>
          <w:color w:val="auto"/>
        </w:rPr>
        <w:drawing>
          <wp:inline distT="0" distB="0" distL="0" distR="0">
            <wp:extent cx="250190" cy="2286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0190" cy="228600"/>
                    </a:xfrm>
                    <a:prstGeom prst="rect">
                      <a:avLst/>
                    </a:prstGeom>
                    <a:noFill/>
                    <a:ln>
                      <a:noFill/>
                    </a:ln>
                  </pic:spPr>
                </pic:pic>
              </a:graphicData>
            </a:graphic>
          </wp:inline>
        </w:drawing>
      </w:r>
      <w:r>
        <w:rPr>
          <w:rFonts w:ascii="Arial" w:cs="Arial" w:eastAsia="Arial" w:hAnsi="Arial"/>
          <w:sz w:val="14"/>
          <w:szCs w:val="14"/>
          <w:color w:val="auto"/>
        </w:rPr>
        <w:t xml:space="preserve">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50190" cy="2501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183" w:lineRule="exact"/>
        <w:rPr>
          <w:sz w:val="20"/>
          <w:szCs w:val="20"/>
          <w:color w:val="auto"/>
        </w:rPr>
      </w:pPr>
    </w:p>
    <w:p>
      <w:pPr>
        <w:ind w:left="508"/>
        <w:spacing w:after="0"/>
        <w:rPr>
          <w:sz w:val="20"/>
          <w:szCs w:val="20"/>
          <w:color w:val="auto"/>
        </w:rPr>
      </w:pPr>
      <w:r>
        <w:rPr>
          <w:rFonts w:ascii="Arial" w:cs="Arial" w:eastAsia="Arial" w:hAnsi="Arial"/>
          <w:sz w:val="14"/>
          <w:szCs w:val="14"/>
          <w:color w:val="auto"/>
        </w:rPr>
        <w:t>Public Company CEO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451739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33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Other Public Boards</w:t>
      </w:r>
    </w:p>
    <w:p>
      <w:pPr>
        <w:spacing w:after="0" w:line="77" w:lineRule="exact"/>
        <w:rPr>
          <w:sz w:val="20"/>
          <w:szCs w:val="20"/>
          <w:color w:val="auto"/>
        </w:rPr>
      </w:pPr>
    </w:p>
    <w:p>
      <w:pPr>
        <w:ind w:left="168" w:hanging="168"/>
        <w:spacing w:after="0"/>
        <w:tabs>
          <w:tab w:leader="none" w:pos="168" w:val="left"/>
        </w:tabs>
        <w:numPr>
          <w:ilvl w:val="0"/>
          <w:numId w:val="9"/>
        </w:numPr>
        <w:rPr>
          <w:rFonts w:ascii="Arial" w:cs="Arial" w:eastAsia="Arial" w:hAnsi="Arial"/>
          <w:sz w:val="14"/>
          <w:szCs w:val="14"/>
          <w:color w:val="215AA8"/>
        </w:rPr>
      </w:pPr>
      <w:r>
        <w:rPr>
          <w:rFonts w:ascii="Arial" w:cs="Arial" w:eastAsia="Arial" w:hAnsi="Arial"/>
          <w:sz w:val="14"/>
          <w:szCs w:val="14"/>
          <w:color w:val="auto"/>
        </w:rPr>
        <w:t>Cerevel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451739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314" w:lineRule="exact"/>
        <w:rPr>
          <w:sz w:val="20"/>
          <w:szCs w:val="20"/>
          <w:color w:val="auto"/>
        </w:rPr>
      </w:pPr>
    </w:p>
    <w:p>
      <w:pPr>
        <w:ind w:left="8" w:right="1280"/>
        <w:spacing w:after="0" w:line="242" w:lineRule="auto"/>
        <w:rPr>
          <w:sz w:val="20"/>
          <w:szCs w:val="20"/>
          <w:color w:val="auto"/>
        </w:rPr>
      </w:pPr>
      <w:r>
        <w:rPr>
          <w:rFonts w:ascii="Arial" w:cs="Arial" w:eastAsia="Arial" w:hAnsi="Arial"/>
          <w:sz w:val="14"/>
          <w:szCs w:val="14"/>
          <w:i w:val="1"/>
          <w:iCs w:val="1"/>
          <w:color w:val="auto"/>
        </w:rPr>
        <w:t>Dr. Coles’s experience as a seasoned executive and corporate director with extensive knowledge of highly regulated biopharmaceutical and pharmaceutical companies, as well as his in-depth knowledge and understanding of the regulatory environment in which Regeneron operates, led to the board’s decision to nominate Dr. Coles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652145</wp:posOffset>
            </wp:positionV>
            <wp:extent cx="571817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1817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492"/>
            <w:col w:w="8248"/>
          </w:cols>
          <w:pgMar w:left="320" w:top="21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00" w:right="1240" w:hanging="279"/>
        <w:spacing w:after="0" w:line="210" w:lineRule="auto"/>
        <w:tabs>
          <w:tab w:leader="none" w:pos="1400" w:val="left"/>
        </w:tabs>
        <w:numPr>
          <w:ilvl w:val="0"/>
          <w:numId w:val="10"/>
        </w:numPr>
        <w:rPr>
          <w:rFonts w:ascii="Arial" w:cs="Arial" w:eastAsia="Arial" w:hAnsi="Arial"/>
          <w:sz w:val="20"/>
          <w:szCs w:val="20"/>
          <w:color w:val="auto"/>
          <w:vertAlign w:val="superscript"/>
        </w:rPr>
      </w:pPr>
      <w:r>
        <w:rPr>
          <w:rFonts w:ascii="Arial" w:cs="Arial" w:eastAsia="Arial" w:hAnsi="Arial"/>
          <w:sz w:val="12"/>
          <w:szCs w:val="12"/>
          <w:color w:val="auto"/>
        </w:rPr>
        <w:t>Biographical information is given, as of April 16, 2024, for each nominee and for each of the other directors whose term of office will continue after the 2024 Annual Meeting. All nominees are presently directors and, with the exception of Drs. Guarini and Schenkein, were previously elected by the shareholders. None of the corporations or other organizations referred to below with which a director has been or is currently employed or otherwise associated is a parent, subsidiary, or affiliate of the Company.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8</w:t>
            </w:r>
          </w:p>
        </w:tc>
      </w:tr>
      <w:tr>
        <w:trPr>
          <w:trHeight w:val="211"/>
        </w:trPr>
        <w:tc>
          <w:tcPr>
            <w:tcW w:w="7600" w:type="dxa"/>
            <w:vAlign w:val="bottom"/>
            <w:tcBorders>
              <w:bottom w:val="single" w:sz="8" w:color="C0C0C0"/>
            </w:tcBorders>
          </w:tcPr>
          <w:p>
            <w:pPr>
              <w:spacing w:after="0"/>
              <w:rPr>
                <w:sz w:val="18"/>
                <w:szCs w:val="18"/>
                <w:color w:val="auto"/>
              </w:rPr>
            </w:pPr>
          </w:p>
        </w:tc>
        <w:tc>
          <w:tcPr>
            <w:tcW w:w="366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6348095</wp:posOffset>
            </wp:positionH>
            <wp:positionV relativeFrom="paragraph">
              <wp:posOffset>-242570</wp:posOffset>
            </wp:positionV>
            <wp:extent cx="629285" cy="71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1"/>
          <w:szCs w:val="11"/>
          <w:b w:val="1"/>
          <w:bCs w:val="1"/>
          <w:u w:val="single" w:color="auto"/>
          <w:color w:val="0000EE"/>
        </w:rPr>
        <w:t>Back to Contents</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949599"/>
        </w:rPr>
        <w:t>Users’ Guide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1080"/>
        <w:spacing w:after="0"/>
        <w:tabs>
          <w:tab w:leader="none" w:pos="3500" w:val="left"/>
        </w:tabs>
        <w:rPr>
          <w:sz w:val="20"/>
          <w:szCs w:val="20"/>
          <w:color w:val="auto"/>
        </w:rPr>
      </w:pPr>
      <w:r>
        <w:rPr>
          <w:rFonts w:ascii="Arial" w:cs="Arial" w:eastAsia="Arial" w:hAnsi="Arial"/>
          <w:sz w:val="21"/>
          <w:szCs w:val="21"/>
          <w:b w:val="1"/>
          <w:bCs w:val="1"/>
          <w:color w:val="215AA8"/>
        </w:rPr>
        <w:t>Kathryn Guarini, Ph.D.</w:t>
      </w:r>
      <w:r>
        <w:rPr>
          <w:sz w:val="20"/>
          <w:szCs w:val="20"/>
          <w:color w:val="auto"/>
        </w:rPr>
        <w:tab/>
      </w:r>
      <w:r>
        <w:rPr>
          <w:rFonts w:ascii="Arial" w:cs="Arial" w:eastAsia="Arial" w:hAnsi="Arial"/>
          <w:sz w:val="12"/>
          <w:szCs w:val="12"/>
          <w:b w:val="1"/>
          <w:bCs w:val="1"/>
          <w:color w:val="FFFFFF"/>
          <w:shd w:val="clear" w:color="auto" w:fill="215A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-139700</wp:posOffset>
            </wp:positionV>
            <wp:extent cx="857885" cy="857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pacing w:after="0" w:line="16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215AA8"/>
        </w:rPr>
        <w:t xml:space="preserve">Director since: </w:t>
      </w:r>
      <w:r>
        <w:rPr>
          <w:rFonts w:ascii="Arial" w:cs="Arial" w:eastAsia="Arial" w:hAnsi="Arial"/>
          <w:sz w:val="14"/>
          <w:szCs w:val="14"/>
          <w:color w:val="000000"/>
        </w:rPr>
        <w:t>2023 |</w:t>
      </w:r>
      <w:r>
        <w:rPr>
          <w:rFonts w:ascii="Arial" w:cs="Arial" w:eastAsia="Arial" w:hAnsi="Arial"/>
          <w:sz w:val="14"/>
          <w:szCs w:val="14"/>
          <w:b w:val="1"/>
          <w:bCs w:val="1"/>
          <w:color w:val="215AA8"/>
        </w:rPr>
        <w:t xml:space="preserve"> Age: </w:t>
      </w:r>
      <w:r>
        <w:rPr>
          <w:rFonts w:ascii="Arial" w:cs="Arial" w:eastAsia="Arial" w:hAnsi="Arial"/>
          <w:sz w:val="14"/>
          <w:szCs w:val="14"/>
          <w:color w:val="00000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-43815</wp:posOffset>
            </wp:positionV>
            <wp:extent cx="316674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66745" cy="6985"/>
                    </a:xfrm>
                    <a:prstGeom prst="rect">
                      <a:avLst/>
                    </a:prstGeom>
                    <a:noFill/>
                  </pic:spPr>
                </pic:pic>
              </a:graphicData>
            </a:graphic>
          </wp:anchor>
        </w:drawing>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D60058"/>
        </w:rPr>
        <w:t>Career Highlights</w:t>
      </w:r>
    </w:p>
    <w:p>
      <w:pPr>
        <w:spacing w:after="0" w:line="77" w:lineRule="exact"/>
        <w:rPr>
          <w:sz w:val="20"/>
          <w:szCs w:val="20"/>
          <w:color w:val="auto"/>
        </w:rPr>
      </w:pPr>
    </w:p>
    <w:p>
      <w:pPr>
        <w:ind w:left="1240" w:hanging="168"/>
        <w:spacing w:after="0"/>
        <w:tabs>
          <w:tab w:leader="none" w:pos="1240" w:val="left"/>
        </w:tabs>
        <w:numPr>
          <w:ilvl w:val="0"/>
          <w:numId w:val="11"/>
        </w:numPr>
        <w:rPr>
          <w:rFonts w:ascii="Arial" w:cs="Arial" w:eastAsia="Arial" w:hAnsi="Arial"/>
          <w:sz w:val="14"/>
          <w:szCs w:val="14"/>
          <w:color w:val="215AA8"/>
        </w:rPr>
      </w:pPr>
      <w:r>
        <w:rPr>
          <w:rFonts w:ascii="Arial" w:cs="Arial" w:eastAsia="Arial" w:hAnsi="Arial"/>
          <w:sz w:val="14"/>
          <w:szCs w:val="14"/>
          <w:color w:val="auto"/>
        </w:rPr>
        <w:t>Former Chief Information Officer of International Business Machines Corporation (IBM) from 2021 to 2023</w:t>
      </w:r>
    </w:p>
    <w:p>
      <w:pPr>
        <w:spacing w:after="0" w:line="75" w:lineRule="exact"/>
        <w:rPr>
          <w:sz w:val="20"/>
          <w:szCs w:val="20"/>
          <w:color w:val="auto"/>
        </w:rPr>
      </w:pPr>
    </w:p>
    <w:p>
      <w:pPr>
        <w:sectPr>
          <w:pgSz w:w="11900" w:h="16838" w:orient="portrait"/>
          <w:cols w:equalWidth="0" w:num="2">
            <w:col w:w="1220" w:space="720"/>
            <w:col w:w="9320"/>
          </w:cols>
          <w:pgMar w:left="320" w:top="222" w:right="319" w:bottom="1440" w:gutter="0" w:footer="0" w:header="0"/>
        </w:sectPr>
      </w:pPr>
    </w:p>
    <w:p>
      <w:pPr>
        <w:spacing w:after="0" w:line="28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Board and Committee</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Membership—2023</w:t>
      </w:r>
    </w:p>
    <w:p>
      <w:pPr>
        <w:ind w:left="1120"/>
        <w:spacing w:after="0"/>
        <w:rPr>
          <w:sz w:val="20"/>
          <w:szCs w:val="20"/>
          <w:color w:val="auto"/>
        </w:rPr>
      </w:pPr>
      <w:r>
        <w:rPr>
          <w:rFonts w:ascii="Arial" w:cs="Arial" w:eastAsia="Arial" w:hAnsi="Arial"/>
          <w:sz w:val="14"/>
          <w:szCs w:val="14"/>
          <w:b w:val="1"/>
          <w:bCs w:val="1"/>
          <w:color w:val="215AA8"/>
        </w:rPr>
        <w:t>Attendance*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Board of Directors: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2/2</w:t>
      </w:r>
    </w:p>
    <w:p>
      <w:pPr>
        <w:ind w:left="1120"/>
        <w:spacing w:after="0" w:line="234" w:lineRule="auto"/>
        <w:rPr>
          <w:sz w:val="20"/>
          <w:szCs w:val="20"/>
          <w:color w:val="auto"/>
        </w:rPr>
      </w:pPr>
      <w:r>
        <w:rPr>
          <w:rFonts w:ascii="Arial" w:cs="Arial" w:eastAsia="Arial" w:hAnsi="Arial"/>
          <w:sz w:val="14"/>
          <w:szCs w:val="14"/>
          <w:color w:val="auto"/>
        </w:rPr>
        <w:t>Audit Committee:</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3/3</w:t>
      </w:r>
    </w:p>
    <w:p>
      <w:pPr>
        <w:spacing w:after="0" w:line="142" w:lineRule="exact"/>
        <w:rPr>
          <w:sz w:val="20"/>
          <w:szCs w:val="20"/>
          <w:color w:val="auto"/>
        </w:rPr>
      </w:pPr>
    </w:p>
    <w:p>
      <w:pPr>
        <w:ind w:left="1240" w:hanging="119"/>
        <w:spacing w:after="0" w:line="290" w:lineRule="auto"/>
        <w:tabs>
          <w:tab w:leader="none" w:pos="1248" w:val="left"/>
        </w:tabs>
        <w:numPr>
          <w:ilvl w:val="0"/>
          <w:numId w:val="12"/>
        </w:numPr>
        <w:rPr>
          <w:rFonts w:ascii="Arial" w:cs="Arial" w:eastAsia="Arial" w:hAnsi="Arial"/>
          <w:sz w:val="12"/>
          <w:szCs w:val="12"/>
          <w:color w:val="auto"/>
        </w:rPr>
      </w:pPr>
      <w:r>
        <w:rPr>
          <w:rFonts w:ascii="Arial" w:cs="Arial" w:eastAsia="Arial" w:hAnsi="Arial"/>
          <w:sz w:val="12"/>
          <w:szCs w:val="12"/>
          <w:color w:val="auto"/>
        </w:rPr>
        <w:t>Dr. Guarini was elected as a member of the board and the Audit Committee effective September 8, 2023.</w:t>
      </w:r>
    </w:p>
    <w:p>
      <w:pPr>
        <w:spacing w:after="0" w:line="20" w:lineRule="exact"/>
        <w:rPr>
          <w:sz w:val="20"/>
          <w:szCs w:val="20"/>
          <w:color w:val="auto"/>
        </w:rPr>
      </w:pPr>
      <w:r>
        <w:rPr>
          <w:sz w:val="20"/>
          <w:szCs w:val="20"/>
          <w:color w:val="auto"/>
        </w:rPr>
        <w:br w:type="column"/>
      </w:r>
    </w:p>
    <w:p>
      <w:pPr>
        <w:ind w:left="168" w:right="1140" w:hanging="168"/>
        <w:spacing w:after="0" w:line="242" w:lineRule="auto"/>
        <w:tabs>
          <w:tab w:leader="none" w:pos="162" w:val="left"/>
        </w:tabs>
        <w:numPr>
          <w:ilvl w:val="0"/>
          <w:numId w:val="13"/>
        </w:numPr>
        <w:rPr>
          <w:rFonts w:ascii="Arial" w:cs="Arial" w:eastAsia="Arial" w:hAnsi="Arial"/>
          <w:sz w:val="14"/>
          <w:szCs w:val="14"/>
          <w:color w:val="215AA8"/>
        </w:rPr>
      </w:pPr>
      <w:r>
        <w:rPr>
          <w:rFonts w:ascii="Arial" w:cs="Arial" w:eastAsia="Arial" w:hAnsi="Arial"/>
          <w:sz w:val="14"/>
          <w:szCs w:val="14"/>
          <w:color w:val="auto"/>
        </w:rPr>
        <w:t>Previously held positions of increasing responsibility at IBM, including Vice President, Chief Operating Officer of IBM Research from 2020 to 2021; Vice President, Industry Research of IBM Research from 2018 to 2020; Vice President, Research Strategy of IBM Research from 2017 to 2018; and Vice President, Product Management of IBM Systems from 2014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451739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29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Experience and Expertise</w:t>
      </w:r>
    </w:p>
    <w:p>
      <w:pPr>
        <w:spacing w:after="0" w:line="69" w:lineRule="exact"/>
        <w:rPr>
          <w:sz w:val="20"/>
          <w:szCs w:val="20"/>
          <w:color w:val="auto"/>
        </w:rPr>
      </w:pPr>
    </w:p>
    <w:p>
      <w:pPr>
        <w:ind w:left="508"/>
        <w:spacing w:after="0"/>
        <w:rPr>
          <w:sz w:val="20"/>
          <w:szCs w:val="20"/>
          <w:color w:val="auto"/>
        </w:rPr>
      </w:pPr>
      <w:r>
        <w:rPr>
          <w:rFonts w:ascii="Arial" w:cs="Arial" w:eastAsia="Arial" w:hAnsi="Arial"/>
          <w:sz w:val="14"/>
          <w:szCs w:val="14"/>
          <w:color w:val="auto"/>
        </w:rPr>
        <w:t xml:space="preserve">Executive/Leadership Experience               </w:t>
      </w:r>
      <w:r>
        <w:rPr>
          <w:sz w:val="1"/>
          <w:szCs w:val="1"/>
          <w:color w:val="auto"/>
        </w:rPr>
        <w:drawing>
          <wp:inline distT="0" distB="0" distL="0" distR="0">
            <wp:extent cx="250190" cy="25019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0190" cy="250190"/>
                    </a:xfrm>
                    <a:prstGeom prst="rect">
                      <a:avLst/>
                    </a:prstGeom>
                    <a:noFill/>
                    <a:ln>
                      <a:noFill/>
                    </a:ln>
                  </pic:spPr>
                </pic:pic>
              </a:graphicData>
            </a:graphic>
          </wp:inline>
        </w:drawing>
      </w:r>
      <w:r>
        <w:rPr>
          <w:rFonts w:ascii="Arial" w:cs="Arial" w:eastAsia="Arial" w:hAnsi="Arial"/>
          <w:sz w:val="14"/>
          <w:szCs w:val="14"/>
          <w:color w:val="auto"/>
        </w:rPr>
        <w:t xml:space="preserve">  Technology/Digital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250190" cy="221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0190" cy="2216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50165</wp:posOffset>
            </wp:positionV>
            <wp:extent cx="250190" cy="2501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29" w:lineRule="exact"/>
        <w:rPr>
          <w:sz w:val="20"/>
          <w:szCs w:val="20"/>
          <w:color w:val="auto"/>
        </w:rPr>
      </w:pPr>
    </w:p>
    <w:p>
      <w:pPr>
        <w:ind w:left="508"/>
        <w:spacing w:after="0"/>
        <w:rPr>
          <w:sz w:val="20"/>
          <w:szCs w:val="20"/>
          <w:color w:val="auto"/>
        </w:rPr>
      </w:pPr>
      <w:r>
        <w:rPr>
          <w:rFonts w:ascii="Arial" w:cs="Arial" w:eastAsia="Arial" w:hAnsi="Arial"/>
          <w:sz w:val="14"/>
          <w:szCs w:val="14"/>
          <w:color w:val="auto"/>
        </w:rPr>
        <w:t xml:space="preserve">Science/Biotech Background                  </w:t>
      </w:r>
      <w:r>
        <w:rPr>
          <w:sz w:val="1"/>
          <w:szCs w:val="1"/>
          <w:color w:val="auto"/>
        </w:rPr>
        <w:drawing>
          <wp:inline distT="0" distB="0" distL="0" distR="0">
            <wp:extent cx="250190" cy="25019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0190" cy="250190"/>
                    </a:xfrm>
                    <a:prstGeom prst="rect">
                      <a:avLst/>
                    </a:prstGeom>
                    <a:noFill/>
                    <a:ln>
                      <a:noFill/>
                    </a:ln>
                  </pic:spPr>
                </pic:pic>
              </a:graphicData>
            </a:graphic>
          </wp:inline>
        </w:drawing>
      </w:r>
      <w:r>
        <w:rPr>
          <w:rFonts w:ascii="Arial" w:cs="Arial" w:eastAsia="Arial" w:hAnsi="Arial"/>
          <w:sz w:val="14"/>
          <w:szCs w:val="14"/>
          <w:color w:val="auto"/>
        </w:rPr>
        <w:t xml:space="preserve">  Business Strategy/Operations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50165</wp:posOffset>
            </wp:positionV>
            <wp:extent cx="200025" cy="264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0025" cy="264160"/>
                    </a:xfrm>
                    <a:prstGeom prst="rect">
                      <a:avLst/>
                    </a:prstGeom>
                    <a:noFill/>
                  </pic:spPr>
                </pic:pic>
              </a:graphicData>
            </a:graphic>
          </wp:anchor>
        </w:drawing>
      </w:r>
    </w:p>
    <w:p>
      <w:pPr>
        <w:spacing w:after="0" w:line="172" w:lineRule="exact"/>
        <w:rPr>
          <w:sz w:val="20"/>
          <w:szCs w:val="20"/>
          <w:color w:val="auto"/>
        </w:rPr>
      </w:pPr>
    </w:p>
    <w:p>
      <w:pPr>
        <w:ind w:left="508"/>
        <w:spacing w:after="0"/>
        <w:rPr>
          <w:sz w:val="20"/>
          <w:szCs w:val="20"/>
          <w:color w:val="auto"/>
        </w:rPr>
      </w:pPr>
      <w:r>
        <w:rPr>
          <w:rFonts w:ascii="Arial" w:cs="Arial" w:eastAsia="Arial" w:hAnsi="Arial"/>
          <w:sz w:val="14"/>
          <w:szCs w:val="14"/>
          <w:color w:val="auto"/>
        </w:rPr>
        <w:t>Research/Academic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451739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2640" w:space="372"/>
            <w:col w:w="8248"/>
          </w:cols>
          <w:pgMar w:left="320" w:top="222" w:right="319" w:bottom="1440" w:gutter="0" w:footer="0" w:header="0"/>
          <w:type w:val="continuous"/>
        </w:sectPr>
      </w:pPr>
    </w:p>
    <w:p>
      <w:pPr>
        <w:spacing w:after="0" w:line="81" w:lineRule="exact"/>
        <w:rPr>
          <w:sz w:val="20"/>
          <w:szCs w:val="20"/>
          <w:color w:val="auto"/>
        </w:rPr>
      </w:pPr>
    </w:p>
    <w:p>
      <w:pPr>
        <w:ind w:left="3020" w:right="1260"/>
        <w:spacing w:after="0" w:line="246" w:lineRule="auto"/>
        <w:rPr>
          <w:sz w:val="20"/>
          <w:szCs w:val="20"/>
          <w:color w:val="auto"/>
        </w:rPr>
      </w:pPr>
      <w:r>
        <w:rPr>
          <w:rFonts w:ascii="Arial" w:cs="Arial" w:eastAsia="Arial" w:hAnsi="Arial"/>
          <w:sz w:val="14"/>
          <w:szCs w:val="14"/>
          <w:i w:val="1"/>
          <w:iCs w:val="1"/>
          <w:color w:val="auto"/>
        </w:rPr>
        <w:t>Dr. Guarini’s experience as an executive of a major corporation and extensive knowledge of information technology, data security, and artificial intelligence matters led to the board’s decision to nominate Dr. Guarini for reelection to the board.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9</w:t>
            </w:r>
          </w:p>
        </w:tc>
      </w:tr>
      <w:tr>
        <w:trPr>
          <w:trHeight w:val="211"/>
        </w:trPr>
        <w:tc>
          <w:tcPr>
            <w:tcW w:w="7600" w:type="dxa"/>
            <w:vAlign w:val="bottom"/>
            <w:tcBorders>
              <w:bottom w:val="single" w:sz="8" w:color="C0C0C0"/>
            </w:tcBorders>
          </w:tcPr>
          <w:p>
            <w:pPr>
              <w:spacing w:after="0"/>
              <w:rPr>
                <w:sz w:val="18"/>
                <w:szCs w:val="18"/>
                <w:color w:val="auto"/>
              </w:rPr>
            </w:pPr>
          </w:p>
        </w:tc>
        <w:tc>
          <w:tcPr>
            <w:tcW w:w="366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6348095</wp:posOffset>
            </wp:positionH>
            <wp:positionV relativeFrom="paragraph">
              <wp:posOffset>-242570</wp:posOffset>
            </wp:positionV>
            <wp:extent cx="629285" cy="717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22" w:right="31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21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215AA8"/>
        </w:rPr>
        <w:t>Board and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-1036955</wp:posOffset>
            </wp:positionV>
            <wp:extent cx="857885" cy="857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Membership—2023</w:t>
      </w:r>
    </w:p>
    <w:p>
      <w:pPr>
        <w:ind w:left="1120"/>
        <w:spacing w:after="0"/>
        <w:rPr>
          <w:sz w:val="20"/>
          <w:szCs w:val="20"/>
          <w:color w:val="auto"/>
        </w:rPr>
      </w:pPr>
      <w:r>
        <w:rPr>
          <w:rFonts w:ascii="Arial" w:cs="Arial" w:eastAsia="Arial" w:hAnsi="Arial"/>
          <w:sz w:val="14"/>
          <w:szCs w:val="14"/>
          <w:b w:val="1"/>
          <w:bCs w:val="1"/>
          <w:color w:val="215AA8"/>
        </w:rPr>
        <w:t>Attendance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Board of Directors: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6/6</w:t>
      </w:r>
    </w:p>
    <w:p>
      <w:pPr>
        <w:ind w:left="1120"/>
        <w:spacing w:after="0" w:line="234" w:lineRule="auto"/>
        <w:rPr>
          <w:sz w:val="20"/>
          <w:szCs w:val="20"/>
          <w:color w:val="auto"/>
        </w:rPr>
      </w:pPr>
      <w:r>
        <w:rPr>
          <w:rFonts w:ascii="Arial" w:cs="Arial" w:eastAsia="Arial" w:hAnsi="Arial"/>
          <w:sz w:val="14"/>
          <w:szCs w:val="14"/>
          <w:color w:val="auto"/>
        </w:rPr>
        <w:t>Audit Committee:</w:t>
      </w:r>
    </w:p>
    <w:p>
      <w:pPr>
        <w:ind w:left="1120"/>
        <w:spacing w:after="0" w:line="235" w:lineRule="auto"/>
        <w:rPr>
          <w:sz w:val="20"/>
          <w:szCs w:val="20"/>
          <w:color w:val="auto"/>
        </w:rPr>
      </w:pPr>
      <w:r>
        <w:rPr>
          <w:rFonts w:ascii="Arial" w:cs="Arial" w:eastAsia="Arial" w:hAnsi="Arial"/>
          <w:sz w:val="14"/>
          <w:szCs w:val="14"/>
          <w:b w:val="1"/>
          <w:bCs w:val="1"/>
          <w:color w:val="215AA8"/>
        </w:rPr>
        <w:t>13/13</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Corporate Governance</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and Compliance</w:t>
      </w:r>
    </w:p>
    <w:p>
      <w:pPr>
        <w:ind w:left="1120"/>
        <w:spacing w:after="0" w:line="234" w:lineRule="auto"/>
        <w:rPr>
          <w:sz w:val="20"/>
          <w:szCs w:val="20"/>
          <w:color w:val="auto"/>
        </w:rPr>
      </w:pPr>
      <w:r>
        <w:rPr>
          <w:rFonts w:ascii="Arial" w:cs="Arial" w:eastAsia="Arial" w:hAnsi="Arial"/>
          <w:sz w:val="14"/>
          <w:szCs w:val="14"/>
          <w:color w:val="auto"/>
        </w:rPr>
        <w:t>Committee (Chair):</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5/5</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8"/>
        <w:spacing w:after="0"/>
        <w:tabs>
          <w:tab w:leader="none" w:pos="1627" w:val="left"/>
        </w:tabs>
        <w:rPr>
          <w:sz w:val="20"/>
          <w:szCs w:val="20"/>
          <w:color w:val="auto"/>
        </w:rPr>
      </w:pPr>
      <w:r>
        <w:rPr>
          <w:rFonts w:ascii="Arial" w:cs="Arial" w:eastAsia="Arial" w:hAnsi="Arial"/>
          <w:sz w:val="21"/>
          <w:szCs w:val="21"/>
          <w:b w:val="1"/>
          <w:bCs w:val="1"/>
          <w:color w:val="215AA8"/>
        </w:rPr>
        <w:t>Arthur F. Ryan</w:t>
      </w:r>
      <w:r>
        <w:rPr>
          <w:sz w:val="20"/>
          <w:szCs w:val="20"/>
          <w:color w:val="auto"/>
        </w:rPr>
        <w:tab/>
      </w:r>
      <w:r>
        <w:rPr>
          <w:rFonts w:ascii="Arial" w:cs="Arial" w:eastAsia="Arial" w:hAnsi="Arial"/>
          <w:sz w:val="12"/>
          <w:szCs w:val="12"/>
          <w:b w:val="1"/>
          <w:bCs w:val="1"/>
          <w:color w:val="FFFFFF"/>
          <w:shd w:val="clear" w:color="auto" w:fill="215AA8"/>
        </w:rPr>
        <w:t>Independent</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215AA8"/>
        </w:rPr>
        <w:t xml:space="preserve">Director since: </w:t>
      </w:r>
      <w:r>
        <w:rPr>
          <w:rFonts w:ascii="Arial" w:cs="Arial" w:eastAsia="Arial" w:hAnsi="Arial"/>
          <w:sz w:val="14"/>
          <w:szCs w:val="14"/>
          <w:color w:val="000000"/>
        </w:rPr>
        <w:t>2003 |</w:t>
      </w:r>
      <w:r>
        <w:rPr>
          <w:rFonts w:ascii="Arial" w:cs="Arial" w:eastAsia="Arial" w:hAnsi="Arial"/>
          <w:sz w:val="14"/>
          <w:szCs w:val="14"/>
          <w:b w:val="1"/>
          <w:bCs w:val="1"/>
          <w:color w:val="215AA8"/>
        </w:rPr>
        <w:t xml:space="preserve"> Age: </w:t>
      </w:r>
      <w:r>
        <w:rPr>
          <w:rFonts w:ascii="Arial" w:cs="Arial" w:eastAsia="Arial" w:hAnsi="Arial"/>
          <w:sz w:val="14"/>
          <w:szCs w:val="14"/>
          <w:color w:val="000000"/>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-43815</wp:posOffset>
            </wp:positionV>
            <wp:extent cx="316674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66745" cy="6985"/>
                    </a:xfrm>
                    <a:prstGeom prst="rect">
                      <a:avLst/>
                    </a:prstGeom>
                    <a:noFill/>
                  </pic:spPr>
                </pic:pic>
              </a:graphicData>
            </a:graphic>
          </wp:anchor>
        </w:drawing>
      </w:r>
    </w:p>
    <w:p>
      <w:pPr>
        <w:spacing w:after="0" w:line="15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Career Highlights</w:t>
      </w:r>
    </w:p>
    <w:p>
      <w:pPr>
        <w:spacing w:after="0" w:line="77" w:lineRule="exact"/>
        <w:rPr>
          <w:sz w:val="20"/>
          <w:szCs w:val="20"/>
          <w:color w:val="auto"/>
        </w:rPr>
      </w:pPr>
    </w:p>
    <w:p>
      <w:pPr>
        <w:ind w:left="168" w:hanging="168"/>
        <w:spacing w:after="0"/>
        <w:tabs>
          <w:tab w:leader="none" w:pos="168" w:val="left"/>
        </w:tabs>
        <w:numPr>
          <w:ilvl w:val="0"/>
          <w:numId w:val="14"/>
        </w:numPr>
        <w:rPr>
          <w:rFonts w:ascii="Arial" w:cs="Arial" w:eastAsia="Arial" w:hAnsi="Arial"/>
          <w:sz w:val="12"/>
          <w:szCs w:val="12"/>
          <w:color w:val="215AA8"/>
        </w:rPr>
      </w:pPr>
      <w:r>
        <w:rPr>
          <w:rFonts w:ascii="Arial" w:cs="Arial" w:eastAsia="Arial" w:hAnsi="Arial"/>
          <w:sz w:val="12"/>
          <w:szCs w:val="12"/>
          <w:color w:val="auto"/>
        </w:rPr>
        <w:t>Former Chief Executive Officer and Chair of the Board of Prudential Financial, Inc. from 1994 to 2008</w:t>
      </w:r>
    </w:p>
    <w:p>
      <w:pPr>
        <w:spacing w:after="0" w:line="98" w:lineRule="exact"/>
        <w:rPr>
          <w:rFonts w:ascii="Arial" w:cs="Arial" w:eastAsia="Arial" w:hAnsi="Arial"/>
          <w:sz w:val="12"/>
          <w:szCs w:val="12"/>
          <w:color w:val="215AA8"/>
        </w:rPr>
      </w:pPr>
    </w:p>
    <w:p>
      <w:pPr>
        <w:ind w:left="168" w:hanging="168"/>
        <w:spacing w:after="0"/>
        <w:tabs>
          <w:tab w:leader="none" w:pos="168" w:val="left"/>
        </w:tabs>
        <w:numPr>
          <w:ilvl w:val="0"/>
          <w:numId w:val="14"/>
        </w:numPr>
        <w:rPr>
          <w:rFonts w:ascii="Arial" w:cs="Arial" w:eastAsia="Arial" w:hAnsi="Arial"/>
          <w:sz w:val="14"/>
          <w:szCs w:val="14"/>
          <w:color w:val="215AA8"/>
        </w:rPr>
      </w:pPr>
      <w:r>
        <w:rPr>
          <w:rFonts w:ascii="Arial" w:cs="Arial" w:eastAsia="Arial" w:hAnsi="Arial"/>
          <w:sz w:val="14"/>
          <w:szCs w:val="14"/>
          <w:color w:val="auto"/>
        </w:rPr>
        <w:t>President and Chief Operating Officer of Chase Manhattan Bank from 1990 to 1994</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14"/>
        </w:numPr>
        <w:rPr>
          <w:rFonts w:ascii="Arial" w:cs="Arial" w:eastAsia="Arial" w:hAnsi="Arial"/>
          <w:sz w:val="14"/>
          <w:szCs w:val="14"/>
          <w:color w:val="215AA8"/>
        </w:rPr>
      </w:pPr>
      <w:r>
        <w:rPr>
          <w:rFonts w:ascii="Arial" w:cs="Arial" w:eastAsia="Arial" w:hAnsi="Arial"/>
          <w:sz w:val="14"/>
          <w:szCs w:val="14"/>
          <w:color w:val="auto"/>
        </w:rPr>
        <w:t>Managed Chase’s worldwide retail bank between 1984 and 1990</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14"/>
        </w:numPr>
        <w:rPr>
          <w:rFonts w:ascii="Arial" w:cs="Arial" w:eastAsia="Arial" w:hAnsi="Arial"/>
          <w:sz w:val="14"/>
          <w:szCs w:val="14"/>
          <w:color w:val="215AA8"/>
        </w:rPr>
      </w:pPr>
      <w:r>
        <w:rPr>
          <w:rFonts w:ascii="Arial" w:cs="Arial" w:eastAsia="Arial" w:hAnsi="Arial"/>
          <w:sz w:val="14"/>
          <w:szCs w:val="14"/>
          <w:color w:val="auto"/>
        </w:rPr>
        <w:t>Non-executive director of the Royal Bank of Scotland Group plc from 2008 to 2013</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14"/>
        </w:numPr>
        <w:rPr>
          <w:rFonts w:ascii="Arial" w:cs="Arial" w:eastAsia="Arial" w:hAnsi="Arial"/>
          <w:sz w:val="14"/>
          <w:szCs w:val="14"/>
          <w:color w:val="215AA8"/>
        </w:rPr>
      </w:pPr>
      <w:r>
        <w:rPr>
          <w:rFonts w:ascii="Arial" w:cs="Arial" w:eastAsia="Arial" w:hAnsi="Arial"/>
          <w:sz w:val="14"/>
          <w:szCs w:val="14"/>
          <w:color w:val="auto"/>
        </w:rPr>
        <w:t>Director of Citizens Financial Group, Inc. from 2009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451739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312"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250190" cy="2432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0190" cy="243205"/>
                    </a:xfrm>
                    <a:prstGeom prst="rect">
                      <a:avLst/>
                    </a:prstGeom>
                    <a:noFill/>
                  </pic:spPr>
                </pic:pic>
              </a:graphicData>
            </a:graphic>
          </wp:anchor>
        </w:drawing>
      </w:r>
    </w:p>
    <w:p>
      <w:pPr>
        <w:spacing w:after="0" w:line="61" w:lineRule="exact"/>
        <w:rPr>
          <w:sz w:val="20"/>
          <w:szCs w:val="20"/>
          <w:color w:val="auto"/>
        </w:rPr>
      </w:pPr>
    </w:p>
    <w:p>
      <w:pPr>
        <w:ind w:left="508"/>
        <w:spacing w:after="0"/>
        <w:rPr>
          <w:sz w:val="20"/>
          <w:szCs w:val="20"/>
          <w:color w:val="auto"/>
        </w:rPr>
      </w:pPr>
      <w:r>
        <w:rPr>
          <w:rFonts w:ascii="Arial" w:cs="Arial" w:eastAsia="Arial" w:hAnsi="Arial"/>
          <w:sz w:val="14"/>
          <w:szCs w:val="14"/>
          <w:color w:val="auto"/>
        </w:rPr>
        <w:t xml:space="preserve">Industry Experience                         </w:t>
      </w:r>
      <w:r>
        <w:rPr>
          <w:sz w:val="1"/>
          <w:szCs w:val="1"/>
          <w:color w:val="auto"/>
        </w:rPr>
        <w:drawing>
          <wp:inline distT="0" distB="0" distL="0" distR="0">
            <wp:extent cx="250190" cy="22161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0190" cy="221615"/>
                    </a:xfrm>
                    <a:prstGeom prst="rect">
                      <a:avLst/>
                    </a:prstGeom>
                    <a:noFill/>
                    <a:ln>
                      <a:noFill/>
                    </a:ln>
                  </pic:spPr>
                </pic:pic>
              </a:graphicData>
            </a:graphic>
          </wp:inline>
        </w:drawing>
      </w:r>
      <w:r>
        <w:rPr>
          <w:rFonts w:ascii="Arial" w:cs="Arial" w:eastAsia="Arial" w:hAnsi="Arial"/>
          <w:sz w:val="14"/>
          <w:szCs w:val="14"/>
          <w:color w:val="auto"/>
        </w:rPr>
        <w:t xml:space="preserve">  Executive/Leadership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50190" cy="2501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63" w:lineRule="exact"/>
        <w:rPr>
          <w:sz w:val="20"/>
          <w:szCs w:val="20"/>
          <w:color w:val="auto"/>
        </w:rPr>
      </w:pPr>
    </w:p>
    <w:p>
      <w:pPr>
        <w:ind w:left="508"/>
        <w:spacing w:after="0"/>
        <w:rPr>
          <w:sz w:val="20"/>
          <w:szCs w:val="20"/>
          <w:color w:val="auto"/>
        </w:rPr>
      </w:pPr>
      <w:r>
        <w:rPr>
          <w:rFonts w:ascii="Arial" w:cs="Arial" w:eastAsia="Arial" w:hAnsi="Arial"/>
          <w:sz w:val="14"/>
          <w:szCs w:val="14"/>
          <w:color w:val="auto"/>
        </w:rPr>
        <w:t xml:space="preserve">Business Strategy/Operations Experience        </w:t>
      </w:r>
      <w:r>
        <w:rPr>
          <w:sz w:val="1"/>
          <w:szCs w:val="1"/>
          <w:color w:val="auto"/>
        </w:rPr>
        <w:drawing>
          <wp:inline distT="0" distB="0" distL="0" distR="0">
            <wp:extent cx="250190" cy="2286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0190" cy="228600"/>
                    </a:xfrm>
                    <a:prstGeom prst="rect">
                      <a:avLst/>
                    </a:prstGeom>
                    <a:noFill/>
                    <a:ln>
                      <a:noFill/>
                    </a:ln>
                  </pic:spPr>
                </pic:pic>
              </a:graphicData>
            </a:graphic>
          </wp:inline>
        </w:drawing>
      </w:r>
      <w:r>
        <w:rPr>
          <w:rFonts w:ascii="Arial" w:cs="Arial" w:eastAsia="Arial" w:hAnsi="Arial"/>
          <w:sz w:val="14"/>
          <w:szCs w:val="14"/>
          <w:color w:val="auto"/>
        </w:rPr>
        <w:t xml:space="preserve">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50190" cy="2501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183" w:lineRule="exact"/>
        <w:rPr>
          <w:sz w:val="20"/>
          <w:szCs w:val="20"/>
          <w:color w:val="auto"/>
        </w:rPr>
      </w:pPr>
    </w:p>
    <w:p>
      <w:pPr>
        <w:ind w:left="508"/>
        <w:spacing w:after="0"/>
        <w:rPr>
          <w:sz w:val="20"/>
          <w:szCs w:val="20"/>
          <w:color w:val="auto"/>
        </w:rPr>
      </w:pPr>
      <w:r>
        <w:rPr>
          <w:rFonts w:ascii="Arial" w:cs="Arial" w:eastAsia="Arial" w:hAnsi="Arial"/>
          <w:sz w:val="14"/>
          <w:szCs w:val="14"/>
          <w:color w:val="auto"/>
        </w:rPr>
        <w:t>Public Company CEO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451739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492"/>
            <w:col w:w="8248"/>
          </w:cols>
          <w:pgMar w:left="320" w:top="215" w:right="319" w:bottom="1440" w:gutter="0" w:footer="0" w:header="0"/>
          <w:type w:val="continuous"/>
        </w:sectPr>
      </w:pPr>
    </w:p>
    <w:p>
      <w:pPr>
        <w:spacing w:after="0" w:line="157" w:lineRule="exact"/>
        <w:rPr>
          <w:sz w:val="20"/>
          <w:szCs w:val="20"/>
          <w:color w:val="auto"/>
        </w:rPr>
      </w:pPr>
    </w:p>
    <w:p>
      <w:pPr>
        <w:jc w:val="both"/>
        <w:ind w:left="3020" w:right="1480"/>
        <w:spacing w:after="0" w:line="246" w:lineRule="auto"/>
        <w:rPr>
          <w:sz w:val="20"/>
          <w:szCs w:val="20"/>
          <w:color w:val="auto"/>
        </w:rPr>
      </w:pPr>
      <w:r>
        <w:rPr>
          <w:rFonts w:ascii="Arial" w:cs="Arial" w:eastAsia="Arial" w:hAnsi="Arial"/>
          <w:sz w:val="14"/>
          <w:szCs w:val="14"/>
          <w:i w:val="1"/>
          <w:iCs w:val="1"/>
          <w:color w:val="auto"/>
        </w:rPr>
        <w:t>Mr. Ryan’s substantial leadership experience as a chief executive officer of leading companies in the banking and insurance industries, and his extensive business experience and financial expertise, led to the board’s decision to nominate Mr. Ryan for reelection to the board.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10</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21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Board and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-1051560</wp:posOffset>
            </wp:positionV>
            <wp:extent cx="857885" cy="857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4"/>
          <w:szCs w:val="14"/>
          <w:b w:val="1"/>
          <w:bCs w:val="1"/>
          <w:color w:val="215AA8"/>
        </w:rPr>
        <w:t>Membership—2023</w:t>
      </w:r>
    </w:p>
    <w:p>
      <w:pPr>
        <w:ind w:left="1120"/>
        <w:spacing w:after="0"/>
        <w:rPr>
          <w:sz w:val="20"/>
          <w:szCs w:val="20"/>
          <w:color w:val="auto"/>
        </w:rPr>
      </w:pPr>
      <w:r>
        <w:rPr>
          <w:rFonts w:ascii="Arial" w:cs="Arial" w:eastAsia="Arial" w:hAnsi="Arial"/>
          <w:sz w:val="14"/>
          <w:szCs w:val="14"/>
          <w:b w:val="1"/>
          <w:bCs w:val="1"/>
          <w:color w:val="215AA8"/>
        </w:rPr>
        <w:t>Attendance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Board of Directors: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6/6</w:t>
      </w:r>
    </w:p>
    <w:p>
      <w:pPr>
        <w:ind w:left="1120"/>
        <w:spacing w:after="0"/>
        <w:rPr>
          <w:sz w:val="20"/>
          <w:szCs w:val="20"/>
          <w:color w:val="auto"/>
        </w:rPr>
      </w:pPr>
      <w:r>
        <w:rPr>
          <w:rFonts w:ascii="Arial" w:cs="Arial" w:eastAsia="Arial" w:hAnsi="Arial"/>
          <w:sz w:val="12"/>
          <w:szCs w:val="12"/>
          <w:color w:val="auto"/>
        </w:rPr>
        <w:t>Audit Committee (Chair):</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13/13</w:t>
      </w:r>
    </w:p>
    <w:p>
      <w:pPr>
        <w:ind w:left="1120"/>
        <w:spacing w:after="0" w:line="234" w:lineRule="auto"/>
        <w:rPr>
          <w:sz w:val="20"/>
          <w:szCs w:val="20"/>
          <w:color w:val="auto"/>
        </w:rPr>
      </w:pPr>
      <w:r>
        <w:rPr>
          <w:rFonts w:ascii="Arial" w:cs="Arial" w:eastAsia="Arial" w:hAnsi="Arial"/>
          <w:sz w:val="14"/>
          <w:szCs w:val="14"/>
          <w:color w:val="auto"/>
        </w:rPr>
        <w:t>Compensation</w:t>
      </w:r>
    </w:p>
    <w:p>
      <w:pPr>
        <w:ind w:left="1120"/>
        <w:spacing w:after="0" w:line="235" w:lineRule="auto"/>
        <w:rPr>
          <w:sz w:val="20"/>
          <w:szCs w:val="20"/>
          <w:color w:val="auto"/>
        </w:rPr>
      </w:pPr>
      <w:r>
        <w:rPr>
          <w:rFonts w:ascii="Arial" w:cs="Arial" w:eastAsia="Arial" w:hAnsi="Arial"/>
          <w:sz w:val="14"/>
          <w:szCs w:val="14"/>
          <w:color w:val="auto"/>
        </w:rPr>
        <w:t>Committee:</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9/9</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tabs>
          <w:tab w:leader="none" w:pos="1700" w:val="left"/>
        </w:tabs>
        <w:rPr>
          <w:sz w:val="20"/>
          <w:szCs w:val="20"/>
          <w:color w:val="auto"/>
        </w:rPr>
      </w:pPr>
      <w:r>
        <w:rPr>
          <w:rFonts w:ascii="Arial" w:cs="Arial" w:eastAsia="Arial" w:hAnsi="Arial"/>
          <w:sz w:val="21"/>
          <w:szCs w:val="21"/>
          <w:b w:val="1"/>
          <w:bCs w:val="1"/>
          <w:color w:val="215AA8"/>
        </w:rPr>
        <w:t>George L. Sing</w:t>
      </w:r>
      <w:r>
        <w:rPr>
          <w:sz w:val="20"/>
          <w:szCs w:val="20"/>
          <w:color w:val="auto"/>
        </w:rPr>
        <w:tab/>
      </w:r>
      <w:r>
        <w:rPr>
          <w:rFonts w:ascii="Arial" w:cs="Arial" w:eastAsia="Arial" w:hAnsi="Arial"/>
          <w:sz w:val="12"/>
          <w:szCs w:val="12"/>
          <w:b w:val="1"/>
          <w:bCs w:val="1"/>
          <w:color w:val="FFFFFF"/>
          <w:shd w:val="clear" w:color="auto" w:fill="215AA8"/>
        </w:rPr>
        <w:t>Independent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 xml:space="preserve">Director since: </w:t>
      </w:r>
      <w:r>
        <w:rPr>
          <w:rFonts w:ascii="Arial" w:cs="Arial" w:eastAsia="Arial" w:hAnsi="Arial"/>
          <w:sz w:val="14"/>
          <w:szCs w:val="14"/>
          <w:color w:val="000000"/>
        </w:rPr>
        <w:t>1988 |</w:t>
      </w:r>
      <w:r>
        <w:rPr>
          <w:rFonts w:ascii="Arial" w:cs="Arial" w:eastAsia="Arial" w:hAnsi="Arial"/>
          <w:sz w:val="14"/>
          <w:szCs w:val="14"/>
          <w:b w:val="1"/>
          <w:bCs w:val="1"/>
          <w:color w:val="215AA8"/>
        </w:rPr>
        <w:t xml:space="preserve"> Age: </w:t>
      </w:r>
      <w:r>
        <w:rPr>
          <w:rFonts w:ascii="Arial" w:cs="Arial" w:eastAsia="Arial" w:hAnsi="Arial"/>
          <w:sz w:val="14"/>
          <w:szCs w:val="14"/>
          <w:color w:val="000000"/>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-43815</wp:posOffset>
            </wp:positionV>
            <wp:extent cx="315912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59125" cy="698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Career Highlights</w:t>
      </w:r>
    </w:p>
    <w:p>
      <w:pPr>
        <w:spacing w:after="0" w:line="77" w:lineRule="exact"/>
        <w:rPr>
          <w:sz w:val="20"/>
          <w:szCs w:val="20"/>
          <w:color w:val="auto"/>
        </w:rPr>
      </w:pPr>
    </w:p>
    <w:p>
      <w:pPr>
        <w:ind w:left="160" w:hanging="156"/>
        <w:spacing w:after="0"/>
        <w:tabs>
          <w:tab w:leader="none" w:pos="160" w:val="left"/>
        </w:tabs>
        <w:numPr>
          <w:ilvl w:val="0"/>
          <w:numId w:val="15"/>
        </w:numPr>
        <w:rPr>
          <w:rFonts w:ascii="Arial" w:cs="Arial" w:eastAsia="Arial" w:hAnsi="Arial"/>
          <w:sz w:val="14"/>
          <w:szCs w:val="14"/>
          <w:color w:val="215AA8"/>
        </w:rPr>
      </w:pPr>
      <w:r>
        <w:rPr>
          <w:rFonts w:ascii="Arial" w:cs="Arial" w:eastAsia="Arial" w:hAnsi="Arial"/>
          <w:sz w:val="14"/>
          <w:szCs w:val="14"/>
          <w:color w:val="auto"/>
        </w:rPr>
        <w:t>Chief Executive Officer of GanD, Inc. since 2016</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15"/>
        </w:numPr>
        <w:rPr>
          <w:rFonts w:ascii="Arial" w:cs="Arial" w:eastAsia="Arial" w:hAnsi="Arial"/>
          <w:sz w:val="14"/>
          <w:szCs w:val="14"/>
          <w:color w:val="215AA8"/>
        </w:rPr>
      </w:pPr>
      <w:r>
        <w:rPr>
          <w:rFonts w:ascii="Arial" w:cs="Arial" w:eastAsia="Arial" w:hAnsi="Arial"/>
          <w:sz w:val="14"/>
          <w:szCs w:val="14"/>
          <w:color w:val="auto"/>
        </w:rPr>
        <w:t>Chair of Grace Science, LLC since 2017</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15"/>
        </w:numPr>
        <w:rPr>
          <w:rFonts w:ascii="Arial" w:cs="Arial" w:eastAsia="Arial" w:hAnsi="Arial"/>
          <w:sz w:val="14"/>
          <w:szCs w:val="14"/>
          <w:color w:val="215AA8"/>
        </w:rPr>
      </w:pPr>
      <w:r>
        <w:rPr>
          <w:rFonts w:ascii="Arial" w:cs="Arial" w:eastAsia="Arial" w:hAnsi="Arial"/>
          <w:sz w:val="14"/>
          <w:szCs w:val="14"/>
          <w:color w:val="auto"/>
        </w:rPr>
        <w:t>Extensive venture capital and leadership experience in the biotechnology sector and high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104775</wp:posOffset>
            </wp:positionV>
            <wp:extent cx="451040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10405" cy="698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wp:posOffset>
            </wp:positionV>
            <wp:extent cx="250190" cy="2432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0190" cy="243205"/>
                    </a:xfrm>
                    <a:prstGeom prst="rect">
                      <a:avLst/>
                    </a:prstGeom>
                    <a:noFill/>
                  </pic:spPr>
                </pic:pic>
              </a:graphicData>
            </a:graphic>
          </wp:anchor>
        </w:drawing>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Industry Experience                         </w:t>
      </w:r>
      <w:r>
        <w:rPr>
          <w:sz w:val="1"/>
          <w:szCs w:val="1"/>
          <w:color w:val="auto"/>
        </w:rPr>
        <w:drawing>
          <wp:inline distT="0" distB="0" distL="0" distR="0">
            <wp:extent cx="250190" cy="22161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0190" cy="221615"/>
                    </a:xfrm>
                    <a:prstGeom prst="rect">
                      <a:avLst/>
                    </a:prstGeom>
                    <a:noFill/>
                    <a:ln>
                      <a:noFill/>
                    </a:ln>
                  </pic:spPr>
                </pic:pic>
              </a:graphicData>
            </a:graphic>
          </wp:inline>
        </w:drawing>
      </w:r>
      <w:r>
        <w:rPr>
          <w:rFonts w:ascii="Arial" w:cs="Arial" w:eastAsia="Arial" w:hAnsi="Arial"/>
          <w:sz w:val="14"/>
          <w:szCs w:val="14"/>
          <w:color w:val="auto"/>
        </w:rPr>
        <w:t xml:space="preserve">  Executive/Leadership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64135</wp:posOffset>
            </wp:positionV>
            <wp:extent cx="250190" cy="2501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Science/Biotech Background                  </w:t>
      </w:r>
      <w:r>
        <w:rPr>
          <w:sz w:val="1"/>
          <w:szCs w:val="1"/>
          <w:color w:val="auto"/>
        </w:rPr>
        <w:drawing>
          <wp:inline distT="0" distB="0" distL="0" distR="0">
            <wp:extent cx="250190" cy="25019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0190" cy="250190"/>
                    </a:xfrm>
                    <a:prstGeom prst="rect">
                      <a:avLst/>
                    </a:prstGeom>
                    <a:noFill/>
                    <a:ln>
                      <a:noFill/>
                    </a:ln>
                  </pic:spPr>
                </pic:pic>
              </a:graphicData>
            </a:graphic>
          </wp:inline>
        </w:drawing>
      </w:r>
      <w:r>
        <w:rPr>
          <w:rFonts w:ascii="Arial" w:cs="Arial" w:eastAsia="Arial" w:hAnsi="Arial"/>
          <w:sz w:val="14"/>
          <w:szCs w:val="14"/>
          <w:color w:val="auto"/>
        </w:rPr>
        <w:t xml:space="preserve">  Business Strategy/Operations Experience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Financial Expertise                          </w:t>
      </w:r>
      <w:r>
        <w:rPr>
          <w:sz w:val="1"/>
          <w:szCs w:val="1"/>
          <w:color w:val="auto"/>
        </w:rPr>
        <w:drawing>
          <wp:inline distT="0" distB="0" distL="0" distR="0">
            <wp:extent cx="250190" cy="25019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0190" cy="250190"/>
                    </a:xfrm>
                    <a:prstGeom prst="rect">
                      <a:avLst/>
                    </a:prstGeom>
                    <a:noFill/>
                    <a:ln>
                      <a:noFill/>
                    </a:ln>
                  </pic:spPr>
                </pic:pic>
              </a:graphicData>
            </a:graphic>
          </wp:inline>
        </w:drawing>
      </w:r>
      <w:r>
        <w:rPr>
          <w:rFonts w:ascii="Arial" w:cs="Arial" w:eastAsia="Arial" w:hAnsi="Arial"/>
          <w:sz w:val="14"/>
          <w:szCs w:val="14"/>
          <w:color w:val="auto"/>
        </w:rPr>
        <w:t xml:space="preserve">  Technology/Digital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35560</wp:posOffset>
            </wp:positionV>
            <wp:extent cx="451040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1040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-242570</wp:posOffset>
            </wp:positionV>
            <wp:extent cx="250190" cy="228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0190" cy="228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420"/>
            <w:col w:w="8240"/>
          </w:cols>
          <w:pgMar w:left="320" w:top="215" w:right="319" w:bottom="1440" w:gutter="0" w:footer="0" w:header="0"/>
          <w:type w:val="continuous"/>
        </w:sectPr>
      </w:pPr>
    </w:p>
    <w:p>
      <w:pPr>
        <w:spacing w:after="0" w:line="26" w:lineRule="exact"/>
        <w:rPr>
          <w:sz w:val="20"/>
          <w:szCs w:val="20"/>
          <w:color w:val="auto"/>
        </w:rPr>
      </w:pPr>
    </w:p>
    <w:p>
      <w:pPr>
        <w:ind w:left="3020" w:right="1280"/>
        <w:spacing w:after="0" w:line="246" w:lineRule="auto"/>
        <w:rPr>
          <w:sz w:val="20"/>
          <w:szCs w:val="20"/>
          <w:color w:val="auto"/>
        </w:rPr>
      </w:pPr>
      <w:r>
        <w:rPr>
          <w:rFonts w:ascii="Arial" w:cs="Arial" w:eastAsia="Arial" w:hAnsi="Arial"/>
          <w:sz w:val="14"/>
          <w:szCs w:val="14"/>
          <w:i w:val="1"/>
          <w:iCs w:val="1"/>
          <w:color w:val="auto"/>
        </w:rPr>
        <w:t>Mr. Sing’s extensive healthcare and financial expertise as a healthcare venture capital investor and biomedical company chief executive officer, his executive leadership experience, and his substantial knowledge of the Company led to the board’s decision to nominate Mr. Sing for reelection to the board.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11</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-242570</wp:posOffset>
            </wp:positionV>
            <wp:extent cx="629285" cy="717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120" w:right="1700"/>
        <w:spacing w:after="0" w:line="292" w:lineRule="auto"/>
        <w:rPr>
          <w:sz w:val="20"/>
          <w:szCs w:val="20"/>
          <w:color w:val="auto"/>
        </w:rPr>
      </w:pPr>
      <w:r>
        <w:rPr>
          <w:rFonts w:ascii="Arial" w:cs="Arial" w:eastAsia="Arial" w:hAnsi="Arial"/>
          <w:sz w:val="24"/>
          <w:szCs w:val="24"/>
          <w:b w:val="1"/>
          <w:bCs w:val="1"/>
          <w:color w:val="215AA8"/>
        </w:rPr>
        <w:t>Nominee for Class II Director for Election at the 2024 Annual Meeting for a Term Expiring at the 2026 Annual Meeting</w:t>
      </w:r>
    </w:p>
    <w:p>
      <w:pPr>
        <w:spacing w:after="0" w:line="67" w:lineRule="exact"/>
        <w:rPr>
          <w:sz w:val="20"/>
          <w:szCs w:val="20"/>
          <w:color w:val="auto"/>
        </w:rPr>
      </w:pPr>
    </w:p>
    <w:p>
      <w:pPr>
        <w:ind w:left="3020"/>
        <w:spacing w:after="0"/>
        <w:rPr>
          <w:sz w:val="20"/>
          <w:szCs w:val="20"/>
          <w:color w:val="auto"/>
        </w:rPr>
      </w:pPr>
      <w:r>
        <w:rPr>
          <w:rFonts w:ascii="Arial" w:cs="Arial" w:eastAsia="Arial" w:hAnsi="Arial"/>
          <w:sz w:val="21"/>
          <w:szCs w:val="21"/>
          <w:b w:val="1"/>
          <w:bCs w:val="1"/>
          <w:color w:val="215AA8"/>
        </w:rPr>
        <w:t>David P. Schenkein,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-139700</wp:posOffset>
            </wp:positionV>
            <wp:extent cx="857885" cy="857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Board and Committee</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Membership—2023</w:t>
      </w:r>
    </w:p>
    <w:p>
      <w:pPr>
        <w:ind w:left="1120"/>
        <w:spacing w:after="0"/>
        <w:rPr>
          <w:sz w:val="20"/>
          <w:szCs w:val="20"/>
          <w:color w:val="auto"/>
        </w:rPr>
      </w:pPr>
      <w:r>
        <w:rPr>
          <w:rFonts w:ascii="Arial" w:cs="Arial" w:eastAsia="Arial" w:hAnsi="Arial"/>
          <w:sz w:val="14"/>
          <w:szCs w:val="14"/>
          <w:b w:val="1"/>
          <w:bCs w:val="1"/>
          <w:color w:val="215AA8"/>
        </w:rPr>
        <w:t>Attendance*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Board of Directors: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2/2</w:t>
      </w:r>
    </w:p>
    <w:p>
      <w:pPr>
        <w:ind w:left="1120"/>
        <w:spacing w:after="0" w:line="234" w:lineRule="auto"/>
        <w:rPr>
          <w:sz w:val="20"/>
          <w:szCs w:val="20"/>
          <w:color w:val="auto"/>
        </w:rPr>
      </w:pPr>
      <w:r>
        <w:rPr>
          <w:rFonts w:ascii="Arial" w:cs="Arial" w:eastAsia="Arial" w:hAnsi="Arial"/>
          <w:sz w:val="14"/>
          <w:szCs w:val="14"/>
          <w:color w:val="auto"/>
        </w:rPr>
        <w:t>Technology Committee:</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1/1</w:t>
      </w:r>
    </w:p>
    <w:p>
      <w:pPr>
        <w:spacing w:after="0" w:line="142" w:lineRule="exact"/>
        <w:rPr>
          <w:sz w:val="20"/>
          <w:szCs w:val="20"/>
          <w:color w:val="auto"/>
        </w:rPr>
      </w:pPr>
    </w:p>
    <w:p>
      <w:pPr>
        <w:ind w:left="1240" w:hanging="119"/>
        <w:spacing w:after="0" w:line="239" w:lineRule="auto"/>
        <w:tabs>
          <w:tab w:leader="none" w:pos="1248" w:val="left"/>
        </w:tabs>
        <w:numPr>
          <w:ilvl w:val="0"/>
          <w:numId w:val="16"/>
        </w:numPr>
        <w:rPr>
          <w:rFonts w:ascii="Arial" w:cs="Arial" w:eastAsia="Arial" w:hAnsi="Arial"/>
          <w:sz w:val="14"/>
          <w:szCs w:val="14"/>
          <w:color w:val="auto"/>
        </w:rPr>
      </w:pPr>
      <w:r>
        <w:rPr>
          <w:rFonts w:ascii="Arial" w:cs="Arial" w:eastAsia="Arial" w:hAnsi="Arial"/>
          <w:sz w:val="14"/>
          <w:szCs w:val="14"/>
          <w:color w:val="auto"/>
        </w:rPr>
        <w:t>Dr. Schenkein was elected as a member of the board and the Technology Committee effective September 8, 2023.</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215AA8"/>
        </w:rPr>
        <w:t xml:space="preserve">Director since: </w:t>
      </w:r>
      <w:r>
        <w:rPr>
          <w:rFonts w:ascii="Arial" w:cs="Arial" w:eastAsia="Arial" w:hAnsi="Arial"/>
          <w:sz w:val="14"/>
          <w:szCs w:val="14"/>
          <w:color w:val="000000"/>
        </w:rPr>
        <w:t>2023 |</w:t>
      </w:r>
      <w:r>
        <w:rPr>
          <w:rFonts w:ascii="Arial" w:cs="Arial" w:eastAsia="Arial" w:hAnsi="Arial"/>
          <w:sz w:val="14"/>
          <w:szCs w:val="14"/>
          <w:b w:val="1"/>
          <w:bCs w:val="1"/>
          <w:color w:val="215AA8"/>
        </w:rPr>
        <w:t xml:space="preserve"> Age: </w:t>
      </w:r>
      <w:r>
        <w:rPr>
          <w:rFonts w:ascii="Arial" w:cs="Arial" w:eastAsia="Arial" w:hAnsi="Arial"/>
          <w:sz w:val="14"/>
          <w:szCs w:val="14"/>
          <w:color w:val="000000"/>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-43815</wp:posOffset>
            </wp:positionV>
            <wp:extent cx="316674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66745" cy="6985"/>
                    </a:xfrm>
                    <a:prstGeom prst="rect">
                      <a:avLst/>
                    </a:prstGeom>
                    <a:noFill/>
                  </pic:spPr>
                </pic:pic>
              </a:graphicData>
            </a:graphic>
          </wp:anchor>
        </w:drawing>
      </w:r>
    </w:p>
    <w:p>
      <w:pPr>
        <w:spacing w:after="0" w:line="15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Career Highlights</w:t>
      </w:r>
    </w:p>
    <w:p>
      <w:pPr>
        <w:spacing w:after="0" w:line="77" w:lineRule="exact"/>
        <w:rPr>
          <w:sz w:val="20"/>
          <w:szCs w:val="20"/>
          <w:color w:val="auto"/>
        </w:rPr>
      </w:pPr>
    </w:p>
    <w:p>
      <w:pPr>
        <w:ind w:left="168" w:hanging="168"/>
        <w:spacing w:after="0"/>
        <w:tabs>
          <w:tab w:leader="none" w:pos="168" w:val="left"/>
        </w:tabs>
        <w:numPr>
          <w:ilvl w:val="0"/>
          <w:numId w:val="17"/>
        </w:numPr>
        <w:rPr>
          <w:rFonts w:ascii="Arial" w:cs="Arial" w:eastAsia="Arial" w:hAnsi="Arial"/>
          <w:sz w:val="14"/>
          <w:szCs w:val="14"/>
          <w:color w:val="215AA8"/>
        </w:rPr>
      </w:pPr>
      <w:r>
        <w:rPr>
          <w:rFonts w:ascii="Arial" w:cs="Arial" w:eastAsia="Arial" w:hAnsi="Arial"/>
          <w:sz w:val="14"/>
          <w:szCs w:val="14"/>
          <w:color w:val="auto"/>
        </w:rPr>
        <w:t>General Partner and Co-lead of the Life Sciences team of GV (formerly Google Ventures) since 2019</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17"/>
        </w:numPr>
        <w:rPr>
          <w:rFonts w:ascii="Arial" w:cs="Arial" w:eastAsia="Arial" w:hAnsi="Arial"/>
          <w:sz w:val="14"/>
          <w:szCs w:val="14"/>
          <w:color w:val="215AA8"/>
        </w:rPr>
      </w:pPr>
      <w:r>
        <w:rPr>
          <w:rFonts w:ascii="Arial" w:cs="Arial" w:eastAsia="Arial" w:hAnsi="Arial"/>
          <w:sz w:val="14"/>
          <w:szCs w:val="14"/>
          <w:color w:val="auto"/>
        </w:rPr>
        <w:t>Adjunct attending physician in hematology at Tufts Medical Center since 2009</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17"/>
        </w:numPr>
        <w:rPr>
          <w:rFonts w:ascii="Arial" w:cs="Arial" w:eastAsia="Arial" w:hAnsi="Arial"/>
          <w:sz w:val="14"/>
          <w:szCs w:val="14"/>
          <w:color w:val="215AA8"/>
        </w:rPr>
      </w:pPr>
      <w:r>
        <w:rPr>
          <w:rFonts w:ascii="Arial" w:cs="Arial" w:eastAsia="Arial" w:hAnsi="Arial"/>
          <w:sz w:val="14"/>
          <w:szCs w:val="14"/>
          <w:color w:val="auto"/>
        </w:rPr>
        <w:t>Former President, Chief Executive Officer, and Chair, and current director, of Agios Pharmaceuticals, Inc.</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17"/>
        </w:numPr>
        <w:rPr>
          <w:rFonts w:ascii="Arial" w:cs="Arial" w:eastAsia="Arial" w:hAnsi="Arial"/>
          <w:sz w:val="14"/>
          <w:szCs w:val="14"/>
          <w:color w:val="215AA8"/>
        </w:rPr>
      </w:pPr>
      <w:r>
        <w:rPr>
          <w:rFonts w:ascii="Arial" w:cs="Arial" w:eastAsia="Arial" w:hAnsi="Arial"/>
          <w:sz w:val="14"/>
          <w:szCs w:val="14"/>
          <w:color w:val="auto"/>
        </w:rPr>
        <w:t>Former Senior Vice President, Clinical Hematology/Oncology at Genentech Inc.</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17"/>
        </w:numPr>
        <w:rPr>
          <w:rFonts w:ascii="Arial" w:cs="Arial" w:eastAsia="Arial" w:hAnsi="Arial"/>
          <w:sz w:val="14"/>
          <w:szCs w:val="14"/>
          <w:color w:val="215AA8"/>
        </w:rPr>
      </w:pPr>
      <w:r>
        <w:rPr>
          <w:rFonts w:ascii="Arial" w:cs="Arial" w:eastAsia="Arial" w:hAnsi="Arial"/>
          <w:sz w:val="14"/>
          <w:szCs w:val="14"/>
          <w:color w:val="auto"/>
        </w:rPr>
        <w:t>Former Adjunct Clinical Professor of Medical Oncology at Stanford University School of Medicine</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17"/>
        </w:numPr>
        <w:rPr>
          <w:rFonts w:ascii="Arial" w:cs="Arial" w:eastAsia="Arial" w:hAnsi="Arial"/>
          <w:sz w:val="14"/>
          <w:szCs w:val="14"/>
          <w:color w:val="215AA8"/>
        </w:rPr>
      </w:pPr>
      <w:r>
        <w:rPr>
          <w:rFonts w:ascii="Arial" w:cs="Arial" w:eastAsia="Arial" w:hAnsi="Arial"/>
          <w:sz w:val="14"/>
          <w:szCs w:val="14"/>
          <w:color w:val="auto"/>
        </w:rPr>
        <w:t>Former Senior Vice President of Clinical Research at Millennium Pharmaceuticals, Inc.</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17"/>
        </w:numPr>
        <w:rPr>
          <w:rFonts w:ascii="Arial" w:cs="Arial" w:eastAsia="Arial" w:hAnsi="Arial"/>
          <w:sz w:val="14"/>
          <w:szCs w:val="14"/>
          <w:color w:val="215AA8"/>
        </w:rPr>
      </w:pPr>
      <w:r>
        <w:rPr>
          <w:rFonts w:ascii="Arial" w:cs="Arial" w:eastAsia="Arial" w:hAnsi="Arial"/>
          <w:sz w:val="14"/>
          <w:szCs w:val="14"/>
          <w:color w:val="auto"/>
        </w:rPr>
        <w:t>Former director of Foundation Medicine, Inc. and bluebird 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451739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312"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250190" cy="2432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0190" cy="243205"/>
                    </a:xfrm>
                    <a:prstGeom prst="rect">
                      <a:avLst/>
                    </a:prstGeom>
                    <a:noFill/>
                  </pic:spPr>
                </pic:pic>
              </a:graphicData>
            </a:graphic>
          </wp:anchor>
        </w:drawing>
      </w:r>
    </w:p>
    <w:p>
      <w:pPr>
        <w:spacing w:after="0" w:line="61" w:lineRule="exact"/>
        <w:rPr>
          <w:sz w:val="20"/>
          <w:szCs w:val="20"/>
          <w:color w:val="auto"/>
        </w:rPr>
      </w:pPr>
    </w:p>
    <w:p>
      <w:pPr>
        <w:ind w:left="508"/>
        <w:spacing w:after="0"/>
        <w:rPr>
          <w:sz w:val="20"/>
          <w:szCs w:val="20"/>
          <w:color w:val="auto"/>
        </w:rPr>
      </w:pPr>
      <w:r>
        <w:rPr>
          <w:rFonts w:ascii="Arial" w:cs="Arial" w:eastAsia="Arial" w:hAnsi="Arial"/>
          <w:sz w:val="14"/>
          <w:szCs w:val="14"/>
          <w:color w:val="auto"/>
        </w:rPr>
        <w:t xml:space="preserve">Industry Experience                         </w:t>
      </w:r>
      <w:r>
        <w:rPr>
          <w:sz w:val="1"/>
          <w:szCs w:val="1"/>
          <w:color w:val="auto"/>
        </w:rPr>
        <w:drawing>
          <wp:inline distT="0" distB="0" distL="0" distR="0">
            <wp:extent cx="250190" cy="22161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0190" cy="221615"/>
                    </a:xfrm>
                    <a:prstGeom prst="rect">
                      <a:avLst/>
                    </a:prstGeom>
                    <a:noFill/>
                    <a:ln>
                      <a:noFill/>
                    </a:ln>
                  </pic:spPr>
                </pic:pic>
              </a:graphicData>
            </a:graphic>
          </wp:inline>
        </w:drawing>
      </w:r>
      <w:r>
        <w:rPr>
          <w:rFonts w:ascii="Arial" w:cs="Arial" w:eastAsia="Arial" w:hAnsi="Arial"/>
          <w:sz w:val="14"/>
          <w:szCs w:val="14"/>
          <w:color w:val="auto"/>
        </w:rPr>
        <w:t xml:space="preserve">  Executive/Leadership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250190" cy="2501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0190" cy="2501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64135</wp:posOffset>
            </wp:positionV>
            <wp:extent cx="200025" cy="264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0025" cy="264160"/>
                    </a:xfrm>
                    <a:prstGeom prst="rect">
                      <a:avLst/>
                    </a:prstGeom>
                    <a:noFill/>
                  </pic:spPr>
                </pic:pic>
              </a:graphicData>
            </a:graphic>
          </wp:anchor>
        </w:drawing>
      </w:r>
    </w:p>
    <w:p>
      <w:pPr>
        <w:spacing w:after="0" w:line="195" w:lineRule="exact"/>
        <w:rPr>
          <w:sz w:val="20"/>
          <w:szCs w:val="20"/>
          <w:color w:val="auto"/>
        </w:rPr>
      </w:pPr>
    </w:p>
    <w:p>
      <w:pPr>
        <w:ind w:left="508"/>
        <w:spacing w:after="0"/>
        <w:tabs>
          <w:tab w:leader="none" w:pos="4047" w:val="left"/>
        </w:tabs>
        <w:rPr>
          <w:sz w:val="20"/>
          <w:szCs w:val="20"/>
          <w:color w:val="auto"/>
        </w:rPr>
      </w:pPr>
      <w:r>
        <w:rPr>
          <w:rFonts w:ascii="Arial" w:cs="Arial" w:eastAsia="Arial" w:hAnsi="Arial"/>
          <w:sz w:val="14"/>
          <w:szCs w:val="14"/>
          <w:color w:val="auto"/>
        </w:rPr>
        <w:t>Science/Biotech Background</w:t>
      </w:r>
      <w:r>
        <w:rPr>
          <w:sz w:val="20"/>
          <w:szCs w:val="20"/>
          <w:color w:val="auto"/>
        </w:rPr>
        <w:tab/>
      </w:r>
      <w:r>
        <w:rPr>
          <w:rFonts w:ascii="Arial" w:cs="Arial" w:eastAsia="Arial" w:hAnsi="Arial"/>
          <w:sz w:val="12"/>
          <w:szCs w:val="12"/>
          <w:color w:val="auto"/>
        </w:rPr>
        <w:t>Research/Academic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250190" cy="2501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182" w:lineRule="exact"/>
        <w:rPr>
          <w:sz w:val="20"/>
          <w:szCs w:val="20"/>
          <w:color w:val="auto"/>
        </w:rPr>
      </w:pPr>
    </w:p>
    <w:p>
      <w:pPr>
        <w:ind w:left="508"/>
        <w:spacing w:after="0"/>
        <w:rPr>
          <w:sz w:val="20"/>
          <w:szCs w:val="20"/>
          <w:color w:val="auto"/>
        </w:rPr>
      </w:pPr>
      <w:r>
        <w:rPr>
          <w:rFonts w:ascii="Arial" w:cs="Arial" w:eastAsia="Arial" w:hAnsi="Arial"/>
          <w:sz w:val="14"/>
          <w:szCs w:val="14"/>
          <w:color w:val="auto"/>
        </w:rPr>
        <w:t xml:space="preserve">Business Strategy/Operations Experience        </w:t>
      </w:r>
      <w:r>
        <w:rPr>
          <w:sz w:val="1"/>
          <w:szCs w:val="1"/>
          <w:color w:val="auto"/>
        </w:rPr>
        <w:drawing>
          <wp:inline distT="0" distB="0" distL="0" distR="0">
            <wp:extent cx="250190" cy="2286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0190" cy="228600"/>
                    </a:xfrm>
                    <a:prstGeom prst="rect">
                      <a:avLst/>
                    </a:prstGeom>
                    <a:noFill/>
                    <a:ln>
                      <a:noFill/>
                    </a:ln>
                  </pic:spPr>
                </pic:pic>
              </a:graphicData>
            </a:graphic>
          </wp:inline>
        </w:drawing>
      </w:r>
      <w:r>
        <w:rPr>
          <w:rFonts w:ascii="Arial" w:cs="Arial" w:eastAsia="Arial" w:hAnsi="Arial"/>
          <w:sz w:val="14"/>
          <w:szCs w:val="14"/>
          <w:color w:val="auto"/>
        </w:rPr>
        <w:t xml:space="preserve">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50190" cy="2501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183" w:lineRule="exact"/>
        <w:rPr>
          <w:sz w:val="20"/>
          <w:szCs w:val="20"/>
          <w:color w:val="auto"/>
        </w:rPr>
      </w:pPr>
    </w:p>
    <w:p>
      <w:pPr>
        <w:ind w:left="508"/>
        <w:spacing w:after="0"/>
        <w:rPr>
          <w:sz w:val="20"/>
          <w:szCs w:val="20"/>
          <w:color w:val="auto"/>
        </w:rPr>
      </w:pPr>
      <w:r>
        <w:rPr>
          <w:rFonts w:ascii="Arial" w:cs="Arial" w:eastAsia="Arial" w:hAnsi="Arial"/>
          <w:sz w:val="14"/>
          <w:szCs w:val="14"/>
          <w:color w:val="auto"/>
        </w:rPr>
        <w:t>Public Company CEO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451739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33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Other Public Boards</w:t>
      </w:r>
    </w:p>
    <w:p>
      <w:pPr>
        <w:spacing w:after="0" w:line="77" w:lineRule="exact"/>
        <w:rPr>
          <w:sz w:val="20"/>
          <w:szCs w:val="20"/>
          <w:color w:val="auto"/>
        </w:rPr>
      </w:pPr>
    </w:p>
    <w:p>
      <w:pPr>
        <w:ind w:left="168" w:hanging="168"/>
        <w:spacing w:after="0"/>
        <w:tabs>
          <w:tab w:leader="none" w:pos="168" w:val="left"/>
        </w:tabs>
        <w:numPr>
          <w:ilvl w:val="0"/>
          <w:numId w:val="18"/>
        </w:numPr>
        <w:rPr>
          <w:rFonts w:ascii="Arial" w:cs="Arial" w:eastAsia="Arial" w:hAnsi="Arial"/>
          <w:sz w:val="14"/>
          <w:szCs w:val="14"/>
          <w:color w:val="215AA8"/>
        </w:rPr>
      </w:pPr>
      <w:r>
        <w:rPr>
          <w:rFonts w:ascii="Arial" w:cs="Arial" w:eastAsia="Arial" w:hAnsi="Arial"/>
          <w:sz w:val="14"/>
          <w:szCs w:val="14"/>
          <w:color w:val="auto"/>
        </w:rPr>
        <w:t>Agios Pharmaceuticals, Inc.</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18"/>
        </w:numPr>
        <w:rPr>
          <w:rFonts w:ascii="Arial" w:cs="Arial" w:eastAsia="Arial" w:hAnsi="Arial"/>
          <w:sz w:val="14"/>
          <w:szCs w:val="14"/>
          <w:color w:val="215AA8"/>
        </w:rPr>
      </w:pPr>
      <w:r>
        <w:rPr>
          <w:rFonts w:ascii="Arial" w:cs="Arial" w:eastAsia="Arial" w:hAnsi="Arial"/>
          <w:sz w:val="14"/>
          <w:szCs w:val="14"/>
          <w:color w:val="auto"/>
        </w:rPr>
        <w:t>Denali Therapeutics Inc.</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18"/>
        </w:numPr>
        <w:rPr>
          <w:rFonts w:ascii="Arial" w:cs="Arial" w:eastAsia="Arial" w:hAnsi="Arial"/>
          <w:sz w:val="14"/>
          <w:szCs w:val="14"/>
          <w:color w:val="215AA8"/>
        </w:rPr>
      </w:pPr>
      <w:r>
        <w:rPr>
          <w:rFonts w:ascii="Arial" w:cs="Arial" w:eastAsia="Arial" w:hAnsi="Arial"/>
          <w:sz w:val="14"/>
          <w:szCs w:val="14"/>
          <w:color w:val="auto"/>
        </w:rPr>
        <w:t>Prime Medicine,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451739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303" w:lineRule="exact"/>
        <w:rPr>
          <w:sz w:val="20"/>
          <w:szCs w:val="20"/>
          <w:color w:val="auto"/>
        </w:rPr>
      </w:pPr>
    </w:p>
    <w:p>
      <w:pPr>
        <w:jc w:val="both"/>
        <w:ind w:left="8" w:right="1380"/>
        <w:spacing w:after="0" w:line="246" w:lineRule="auto"/>
        <w:rPr>
          <w:sz w:val="20"/>
          <w:szCs w:val="20"/>
          <w:color w:val="auto"/>
        </w:rPr>
      </w:pPr>
      <w:r>
        <w:rPr>
          <w:rFonts w:ascii="Arial" w:cs="Arial" w:eastAsia="Arial" w:hAnsi="Arial"/>
          <w:sz w:val="14"/>
          <w:szCs w:val="14"/>
          <w:i w:val="1"/>
          <w:iCs w:val="1"/>
          <w:color w:val="auto"/>
        </w:rPr>
        <w:t>Dr. Schenkein’s extensive leadership experience as an executive and corporate director in the pharmaceutical and healthcare industries, as well as his considerable research and academic experience, led to the board’s decision to nominate Dr. Schenkein for reelection to the board.</w:t>
      </w:r>
    </w:p>
    <w:p>
      <w:pPr>
        <w:spacing w:after="0" w:line="133" w:lineRule="exact"/>
        <w:rPr>
          <w:sz w:val="20"/>
          <w:szCs w:val="20"/>
          <w:color w:val="auto"/>
        </w:rPr>
      </w:pPr>
    </w:p>
    <w:p>
      <w:pPr>
        <w:sectPr>
          <w:pgSz w:w="11900" w:h="16838" w:orient="portrait"/>
          <w:cols w:equalWidth="0" w:num="2">
            <w:col w:w="2660" w:space="352"/>
            <w:col w:w="8248"/>
          </w:cols>
          <w:pgMar w:left="320" w:top="215" w:right="31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12</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215AA8"/>
        </w:rPr>
        <w:t>Class I Directors Continuing in Office Term Expires at the 2025 Annual Meeting</w:t>
      </w:r>
    </w:p>
    <w:p>
      <w:pPr>
        <w:spacing w:after="0" w:line="181" w:lineRule="exact"/>
        <w:rPr>
          <w:sz w:val="20"/>
          <w:szCs w:val="20"/>
          <w:color w:val="auto"/>
        </w:rPr>
      </w:pPr>
    </w:p>
    <w:p>
      <w:pPr>
        <w:ind w:left="3020"/>
        <w:spacing w:after="0"/>
        <w:tabs>
          <w:tab w:leader="none" w:pos="5640" w:val="left"/>
        </w:tabs>
        <w:rPr>
          <w:sz w:val="20"/>
          <w:szCs w:val="20"/>
          <w:color w:val="auto"/>
        </w:rPr>
      </w:pPr>
      <w:r>
        <w:rPr>
          <w:rFonts w:ascii="Arial" w:cs="Arial" w:eastAsia="Arial" w:hAnsi="Arial"/>
          <w:sz w:val="21"/>
          <w:szCs w:val="21"/>
          <w:b w:val="1"/>
          <w:bCs w:val="1"/>
          <w:color w:val="215AA8"/>
        </w:rPr>
        <w:t>Bonnie L. Bassler, Ph.D.</w:t>
      </w:r>
      <w:r>
        <w:rPr>
          <w:sz w:val="20"/>
          <w:szCs w:val="20"/>
          <w:color w:val="auto"/>
        </w:rPr>
        <w:tab/>
      </w:r>
      <w:r>
        <w:rPr>
          <w:rFonts w:ascii="Arial" w:cs="Arial" w:eastAsia="Arial" w:hAnsi="Arial"/>
          <w:sz w:val="12"/>
          <w:szCs w:val="12"/>
          <w:b w:val="1"/>
          <w:bCs w:val="1"/>
          <w:color w:val="FFFFFF"/>
          <w:shd w:val="clear" w:color="auto" w:fill="215A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-139700</wp:posOffset>
            </wp:positionV>
            <wp:extent cx="857885" cy="8578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215AA8"/>
        </w:rPr>
        <w:t>Board and Committee</w:t>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Membership—2023</w:t>
      </w:r>
    </w:p>
    <w:p>
      <w:pPr>
        <w:ind w:left="1120"/>
        <w:spacing w:after="0"/>
        <w:rPr>
          <w:sz w:val="20"/>
          <w:szCs w:val="20"/>
          <w:color w:val="auto"/>
        </w:rPr>
      </w:pPr>
      <w:r>
        <w:rPr>
          <w:rFonts w:ascii="Arial" w:cs="Arial" w:eastAsia="Arial" w:hAnsi="Arial"/>
          <w:sz w:val="14"/>
          <w:szCs w:val="14"/>
          <w:b w:val="1"/>
          <w:bCs w:val="1"/>
          <w:color w:val="215AA8"/>
        </w:rPr>
        <w:t>Attendance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Board of Directors: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5/6</w:t>
      </w:r>
    </w:p>
    <w:p>
      <w:pPr>
        <w:ind w:left="1120"/>
        <w:spacing w:after="0"/>
        <w:rPr>
          <w:sz w:val="20"/>
          <w:szCs w:val="20"/>
          <w:color w:val="auto"/>
        </w:rPr>
      </w:pPr>
      <w:r>
        <w:rPr>
          <w:rFonts w:ascii="Arial" w:cs="Arial" w:eastAsia="Arial" w:hAnsi="Arial"/>
          <w:sz w:val="12"/>
          <w:szCs w:val="12"/>
          <w:color w:val="auto"/>
        </w:rPr>
        <w:t>Corporate Governance</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and Compliance</w:t>
      </w:r>
    </w:p>
    <w:p>
      <w:pPr>
        <w:ind w:left="1120"/>
        <w:spacing w:after="0" w:line="234" w:lineRule="auto"/>
        <w:rPr>
          <w:sz w:val="20"/>
          <w:szCs w:val="20"/>
          <w:color w:val="auto"/>
        </w:rPr>
      </w:pPr>
      <w:r>
        <w:rPr>
          <w:rFonts w:ascii="Arial" w:cs="Arial" w:eastAsia="Arial" w:hAnsi="Arial"/>
          <w:sz w:val="14"/>
          <w:szCs w:val="14"/>
          <w:color w:val="auto"/>
        </w:rPr>
        <w:t>Committee:</w:t>
      </w:r>
    </w:p>
    <w:p>
      <w:pPr>
        <w:ind w:left="1120"/>
        <w:spacing w:after="0" w:line="235" w:lineRule="auto"/>
        <w:rPr>
          <w:sz w:val="20"/>
          <w:szCs w:val="20"/>
          <w:color w:val="auto"/>
        </w:rPr>
      </w:pPr>
      <w:r>
        <w:rPr>
          <w:rFonts w:ascii="Arial" w:cs="Arial" w:eastAsia="Arial" w:hAnsi="Arial"/>
          <w:sz w:val="14"/>
          <w:szCs w:val="14"/>
          <w:b w:val="1"/>
          <w:bCs w:val="1"/>
          <w:color w:val="215AA8"/>
        </w:rPr>
        <w:t>4/5</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Technology Committee:</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2/2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 xml:space="preserve">Director since: </w:t>
      </w:r>
      <w:r>
        <w:rPr>
          <w:rFonts w:ascii="Arial" w:cs="Arial" w:eastAsia="Arial" w:hAnsi="Arial"/>
          <w:sz w:val="14"/>
          <w:szCs w:val="14"/>
          <w:color w:val="000000"/>
        </w:rPr>
        <w:t>2016 |</w:t>
      </w:r>
      <w:r>
        <w:rPr>
          <w:rFonts w:ascii="Arial" w:cs="Arial" w:eastAsia="Arial" w:hAnsi="Arial"/>
          <w:sz w:val="14"/>
          <w:szCs w:val="14"/>
          <w:b w:val="1"/>
          <w:bCs w:val="1"/>
          <w:color w:val="215AA8"/>
        </w:rPr>
        <w:t xml:space="preserve"> Age: </w:t>
      </w:r>
      <w:r>
        <w:rPr>
          <w:rFonts w:ascii="Arial" w:cs="Arial" w:eastAsia="Arial" w:hAnsi="Arial"/>
          <w:sz w:val="14"/>
          <w:szCs w:val="14"/>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-43815</wp:posOffset>
            </wp:positionV>
            <wp:extent cx="31591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59125" cy="698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Career Highlights</w:t>
      </w:r>
    </w:p>
    <w:p>
      <w:pPr>
        <w:spacing w:after="0" w:line="77" w:lineRule="exact"/>
        <w:rPr>
          <w:sz w:val="20"/>
          <w:szCs w:val="20"/>
          <w:color w:val="auto"/>
        </w:rPr>
      </w:pPr>
    </w:p>
    <w:p>
      <w:pPr>
        <w:ind w:left="160" w:right="1260" w:hanging="156"/>
        <w:spacing w:after="0" w:line="257" w:lineRule="auto"/>
        <w:tabs>
          <w:tab w:leader="none" w:pos="155" w:val="left"/>
        </w:tabs>
        <w:numPr>
          <w:ilvl w:val="0"/>
          <w:numId w:val="19"/>
        </w:numPr>
        <w:rPr>
          <w:rFonts w:ascii="Arial" w:cs="Arial" w:eastAsia="Arial" w:hAnsi="Arial"/>
          <w:sz w:val="14"/>
          <w:szCs w:val="14"/>
          <w:color w:val="215AA8"/>
        </w:rPr>
      </w:pPr>
      <w:r>
        <w:rPr>
          <w:rFonts w:ascii="Arial" w:cs="Arial" w:eastAsia="Arial" w:hAnsi="Arial"/>
          <w:sz w:val="14"/>
          <w:szCs w:val="14"/>
          <w:color w:val="auto"/>
        </w:rPr>
        <w:t>Chair of the Department of Molecular Biology since 2013 and Squibb Professor in Molecular Biology since 2003 at Princeton University</w:t>
      </w:r>
    </w:p>
    <w:p>
      <w:pPr>
        <w:spacing w:after="0" w:line="49" w:lineRule="exact"/>
        <w:rPr>
          <w:rFonts w:ascii="Arial" w:cs="Arial" w:eastAsia="Arial" w:hAnsi="Arial"/>
          <w:sz w:val="14"/>
          <w:szCs w:val="14"/>
          <w:color w:val="215AA8"/>
        </w:rPr>
      </w:pPr>
    </w:p>
    <w:p>
      <w:pPr>
        <w:ind w:left="160" w:hanging="156"/>
        <w:spacing w:after="0"/>
        <w:tabs>
          <w:tab w:leader="none" w:pos="160" w:val="left"/>
        </w:tabs>
        <w:numPr>
          <w:ilvl w:val="0"/>
          <w:numId w:val="19"/>
        </w:numPr>
        <w:rPr>
          <w:rFonts w:ascii="Arial" w:cs="Arial" w:eastAsia="Arial" w:hAnsi="Arial"/>
          <w:sz w:val="14"/>
          <w:szCs w:val="14"/>
          <w:color w:val="215AA8"/>
        </w:rPr>
      </w:pPr>
      <w:r>
        <w:rPr>
          <w:rFonts w:ascii="Arial" w:cs="Arial" w:eastAsia="Arial" w:hAnsi="Arial"/>
          <w:sz w:val="14"/>
          <w:szCs w:val="14"/>
          <w:color w:val="auto"/>
        </w:rPr>
        <w:t>Howard Hughes Medical Institute Investigator</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19"/>
        </w:numPr>
        <w:rPr>
          <w:rFonts w:ascii="Arial" w:cs="Arial" w:eastAsia="Arial" w:hAnsi="Arial"/>
          <w:sz w:val="14"/>
          <w:szCs w:val="14"/>
          <w:color w:val="215AA8"/>
        </w:rPr>
      </w:pPr>
      <w:r>
        <w:rPr>
          <w:rFonts w:ascii="Arial" w:cs="Arial" w:eastAsia="Arial" w:hAnsi="Arial"/>
          <w:sz w:val="14"/>
          <w:szCs w:val="14"/>
          <w:color w:val="auto"/>
        </w:rPr>
        <w:t>Former President of the American Society for Microbiology</w:t>
      </w:r>
    </w:p>
    <w:p>
      <w:pPr>
        <w:spacing w:after="0" w:line="75" w:lineRule="exact"/>
        <w:rPr>
          <w:rFonts w:ascii="Arial" w:cs="Arial" w:eastAsia="Arial" w:hAnsi="Arial"/>
          <w:sz w:val="14"/>
          <w:szCs w:val="14"/>
          <w:color w:val="215AA8"/>
        </w:rPr>
      </w:pPr>
    </w:p>
    <w:p>
      <w:pPr>
        <w:ind w:left="160" w:right="1380" w:hanging="156"/>
        <w:spacing w:after="0" w:line="257" w:lineRule="auto"/>
        <w:tabs>
          <w:tab w:leader="none" w:pos="155" w:val="left"/>
        </w:tabs>
        <w:numPr>
          <w:ilvl w:val="0"/>
          <w:numId w:val="19"/>
        </w:numPr>
        <w:rPr>
          <w:rFonts w:ascii="Arial" w:cs="Arial" w:eastAsia="Arial" w:hAnsi="Arial"/>
          <w:sz w:val="14"/>
          <w:szCs w:val="14"/>
          <w:color w:val="215AA8"/>
        </w:rPr>
      </w:pPr>
      <w:r>
        <w:rPr>
          <w:rFonts w:ascii="Arial" w:cs="Arial" w:eastAsia="Arial" w:hAnsi="Arial"/>
          <w:sz w:val="14"/>
          <w:szCs w:val="14"/>
          <w:color w:val="auto"/>
        </w:rPr>
        <w:t>Former member of the board of the American Association for the Advancement of Science, the National Science Foundation, and the American Academy of Microbiology</w:t>
      </w:r>
    </w:p>
    <w:p>
      <w:pPr>
        <w:spacing w:after="0" w:line="49" w:lineRule="exact"/>
        <w:rPr>
          <w:rFonts w:ascii="Arial" w:cs="Arial" w:eastAsia="Arial" w:hAnsi="Arial"/>
          <w:sz w:val="14"/>
          <w:szCs w:val="14"/>
          <w:color w:val="215AA8"/>
        </w:rPr>
      </w:pPr>
    </w:p>
    <w:p>
      <w:pPr>
        <w:ind w:left="160" w:hanging="156"/>
        <w:spacing w:after="0"/>
        <w:tabs>
          <w:tab w:leader="none" w:pos="160" w:val="left"/>
        </w:tabs>
        <w:numPr>
          <w:ilvl w:val="0"/>
          <w:numId w:val="19"/>
        </w:numPr>
        <w:rPr>
          <w:rFonts w:ascii="Arial" w:cs="Arial" w:eastAsia="Arial" w:hAnsi="Arial"/>
          <w:sz w:val="14"/>
          <w:szCs w:val="14"/>
          <w:color w:val="215AA8"/>
        </w:rPr>
      </w:pPr>
      <w:r>
        <w:rPr>
          <w:rFonts w:ascii="Arial" w:cs="Arial" w:eastAsia="Arial" w:hAnsi="Arial"/>
          <w:sz w:val="14"/>
          <w:szCs w:val="14"/>
          <w:color w:val="auto"/>
        </w:rPr>
        <w:t>MacArthur Foundation Fellowship</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19"/>
        </w:numPr>
        <w:rPr>
          <w:rFonts w:ascii="Arial" w:cs="Arial" w:eastAsia="Arial" w:hAnsi="Arial"/>
          <w:sz w:val="14"/>
          <w:szCs w:val="14"/>
          <w:color w:val="215AA8"/>
        </w:rPr>
      </w:pPr>
      <w:r>
        <w:rPr>
          <w:rFonts w:ascii="Arial" w:cs="Arial" w:eastAsia="Arial" w:hAnsi="Arial"/>
          <w:sz w:val="14"/>
          <w:szCs w:val="14"/>
          <w:color w:val="auto"/>
        </w:rPr>
        <w:t>Lounsbery Award</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19"/>
        </w:numPr>
        <w:rPr>
          <w:rFonts w:ascii="Arial" w:cs="Arial" w:eastAsia="Arial" w:hAnsi="Arial"/>
          <w:sz w:val="14"/>
          <w:szCs w:val="14"/>
          <w:color w:val="215AA8"/>
        </w:rPr>
      </w:pPr>
      <w:r>
        <w:rPr>
          <w:rFonts w:ascii="Arial" w:cs="Arial" w:eastAsia="Arial" w:hAnsi="Arial"/>
          <w:sz w:val="14"/>
          <w:szCs w:val="14"/>
          <w:color w:val="auto"/>
        </w:rPr>
        <w:t>Shaw Prize for Life Science and Medicine</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19"/>
        </w:numPr>
        <w:rPr>
          <w:rFonts w:ascii="Arial" w:cs="Arial" w:eastAsia="Arial" w:hAnsi="Arial"/>
          <w:sz w:val="14"/>
          <w:szCs w:val="14"/>
          <w:color w:val="215AA8"/>
        </w:rPr>
      </w:pPr>
      <w:r>
        <w:rPr>
          <w:rFonts w:ascii="Arial" w:cs="Arial" w:eastAsia="Arial" w:hAnsi="Arial"/>
          <w:sz w:val="14"/>
          <w:szCs w:val="14"/>
          <w:color w:val="auto"/>
        </w:rPr>
        <w:t>Gruber Prize in Genetics</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19"/>
        </w:numPr>
        <w:rPr>
          <w:rFonts w:ascii="Arial" w:cs="Arial" w:eastAsia="Arial" w:hAnsi="Arial"/>
          <w:sz w:val="14"/>
          <w:szCs w:val="14"/>
          <w:color w:val="215AA8"/>
        </w:rPr>
      </w:pPr>
      <w:r>
        <w:rPr>
          <w:rFonts w:ascii="Arial" w:cs="Arial" w:eastAsia="Arial" w:hAnsi="Arial"/>
          <w:sz w:val="14"/>
          <w:szCs w:val="14"/>
          <w:color w:val="auto"/>
        </w:rPr>
        <w:t>Wolf Prize in Chemistry</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19"/>
        </w:numPr>
        <w:rPr>
          <w:rFonts w:ascii="Arial" w:cs="Arial" w:eastAsia="Arial" w:hAnsi="Arial"/>
          <w:sz w:val="14"/>
          <w:szCs w:val="14"/>
          <w:color w:val="215AA8"/>
        </w:rPr>
      </w:pPr>
      <w:r>
        <w:rPr>
          <w:rFonts w:ascii="Arial" w:cs="Arial" w:eastAsia="Arial" w:hAnsi="Arial"/>
          <w:sz w:val="14"/>
          <w:szCs w:val="14"/>
          <w:color w:val="auto"/>
        </w:rPr>
        <w:t>Canada Gairdner International Award</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19"/>
        </w:numPr>
        <w:rPr>
          <w:rFonts w:ascii="Arial" w:cs="Arial" w:eastAsia="Arial" w:hAnsi="Arial"/>
          <w:sz w:val="14"/>
          <w:szCs w:val="14"/>
          <w:color w:val="215AA8"/>
        </w:rPr>
      </w:pPr>
      <w:r>
        <w:rPr>
          <w:rFonts w:ascii="Arial" w:cs="Arial" w:eastAsia="Arial" w:hAnsi="Arial"/>
          <w:sz w:val="14"/>
          <w:szCs w:val="14"/>
          <w:color w:val="auto"/>
        </w:rPr>
        <w:t>Former director of Kaleido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104775</wp:posOffset>
            </wp:positionV>
            <wp:extent cx="451040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10405" cy="698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wp:posOffset>
            </wp:positionV>
            <wp:extent cx="250190" cy="2432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0190" cy="243205"/>
                    </a:xfrm>
                    <a:prstGeom prst="rect">
                      <a:avLst/>
                    </a:prstGeom>
                    <a:noFill/>
                  </pic:spPr>
                </pic:pic>
              </a:graphicData>
            </a:graphic>
          </wp:anchor>
        </w:drawing>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Industry Experience                         </w:t>
      </w:r>
      <w:r>
        <w:rPr>
          <w:sz w:val="1"/>
          <w:szCs w:val="1"/>
          <w:color w:val="auto"/>
        </w:rPr>
        <w:drawing>
          <wp:inline distT="0" distB="0" distL="0" distR="0">
            <wp:extent cx="250190" cy="22161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0190" cy="221615"/>
                    </a:xfrm>
                    <a:prstGeom prst="rect">
                      <a:avLst/>
                    </a:prstGeom>
                    <a:noFill/>
                    <a:ln>
                      <a:noFill/>
                    </a:ln>
                  </pic:spPr>
                </pic:pic>
              </a:graphicData>
            </a:graphic>
          </wp:inline>
        </w:drawing>
      </w:r>
      <w:r>
        <w:rPr>
          <w:rFonts w:ascii="Arial" w:cs="Arial" w:eastAsia="Arial" w:hAnsi="Arial"/>
          <w:sz w:val="14"/>
          <w:szCs w:val="14"/>
          <w:color w:val="auto"/>
        </w:rPr>
        <w:t xml:space="preserve">  Executive/Leadership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250190" cy="2501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0190" cy="250190"/>
                    </a:xfrm>
                    <a:prstGeom prst="rect">
                      <a:avLst/>
                    </a:prstGeom>
                    <a:noFill/>
                  </pic:spPr>
                </pic:pic>
              </a:graphicData>
            </a:graphic>
          </wp:anchor>
        </w:drawing>
        <w:drawing>
          <wp:anchor simplePos="0" relativeHeight="251657728" behindDoc="1" locked="0" layoutInCell="0" allowOverlap="1">
            <wp:simplePos x="0" y="0"/>
            <wp:positionH relativeFrom="column">
              <wp:posOffset>2272030</wp:posOffset>
            </wp:positionH>
            <wp:positionV relativeFrom="paragraph">
              <wp:posOffset>64135</wp:posOffset>
            </wp:positionV>
            <wp:extent cx="200025" cy="264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0025" cy="264160"/>
                    </a:xfrm>
                    <a:prstGeom prst="rect">
                      <a:avLst/>
                    </a:prstGeom>
                    <a:noFill/>
                  </pic:spPr>
                </pic:pic>
              </a:graphicData>
            </a:graphic>
          </wp:anchor>
        </w:drawing>
      </w:r>
    </w:p>
    <w:p>
      <w:pPr>
        <w:spacing w:after="0" w:line="195" w:lineRule="exact"/>
        <w:rPr>
          <w:sz w:val="20"/>
          <w:szCs w:val="20"/>
          <w:color w:val="auto"/>
        </w:rPr>
      </w:pPr>
    </w:p>
    <w:p>
      <w:pPr>
        <w:ind w:left="520"/>
        <w:spacing w:after="0"/>
        <w:tabs>
          <w:tab w:leader="none" w:pos="4040" w:val="left"/>
        </w:tabs>
        <w:rPr>
          <w:sz w:val="20"/>
          <w:szCs w:val="20"/>
          <w:color w:val="auto"/>
        </w:rPr>
      </w:pPr>
      <w:r>
        <w:rPr>
          <w:rFonts w:ascii="Arial" w:cs="Arial" w:eastAsia="Arial" w:hAnsi="Arial"/>
          <w:sz w:val="14"/>
          <w:szCs w:val="14"/>
          <w:color w:val="auto"/>
        </w:rPr>
        <w:t>Science/Biotech Background</w:t>
      </w:r>
      <w:r>
        <w:rPr>
          <w:sz w:val="20"/>
          <w:szCs w:val="20"/>
          <w:color w:val="auto"/>
        </w:rPr>
        <w:tab/>
      </w:r>
      <w:r>
        <w:rPr>
          <w:rFonts w:ascii="Arial" w:cs="Arial" w:eastAsia="Arial" w:hAnsi="Arial"/>
          <w:sz w:val="12"/>
          <w:szCs w:val="12"/>
          <w:color w:val="auto"/>
        </w:rPr>
        <w:t>Research/Academic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125730</wp:posOffset>
            </wp:positionV>
            <wp:extent cx="451040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10405" cy="698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Scientific Society Memberships</w:t>
      </w:r>
    </w:p>
    <w:p>
      <w:pPr>
        <w:spacing w:after="0" w:line="77" w:lineRule="exact"/>
        <w:rPr>
          <w:sz w:val="20"/>
          <w:szCs w:val="20"/>
          <w:color w:val="auto"/>
        </w:rPr>
      </w:pPr>
    </w:p>
    <w:p>
      <w:pPr>
        <w:ind w:left="160" w:hanging="156"/>
        <w:spacing w:after="0"/>
        <w:tabs>
          <w:tab w:leader="none" w:pos="160" w:val="left"/>
        </w:tabs>
        <w:numPr>
          <w:ilvl w:val="0"/>
          <w:numId w:val="20"/>
        </w:numPr>
        <w:rPr>
          <w:rFonts w:ascii="Arial" w:cs="Arial" w:eastAsia="Arial" w:hAnsi="Arial"/>
          <w:sz w:val="14"/>
          <w:szCs w:val="14"/>
          <w:color w:val="215AA8"/>
        </w:rPr>
      </w:pPr>
      <w:r>
        <w:rPr>
          <w:rFonts w:ascii="Arial" w:cs="Arial" w:eastAsia="Arial" w:hAnsi="Arial"/>
          <w:sz w:val="14"/>
          <w:szCs w:val="14"/>
          <w:color w:val="auto"/>
        </w:rPr>
        <w:t>The National Academy of Sciences</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20"/>
        </w:numPr>
        <w:rPr>
          <w:rFonts w:ascii="Arial" w:cs="Arial" w:eastAsia="Arial" w:hAnsi="Arial"/>
          <w:sz w:val="14"/>
          <w:szCs w:val="14"/>
          <w:color w:val="215AA8"/>
        </w:rPr>
      </w:pPr>
      <w:r>
        <w:rPr>
          <w:rFonts w:ascii="Arial" w:cs="Arial" w:eastAsia="Arial" w:hAnsi="Arial"/>
          <w:sz w:val="14"/>
          <w:szCs w:val="14"/>
          <w:color w:val="auto"/>
        </w:rPr>
        <w:t>The National Academy of Medicine</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20"/>
        </w:numPr>
        <w:rPr>
          <w:rFonts w:ascii="Arial" w:cs="Arial" w:eastAsia="Arial" w:hAnsi="Arial"/>
          <w:sz w:val="14"/>
          <w:szCs w:val="14"/>
          <w:color w:val="215AA8"/>
        </w:rPr>
      </w:pPr>
      <w:r>
        <w:rPr>
          <w:rFonts w:ascii="Arial" w:cs="Arial" w:eastAsia="Arial" w:hAnsi="Arial"/>
          <w:sz w:val="14"/>
          <w:szCs w:val="14"/>
          <w:color w:val="auto"/>
        </w:rPr>
        <w:t>The American Academy of Arts and Sciences</w:t>
      </w:r>
    </w:p>
    <w:p>
      <w:pPr>
        <w:spacing w:after="0" w:line="64" w:lineRule="exact"/>
        <w:rPr>
          <w:rFonts w:ascii="Arial" w:cs="Arial" w:eastAsia="Arial" w:hAnsi="Arial"/>
          <w:sz w:val="14"/>
          <w:szCs w:val="14"/>
          <w:color w:val="215AA8"/>
        </w:rPr>
      </w:pPr>
    </w:p>
    <w:p>
      <w:pPr>
        <w:ind w:left="160" w:hanging="156"/>
        <w:spacing w:after="0"/>
        <w:tabs>
          <w:tab w:leader="none" w:pos="160" w:val="left"/>
        </w:tabs>
        <w:numPr>
          <w:ilvl w:val="0"/>
          <w:numId w:val="20"/>
        </w:numPr>
        <w:rPr>
          <w:rFonts w:ascii="Arial" w:cs="Arial" w:eastAsia="Arial" w:hAnsi="Arial"/>
          <w:sz w:val="14"/>
          <w:szCs w:val="14"/>
          <w:color w:val="215AA8"/>
        </w:rPr>
      </w:pPr>
      <w:r>
        <w:rPr>
          <w:rFonts w:ascii="Arial" w:cs="Arial" w:eastAsia="Arial" w:hAnsi="Arial"/>
          <w:sz w:val="14"/>
          <w:szCs w:val="14"/>
          <w:color w:val="auto"/>
        </w:rPr>
        <w:t>The Royal Society of London</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20"/>
        </w:numPr>
        <w:rPr>
          <w:rFonts w:ascii="Arial" w:cs="Arial" w:eastAsia="Arial" w:hAnsi="Arial"/>
          <w:sz w:val="14"/>
          <w:szCs w:val="14"/>
          <w:color w:val="215AA8"/>
        </w:rPr>
      </w:pPr>
      <w:r>
        <w:rPr>
          <w:rFonts w:ascii="Arial" w:cs="Arial" w:eastAsia="Arial" w:hAnsi="Arial"/>
          <w:sz w:val="14"/>
          <w:szCs w:val="14"/>
          <w:color w:val="auto"/>
        </w:rPr>
        <w:t>The American Philosophical Society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104775</wp:posOffset>
            </wp:positionV>
            <wp:extent cx="451040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10405" cy="698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Other Public Boards</w:t>
      </w:r>
    </w:p>
    <w:p>
      <w:pPr>
        <w:spacing w:after="0" w:line="77" w:lineRule="exact"/>
        <w:rPr>
          <w:sz w:val="20"/>
          <w:szCs w:val="20"/>
          <w:color w:val="auto"/>
        </w:rPr>
      </w:pPr>
    </w:p>
    <w:p>
      <w:pPr>
        <w:ind w:left="160" w:hanging="156"/>
        <w:spacing w:after="0"/>
        <w:tabs>
          <w:tab w:leader="none" w:pos="160" w:val="left"/>
        </w:tabs>
        <w:numPr>
          <w:ilvl w:val="0"/>
          <w:numId w:val="21"/>
        </w:numPr>
        <w:rPr>
          <w:rFonts w:ascii="Arial" w:cs="Arial" w:eastAsia="Arial" w:hAnsi="Arial"/>
          <w:sz w:val="14"/>
          <w:szCs w:val="14"/>
          <w:color w:val="215AA8"/>
        </w:rPr>
      </w:pPr>
      <w:r>
        <w:rPr>
          <w:rFonts w:ascii="Arial" w:cs="Arial" w:eastAsia="Arial" w:hAnsi="Arial"/>
          <w:sz w:val="14"/>
          <w:szCs w:val="14"/>
          <w:color w:val="auto"/>
        </w:rPr>
        <w:t>Cidara Therapeutics, Inc.</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21"/>
        </w:numPr>
        <w:rPr>
          <w:rFonts w:ascii="Arial" w:cs="Arial" w:eastAsia="Arial" w:hAnsi="Arial"/>
          <w:sz w:val="14"/>
          <w:szCs w:val="14"/>
          <w:color w:val="215AA8"/>
        </w:rPr>
      </w:pPr>
      <w:r>
        <w:rPr>
          <w:rFonts w:ascii="Arial" w:cs="Arial" w:eastAsia="Arial" w:hAnsi="Arial"/>
          <w:sz w:val="14"/>
          <w:szCs w:val="14"/>
          <w:color w:val="auto"/>
        </w:rPr>
        <w:t>Royalty Pharma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97155</wp:posOffset>
            </wp:positionV>
            <wp:extent cx="451040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10405" cy="6985"/>
                    </a:xfrm>
                    <a:prstGeom prst="rect">
                      <a:avLst/>
                    </a:prstGeom>
                    <a:noFill/>
                  </pic:spPr>
                </pic:pic>
              </a:graphicData>
            </a:graphic>
          </wp:anchor>
        </w:drawing>
      </w:r>
    </w:p>
    <w:p>
      <w:pPr>
        <w:spacing w:after="0" w:line="303" w:lineRule="exact"/>
        <w:rPr>
          <w:sz w:val="20"/>
          <w:szCs w:val="20"/>
          <w:color w:val="auto"/>
        </w:rPr>
      </w:pPr>
    </w:p>
    <w:p>
      <w:pPr>
        <w:ind w:right="1240"/>
        <w:spacing w:after="0" w:line="340" w:lineRule="auto"/>
        <w:rPr>
          <w:sz w:val="20"/>
          <w:szCs w:val="20"/>
          <w:color w:val="auto"/>
        </w:rPr>
      </w:pPr>
      <w:r>
        <w:rPr>
          <w:rFonts w:ascii="Arial" w:cs="Arial" w:eastAsia="Arial" w:hAnsi="Arial"/>
          <w:sz w:val="12"/>
          <w:szCs w:val="12"/>
          <w:i w:val="1"/>
          <w:iCs w:val="1"/>
          <w:color w:val="auto"/>
        </w:rPr>
        <w:t>Dr. Bassler’s extensive research experience and her scientific and academic career and accomplishments, as well as her experience as a corporate director, led to the board to conclude that Dr. Bassler should serve as a director.</w:t>
      </w:r>
    </w:p>
    <w:p>
      <w:pPr>
        <w:spacing w:after="0" w:line="80" w:lineRule="exact"/>
        <w:rPr>
          <w:sz w:val="20"/>
          <w:szCs w:val="20"/>
          <w:color w:val="auto"/>
        </w:rPr>
      </w:pPr>
    </w:p>
    <w:p>
      <w:pPr>
        <w:sectPr>
          <w:pgSz w:w="11900" w:h="16838" w:orient="portrait"/>
          <w:cols w:equalWidth="0" w:num="2">
            <w:col w:w="2540" w:space="480"/>
            <w:col w:w="8240"/>
          </w:cols>
          <w:pgMar w:left="320" w:top="215" w:right="31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13</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ind w:left="600"/>
              <w:spacing w:after="0"/>
              <w:rPr>
                <w:sz w:val="20"/>
                <w:szCs w:val="20"/>
                <w:color w:val="auto"/>
              </w:rPr>
            </w:pPr>
            <w:r>
              <w:rPr>
                <w:rFonts w:ascii="Arial" w:cs="Arial" w:eastAsia="Arial" w:hAnsi="Arial"/>
                <w:sz w:val="14"/>
                <w:szCs w:val="14"/>
                <w:color w:val="949599"/>
                <w:w w:val="98"/>
              </w:rPr>
              <w:t>Compensation-</w:t>
            </w: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560" w:type="dxa"/>
            <w:vAlign w:val="bottom"/>
          </w:tcPr>
          <w:p>
            <w:pPr>
              <w:ind w:left="600"/>
              <w:spacing w:after="0"/>
              <w:rPr>
                <w:sz w:val="20"/>
                <w:szCs w:val="20"/>
                <w:color w:val="auto"/>
              </w:rPr>
            </w:pPr>
            <w:r>
              <w:rPr>
                <w:rFonts w:ascii="Arial" w:cs="Arial" w:eastAsia="Arial" w:hAnsi="Arial"/>
                <w:sz w:val="14"/>
                <w:szCs w:val="14"/>
                <w:color w:val="949599"/>
                <w:w w:val="95"/>
              </w:rPr>
              <w:t>Related Matters</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3020"/>
        <w:spacing w:after="0"/>
        <w:tabs>
          <w:tab w:leader="none" w:pos="5520" w:val="left"/>
        </w:tabs>
        <w:rPr>
          <w:sz w:val="20"/>
          <w:szCs w:val="20"/>
          <w:color w:val="auto"/>
        </w:rPr>
      </w:pPr>
      <w:r>
        <w:rPr>
          <w:rFonts w:ascii="Arial" w:cs="Arial" w:eastAsia="Arial" w:hAnsi="Arial"/>
          <w:sz w:val="21"/>
          <w:szCs w:val="21"/>
          <w:b w:val="1"/>
          <w:bCs w:val="1"/>
          <w:color w:val="215AA8"/>
        </w:rPr>
        <w:t>Michael S. Brown, M.D.</w:t>
      </w:r>
      <w:r>
        <w:rPr>
          <w:sz w:val="20"/>
          <w:szCs w:val="20"/>
          <w:color w:val="auto"/>
        </w:rPr>
        <w:tab/>
      </w:r>
      <w:r>
        <w:rPr>
          <w:rFonts w:ascii="Arial" w:cs="Arial" w:eastAsia="Arial" w:hAnsi="Arial"/>
          <w:sz w:val="12"/>
          <w:szCs w:val="12"/>
          <w:b w:val="1"/>
          <w:bCs w:val="1"/>
          <w:color w:val="FFFFFF"/>
          <w:shd w:val="clear" w:color="auto" w:fill="215A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-139700</wp:posOffset>
            </wp:positionV>
            <wp:extent cx="857885" cy="8578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pacing w:after="0" w:line="163"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215AA8"/>
        </w:rPr>
        <w:t xml:space="preserve">Director since: </w:t>
      </w:r>
      <w:r>
        <w:rPr>
          <w:rFonts w:ascii="Arial" w:cs="Arial" w:eastAsia="Arial" w:hAnsi="Arial"/>
          <w:sz w:val="14"/>
          <w:szCs w:val="14"/>
          <w:color w:val="000000"/>
        </w:rPr>
        <w:t>1991 |</w:t>
      </w:r>
      <w:r>
        <w:rPr>
          <w:rFonts w:ascii="Arial" w:cs="Arial" w:eastAsia="Arial" w:hAnsi="Arial"/>
          <w:sz w:val="14"/>
          <w:szCs w:val="14"/>
          <w:b w:val="1"/>
          <w:bCs w:val="1"/>
          <w:color w:val="215AA8"/>
        </w:rPr>
        <w:t xml:space="preserve"> Age: </w:t>
      </w:r>
      <w:r>
        <w:rPr>
          <w:rFonts w:ascii="Arial" w:cs="Arial" w:eastAsia="Arial" w:hAnsi="Arial"/>
          <w:sz w:val="14"/>
          <w:szCs w:val="14"/>
          <w:color w:val="000000"/>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-43815</wp:posOffset>
            </wp:positionV>
            <wp:extent cx="315912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59125" cy="6985"/>
                    </a:xfrm>
                    <a:prstGeom prst="rect">
                      <a:avLst/>
                    </a:prstGeom>
                    <a:noFill/>
                  </pic:spPr>
                </pic:pic>
              </a:graphicData>
            </a:graphic>
          </wp:anchor>
        </w:drawing>
      </w:r>
    </w:p>
    <w:p>
      <w:pPr>
        <w:spacing w:after="0" w:line="157"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D60058"/>
        </w:rPr>
        <w:t>Career Highlights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949599"/>
        </w:rPr>
        <w:t>Other Matters</w:t>
      </w:r>
    </w:p>
    <w:p>
      <w:pPr>
        <w:spacing w:after="0" w:line="1426" w:lineRule="exact"/>
        <w:rPr>
          <w:sz w:val="20"/>
          <w:szCs w:val="20"/>
          <w:color w:val="auto"/>
        </w:rPr>
      </w:pPr>
    </w:p>
    <w:p>
      <w:pPr>
        <w:sectPr>
          <w:pgSz w:w="11900" w:h="16838" w:orient="portrait"/>
          <w:cols w:equalWidth="0" w:num="2">
            <w:col w:w="9700" w:space="720"/>
            <w:col w:w="840"/>
          </w:cols>
          <w:pgMar w:left="320" w:top="215" w:right="31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215AA8"/>
        </w:rPr>
        <w:t>Board and Committee</w:t>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Membership—2023</w:t>
      </w:r>
    </w:p>
    <w:p>
      <w:pPr>
        <w:ind w:left="1120"/>
        <w:spacing w:after="0"/>
        <w:rPr>
          <w:sz w:val="20"/>
          <w:szCs w:val="20"/>
          <w:color w:val="auto"/>
        </w:rPr>
      </w:pPr>
      <w:r>
        <w:rPr>
          <w:rFonts w:ascii="Arial" w:cs="Arial" w:eastAsia="Arial" w:hAnsi="Arial"/>
          <w:sz w:val="14"/>
          <w:szCs w:val="14"/>
          <w:b w:val="1"/>
          <w:bCs w:val="1"/>
          <w:color w:val="215AA8"/>
        </w:rPr>
        <w:t>Attendance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Board of Directors: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6/6</w:t>
      </w:r>
    </w:p>
    <w:p>
      <w:pPr>
        <w:ind w:left="1120"/>
        <w:spacing w:after="0"/>
        <w:rPr>
          <w:sz w:val="20"/>
          <w:szCs w:val="20"/>
          <w:color w:val="auto"/>
        </w:rPr>
      </w:pPr>
      <w:r>
        <w:rPr>
          <w:rFonts w:ascii="Arial" w:cs="Arial" w:eastAsia="Arial" w:hAnsi="Arial"/>
          <w:sz w:val="12"/>
          <w:szCs w:val="12"/>
          <w:color w:val="auto"/>
        </w:rPr>
        <w:t>Corporate Governance</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and Compliance</w:t>
      </w:r>
    </w:p>
    <w:p>
      <w:pPr>
        <w:ind w:left="1120"/>
        <w:spacing w:after="0" w:line="234" w:lineRule="auto"/>
        <w:rPr>
          <w:sz w:val="20"/>
          <w:szCs w:val="20"/>
          <w:color w:val="auto"/>
        </w:rPr>
      </w:pPr>
      <w:r>
        <w:rPr>
          <w:rFonts w:ascii="Arial" w:cs="Arial" w:eastAsia="Arial" w:hAnsi="Arial"/>
          <w:sz w:val="14"/>
          <w:szCs w:val="14"/>
          <w:color w:val="auto"/>
        </w:rPr>
        <w:t>Committee:</w:t>
      </w:r>
    </w:p>
    <w:p>
      <w:pPr>
        <w:ind w:left="1120"/>
        <w:spacing w:after="0" w:line="235" w:lineRule="auto"/>
        <w:rPr>
          <w:sz w:val="20"/>
          <w:szCs w:val="20"/>
          <w:color w:val="auto"/>
        </w:rPr>
      </w:pPr>
      <w:r>
        <w:rPr>
          <w:rFonts w:ascii="Arial" w:cs="Arial" w:eastAsia="Arial" w:hAnsi="Arial"/>
          <w:sz w:val="14"/>
          <w:szCs w:val="14"/>
          <w:b w:val="1"/>
          <w:bCs w:val="1"/>
          <w:color w:val="215AA8"/>
        </w:rPr>
        <w:t>5/5</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Technology Committee</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(Chair):</w:t>
      </w:r>
    </w:p>
    <w:p>
      <w:pPr>
        <w:ind w:left="1120"/>
        <w:spacing w:after="0"/>
        <w:rPr>
          <w:sz w:val="20"/>
          <w:szCs w:val="20"/>
          <w:color w:val="auto"/>
        </w:rPr>
      </w:pPr>
      <w:r>
        <w:rPr>
          <w:rFonts w:ascii="Arial" w:cs="Arial" w:eastAsia="Arial" w:hAnsi="Arial"/>
          <w:sz w:val="14"/>
          <w:szCs w:val="14"/>
          <w:b w:val="1"/>
          <w:bCs w:val="1"/>
          <w:color w:val="215AA8"/>
        </w:rPr>
        <w:t>2/2</w:t>
      </w:r>
    </w:p>
    <w:p>
      <w:pPr>
        <w:spacing w:after="0" w:line="20" w:lineRule="exact"/>
        <w:rPr>
          <w:sz w:val="20"/>
          <w:szCs w:val="20"/>
          <w:color w:val="auto"/>
        </w:rPr>
      </w:pPr>
      <w:r>
        <w:rPr>
          <w:sz w:val="20"/>
          <w:szCs w:val="20"/>
          <w:color w:val="auto"/>
        </w:rPr>
        <w:br w:type="column"/>
      </w:r>
    </w:p>
    <w:p>
      <w:pPr>
        <w:ind w:left="160" w:right="1240" w:hanging="156"/>
        <w:spacing w:after="0" w:line="246" w:lineRule="auto"/>
        <w:tabs>
          <w:tab w:leader="none" w:pos="155" w:val="left"/>
        </w:tabs>
        <w:numPr>
          <w:ilvl w:val="0"/>
          <w:numId w:val="22"/>
        </w:numPr>
        <w:rPr>
          <w:rFonts w:ascii="Arial" w:cs="Arial" w:eastAsia="Arial" w:hAnsi="Arial"/>
          <w:sz w:val="14"/>
          <w:szCs w:val="14"/>
          <w:color w:val="215AA8"/>
        </w:rPr>
      </w:pPr>
      <w:r>
        <w:rPr>
          <w:rFonts w:ascii="Arial" w:cs="Arial" w:eastAsia="Arial" w:hAnsi="Arial"/>
          <w:sz w:val="14"/>
          <w:szCs w:val="14"/>
          <w:color w:val="auto"/>
        </w:rPr>
        <w:t>Distinguished Chair in Biomedical Sciences since 1989 and Regental Professor of Molecular Genetics and Internal Medicine and Director of the Jonsson Center for Molecular Genetics since 1985 at The University of Texas Southwestern Medical Center at Dallas</w:t>
      </w:r>
    </w:p>
    <w:p>
      <w:pPr>
        <w:spacing w:after="0" w:line="56" w:lineRule="exact"/>
        <w:rPr>
          <w:rFonts w:ascii="Arial" w:cs="Arial" w:eastAsia="Arial" w:hAnsi="Arial"/>
          <w:sz w:val="14"/>
          <w:szCs w:val="14"/>
          <w:color w:val="215AA8"/>
        </w:rPr>
      </w:pPr>
    </w:p>
    <w:p>
      <w:pPr>
        <w:ind w:left="160" w:hanging="156"/>
        <w:spacing w:after="0"/>
        <w:tabs>
          <w:tab w:leader="none" w:pos="160" w:val="left"/>
        </w:tabs>
        <w:numPr>
          <w:ilvl w:val="0"/>
          <w:numId w:val="22"/>
        </w:numPr>
        <w:rPr>
          <w:rFonts w:ascii="Arial" w:cs="Arial" w:eastAsia="Arial" w:hAnsi="Arial"/>
          <w:sz w:val="14"/>
          <w:szCs w:val="14"/>
          <w:color w:val="215AA8"/>
        </w:rPr>
      </w:pPr>
      <w:r>
        <w:rPr>
          <w:rFonts w:ascii="Arial" w:cs="Arial" w:eastAsia="Arial" w:hAnsi="Arial"/>
          <w:sz w:val="14"/>
          <w:szCs w:val="14"/>
          <w:color w:val="auto"/>
        </w:rPr>
        <w:t>Nobel Prize for Physiology or Medicine in 1985 (jointly with Dr. Goldstein)</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22"/>
        </w:numPr>
        <w:rPr>
          <w:rFonts w:ascii="Arial" w:cs="Arial" w:eastAsia="Arial" w:hAnsi="Arial"/>
          <w:sz w:val="14"/>
          <w:szCs w:val="14"/>
          <w:color w:val="215AA8"/>
        </w:rPr>
      </w:pPr>
      <w:r>
        <w:rPr>
          <w:rFonts w:ascii="Arial" w:cs="Arial" w:eastAsia="Arial" w:hAnsi="Arial"/>
          <w:sz w:val="14"/>
          <w:szCs w:val="14"/>
          <w:color w:val="auto"/>
        </w:rPr>
        <w:t>U.S. National Medal of Science in 1988 (jointly with Dr.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104775</wp:posOffset>
            </wp:positionV>
            <wp:extent cx="451040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10405" cy="698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wp:posOffset>
            </wp:positionV>
            <wp:extent cx="250190" cy="2432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0190" cy="243205"/>
                    </a:xfrm>
                    <a:prstGeom prst="rect">
                      <a:avLst/>
                    </a:prstGeom>
                    <a:noFill/>
                  </pic:spPr>
                </pic:pic>
              </a:graphicData>
            </a:graphic>
          </wp:anchor>
        </w:drawing>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Industry Experience                         </w:t>
      </w:r>
      <w:r>
        <w:rPr>
          <w:sz w:val="1"/>
          <w:szCs w:val="1"/>
          <w:color w:val="auto"/>
        </w:rPr>
        <w:drawing>
          <wp:inline distT="0" distB="0" distL="0" distR="0">
            <wp:extent cx="250190" cy="22161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0190" cy="221615"/>
                    </a:xfrm>
                    <a:prstGeom prst="rect">
                      <a:avLst/>
                    </a:prstGeom>
                    <a:noFill/>
                    <a:ln>
                      <a:noFill/>
                    </a:ln>
                  </pic:spPr>
                </pic:pic>
              </a:graphicData>
            </a:graphic>
          </wp:inline>
        </w:drawing>
      </w:r>
      <w:r>
        <w:rPr>
          <w:rFonts w:ascii="Arial" w:cs="Arial" w:eastAsia="Arial" w:hAnsi="Arial"/>
          <w:sz w:val="14"/>
          <w:szCs w:val="14"/>
          <w:color w:val="auto"/>
        </w:rPr>
        <w:t xml:space="preserve">  Executive/Leadership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250190" cy="2501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0190" cy="250190"/>
                    </a:xfrm>
                    <a:prstGeom prst="rect">
                      <a:avLst/>
                    </a:prstGeom>
                    <a:noFill/>
                  </pic:spPr>
                </pic:pic>
              </a:graphicData>
            </a:graphic>
          </wp:anchor>
        </w:drawing>
        <w:drawing>
          <wp:anchor simplePos="0" relativeHeight="251657728" behindDoc="1" locked="0" layoutInCell="0" allowOverlap="1">
            <wp:simplePos x="0" y="0"/>
            <wp:positionH relativeFrom="column">
              <wp:posOffset>2272030</wp:posOffset>
            </wp:positionH>
            <wp:positionV relativeFrom="paragraph">
              <wp:posOffset>64135</wp:posOffset>
            </wp:positionV>
            <wp:extent cx="200025" cy="264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0025" cy="264160"/>
                    </a:xfrm>
                    <a:prstGeom prst="rect">
                      <a:avLst/>
                    </a:prstGeom>
                    <a:noFill/>
                  </pic:spPr>
                </pic:pic>
              </a:graphicData>
            </a:graphic>
          </wp:anchor>
        </w:drawing>
      </w:r>
    </w:p>
    <w:p>
      <w:pPr>
        <w:spacing w:after="0" w:line="195" w:lineRule="exact"/>
        <w:rPr>
          <w:sz w:val="20"/>
          <w:szCs w:val="20"/>
          <w:color w:val="auto"/>
        </w:rPr>
      </w:pPr>
    </w:p>
    <w:p>
      <w:pPr>
        <w:ind w:left="520"/>
        <w:spacing w:after="0"/>
        <w:tabs>
          <w:tab w:leader="none" w:pos="4040" w:val="left"/>
        </w:tabs>
        <w:rPr>
          <w:sz w:val="20"/>
          <w:szCs w:val="20"/>
          <w:color w:val="auto"/>
        </w:rPr>
      </w:pPr>
      <w:r>
        <w:rPr>
          <w:rFonts w:ascii="Arial" w:cs="Arial" w:eastAsia="Arial" w:hAnsi="Arial"/>
          <w:sz w:val="14"/>
          <w:szCs w:val="14"/>
          <w:color w:val="auto"/>
        </w:rPr>
        <w:t>Science/Biotech Background</w:t>
      </w:r>
      <w:r>
        <w:rPr>
          <w:sz w:val="20"/>
          <w:szCs w:val="20"/>
          <w:color w:val="auto"/>
        </w:rPr>
        <w:tab/>
      </w:r>
      <w:r>
        <w:rPr>
          <w:rFonts w:ascii="Arial" w:cs="Arial" w:eastAsia="Arial" w:hAnsi="Arial"/>
          <w:sz w:val="12"/>
          <w:szCs w:val="12"/>
          <w:color w:val="auto"/>
        </w:rPr>
        <w:t>Research/Academic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125730</wp:posOffset>
            </wp:positionV>
            <wp:extent cx="451040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10405" cy="698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Scientific Society Memberships</w:t>
      </w:r>
    </w:p>
    <w:p>
      <w:pPr>
        <w:spacing w:after="0" w:line="77" w:lineRule="exact"/>
        <w:rPr>
          <w:sz w:val="20"/>
          <w:szCs w:val="20"/>
          <w:color w:val="auto"/>
        </w:rPr>
      </w:pPr>
    </w:p>
    <w:p>
      <w:pPr>
        <w:ind w:left="160" w:hanging="156"/>
        <w:spacing w:after="0"/>
        <w:tabs>
          <w:tab w:leader="none" w:pos="160" w:val="left"/>
        </w:tabs>
        <w:numPr>
          <w:ilvl w:val="0"/>
          <w:numId w:val="23"/>
        </w:numPr>
        <w:rPr>
          <w:rFonts w:ascii="Arial" w:cs="Arial" w:eastAsia="Arial" w:hAnsi="Arial"/>
          <w:sz w:val="14"/>
          <w:szCs w:val="14"/>
          <w:color w:val="215AA8"/>
        </w:rPr>
      </w:pPr>
      <w:r>
        <w:rPr>
          <w:rFonts w:ascii="Arial" w:cs="Arial" w:eastAsia="Arial" w:hAnsi="Arial"/>
          <w:sz w:val="14"/>
          <w:szCs w:val="14"/>
          <w:color w:val="auto"/>
        </w:rPr>
        <w:t>The National Academy of Sciences</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23"/>
        </w:numPr>
        <w:rPr>
          <w:rFonts w:ascii="Arial" w:cs="Arial" w:eastAsia="Arial" w:hAnsi="Arial"/>
          <w:sz w:val="14"/>
          <w:szCs w:val="14"/>
          <w:color w:val="215AA8"/>
        </w:rPr>
      </w:pPr>
      <w:r>
        <w:rPr>
          <w:rFonts w:ascii="Arial" w:cs="Arial" w:eastAsia="Arial" w:hAnsi="Arial"/>
          <w:sz w:val="14"/>
          <w:szCs w:val="14"/>
          <w:color w:val="auto"/>
        </w:rPr>
        <w:t>The National Academy of Medicine</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23"/>
        </w:numPr>
        <w:rPr>
          <w:rFonts w:ascii="Arial" w:cs="Arial" w:eastAsia="Arial" w:hAnsi="Arial"/>
          <w:sz w:val="14"/>
          <w:szCs w:val="14"/>
          <w:color w:val="215AA8"/>
        </w:rPr>
      </w:pPr>
      <w:r>
        <w:rPr>
          <w:rFonts w:ascii="Arial" w:cs="Arial" w:eastAsia="Arial" w:hAnsi="Arial"/>
          <w:sz w:val="14"/>
          <w:szCs w:val="14"/>
          <w:color w:val="auto"/>
        </w:rPr>
        <w:t>The Royal Society of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97155</wp:posOffset>
            </wp:positionV>
            <wp:extent cx="451040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1040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500"/>
            <w:col w:w="8240"/>
          </w:cols>
          <w:pgMar w:left="320" w:top="215" w:right="319" w:bottom="1440" w:gutter="0" w:footer="0" w:header="0"/>
          <w:type w:val="continuous"/>
        </w:sectPr>
      </w:pPr>
    </w:p>
    <w:p>
      <w:pPr>
        <w:spacing w:after="0" w:line="123" w:lineRule="exact"/>
        <w:rPr>
          <w:sz w:val="20"/>
          <w:szCs w:val="20"/>
          <w:color w:val="auto"/>
        </w:rPr>
      </w:pPr>
    </w:p>
    <w:p>
      <w:pPr>
        <w:ind w:left="3020" w:right="1200"/>
        <w:spacing w:after="0" w:line="242" w:lineRule="auto"/>
        <w:rPr>
          <w:sz w:val="20"/>
          <w:szCs w:val="20"/>
          <w:color w:val="auto"/>
        </w:rPr>
      </w:pPr>
      <w:r>
        <w:rPr>
          <w:rFonts w:ascii="Arial" w:cs="Arial" w:eastAsia="Arial" w:hAnsi="Arial"/>
          <w:sz w:val="14"/>
          <w:szCs w:val="14"/>
          <w:i w:val="1"/>
          <w:iCs w:val="1"/>
          <w:color w:val="auto"/>
        </w:rPr>
        <w:t>Dr. Brown’s distinguished scientific and academic background, including his receipt of the Nobel Prize for Physiology or Medicine in 1985, and his significant industry experience gained through his service on the board of directors of the Company and the board of directors of a leading pharmaceutical company, led the board to conclude that Dr. Brown should serve as a director.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14</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3020"/>
        <w:spacing w:after="0"/>
        <w:rPr>
          <w:sz w:val="20"/>
          <w:szCs w:val="20"/>
          <w:color w:val="auto"/>
        </w:rPr>
      </w:pPr>
      <w:r>
        <w:rPr>
          <w:rFonts w:ascii="Arial" w:cs="Arial" w:eastAsia="Arial" w:hAnsi="Arial"/>
          <w:sz w:val="21"/>
          <w:szCs w:val="21"/>
          <w:b w:val="1"/>
          <w:bCs w:val="1"/>
          <w:color w:val="215AA8"/>
        </w:rPr>
        <w:t>Leonard S.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-139700</wp:posOffset>
            </wp:positionV>
            <wp:extent cx="857885" cy="8578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215AA8"/>
        </w:rPr>
        <w:t>Board and Committee</w:t>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Membership—2023</w:t>
      </w:r>
    </w:p>
    <w:p>
      <w:pPr>
        <w:ind w:left="1120"/>
        <w:spacing w:after="0"/>
        <w:rPr>
          <w:sz w:val="20"/>
          <w:szCs w:val="20"/>
          <w:color w:val="auto"/>
        </w:rPr>
      </w:pPr>
      <w:r>
        <w:rPr>
          <w:rFonts w:ascii="Arial" w:cs="Arial" w:eastAsia="Arial" w:hAnsi="Arial"/>
          <w:sz w:val="14"/>
          <w:szCs w:val="14"/>
          <w:b w:val="1"/>
          <w:bCs w:val="1"/>
          <w:color w:val="215AA8"/>
        </w:rPr>
        <w:t>Attendance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Board of Directors: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6/6</w:t>
      </w:r>
    </w:p>
    <w:p>
      <w:pPr>
        <w:ind w:left="1120"/>
        <w:spacing w:after="0"/>
        <w:rPr>
          <w:sz w:val="20"/>
          <w:szCs w:val="20"/>
          <w:color w:val="auto"/>
        </w:rPr>
      </w:pPr>
      <w:r>
        <w:rPr>
          <w:rFonts w:ascii="Arial" w:cs="Arial" w:eastAsia="Arial" w:hAnsi="Arial"/>
          <w:sz w:val="12"/>
          <w:szCs w:val="12"/>
          <w:color w:val="auto"/>
        </w:rPr>
        <w:t>Technology Committee:</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2/2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215AA8"/>
        </w:rPr>
        <w:t xml:space="preserve">Director since: </w:t>
      </w:r>
      <w:r>
        <w:rPr>
          <w:rFonts w:ascii="Arial" w:cs="Arial" w:eastAsia="Arial" w:hAnsi="Arial"/>
          <w:sz w:val="14"/>
          <w:szCs w:val="14"/>
          <w:color w:val="000000"/>
        </w:rPr>
        <w:t>1988 |</w:t>
      </w:r>
      <w:r>
        <w:rPr>
          <w:rFonts w:ascii="Arial" w:cs="Arial" w:eastAsia="Arial" w:hAnsi="Arial"/>
          <w:sz w:val="14"/>
          <w:szCs w:val="14"/>
          <w:b w:val="1"/>
          <w:bCs w:val="1"/>
          <w:color w:val="215AA8"/>
        </w:rPr>
        <w:t xml:space="preserve"> Age: </w:t>
      </w:r>
      <w:r>
        <w:rPr>
          <w:rFonts w:ascii="Arial" w:cs="Arial" w:eastAsia="Arial" w:hAnsi="Arial"/>
          <w:sz w:val="14"/>
          <w:szCs w:val="14"/>
          <w:color w:val="000000"/>
        </w:rPr>
        <w:t>71</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215AA8"/>
        </w:rPr>
        <w:t xml:space="preserve">Board co-Chair since: </w:t>
      </w:r>
      <w:r>
        <w:rPr>
          <w:rFonts w:ascii="Arial" w:cs="Arial" w:eastAsia="Arial" w:hAnsi="Arial"/>
          <w:sz w:val="14"/>
          <w:szCs w:val="14"/>
          <w:color w:val="000000"/>
        </w:rPr>
        <w:t>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-52705</wp:posOffset>
            </wp:positionV>
            <wp:extent cx="303085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030855" cy="6985"/>
                    </a:xfrm>
                    <a:prstGeom prst="rect">
                      <a:avLst/>
                    </a:prstGeom>
                    <a:noFill/>
                  </pic:spPr>
                </pic:pic>
              </a:graphicData>
            </a:graphic>
          </wp:anchor>
        </w:drawing>
      </w:r>
    </w:p>
    <w:p>
      <w:pPr>
        <w:spacing w:after="0" w:line="13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Career Highlights</w:t>
      </w:r>
    </w:p>
    <w:p>
      <w:pPr>
        <w:spacing w:after="0" w:line="77" w:lineRule="exact"/>
        <w:rPr>
          <w:sz w:val="20"/>
          <w:szCs w:val="20"/>
          <w:color w:val="auto"/>
        </w:rPr>
      </w:pPr>
    </w:p>
    <w:p>
      <w:pPr>
        <w:ind w:left="168" w:right="1220" w:hanging="168"/>
        <w:spacing w:after="0" w:line="257" w:lineRule="auto"/>
        <w:tabs>
          <w:tab w:leader="none" w:pos="162" w:val="left"/>
        </w:tabs>
        <w:numPr>
          <w:ilvl w:val="0"/>
          <w:numId w:val="24"/>
        </w:numPr>
        <w:rPr>
          <w:rFonts w:ascii="Arial" w:cs="Arial" w:eastAsia="Arial" w:hAnsi="Arial"/>
          <w:sz w:val="14"/>
          <w:szCs w:val="14"/>
          <w:color w:val="215AA8"/>
        </w:rPr>
      </w:pPr>
      <w:r>
        <w:rPr>
          <w:rFonts w:ascii="Arial" w:cs="Arial" w:eastAsia="Arial" w:hAnsi="Arial"/>
          <w:sz w:val="14"/>
          <w:szCs w:val="14"/>
          <w:color w:val="auto"/>
        </w:rPr>
        <w:t>Founded the Company in 1988; built and managed the Company over the past 36 years together with Regeneron’s founding scientist, Dr. Yancopoulos</w:t>
      </w:r>
    </w:p>
    <w:p>
      <w:pPr>
        <w:spacing w:after="0" w:line="49" w:lineRule="exact"/>
        <w:rPr>
          <w:rFonts w:ascii="Arial" w:cs="Arial" w:eastAsia="Arial" w:hAnsi="Arial"/>
          <w:sz w:val="14"/>
          <w:szCs w:val="14"/>
          <w:color w:val="215AA8"/>
        </w:rPr>
      </w:pPr>
    </w:p>
    <w:p>
      <w:pPr>
        <w:ind w:left="168" w:hanging="168"/>
        <w:spacing w:after="0"/>
        <w:tabs>
          <w:tab w:leader="none" w:pos="168" w:val="left"/>
        </w:tabs>
        <w:numPr>
          <w:ilvl w:val="0"/>
          <w:numId w:val="24"/>
        </w:numPr>
        <w:rPr>
          <w:rFonts w:ascii="Arial" w:cs="Arial" w:eastAsia="Arial" w:hAnsi="Arial"/>
          <w:sz w:val="14"/>
          <w:szCs w:val="14"/>
          <w:color w:val="215AA8"/>
        </w:rPr>
      </w:pPr>
      <w:r>
        <w:rPr>
          <w:rFonts w:ascii="Arial" w:cs="Arial" w:eastAsia="Arial" w:hAnsi="Arial"/>
          <w:sz w:val="14"/>
          <w:szCs w:val="14"/>
          <w:color w:val="auto"/>
        </w:rPr>
        <w:t>Director, President, and Chief Executive Officer of the Company since its inception</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24"/>
        </w:numPr>
        <w:rPr>
          <w:rFonts w:ascii="Arial" w:cs="Arial" w:eastAsia="Arial" w:hAnsi="Arial"/>
          <w:sz w:val="14"/>
          <w:szCs w:val="14"/>
          <w:color w:val="215AA8"/>
        </w:rPr>
      </w:pPr>
      <w:r>
        <w:rPr>
          <w:rFonts w:ascii="Arial" w:cs="Arial" w:eastAsia="Arial" w:hAnsi="Arial"/>
          <w:sz w:val="14"/>
          <w:szCs w:val="14"/>
          <w:color w:val="auto"/>
        </w:rPr>
        <w:t>Co-Chair of the Board since 2023; former Chair of the Board from 1990 through 1994</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24"/>
        </w:numPr>
        <w:rPr>
          <w:rFonts w:ascii="Arial" w:cs="Arial" w:eastAsia="Arial" w:hAnsi="Arial"/>
          <w:sz w:val="14"/>
          <w:szCs w:val="14"/>
          <w:color w:val="215AA8"/>
        </w:rPr>
      </w:pPr>
      <w:r>
        <w:rPr>
          <w:rFonts w:ascii="Arial" w:cs="Arial" w:eastAsia="Arial" w:hAnsi="Arial"/>
          <w:sz w:val="14"/>
          <w:szCs w:val="14"/>
          <w:color w:val="auto"/>
        </w:rPr>
        <w:t>Licensed physician certified in Neurology by the American Board of Psychiatry and Neurology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451739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312"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250190" cy="2432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0190" cy="243205"/>
                    </a:xfrm>
                    <a:prstGeom prst="rect">
                      <a:avLst/>
                    </a:prstGeom>
                    <a:noFill/>
                  </pic:spPr>
                </pic:pic>
              </a:graphicData>
            </a:graphic>
          </wp:anchor>
        </w:drawing>
      </w:r>
    </w:p>
    <w:p>
      <w:pPr>
        <w:spacing w:after="0" w:line="61" w:lineRule="exact"/>
        <w:rPr>
          <w:sz w:val="20"/>
          <w:szCs w:val="20"/>
          <w:color w:val="auto"/>
        </w:rPr>
      </w:pPr>
    </w:p>
    <w:p>
      <w:pPr>
        <w:ind w:left="508"/>
        <w:spacing w:after="0"/>
        <w:rPr>
          <w:sz w:val="20"/>
          <w:szCs w:val="20"/>
          <w:color w:val="auto"/>
        </w:rPr>
      </w:pPr>
      <w:r>
        <w:rPr>
          <w:rFonts w:ascii="Arial" w:cs="Arial" w:eastAsia="Arial" w:hAnsi="Arial"/>
          <w:sz w:val="14"/>
          <w:szCs w:val="14"/>
          <w:color w:val="auto"/>
        </w:rPr>
        <w:t xml:space="preserve">Industry Experience                         </w:t>
      </w:r>
      <w:r>
        <w:rPr>
          <w:sz w:val="1"/>
          <w:szCs w:val="1"/>
          <w:color w:val="auto"/>
        </w:rPr>
        <w:drawing>
          <wp:inline distT="0" distB="0" distL="0" distR="0">
            <wp:extent cx="250190" cy="22161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0190" cy="221615"/>
                    </a:xfrm>
                    <a:prstGeom prst="rect">
                      <a:avLst/>
                    </a:prstGeom>
                    <a:noFill/>
                    <a:ln>
                      <a:noFill/>
                    </a:ln>
                  </pic:spPr>
                </pic:pic>
              </a:graphicData>
            </a:graphic>
          </wp:inline>
        </w:drawing>
      </w:r>
      <w:r>
        <w:rPr>
          <w:rFonts w:ascii="Arial" w:cs="Arial" w:eastAsia="Arial" w:hAnsi="Arial"/>
          <w:sz w:val="14"/>
          <w:szCs w:val="14"/>
          <w:color w:val="auto"/>
        </w:rPr>
        <w:t xml:space="preserve">  Executive/Leadership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250190" cy="2501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0190" cy="2501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64135</wp:posOffset>
            </wp:positionV>
            <wp:extent cx="200025" cy="264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0025" cy="264160"/>
                    </a:xfrm>
                    <a:prstGeom prst="rect">
                      <a:avLst/>
                    </a:prstGeom>
                    <a:noFill/>
                  </pic:spPr>
                </pic:pic>
              </a:graphicData>
            </a:graphic>
          </wp:anchor>
        </w:drawing>
      </w:r>
    </w:p>
    <w:p>
      <w:pPr>
        <w:spacing w:after="0" w:line="195" w:lineRule="exact"/>
        <w:rPr>
          <w:sz w:val="20"/>
          <w:szCs w:val="20"/>
          <w:color w:val="auto"/>
        </w:rPr>
      </w:pPr>
    </w:p>
    <w:p>
      <w:pPr>
        <w:ind w:left="508"/>
        <w:spacing w:after="0"/>
        <w:tabs>
          <w:tab w:leader="none" w:pos="4047" w:val="left"/>
        </w:tabs>
        <w:rPr>
          <w:sz w:val="20"/>
          <w:szCs w:val="20"/>
          <w:color w:val="auto"/>
        </w:rPr>
      </w:pPr>
      <w:r>
        <w:rPr>
          <w:rFonts w:ascii="Arial" w:cs="Arial" w:eastAsia="Arial" w:hAnsi="Arial"/>
          <w:sz w:val="14"/>
          <w:szCs w:val="14"/>
          <w:color w:val="auto"/>
        </w:rPr>
        <w:t>Science/Biotech Background</w:t>
      </w:r>
      <w:r>
        <w:rPr>
          <w:sz w:val="20"/>
          <w:szCs w:val="20"/>
          <w:color w:val="auto"/>
        </w:rPr>
        <w:tab/>
      </w:r>
      <w:r>
        <w:rPr>
          <w:rFonts w:ascii="Arial" w:cs="Arial" w:eastAsia="Arial" w:hAnsi="Arial"/>
          <w:sz w:val="12"/>
          <w:szCs w:val="12"/>
          <w:color w:val="auto"/>
        </w:rPr>
        <w:t>Research/Academic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250190" cy="2501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182" w:lineRule="exact"/>
        <w:rPr>
          <w:sz w:val="20"/>
          <w:szCs w:val="20"/>
          <w:color w:val="auto"/>
        </w:rPr>
      </w:pPr>
    </w:p>
    <w:p>
      <w:pPr>
        <w:ind w:left="508"/>
        <w:spacing w:after="0"/>
        <w:rPr>
          <w:sz w:val="20"/>
          <w:szCs w:val="20"/>
          <w:color w:val="auto"/>
        </w:rPr>
      </w:pPr>
      <w:r>
        <w:rPr>
          <w:rFonts w:ascii="Arial" w:cs="Arial" w:eastAsia="Arial" w:hAnsi="Arial"/>
          <w:sz w:val="14"/>
          <w:szCs w:val="14"/>
          <w:color w:val="auto"/>
        </w:rPr>
        <w:t xml:space="preserve">Business Strategy/Operations Experience        </w:t>
      </w:r>
      <w:r>
        <w:rPr>
          <w:sz w:val="1"/>
          <w:szCs w:val="1"/>
          <w:color w:val="auto"/>
        </w:rPr>
        <w:drawing>
          <wp:inline distT="0" distB="0" distL="0" distR="0">
            <wp:extent cx="250190" cy="22860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0190" cy="228600"/>
                    </a:xfrm>
                    <a:prstGeom prst="rect">
                      <a:avLst/>
                    </a:prstGeom>
                    <a:noFill/>
                    <a:ln>
                      <a:noFill/>
                    </a:ln>
                  </pic:spPr>
                </pic:pic>
              </a:graphicData>
            </a:graphic>
          </wp:inline>
        </w:drawing>
      </w:r>
      <w:r>
        <w:rPr>
          <w:rFonts w:ascii="Arial" w:cs="Arial" w:eastAsia="Arial" w:hAnsi="Arial"/>
          <w:sz w:val="14"/>
          <w:szCs w:val="14"/>
          <w:color w:val="auto"/>
        </w:rPr>
        <w:t xml:space="preserve">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50190" cy="2501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183" w:lineRule="exact"/>
        <w:rPr>
          <w:sz w:val="20"/>
          <w:szCs w:val="20"/>
          <w:color w:val="auto"/>
        </w:rPr>
      </w:pPr>
    </w:p>
    <w:p>
      <w:pPr>
        <w:ind w:left="508"/>
        <w:spacing w:after="0"/>
        <w:rPr>
          <w:sz w:val="20"/>
          <w:szCs w:val="20"/>
          <w:color w:val="auto"/>
        </w:rPr>
      </w:pPr>
      <w:r>
        <w:rPr>
          <w:rFonts w:ascii="Arial" w:cs="Arial" w:eastAsia="Arial" w:hAnsi="Arial"/>
          <w:sz w:val="14"/>
          <w:szCs w:val="14"/>
          <w:color w:val="auto"/>
        </w:rPr>
        <w:t>Public Company CEO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451739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472"/>
            <w:col w:w="8248"/>
          </w:cols>
          <w:pgMar w:left="320" w:top="215" w:right="319" w:bottom="1440" w:gutter="0" w:footer="0" w:header="0"/>
          <w:type w:val="continuous"/>
        </w:sectPr>
      </w:pPr>
    </w:p>
    <w:p>
      <w:pPr>
        <w:spacing w:after="0" w:line="157" w:lineRule="exact"/>
        <w:rPr>
          <w:sz w:val="20"/>
          <w:szCs w:val="20"/>
          <w:color w:val="auto"/>
        </w:rPr>
      </w:pPr>
    </w:p>
    <w:p>
      <w:pPr>
        <w:jc w:val="both"/>
        <w:ind w:left="3020" w:right="1240"/>
        <w:spacing w:after="0" w:line="307" w:lineRule="auto"/>
        <w:rPr>
          <w:sz w:val="20"/>
          <w:szCs w:val="20"/>
          <w:color w:val="auto"/>
        </w:rPr>
      </w:pPr>
      <w:r>
        <w:rPr>
          <w:rFonts w:ascii="Arial" w:cs="Arial" w:eastAsia="Arial" w:hAnsi="Arial"/>
          <w:sz w:val="12"/>
          <w:szCs w:val="12"/>
          <w:i w:val="1"/>
          <w:iCs w:val="1"/>
          <w:color w:val="auto"/>
        </w:rPr>
        <w:t>Dr. Schleifer’s significant industry and leadership experience, as well as his incomparable knowledge of the Company and an in-depth understanding of the complex research, drug development, and business issues facing companies in the biopharmaceutical sector, led the board to conclude that Dr. Schleifer should serve as a director.</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15</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3020"/>
        <w:spacing w:after="0"/>
        <w:rPr>
          <w:sz w:val="20"/>
          <w:szCs w:val="20"/>
          <w:color w:val="auto"/>
        </w:rPr>
      </w:pPr>
      <w:r>
        <w:rPr>
          <w:rFonts w:ascii="Arial" w:cs="Arial" w:eastAsia="Arial" w:hAnsi="Arial"/>
          <w:sz w:val="21"/>
          <w:szCs w:val="21"/>
          <w:b w:val="1"/>
          <w:bCs w:val="1"/>
          <w:color w:val="215AA8"/>
        </w:rPr>
        <w:t>George D. Yancopoulos,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-139700</wp:posOffset>
            </wp:positionV>
            <wp:extent cx="857885" cy="8578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215AA8"/>
        </w:rPr>
        <w:t>Board and Committee</w:t>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Membership—2023</w:t>
      </w:r>
    </w:p>
    <w:p>
      <w:pPr>
        <w:ind w:left="1120"/>
        <w:spacing w:after="0"/>
        <w:rPr>
          <w:sz w:val="20"/>
          <w:szCs w:val="20"/>
          <w:color w:val="auto"/>
        </w:rPr>
      </w:pPr>
      <w:r>
        <w:rPr>
          <w:rFonts w:ascii="Arial" w:cs="Arial" w:eastAsia="Arial" w:hAnsi="Arial"/>
          <w:sz w:val="14"/>
          <w:szCs w:val="14"/>
          <w:b w:val="1"/>
          <w:bCs w:val="1"/>
          <w:color w:val="215AA8"/>
        </w:rPr>
        <w:t>Attendance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Board of Directors: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6/6</w:t>
      </w:r>
    </w:p>
    <w:p>
      <w:pPr>
        <w:ind w:left="1120"/>
        <w:spacing w:after="0"/>
        <w:rPr>
          <w:sz w:val="20"/>
          <w:szCs w:val="20"/>
          <w:color w:val="auto"/>
        </w:rPr>
      </w:pPr>
      <w:r>
        <w:rPr>
          <w:rFonts w:ascii="Arial" w:cs="Arial" w:eastAsia="Arial" w:hAnsi="Arial"/>
          <w:sz w:val="12"/>
          <w:szCs w:val="12"/>
          <w:color w:val="auto"/>
        </w:rPr>
        <w:t>Technology Committee:</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2/2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215AA8"/>
        </w:rPr>
        <w:t xml:space="preserve">Director since: </w:t>
      </w:r>
      <w:r>
        <w:rPr>
          <w:rFonts w:ascii="Arial" w:cs="Arial" w:eastAsia="Arial" w:hAnsi="Arial"/>
          <w:sz w:val="14"/>
          <w:szCs w:val="14"/>
          <w:color w:val="000000"/>
        </w:rPr>
        <w:t>2001 |</w:t>
      </w:r>
      <w:r>
        <w:rPr>
          <w:rFonts w:ascii="Arial" w:cs="Arial" w:eastAsia="Arial" w:hAnsi="Arial"/>
          <w:sz w:val="14"/>
          <w:szCs w:val="14"/>
          <w:b w:val="1"/>
          <w:bCs w:val="1"/>
          <w:color w:val="215AA8"/>
        </w:rPr>
        <w:t xml:space="preserve"> Age: </w:t>
      </w:r>
      <w:r>
        <w:rPr>
          <w:rFonts w:ascii="Arial" w:cs="Arial" w:eastAsia="Arial" w:hAnsi="Arial"/>
          <w:sz w:val="14"/>
          <w:szCs w:val="14"/>
          <w:color w:val="000000"/>
        </w:rPr>
        <w:t>64</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215AA8"/>
        </w:rPr>
        <w:t xml:space="preserve">Board co-Chair since: </w:t>
      </w:r>
      <w:r>
        <w:rPr>
          <w:rFonts w:ascii="Arial" w:cs="Arial" w:eastAsia="Arial" w:hAnsi="Arial"/>
          <w:sz w:val="14"/>
          <w:szCs w:val="14"/>
          <w:color w:val="000000"/>
        </w:rPr>
        <w:t>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-43815</wp:posOffset>
            </wp:positionV>
            <wp:extent cx="303085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030855" cy="6985"/>
                    </a:xfrm>
                    <a:prstGeom prst="rect">
                      <a:avLst/>
                    </a:prstGeom>
                    <a:noFill/>
                  </pic:spPr>
                </pic:pic>
              </a:graphicData>
            </a:graphic>
          </wp:anchor>
        </w:drawing>
      </w:r>
    </w:p>
    <w:p>
      <w:pPr>
        <w:spacing w:after="0" w:line="15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Career Highlights</w:t>
      </w:r>
    </w:p>
    <w:p>
      <w:pPr>
        <w:spacing w:after="0" w:line="77" w:lineRule="exact"/>
        <w:rPr>
          <w:sz w:val="20"/>
          <w:szCs w:val="20"/>
          <w:color w:val="auto"/>
        </w:rPr>
      </w:pPr>
    </w:p>
    <w:p>
      <w:pPr>
        <w:ind w:left="168" w:hanging="168"/>
        <w:spacing w:after="0"/>
        <w:tabs>
          <w:tab w:leader="none" w:pos="168" w:val="left"/>
        </w:tabs>
        <w:numPr>
          <w:ilvl w:val="0"/>
          <w:numId w:val="25"/>
        </w:numPr>
        <w:rPr>
          <w:rFonts w:ascii="Arial" w:cs="Arial" w:eastAsia="Arial" w:hAnsi="Arial"/>
          <w:sz w:val="14"/>
          <w:szCs w:val="14"/>
          <w:color w:val="215AA8"/>
        </w:rPr>
      </w:pPr>
      <w:r>
        <w:rPr>
          <w:rFonts w:ascii="Arial" w:cs="Arial" w:eastAsia="Arial" w:hAnsi="Arial"/>
          <w:sz w:val="14"/>
          <w:szCs w:val="14"/>
          <w:color w:val="auto"/>
        </w:rPr>
        <w:t>Founding scientist of the Company; built and managed the Company since 1989 together with Dr. Schleifer</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25"/>
        </w:numPr>
        <w:rPr>
          <w:rFonts w:ascii="Arial" w:cs="Arial" w:eastAsia="Arial" w:hAnsi="Arial"/>
          <w:sz w:val="14"/>
          <w:szCs w:val="14"/>
          <w:color w:val="215AA8"/>
        </w:rPr>
      </w:pPr>
      <w:r>
        <w:rPr>
          <w:rFonts w:ascii="Arial" w:cs="Arial" w:eastAsia="Arial" w:hAnsi="Arial"/>
          <w:sz w:val="14"/>
          <w:szCs w:val="14"/>
          <w:color w:val="auto"/>
        </w:rPr>
        <w:t>President and Chief Scientific Officer of the Company</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25"/>
        </w:numPr>
        <w:rPr>
          <w:rFonts w:ascii="Arial" w:cs="Arial" w:eastAsia="Arial" w:hAnsi="Arial"/>
          <w:sz w:val="14"/>
          <w:szCs w:val="14"/>
          <w:color w:val="215AA8"/>
        </w:rPr>
      </w:pPr>
      <w:r>
        <w:rPr>
          <w:rFonts w:ascii="Arial" w:cs="Arial" w:eastAsia="Arial" w:hAnsi="Arial"/>
          <w:sz w:val="14"/>
          <w:szCs w:val="14"/>
          <w:color w:val="auto"/>
        </w:rPr>
        <w:t>Co-Chair of the Board since 2023 and director of the Company since 2001</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25"/>
        </w:numPr>
        <w:rPr>
          <w:rFonts w:ascii="Arial" w:cs="Arial" w:eastAsia="Arial" w:hAnsi="Arial"/>
          <w:sz w:val="14"/>
          <w:szCs w:val="14"/>
          <w:color w:val="215AA8"/>
        </w:rPr>
      </w:pPr>
      <w:r>
        <w:rPr>
          <w:rFonts w:ascii="Arial" w:cs="Arial" w:eastAsia="Arial" w:hAnsi="Arial"/>
          <w:sz w:val="14"/>
          <w:szCs w:val="14"/>
          <w:color w:val="auto"/>
        </w:rPr>
        <w:t>11</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most highly cited scientist in the world in the 1990s</w:t>
      </w:r>
    </w:p>
    <w:p>
      <w:pPr>
        <w:spacing w:after="0" w:line="29" w:lineRule="exact"/>
        <w:rPr>
          <w:rFonts w:ascii="Arial" w:cs="Arial" w:eastAsia="Arial" w:hAnsi="Arial"/>
          <w:sz w:val="14"/>
          <w:szCs w:val="14"/>
          <w:color w:val="215AA8"/>
        </w:rPr>
      </w:pPr>
    </w:p>
    <w:p>
      <w:pPr>
        <w:ind w:left="168" w:right="1140" w:hanging="168"/>
        <w:spacing w:after="0" w:line="214" w:lineRule="auto"/>
        <w:tabs>
          <w:tab w:leader="none" w:pos="162" w:val="left"/>
        </w:tabs>
        <w:numPr>
          <w:ilvl w:val="0"/>
          <w:numId w:val="25"/>
        </w:numPr>
        <w:rPr>
          <w:rFonts w:ascii="Arial" w:cs="Arial" w:eastAsia="Arial" w:hAnsi="Arial"/>
          <w:sz w:val="13"/>
          <w:szCs w:val="13"/>
          <w:color w:val="215AA8"/>
        </w:rPr>
      </w:pPr>
      <w:r>
        <w:rPr>
          <w:rFonts w:ascii="Arial" w:cs="Arial" w:eastAsia="Arial" w:hAnsi="Arial"/>
          <w:sz w:val="13"/>
          <w:szCs w:val="13"/>
          <w:color w:val="auto"/>
        </w:rPr>
        <w:t>Principal inventor and/or developer, together with key members of his team, of the 11 FDA-approved drugs the Company has developed, EYLEA</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(aflibercept) Injection, EYLEA HD (aflibercept) 8 mg, Praluent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(alirocumab), Dupixent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(dupilumab), Kevzara</w:t>
      </w:r>
      <w:r>
        <w:rPr>
          <w:rFonts w:ascii="Arial" w:cs="Arial" w:eastAsia="Arial" w:hAnsi="Arial"/>
          <w:sz w:val="21"/>
          <w:szCs w:val="21"/>
          <w:color w:val="auto"/>
          <w:vertAlign w:val="superscript"/>
        </w:rPr>
        <w:t>®</w:t>
      </w:r>
      <w:r>
        <w:rPr>
          <w:rFonts w:ascii="Arial" w:cs="Arial" w:eastAsia="Arial" w:hAnsi="Arial"/>
          <w:sz w:val="13"/>
          <w:szCs w:val="13"/>
          <w:color w:val="auto"/>
        </w:rPr>
        <w:t xml:space="preserve"> (sarilumab), Libtayo</w:t>
      </w:r>
      <w:r>
        <w:rPr>
          <w:rFonts w:ascii="Arial" w:cs="Arial" w:eastAsia="Arial" w:hAnsi="Arial"/>
          <w:sz w:val="21"/>
          <w:szCs w:val="21"/>
          <w:color w:val="auto"/>
          <w:vertAlign w:val="superscript"/>
        </w:rPr>
        <w:t>®</w:t>
      </w:r>
      <w:r>
        <w:rPr>
          <w:rFonts w:ascii="Arial" w:cs="Arial" w:eastAsia="Arial" w:hAnsi="Arial"/>
          <w:sz w:val="13"/>
          <w:szCs w:val="13"/>
          <w:color w:val="auto"/>
        </w:rPr>
        <w:t xml:space="preserve"> (cemiplimab), Evkeeza</w:t>
      </w:r>
      <w:r>
        <w:rPr>
          <w:rFonts w:ascii="Arial" w:cs="Arial" w:eastAsia="Arial" w:hAnsi="Arial"/>
          <w:sz w:val="21"/>
          <w:szCs w:val="21"/>
          <w:color w:val="auto"/>
          <w:vertAlign w:val="superscript"/>
        </w:rPr>
        <w:t>®</w:t>
      </w:r>
      <w:r>
        <w:rPr>
          <w:rFonts w:ascii="Arial" w:cs="Arial" w:eastAsia="Arial" w:hAnsi="Arial"/>
          <w:sz w:val="13"/>
          <w:szCs w:val="13"/>
          <w:color w:val="auto"/>
        </w:rPr>
        <w:t xml:space="preserve"> (evinacumab-dgnb), Inmazeb</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(atoltivimab, maftivimab and odesivimab-ebgn), Veopoz</w:t>
      </w:r>
      <w:r>
        <w:rPr>
          <w:rFonts w:ascii="Arial" w:cs="Arial" w:eastAsia="Arial" w:hAnsi="Arial"/>
          <w:sz w:val="21"/>
          <w:szCs w:val="21"/>
          <w:color w:val="auto"/>
          <w:vertAlign w:val="superscript"/>
        </w:rPr>
        <w:t>®</w:t>
      </w:r>
      <w:r>
        <w:rPr>
          <w:rFonts w:ascii="Arial" w:cs="Arial" w:eastAsia="Arial" w:hAnsi="Arial"/>
          <w:sz w:val="13"/>
          <w:szCs w:val="13"/>
          <w:color w:val="auto"/>
        </w:rPr>
        <w:t xml:space="preserve"> (pozelimab) Injection, ZALTRAP</w:t>
      </w:r>
      <w:r>
        <w:rPr>
          <w:rFonts w:ascii="Arial" w:cs="Arial" w:eastAsia="Arial" w:hAnsi="Arial"/>
          <w:sz w:val="21"/>
          <w:szCs w:val="21"/>
          <w:color w:val="auto"/>
          <w:vertAlign w:val="superscript"/>
        </w:rPr>
        <w:t>®</w:t>
      </w:r>
      <w:r>
        <w:rPr>
          <w:rFonts w:ascii="Arial" w:cs="Arial" w:eastAsia="Arial" w:hAnsi="Arial"/>
          <w:sz w:val="13"/>
          <w:szCs w:val="13"/>
          <w:color w:val="auto"/>
        </w:rPr>
        <w:t xml:space="preserve"> (ziv-aflibercept) Injection for Intravenous Infusion, and ARCALYST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(rilonacept) Injection for Subcutaneous Use, as well as of its foundation technologies, including the TRAP technology, </w:t>
      </w:r>
      <w:r>
        <w:rPr>
          <w:rFonts w:ascii="Arial" w:cs="Arial" w:eastAsia="Arial" w:hAnsi="Arial"/>
          <w:sz w:val="13"/>
          <w:szCs w:val="13"/>
          <w:i w:val="1"/>
          <w:iCs w:val="1"/>
          <w:color w:val="auto"/>
        </w:rPr>
        <w:t>VelociGene</w:t>
      </w:r>
      <w:r>
        <w:rPr>
          <w:rFonts w:ascii="Arial" w:cs="Arial" w:eastAsia="Arial" w:hAnsi="Arial"/>
          <w:sz w:val="21"/>
          <w:szCs w:val="21"/>
          <w:i w:val="1"/>
          <w:iCs w:val="1"/>
          <w:color w:val="auto"/>
          <w:vertAlign w:val="superscript"/>
        </w:rPr>
        <w:t>®</w:t>
      </w:r>
      <w:r>
        <w:rPr>
          <w:rFonts w:ascii="Arial" w:cs="Arial" w:eastAsia="Arial" w:hAnsi="Arial"/>
          <w:sz w:val="13"/>
          <w:szCs w:val="13"/>
          <w:color w:val="auto"/>
        </w:rPr>
        <w:t xml:space="preserve">, and </w:t>
      </w:r>
      <w:r>
        <w:rPr>
          <w:rFonts w:ascii="Arial" w:cs="Arial" w:eastAsia="Arial" w:hAnsi="Arial"/>
          <w:sz w:val="13"/>
          <w:szCs w:val="13"/>
          <w:i w:val="1"/>
          <w:iCs w:val="1"/>
          <w:color w:val="auto"/>
        </w:rPr>
        <w:t>VelocImmune</w:t>
      </w:r>
      <w:r>
        <w:rPr>
          <w:rFonts w:ascii="Arial" w:cs="Arial" w:eastAsia="Arial" w:hAnsi="Arial"/>
          <w:sz w:val="21"/>
          <w:szCs w:val="2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451739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208"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250190" cy="2432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0190" cy="243205"/>
                    </a:xfrm>
                    <a:prstGeom prst="rect">
                      <a:avLst/>
                    </a:prstGeom>
                    <a:noFill/>
                  </pic:spPr>
                </pic:pic>
              </a:graphicData>
            </a:graphic>
          </wp:anchor>
        </w:drawing>
      </w:r>
    </w:p>
    <w:p>
      <w:pPr>
        <w:spacing w:after="0" w:line="61" w:lineRule="exact"/>
        <w:rPr>
          <w:sz w:val="20"/>
          <w:szCs w:val="20"/>
          <w:color w:val="auto"/>
        </w:rPr>
      </w:pPr>
    </w:p>
    <w:p>
      <w:pPr>
        <w:ind w:left="508"/>
        <w:spacing w:after="0"/>
        <w:rPr>
          <w:sz w:val="20"/>
          <w:szCs w:val="20"/>
          <w:color w:val="auto"/>
        </w:rPr>
      </w:pPr>
      <w:r>
        <w:rPr>
          <w:rFonts w:ascii="Arial" w:cs="Arial" w:eastAsia="Arial" w:hAnsi="Arial"/>
          <w:sz w:val="14"/>
          <w:szCs w:val="14"/>
          <w:color w:val="auto"/>
        </w:rPr>
        <w:t xml:space="preserve">Industry Experience                         </w:t>
      </w:r>
      <w:r>
        <w:rPr>
          <w:sz w:val="1"/>
          <w:szCs w:val="1"/>
          <w:color w:val="auto"/>
        </w:rPr>
        <w:drawing>
          <wp:inline distT="0" distB="0" distL="0" distR="0">
            <wp:extent cx="250190" cy="22161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0190" cy="221615"/>
                    </a:xfrm>
                    <a:prstGeom prst="rect">
                      <a:avLst/>
                    </a:prstGeom>
                    <a:noFill/>
                    <a:ln>
                      <a:noFill/>
                    </a:ln>
                  </pic:spPr>
                </pic:pic>
              </a:graphicData>
            </a:graphic>
          </wp:inline>
        </w:drawing>
      </w:r>
      <w:r>
        <w:rPr>
          <w:rFonts w:ascii="Arial" w:cs="Arial" w:eastAsia="Arial" w:hAnsi="Arial"/>
          <w:sz w:val="14"/>
          <w:szCs w:val="14"/>
          <w:color w:val="auto"/>
        </w:rPr>
        <w:t xml:space="preserve">  Executive/Leadership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250190" cy="2501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0190" cy="2501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64135</wp:posOffset>
            </wp:positionV>
            <wp:extent cx="200025" cy="264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0025" cy="264160"/>
                    </a:xfrm>
                    <a:prstGeom prst="rect">
                      <a:avLst/>
                    </a:prstGeom>
                    <a:noFill/>
                  </pic:spPr>
                </pic:pic>
              </a:graphicData>
            </a:graphic>
          </wp:anchor>
        </w:drawing>
      </w:r>
    </w:p>
    <w:p>
      <w:pPr>
        <w:spacing w:after="0" w:line="195" w:lineRule="exact"/>
        <w:rPr>
          <w:sz w:val="20"/>
          <w:szCs w:val="20"/>
          <w:color w:val="auto"/>
        </w:rPr>
      </w:pPr>
    </w:p>
    <w:p>
      <w:pPr>
        <w:ind w:left="508"/>
        <w:spacing w:after="0"/>
        <w:tabs>
          <w:tab w:leader="none" w:pos="4047" w:val="left"/>
        </w:tabs>
        <w:rPr>
          <w:sz w:val="20"/>
          <w:szCs w:val="20"/>
          <w:color w:val="auto"/>
        </w:rPr>
      </w:pPr>
      <w:r>
        <w:rPr>
          <w:rFonts w:ascii="Arial" w:cs="Arial" w:eastAsia="Arial" w:hAnsi="Arial"/>
          <w:sz w:val="14"/>
          <w:szCs w:val="14"/>
          <w:color w:val="auto"/>
        </w:rPr>
        <w:t>Science/Biotech Background</w:t>
      </w:r>
      <w:r>
        <w:rPr>
          <w:sz w:val="20"/>
          <w:szCs w:val="20"/>
          <w:color w:val="auto"/>
        </w:rPr>
        <w:tab/>
      </w:r>
      <w:r>
        <w:rPr>
          <w:rFonts w:ascii="Arial" w:cs="Arial" w:eastAsia="Arial" w:hAnsi="Arial"/>
          <w:sz w:val="12"/>
          <w:szCs w:val="12"/>
          <w:color w:val="auto"/>
        </w:rPr>
        <w:t>Research/Academic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250190" cy="2501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303" w:lineRule="exact"/>
        <w:rPr>
          <w:sz w:val="20"/>
          <w:szCs w:val="20"/>
          <w:color w:val="auto"/>
        </w:rPr>
      </w:pPr>
    </w:p>
    <w:p>
      <w:pPr>
        <w:ind w:left="508"/>
        <w:spacing w:after="0"/>
        <w:rPr>
          <w:sz w:val="20"/>
          <w:szCs w:val="20"/>
          <w:color w:val="auto"/>
        </w:rPr>
      </w:pPr>
      <w:r>
        <w:rPr>
          <w:rFonts w:ascii="Arial" w:cs="Arial" w:eastAsia="Arial" w:hAnsi="Arial"/>
          <w:sz w:val="14"/>
          <w:szCs w:val="14"/>
          <w:color w:val="auto"/>
        </w:rPr>
        <w:t>Business Strategy/Operations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451739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33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Scientific Society Memberships</w:t>
      </w:r>
    </w:p>
    <w:p>
      <w:pPr>
        <w:spacing w:after="0" w:line="77" w:lineRule="exact"/>
        <w:rPr>
          <w:sz w:val="20"/>
          <w:szCs w:val="20"/>
          <w:color w:val="auto"/>
        </w:rPr>
      </w:pPr>
    </w:p>
    <w:p>
      <w:pPr>
        <w:ind w:left="168" w:hanging="168"/>
        <w:spacing w:after="0"/>
        <w:tabs>
          <w:tab w:leader="none" w:pos="168" w:val="left"/>
        </w:tabs>
        <w:numPr>
          <w:ilvl w:val="0"/>
          <w:numId w:val="26"/>
        </w:numPr>
        <w:rPr>
          <w:rFonts w:ascii="Arial" w:cs="Arial" w:eastAsia="Arial" w:hAnsi="Arial"/>
          <w:sz w:val="14"/>
          <w:szCs w:val="14"/>
          <w:color w:val="215AA8"/>
        </w:rPr>
      </w:pPr>
      <w:r>
        <w:rPr>
          <w:rFonts w:ascii="Arial" w:cs="Arial" w:eastAsia="Arial" w:hAnsi="Arial"/>
          <w:sz w:val="14"/>
          <w:szCs w:val="14"/>
          <w:color w:val="auto"/>
        </w:rPr>
        <w:t>The National Academy of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451739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314" w:lineRule="exact"/>
        <w:rPr>
          <w:sz w:val="20"/>
          <w:szCs w:val="20"/>
          <w:color w:val="auto"/>
        </w:rPr>
      </w:pPr>
    </w:p>
    <w:p>
      <w:pPr>
        <w:jc w:val="both"/>
        <w:ind w:left="8" w:right="1220"/>
        <w:spacing w:after="0" w:line="307" w:lineRule="auto"/>
        <w:rPr>
          <w:sz w:val="20"/>
          <w:szCs w:val="20"/>
          <w:color w:val="auto"/>
        </w:rPr>
      </w:pPr>
      <w:r>
        <w:rPr>
          <w:rFonts w:ascii="Arial" w:cs="Arial" w:eastAsia="Arial" w:hAnsi="Arial"/>
          <w:sz w:val="12"/>
          <w:szCs w:val="12"/>
          <w:i w:val="1"/>
          <w:iCs w:val="1"/>
          <w:color w:val="auto"/>
        </w:rPr>
        <w:t>Dr. Yancopoulos’s significant industry and scientific experience and distinguished record of scientific expertise, as well as his extensive knowledge of the Company and an in-depth knowledge of the Company’s technologies and research and development programs, led the board to conclude that Dr. Yancopoulos should serve as a director.</w:t>
      </w:r>
    </w:p>
    <w:p>
      <w:pPr>
        <w:spacing w:after="0" w:line="99" w:lineRule="exact"/>
        <w:rPr>
          <w:sz w:val="20"/>
          <w:szCs w:val="20"/>
          <w:color w:val="auto"/>
        </w:rPr>
      </w:pPr>
    </w:p>
    <w:p>
      <w:pPr>
        <w:sectPr>
          <w:pgSz w:w="11900" w:h="16838" w:orient="portrait"/>
          <w:cols w:equalWidth="0" w:num="2">
            <w:col w:w="2540" w:space="472"/>
            <w:col w:w="8248"/>
          </w:cols>
          <w:pgMar w:left="320" w:top="215" w:right="31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16</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120" w:right="2060"/>
        <w:spacing w:after="0" w:line="292" w:lineRule="auto"/>
        <w:rPr>
          <w:sz w:val="20"/>
          <w:szCs w:val="20"/>
          <w:color w:val="auto"/>
        </w:rPr>
      </w:pPr>
      <w:r>
        <w:rPr>
          <w:rFonts w:ascii="Arial" w:cs="Arial" w:eastAsia="Arial" w:hAnsi="Arial"/>
          <w:sz w:val="24"/>
          <w:szCs w:val="24"/>
          <w:b w:val="1"/>
          <w:bCs w:val="1"/>
          <w:color w:val="215AA8"/>
        </w:rPr>
        <w:t>Class II Directors Continuing in Office Term Expires at the 2026 Annual Meeting</w:t>
      </w:r>
    </w:p>
    <w:p>
      <w:pPr>
        <w:spacing w:after="0" w:line="67" w:lineRule="exact"/>
        <w:rPr>
          <w:sz w:val="20"/>
          <w:szCs w:val="20"/>
          <w:color w:val="auto"/>
        </w:rPr>
      </w:pPr>
    </w:p>
    <w:p>
      <w:pPr>
        <w:ind w:left="3020"/>
        <w:spacing w:after="0"/>
        <w:tabs>
          <w:tab w:leader="none" w:pos="5780" w:val="left"/>
        </w:tabs>
        <w:rPr>
          <w:sz w:val="20"/>
          <w:szCs w:val="20"/>
          <w:color w:val="auto"/>
        </w:rPr>
      </w:pPr>
      <w:r>
        <w:rPr>
          <w:rFonts w:ascii="Arial" w:cs="Arial" w:eastAsia="Arial" w:hAnsi="Arial"/>
          <w:sz w:val="21"/>
          <w:szCs w:val="21"/>
          <w:b w:val="1"/>
          <w:bCs w:val="1"/>
          <w:color w:val="215AA8"/>
        </w:rPr>
        <w:t>Joseph L. Goldstein, M.D.</w:t>
      </w:r>
      <w:r>
        <w:rPr>
          <w:sz w:val="20"/>
          <w:szCs w:val="20"/>
          <w:color w:val="auto"/>
        </w:rPr>
        <w:tab/>
      </w:r>
      <w:r>
        <w:rPr>
          <w:rFonts w:ascii="Arial" w:cs="Arial" w:eastAsia="Arial" w:hAnsi="Arial"/>
          <w:sz w:val="12"/>
          <w:szCs w:val="12"/>
          <w:b w:val="1"/>
          <w:bCs w:val="1"/>
          <w:color w:val="FFFFFF"/>
          <w:shd w:val="clear" w:color="auto" w:fill="215A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-139700</wp:posOffset>
            </wp:positionV>
            <wp:extent cx="857885" cy="8578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215AA8"/>
        </w:rPr>
        <w:t>Board and Committee</w:t>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Membership—2023</w:t>
      </w:r>
    </w:p>
    <w:p>
      <w:pPr>
        <w:ind w:left="1120"/>
        <w:spacing w:after="0"/>
        <w:rPr>
          <w:sz w:val="20"/>
          <w:szCs w:val="20"/>
          <w:color w:val="auto"/>
        </w:rPr>
      </w:pPr>
      <w:r>
        <w:rPr>
          <w:rFonts w:ascii="Arial" w:cs="Arial" w:eastAsia="Arial" w:hAnsi="Arial"/>
          <w:sz w:val="14"/>
          <w:szCs w:val="14"/>
          <w:b w:val="1"/>
          <w:bCs w:val="1"/>
          <w:color w:val="215AA8"/>
        </w:rPr>
        <w:t>Attendance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Board of Directors: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6/6</w:t>
      </w:r>
    </w:p>
    <w:p>
      <w:pPr>
        <w:ind w:left="1120"/>
        <w:spacing w:after="0"/>
        <w:rPr>
          <w:sz w:val="20"/>
          <w:szCs w:val="20"/>
          <w:color w:val="auto"/>
        </w:rPr>
      </w:pPr>
      <w:r>
        <w:rPr>
          <w:rFonts w:ascii="Arial" w:cs="Arial" w:eastAsia="Arial" w:hAnsi="Arial"/>
          <w:sz w:val="12"/>
          <w:szCs w:val="12"/>
          <w:color w:val="auto"/>
        </w:rPr>
        <w:t>Corporate Governance</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and Compliance</w:t>
      </w:r>
    </w:p>
    <w:p>
      <w:pPr>
        <w:ind w:left="1120"/>
        <w:spacing w:after="0" w:line="234" w:lineRule="auto"/>
        <w:rPr>
          <w:sz w:val="20"/>
          <w:szCs w:val="20"/>
          <w:color w:val="auto"/>
        </w:rPr>
      </w:pPr>
      <w:r>
        <w:rPr>
          <w:rFonts w:ascii="Arial" w:cs="Arial" w:eastAsia="Arial" w:hAnsi="Arial"/>
          <w:sz w:val="14"/>
          <w:szCs w:val="14"/>
          <w:color w:val="auto"/>
        </w:rPr>
        <w:t>Committee:</w:t>
      </w:r>
    </w:p>
    <w:p>
      <w:pPr>
        <w:ind w:left="1120"/>
        <w:spacing w:after="0" w:line="235" w:lineRule="auto"/>
        <w:rPr>
          <w:sz w:val="20"/>
          <w:szCs w:val="20"/>
          <w:color w:val="auto"/>
        </w:rPr>
      </w:pPr>
      <w:r>
        <w:rPr>
          <w:rFonts w:ascii="Arial" w:cs="Arial" w:eastAsia="Arial" w:hAnsi="Arial"/>
          <w:sz w:val="14"/>
          <w:szCs w:val="14"/>
          <w:b w:val="1"/>
          <w:bCs w:val="1"/>
          <w:color w:val="215AA8"/>
        </w:rPr>
        <w:t>5/5</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Technology Committee:</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2/2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 xml:space="preserve">Director since: </w:t>
      </w:r>
      <w:r>
        <w:rPr>
          <w:rFonts w:ascii="Arial" w:cs="Arial" w:eastAsia="Arial" w:hAnsi="Arial"/>
          <w:sz w:val="14"/>
          <w:szCs w:val="14"/>
          <w:color w:val="000000"/>
        </w:rPr>
        <w:t>1991 |</w:t>
      </w:r>
      <w:r>
        <w:rPr>
          <w:rFonts w:ascii="Arial" w:cs="Arial" w:eastAsia="Arial" w:hAnsi="Arial"/>
          <w:sz w:val="14"/>
          <w:szCs w:val="14"/>
          <w:b w:val="1"/>
          <w:bCs w:val="1"/>
          <w:color w:val="215AA8"/>
        </w:rPr>
        <w:t xml:space="preserve"> Age: </w:t>
      </w:r>
      <w:r>
        <w:rPr>
          <w:rFonts w:ascii="Arial" w:cs="Arial" w:eastAsia="Arial" w:hAnsi="Arial"/>
          <w:sz w:val="14"/>
          <w:szCs w:val="14"/>
          <w:color w:val="000000"/>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-43815</wp:posOffset>
            </wp:positionV>
            <wp:extent cx="315912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159125" cy="698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Career Highlights</w:t>
      </w:r>
    </w:p>
    <w:p>
      <w:pPr>
        <w:spacing w:after="0" w:line="77" w:lineRule="exact"/>
        <w:rPr>
          <w:sz w:val="20"/>
          <w:szCs w:val="20"/>
          <w:color w:val="auto"/>
        </w:rPr>
      </w:pPr>
    </w:p>
    <w:p>
      <w:pPr>
        <w:ind w:left="160" w:right="1320" w:hanging="156"/>
        <w:spacing w:after="0" w:line="257" w:lineRule="auto"/>
        <w:tabs>
          <w:tab w:leader="none" w:pos="155" w:val="left"/>
        </w:tabs>
        <w:numPr>
          <w:ilvl w:val="0"/>
          <w:numId w:val="27"/>
        </w:numPr>
        <w:rPr>
          <w:rFonts w:ascii="Arial" w:cs="Arial" w:eastAsia="Arial" w:hAnsi="Arial"/>
          <w:sz w:val="14"/>
          <w:szCs w:val="14"/>
          <w:color w:val="215AA8"/>
        </w:rPr>
      </w:pPr>
      <w:r>
        <w:rPr>
          <w:rFonts w:ascii="Arial" w:cs="Arial" w:eastAsia="Arial" w:hAnsi="Arial"/>
          <w:sz w:val="14"/>
          <w:szCs w:val="14"/>
          <w:color w:val="auto"/>
        </w:rPr>
        <w:t>Professor of Molecular Genetics and Internal Medicine and Chair of the Department of Molecular Genetics at The University of Texas Southwestern Medical Center at Dallas since 1977</w:t>
      </w:r>
    </w:p>
    <w:p>
      <w:pPr>
        <w:spacing w:after="0" w:line="49" w:lineRule="exact"/>
        <w:rPr>
          <w:rFonts w:ascii="Arial" w:cs="Arial" w:eastAsia="Arial" w:hAnsi="Arial"/>
          <w:sz w:val="14"/>
          <w:szCs w:val="14"/>
          <w:color w:val="215AA8"/>
        </w:rPr>
      </w:pPr>
    </w:p>
    <w:p>
      <w:pPr>
        <w:ind w:left="160" w:hanging="156"/>
        <w:spacing w:after="0"/>
        <w:tabs>
          <w:tab w:leader="none" w:pos="160" w:val="left"/>
        </w:tabs>
        <w:numPr>
          <w:ilvl w:val="0"/>
          <w:numId w:val="27"/>
        </w:numPr>
        <w:rPr>
          <w:rFonts w:ascii="Arial" w:cs="Arial" w:eastAsia="Arial" w:hAnsi="Arial"/>
          <w:sz w:val="14"/>
          <w:szCs w:val="14"/>
          <w:color w:val="215AA8"/>
        </w:rPr>
      </w:pPr>
      <w:r>
        <w:rPr>
          <w:rFonts w:ascii="Arial" w:cs="Arial" w:eastAsia="Arial" w:hAnsi="Arial"/>
          <w:sz w:val="14"/>
          <w:szCs w:val="14"/>
          <w:color w:val="auto"/>
        </w:rPr>
        <w:t>Member of the boards of trustees of The Rockefeller University and the Howard Hughes Medical Institute</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27"/>
        </w:numPr>
        <w:rPr>
          <w:rFonts w:ascii="Arial" w:cs="Arial" w:eastAsia="Arial" w:hAnsi="Arial"/>
          <w:sz w:val="14"/>
          <w:szCs w:val="14"/>
          <w:color w:val="215AA8"/>
        </w:rPr>
      </w:pPr>
      <w:r>
        <w:rPr>
          <w:rFonts w:ascii="Arial" w:cs="Arial" w:eastAsia="Arial" w:hAnsi="Arial"/>
          <w:sz w:val="14"/>
          <w:szCs w:val="14"/>
          <w:color w:val="auto"/>
        </w:rPr>
        <w:t>Nobel Prize for Physiology or Medicine in 1985 (jointly with Dr. Brown)</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27"/>
        </w:numPr>
        <w:rPr>
          <w:rFonts w:ascii="Arial" w:cs="Arial" w:eastAsia="Arial" w:hAnsi="Arial"/>
          <w:sz w:val="14"/>
          <w:szCs w:val="14"/>
          <w:color w:val="215AA8"/>
        </w:rPr>
      </w:pPr>
      <w:r>
        <w:rPr>
          <w:rFonts w:ascii="Arial" w:cs="Arial" w:eastAsia="Arial" w:hAnsi="Arial"/>
          <w:sz w:val="14"/>
          <w:szCs w:val="14"/>
          <w:color w:val="auto"/>
        </w:rPr>
        <w:t>U.S. National Medal of Science in 1988 (jointly with Dr.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104775</wp:posOffset>
            </wp:positionV>
            <wp:extent cx="451040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10405" cy="698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wp:posOffset>
            </wp:positionV>
            <wp:extent cx="250190" cy="2432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0190" cy="243205"/>
                    </a:xfrm>
                    <a:prstGeom prst="rect">
                      <a:avLst/>
                    </a:prstGeom>
                    <a:noFill/>
                  </pic:spPr>
                </pic:pic>
              </a:graphicData>
            </a:graphic>
          </wp:anchor>
        </w:drawing>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Industry Experience                         </w:t>
      </w:r>
      <w:r>
        <w:rPr>
          <w:sz w:val="1"/>
          <w:szCs w:val="1"/>
          <w:color w:val="auto"/>
        </w:rPr>
        <w:drawing>
          <wp:inline distT="0" distB="0" distL="0" distR="0">
            <wp:extent cx="250190" cy="22161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0190" cy="221615"/>
                    </a:xfrm>
                    <a:prstGeom prst="rect">
                      <a:avLst/>
                    </a:prstGeom>
                    <a:noFill/>
                    <a:ln>
                      <a:noFill/>
                    </a:ln>
                  </pic:spPr>
                </pic:pic>
              </a:graphicData>
            </a:graphic>
          </wp:inline>
        </w:drawing>
      </w:r>
      <w:r>
        <w:rPr>
          <w:rFonts w:ascii="Arial" w:cs="Arial" w:eastAsia="Arial" w:hAnsi="Arial"/>
          <w:sz w:val="14"/>
          <w:szCs w:val="14"/>
          <w:color w:val="auto"/>
        </w:rPr>
        <w:t xml:space="preserve">  Executive/Leadership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250190" cy="2501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0190" cy="250190"/>
                    </a:xfrm>
                    <a:prstGeom prst="rect">
                      <a:avLst/>
                    </a:prstGeom>
                    <a:noFill/>
                  </pic:spPr>
                </pic:pic>
              </a:graphicData>
            </a:graphic>
          </wp:anchor>
        </w:drawing>
        <w:drawing>
          <wp:anchor simplePos="0" relativeHeight="251657728" behindDoc="1" locked="0" layoutInCell="0" allowOverlap="1">
            <wp:simplePos x="0" y="0"/>
            <wp:positionH relativeFrom="column">
              <wp:posOffset>2272030</wp:posOffset>
            </wp:positionH>
            <wp:positionV relativeFrom="paragraph">
              <wp:posOffset>64135</wp:posOffset>
            </wp:positionV>
            <wp:extent cx="200025" cy="264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0025" cy="264160"/>
                    </a:xfrm>
                    <a:prstGeom prst="rect">
                      <a:avLst/>
                    </a:prstGeom>
                    <a:noFill/>
                  </pic:spPr>
                </pic:pic>
              </a:graphicData>
            </a:graphic>
          </wp:anchor>
        </w:drawing>
      </w:r>
    </w:p>
    <w:p>
      <w:pPr>
        <w:spacing w:after="0" w:line="195" w:lineRule="exact"/>
        <w:rPr>
          <w:sz w:val="20"/>
          <w:szCs w:val="20"/>
          <w:color w:val="auto"/>
        </w:rPr>
      </w:pPr>
    </w:p>
    <w:p>
      <w:pPr>
        <w:ind w:left="520"/>
        <w:spacing w:after="0"/>
        <w:tabs>
          <w:tab w:leader="none" w:pos="4040" w:val="left"/>
        </w:tabs>
        <w:rPr>
          <w:sz w:val="20"/>
          <w:szCs w:val="20"/>
          <w:color w:val="auto"/>
        </w:rPr>
      </w:pPr>
      <w:r>
        <w:rPr>
          <w:rFonts w:ascii="Arial" w:cs="Arial" w:eastAsia="Arial" w:hAnsi="Arial"/>
          <w:sz w:val="14"/>
          <w:szCs w:val="14"/>
          <w:color w:val="auto"/>
        </w:rPr>
        <w:t>Science/Biotech Background</w:t>
      </w:r>
      <w:r>
        <w:rPr>
          <w:sz w:val="20"/>
          <w:szCs w:val="20"/>
          <w:color w:val="auto"/>
        </w:rPr>
        <w:tab/>
      </w:r>
      <w:r>
        <w:rPr>
          <w:rFonts w:ascii="Arial" w:cs="Arial" w:eastAsia="Arial" w:hAnsi="Arial"/>
          <w:sz w:val="12"/>
          <w:szCs w:val="12"/>
          <w:color w:val="auto"/>
        </w:rPr>
        <w:t>Research/Academic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125730</wp:posOffset>
            </wp:positionV>
            <wp:extent cx="451040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10405" cy="698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Scientific Society Memberships</w:t>
      </w:r>
    </w:p>
    <w:p>
      <w:pPr>
        <w:spacing w:after="0" w:line="77" w:lineRule="exact"/>
        <w:rPr>
          <w:sz w:val="20"/>
          <w:szCs w:val="20"/>
          <w:color w:val="auto"/>
        </w:rPr>
      </w:pPr>
    </w:p>
    <w:p>
      <w:pPr>
        <w:ind w:left="160" w:hanging="156"/>
        <w:spacing w:after="0"/>
        <w:tabs>
          <w:tab w:leader="none" w:pos="160" w:val="left"/>
        </w:tabs>
        <w:numPr>
          <w:ilvl w:val="0"/>
          <w:numId w:val="28"/>
        </w:numPr>
        <w:rPr>
          <w:rFonts w:ascii="Arial" w:cs="Arial" w:eastAsia="Arial" w:hAnsi="Arial"/>
          <w:sz w:val="14"/>
          <w:szCs w:val="14"/>
          <w:color w:val="215AA8"/>
        </w:rPr>
      </w:pPr>
      <w:r>
        <w:rPr>
          <w:rFonts w:ascii="Arial" w:cs="Arial" w:eastAsia="Arial" w:hAnsi="Arial"/>
          <w:sz w:val="14"/>
          <w:szCs w:val="14"/>
          <w:color w:val="auto"/>
        </w:rPr>
        <w:t>The National Academy of Sciences</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28"/>
        </w:numPr>
        <w:rPr>
          <w:rFonts w:ascii="Arial" w:cs="Arial" w:eastAsia="Arial" w:hAnsi="Arial"/>
          <w:sz w:val="14"/>
          <w:szCs w:val="14"/>
          <w:color w:val="215AA8"/>
        </w:rPr>
      </w:pPr>
      <w:r>
        <w:rPr>
          <w:rFonts w:ascii="Arial" w:cs="Arial" w:eastAsia="Arial" w:hAnsi="Arial"/>
          <w:sz w:val="14"/>
          <w:szCs w:val="14"/>
          <w:color w:val="auto"/>
        </w:rPr>
        <w:t>The National Academy of Medicine</w:t>
      </w:r>
    </w:p>
    <w:p>
      <w:pPr>
        <w:spacing w:after="0" w:line="75" w:lineRule="exact"/>
        <w:rPr>
          <w:rFonts w:ascii="Arial" w:cs="Arial" w:eastAsia="Arial" w:hAnsi="Arial"/>
          <w:sz w:val="14"/>
          <w:szCs w:val="14"/>
          <w:color w:val="215AA8"/>
        </w:rPr>
      </w:pPr>
    </w:p>
    <w:p>
      <w:pPr>
        <w:ind w:left="160" w:hanging="156"/>
        <w:spacing w:after="0"/>
        <w:tabs>
          <w:tab w:leader="none" w:pos="160" w:val="left"/>
        </w:tabs>
        <w:numPr>
          <w:ilvl w:val="0"/>
          <w:numId w:val="28"/>
        </w:numPr>
        <w:rPr>
          <w:rFonts w:ascii="Arial" w:cs="Arial" w:eastAsia="Arial" w:hAnsi="Arial"/>
          <w:sz w:val="14"/>
          <w:szCs w:val="14"/>
          <w:color w:val="215AA8"/>
        </w:rPr>
      </w:pPr>
      <w:r>
        <w:rPr>
          <w:rFonts w:ascii="Arial" w:cs="Arial" w:eastAsia="Arial" w:hAnsi="Arial"/>
          <w:sz w:val="14"/>
          <w:szCs w:val="14"/>
          <w:color w:val="auto"/>
        </w:rPr>
        <w:t>The Royal Society of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97155</wp:posOffset>
            </wp:positionV>
            <wp:extent cx="451040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10405" cy="6985"/>
                    </a:xfrm>
                    <a:prstGeom prst="rect">
                      <a:avLst/>
                    </a:prstGeom>
                    <a:noFill/>
                  </pic:spPr>
                </pic:pic>
              </a:graphicData>
            </a:graphic>
          </wp:anchor>
        </w:drawing>
      </w:r>
    </w:p>
    <w:p>
      <w:pPr>
        <w:spacing w:after="0" w:line="303" w:lineRule="exact"/>
        <w:rPr>
          <w:sz w:val="20"/>
          <w:szCs w:val="20"/>
          <w:color w:val="auto"/>
        </w:rPr>
      </w:pPr>
    </w:p>
    <w:p>
      <w:pPr>
        <w:jc w:val="both"/>
        <w:ind w:right="1480"/>
        <w:spacing w:after="0" w:line="307" w:lineRule="auto"/>
        <w:rPr>
          <w:sz w:val="20"/>
          <w:szCs w:val="20"/>
          <w:color w:val="auto"/>
        </w:rPr>
      </w:pPr>
      <w:r>
        <w:rPr>
          <w:rFonts w:ascii="Arial" w:cs="Arial" w:eastAsia="Arial" w:hAnsi="Arial"/>
          <w:sz w:val="12"/>
          <w:szCs w:val="12"/>
          <w:i w:val="1"/>
          <w:iCs w:val="1"/>
          <w:color w:val="auto"/>
        </w:rPr>
        <w:t>Dr. Goldstein’s extensive research experience, his distinguished scientific and academic credentials, including his receipt of the Nobel Prize for Physiology or Medicine in 1985, and his substantial understanding of the Company gained through his service as a director, led the board to conclude that Dr. Goldstein should serve as a director.</w:t>
      </w:r>
    </w:p>
    <w:p>
      <w:pPr>
        <w:spacing w:after="0" w:line="99" w:lineRule="exact"/>
        <w:rPr>
          <w:sz w:val="20"/>
          <w:szCs w:val="20"/>
          <w:color w:val="auto"/>
        </w:rPr>
      </w:pPr>
    </w:p>
    <w:p>
      <w:pPr>
        <w:sectPr>
          <w:pgSz w:w="11900" w:h="16838" w:orient="portrait"/>
          <w:cols w:equalWidth="0" w:num="2">
            <w:col w:w="2540" w:space="480"/>
            <w:col w:w="8240"/>
          </w:cols>
          <w:pgMar w:left="320" w:top="215" w:right="31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17</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21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Board and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-1051560</wp:posOffset>
            </wp:positionV>
            <wp:extent cx="857885" cy="8578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4"/>
          <w:szCs w:val="14"/>
          <w:b w:val="1"/>
          <w:bCs w:val="1"/>
          <w:color w:val="215AA8"/>
        </w:rPr>
        <w:t>Membership—2023</w:t>
      </w:r>
    </w:p>
    <w:p>
      <w:pPr>
        <w:ind w:left="1120"/>
        <w:spacing w:after="0"/>
        <w:rPr>
          <w:sz w:val="20"/>
          <w:szCs w:val="20"/>
          <w:color w:val="auto"/>
        </w:rPr>
      </w:pPr>
      <w:r>
        <w:rPr>
          <w:rFonts w:ascii="Arial" w:cs="Arial" w:eastAsia="Arial" w:hAnsi="Arial"/>
          <w:sz w:val="14"/>
          <w:szCs w:val="14"/>
          <w:b w:val="1"/>
          <w:bCs w:val="1"/>
          <w:color w:val="215AA8"/>
        </w:rPr>
        <w:t>Attendance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Board of Directors: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6/6</w:t>
      </w:r>
    </w:p>
    <w:p>
      <w:pPr>
        <w:ind w:left="1120"/>
        <w:spacing w:after="0" w:line="234" w:lineRule="auto"/>
        <w:rPr>
          <w:sz w:val="20"/>
          <w:szCs w:val="20"/>
          <w:color w:val="auto"/>
        </w:rPr>
      </w:pPr>
      <w:r>
        <w:rPr>
          <w:rFonts w:ascii="Arial" w:cs="Arial" w:eastAsia="Arial" w:hAnsi="Arial"/>
          <w:sz w:val="14"/>
          <w:szCs w:val="14"/>
          <w:color w:val="auto"/>
        </w:rPr>
        <w:t>Compensation Committee (Chair):</w:t>
      </w:r>
    </w:p>
    <w:p>
      <w:pPr>
        <w:ind w:left="1120"/>
        <w:spacing w:after="0" w:line="236" w:lineRule="auto"/>
        <w:rPr>
          <w:sz w:val="20"/>
          <w:szCs w:val="20"/>
          <w:color w:val="auto"/>
        </w:rPr>
      </w:pPr>
      <w:r>
        <w:rPr>
          <w:rFonts w:ascii="Arial" w:cs="Arial" w:eastAsia="Arial" w:hAnsi="Arial"/>
          <w:sz w:val="14"/>
          <w:szCs w:val="14"/>
          <w:b w:val="1"/>
          <w:bCs w:val="1"/>
          <w:color w:val="215AA8"/>
        </w:rPr>
        <w:t>9/9</w:t>
      </w:r>
    </w:p>
    <w:p>
      <w:pPr>
        <w:ind w:left="1120"/>
        <w:spacing w:after="0" w:line="235" w:lineRule="auto"/>
        <w:rPr>
          <w:sz w:val="20"/>
          <w:szCs w:val="20"/>
          <w:color w:val="auto"/>
        </w:rPr>
      </w:pPr>
      <w:r>
        <w:rPr>
          <w:rFonts w:ascii="Arial" w:cs="Arial" w:eastAsia="Arial" w:hAnsi="Arial"/>
          <w:sz w:val="14"/>
          <w:szCs w:val="14"/>
          <w:color w:val="auto"/>
        </w:rPr>
        <w:t>Corporate Governance</w:t>
      </w:r>
    </w:p>
    <w:p>
      <w:pPr>
        <w:ind w:left="1120"/>
        <w:spacing w:after="0" w:line="235" w:lineRule="auto"/>
        <w:rPr>
          <w:sz w:val="20"/>
          <w:szCs w:val="20"/>
          <w:color w:val="auto"/>
        </w:rPr>
      </w:pPr>
      <w:r>
        <w:rPr>
          <w:rFonts w:ascii="Arial" w:cs="Arial" w:eastAsia="Arial" w:hAnsi="Arial"/>
          <w:sz w:val="14"/>
          <w:szCs w:val="14"/>
          <w:color w:val="auto"/>
        </w:rPr>
        <w:t>and Compliance</w:t>
      </w:r>
    </w:p>
    <w:p>
      <w:pPr>
        <w:ind w:left="1120"/>
        <w:spacing w:after="0" w:line="235" w:lineRule="auto"/>
        <w:rPr>
          <w:sz w:val="20"/>
          <w:szCs w:val="20"/>
          <w:color w:val="auto"/>
        </w:rPr>
      </w:pPr>
      <w:r>
        <w:rPr>
          <w:rFonts w:ascii="Arial" w:cs="Arial" w:eastAsia="Arial" w:hAnsi="Arial"/>
          <w:sz w:val="14"/>
          <w:szCs w:val="14"/>
          <w:color w:val="auto"/>
        </w:rPr>
        <w:t>Committee:</w:t>
      </w:r>
    </w:p>
    <w:p>
      <w:pPr>
        <w:ind w:left="1120"/>
        <w:spacing w:after="0"/>
        <w:rPr>
          <w:sz w:val="20"/>
          <w:szCs w:val="20"/>
          <w:color w:val="auto"/>
        </w:rPr>
      </w:pPr>
      <w:r>
        <w:rPr>
          <w:rFonts w:ascii="Arial" w:cs="Arial" w:eastAsia="Arial" w:hAnsi="Arial"/>
          <w:sz w:val="14"/>
          <w:szCs w:val="14"/>
          <w:b w:val="1"/>
          <w:bCs w:val="1"/>
          <w:color w:val="215AA8"/>
        </w:rPr>
        <w:t>5/5</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8"/>
        <w:spacing w:after="0"/>
        <w:tabs>
          <w:tab w:leader="none" w:pos="1947" w:val="left"/>
        </w:tabs>
        <w:rPr>
          <w:sz w:val="20"/>
          <w:szCs w:val="20"/>
          <w:color w:val="auto"/>
        </w:rPr>
      </w:pPr>
      <w:r>
        <w:rPr>
          <w:rFonts w:ascii="Arial" w:cs="Arial" w:eastAsia="Arial" w:hAnsi="Arial"/>
          <w:sz w:val="21"/>
          <w:szCs w:val="21"/>
          <w:b w:val="1"/>
          <w:bCs w:val="1"/>
          <w:color w:val="215AA8"/>
        </w:rPr>
        <w:t>Christine A. Poon</w:t>
      </w:r>
      <w:r>
        <w:rPr>
          <w:sz w:val="20"/>
          <w:szCs w:val="20"/>
          <w:color w:val="auto"/>
        </w:rPr>
        <w:tab/>
      </w:r>
      <w:r>
        <w:rPr>
          <w:rFonts w:ascii="Arial" w:cs="Arial" w:eastAsia="Arial" w:hAnsi="Arial"/>
          <w:sz w:val="12"/>
          <w:szCs w:val="12"/>
          <w:b w:val="1"/>
          <w:bCs w:val="1"/>
          <w:color w:val="FFFFFF"/>
          <w:shd w:val="clear" w:color="auto" w:fill="215AA8"/>
        </w:rPr>
        <w:t>Independent</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215AA8"/>
        </w:rPr>
        <w:t xml:space="preserve">Director since: </w:t>
      </w:r>
      <w:r>
        <w:rPr>
          <w:rFonts w:ascii="Arial" w:cs="Arial" w:eastAsia="Arial" w:hAnsi="Arial"/>
          <w:sz w:val="14"/>
          <w:szCs w:val="14"/>
          <w:color w:val="000000"/>
        </w:rPr>
        <w:t>2010 |</w:t>
      </w:r>
      <w:r>
        <w:rPr>
          <w:rFonts w:ascii="Arial" w:cs="Arial" w:eastAsia="Arial" w:hAnsi="Arial"/>
          <w:sz w:val="14"/>
          <w:szCs w:val="14"/>
          <w:b w:val="1"/>
          <w:bCs w:val="1"/>
          <w:color w:val="215AA8"/>
        </w:rPr>
        <w:t xml:space="preserve"> Age: </w:t>
      </w:r>
      <w:r>
        <w:rPr>
          <w:rFonts w:ascii="Arial" w:cs="Arial" w:eastAsia="Arial" w:hAnsi="Arial"/>
          <w:sz w:val="14"/>
          <w:szCs w:val="14"/>
          <w:color w:val="000000"/>
        </w:rPr>
        <w:t>71</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215AA8"/>
        </w:rPr>
        <w:t xml:space="preserve">Lead Independent Director since: </w:t>
      </w:r>
      <w:r>
        <w:rPr>
          <w:rFonts w:ascii="Arial" w:cs="Arial" w:eastAsia="Arial" w:hAnsi="Arial"/>
          <w:sz w:val="14"/>
          <w:szCs w:val="14"/>
          <w:color w:val="000000"/>
        </w:rPr>
        <w:t>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-43815</wp:posOffset>
            </wp:positionV>
            <wp:extent cx="258064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80640" cy="6985"/>
                    </a:xfrm>
                    <a:prstGeom prst="rect">
                      <a:avLst/>
                    </a:prstGeom>
                    <a:noFill/>
                  </pic:spPr>
                </pic:pic>
              </a:graphicData>
            </a:graphic>
          </wp:anchor>
        </w:drawing>
      </w:r>
    </w:p>
    <w:p>
      <w:pPr>
        <w:spacing w:after="0" w:line="15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Career Highlights</w:t>
      </w:r>
    </w:p>
    <w:p>
      <w:pPr>
        <w:spacing w:after="0" w:line="77" w:lineRule="exact"/>
        <w:rPr>
          <w:sz w:val="20"/>
          <w:szCs w:val="20"/>
          <w:color w:val="auto"/>
        </w:rPr>
      </w:pPr>
    </w:p>
    <w:p>
      <w:pPr>
        <w:ind w:left="168" w:right="1200" w:hanging="168"/>
        <w:spacing w:after="0" w:line="246" w:lineRule="auto"/>
        <w:tabs>
          <w:tab w:leader="none" w:pos="162" w:val="left"/>
        </w:tabs>
        <w:numPr>
          <w:ilvl w:val="0"/>
          <w:numId w:val="29"/>
        </w:numPr>
        <w:rPr>
          <w:rFonts w:ascii="Arial" w:cs="Arial" w:eastAsia="Arial" w:hAnsi="Arial"/>
          <w:sz w:val="14"/>
          <w:szCs w:val="14"/>
          <w:color w:val="215AA8"/>
        </w:rPr>
      </w:pPr>
      <w:r>
        <w:rPr>
          <w:rFonts w:ascii="Arial" w:cs="Arial" w:eastAsia="Arial" w:hAnsi="Arial"/>
          <w:sz w:val="14"/>
          <w:szCs w:val="14"/>
          <w:color w:val="auto"/>
        </w:rPr>
        <w:t>Former Executive-in-Residence in the Department of Management and Human Resources (from 2015 to 2020) and former Dean and John W. Berry, Sr. Chair in Business (from 2009 to 2014) at The Max M. Fisher College of Business at The Ohio State University</w:t>
      </w:r>
    </w:p>
    <w:p>
      <w:pPr>
        <w:spacing w:after="0" w:line="56" w:lineRule="exact"/>
        <w:rPr>
          <w:rFonts w:ascii="Arial" w:cs="Arial" w:eastAsia="Arial" w:hAnsi="Arial"/>
          <w:sz w:val="14"/>
          <w:szCs w:val="14"/>
          <w:color w:val="215AA8"/>
        </w:rPr>
      </w:pPr>
    </w:p>
    <w:p>
      <w:pPr>
        <w:ind w:left="168" w:right="1180" w:hanging="168"/>
        <w:spacing w:after="0" w:line="257" w:lineRule="auto"/>
        <w:tabs>
          <w:tab w:leader="none" w:pos="162" w:val="left"/>
        </w:tabs>
        <w:numPr>
          <w:ilvl w:val="0"/>
          <w:numId w:val="29"/>
        </w:numPr>
        <w:rPr>
          <w:rFonts w:ascii="Arial" w:cs="Arial" w:eastAsia="Arial" w:hAnsi="Arial"/>
          <w:sz w:val="14"/>
          <w:szCs w:val="14"/>
          <w:color w:val="215AA8"/>
        </w:rPr>
      </w:pPr>
      <w:r>
        <w:rPr>
          <w:rFonts w:ascii="Arial" w:cs="Arial" w:eastAsia="Arial" w:hAnsi="Arial"/>
          <w:sz w:val="14"/>
          <w:szCs w:val="14"/>
          <w:color w:val="auto"/>
        </w:rPr>
        <w:t>Former vice chair, worldwide chair of pharmaceuticals, member of the executive committee, and director at Johnson &amp; Johnson</w:t>
      </w:r>
    </w:p>
    <w:p>
      <w:pPr>
        <w:spacing w:after="0" w:line="49" w:lineRule="exact"/>
        <w:rPr>
          <w:rFonts w:ascii="Arial" w:cs="Arial" w:eastAsia="Arial" w:hAnsi="Arial"/>
          <w:sz w:val="14"/>
          <w:szCs w:val="14"/>
          <w:color w:val="215AA8"/>
        </w:rPr>
      </w:pPr>
    </w:p>
    <w:p>
      <w:pPr>
        <w:ind w:left="168" w:right="1380" w:hanging="168"/>
        <w:spacing w:after="0" w:line="257" w:lineRule="auto"/>
        <w:tabs>
          <w:tab w:leader="none" w:pos="162" w:val="left"/>
        </w:tabs>
        <w:numPr>
          <w:ilvl w:val="0"/>
          <w:numId w:val="29"/>
        </w:numPr>
        <w:rPr>
          <w:rFonts w:ascii="Arial" w:cs="Arial" w:eastAsia="Arial" w:hAnsi="Arial"/>
          <w:sz w:val="14"/>
          <w:szCs w:val="14"/>
          <w:color w:val="215AA8"/>
        </w:rPr>
      </w:pPr>
      <w:r>
        <w:rPr>
          <w:rFonts w:ascii="Arial" w:cs="Arial" w:eastAsia="Arial" w:hAnsi="Arial"/>
          <w:sz w:val="14"/>
          <w:szCs w:val="14"/>
          <w:color w:val="auto"/>
        </w:rPr>
        <w:t>Previously held senior leadership positions at Bristol-Myers Squibb Company, including president of international medicines and president of medical devices</w:t>
      </w:r>
    </w:p>
    <w:p>
      <w:pPr>
        <w:spacing w:after="0" w:line="49" w:lineRule="exact"/>
        <w:rPr>
          <w:rFonts w:ascii="Arial" w:cs="Arial" w:eastAsia="Arial" w:hAnsi="Arial"/>
          <w:sz w:val="14"/>
          <w:szCs w:val="14"/>
          <w:color w:val="215AA8"/>
        </w:rPr>
      </w:pPr>
    </w:p>
    <w:p>
      <w:pPr>
        <w:ind w:left="168" w:right="1720" w:hanging="168"/>
        <w:spacing w:after="0" w:line="257" w:lineRule="auto"/>
        <w:tabs>
          <w:tab w:leader="none" w:pos="162" w:val="left"/>
        </w:tabs>
        <w:numPr>
          <w:ilvl w:val="0"/>
          <w:numId w:val="29"/>
        </w:numPr>
        <w:rPr>
          <w:rFonts w:ascii="Arial" w:cs="Arial" w:eastAsia="Arial" w:hAnsi="Arial"/>
          <w:sz w:val="14"/>
          <w:szCs w:val="14"/>
          <w:color w:val="215AA8"/>
        </w:rPr>
      </w:pPr>
      <w:r>
        <w:rPr>
          <w:rFonts w:ascii="Arial" w:cs="Arial" w:eastAsia="Arial" w:hAnsi="Arial"/>
          <w:sz w:val="14"/>
          <w:szCs w:val="14"/>
          <w:color w:val="auto"/>
        </w:rPr>
        <w:t>Former member of the Supervisory Board of Royal Philips Electronics and the board of directors of Decibel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451739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286"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250190" cy="2432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0190" cy="243205"/>
                    </a:xfrm>
                    <a:prstGeom prst="rect">
                      <a:avLst/>
                    </a:prstGeom>
                    <a:noFill/>
                  </pic:spPr>
                </pic:pic>
              </a:graphicData>
            </a:graphic>
          </wp:anchor>
        </w:drawing>
      </w:r>
    </w:p>
    <w:p>
      <w:pPr>
        <w:spacing w:after="0" w:line="61" w:lineRule="exact"/>
        <w:rPr>
          <w:sz w:val="20"/>
          <w:szCs w:val="20"/>
          <w:color w:val="auto"/>
        </w:rPr>
      </w:pPr>
    </w:p>
    <w:p>
      <w:pPr>
        <w:ind w:left="508"/>
        <w:spacing w:after="0"/>
        <w:rPr>
          <w:sz w:val="20"/>
          <w:szCs w:val="20"/>
          <w:color w:val="auto"/>
        </w:rPr>
      </w:pPr>
      <w:r>
        <w:rPr>
          <w:rFonts w:ascii="Arial" w:cs="Arial" w:eastAsia="Arial" w:hAnsi="Arial"/>
          <w:sz w:val="14"/>
          <w:szCs w:val="14"/>
          <w:color w:val="auto"/>
        </w:rPr>
        <w:t xml:space="preserve">Industry Experience                         </w:t>
      </w:r>
      <w:r>
        <w:rPr>
          <w:sz w:val="1"/>
          <w:szCs w:val="1"/>
          <w:color w:val="auto"/>
        </w:rPr>
        <w:drawing>
          <wp:inline distT="0" distB="0" distL="0" distR="0">
            <wp:extent cx="250190" cy="22161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0190" cy="221615"/>
                    </a:xfrm>
                    <a:prstGeom prst="rect">
                      <a:avLst/>
                    </a:prstGeom>
                    <a:noFill/>
                    <a:ln>
                      <a:noFill/>
                    </a:ln>
                  </pic:spPr>
                </pic:pic>
              </a:graphicData>
            </a:graphic>
          </wp:inline>
        </w:drawing>
      </w:r>
      <w:r>
        <w:rPr>
          <w:rFonts w:ascii="Arial" w:cs="Arial" w:eastAsia="Arial" w:hAnsi="Arial"/>
          <w:sz w:val="14"/>
          <w:szCs w:val="14"/>
          <w:color w:val="auto"/>
        </w:rPr>
        <w:t xml:space="preserve">  Executive/Leadership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250190" cy="2501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0190" cy="2501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64135</wp:posOffset>
            </wp:positionV>
            <wp:extent cx="200025" cy="264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00025" cy="264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332"/>
            <w:col w:w="8248"/>
          </w:cols>
          <w:pgMar w:left="320" w:top="215" w:right="319" w:bottom="1440" w:gutter="0" w:footer="0" w:header="0"/>
          <w:type w:val="continuous"/>
        </w:sectPr>
      </w:pPr>
    </w:p>
    <w:p>
      <w:pPr>
        <w:spacing w:after="0" w:line="15" w:lineRule="exact"/>
        <w:rPr>
          <w:sz w:val="20"/>
          <w:szCs w:val="20"/>
          <w:color w:val="auto"/>
        </w:rPr>
      </w:pPr>
    </w:p>
    <w:p>
      <w:pPr>
        <w:ind w:left="3520"/>
        <w:spacing w:after="0"/>
        <w:tabs>
          <w:tab w:leader="none" w:pos="7060" w:val="left"/>
        </w:tabs>
        <w:rPr>
          <w:sz w:val="20"/>
          <w:szCs w:val="20"/>
          <w:color w:val="auto"/>
        </w:rPr>
      </w:pPr>
      <w:r>
        <w:rPr>
          <w:rFonts w:ascii="Arial" w:cs="Arial" w:eastAsia="Arial" w:hAnsi="Arial"/>
          <w:sz w:val="14"/>
          <w:szCs w:val="14"/>
          <w:color w:val="auto"/>
        </w:rPr>
        <w:t>Science/Biotech Background</w:t>
      </w:r>
      <w:r>
        <w:rPr>
          <w:sz w:val="20"/>
          <w:szCs w:val="20"/>
          <w:color w:val="auto"/>
        </w:rPr>
        <w:tab/>
      </w:r>
      <w:r>
        <w:rPr>
          <w:rFonts w:ascii="Arial" w:cs="Arial" w:eastAsia="Arial" w:hAnsi="Arial"/>
          <w:sz w:val="12"/>
          <w:szCs w:val="12"/>
          <w:color w:val="auto"/>
        </w:rPr>
        <w:t>Research/Academic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140335</wp:posOffset>
            </wp:positionV>
            <wp:extent cx="250190" cy="2501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182" w:lineRule="exact"/>
        <w:rPr>
          <w:sz w:val="20"/>
          <w:szCs w:val="20"/>
          <w:color w:val="auto"/>
        </w:rPr>
      </w:pPr>
    </w:p>
    <w:p>
      <w:pPr>
        <w:ind w:left="3520"/>
        <w:spacing w:after="0"/>
        <w:rPr>
          <w:sz w:val="20"/>
          <w:szCs w:val="20"/>
          <w:color w:val="auto"/>
        </w:rPr>
      </w:pPr>
      <w:r>
        <w:rPr>
          <w:rFonts w:ascii="Arial" w:cs="Arial" w:eastAsia="Arial" w:hAnsi="Arial"/>
          <w:sz w:val="14"/>
          <w:szCs w:val="14"/>
          <w:color w:val="auto"/>
        </w:rPr>
        <w:t xml:space="preserve">Business Strategy/Operations Experience        </w:t>
      </w:r>
      <w:r>
        <w:rPr>
          <w:sz w:val="1"/>
          <w:szCs w:val="1"/>
          <w:color w:val="auto"/>
        </w:rPr>
        <w:drawing>
          <wp:inline distT="0" distB="0" distL="0" distR="0">
            <wp:extent cx="250190" cy="22860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0190" cy="228600"/>
                    </a:xfrm>
                    <a:prstGeom prst="rect">
                      <a:avLst/>
                    </a:prstGeom>
                    <a:noFill/>
                    <a:ln>
                      <a:noFill/>
                    </a:ln>
                  </pic:spPr>
                </pic:pic>
              </a:graphicData>
            </a:graphic>
          </wp:inline>
        </w:drawing>
      </w:r>
      <w:r>
        <w:rPr>
          <w:rFonts w:ascii="Arial" w:cs="Arial" w:eastAsia="Arial" w:hAnsi="Arial"/>
          <w:sz w:val="14"/>
          <w:szCs w:val="14"/>
          <w:color w:val="auto"/>
        </w:rPr>
        <w:t xml:space="preserve">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50165</wp:posOffset>
            </wp:positionV>
            <wp:extent cx="451739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226"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D60058"/>
        </w:rPr>
        <w:t>Other Public Boards</w:t>
      </w:r>
    </w:p>
    <w:p>
      <w:pPr>
        <w:spacing w:after="0" w:line="77" w:lineRule="exact"/>
        <w:rPr>
          <w:sz w:val="20"/>
          <w:szCs w:val="20"/>
          <w:color w:val="auto"/>
        </w:rPr>
      </w:pPr>
    </w:p>
    <w:p>
      <w:pPr>
        <w:ind w:left="3180" w:hanging="168"/>
        <w:spacing w:after="0"/>
        <w:tabs>
          <w:tab w:leader="none" w:pos="3180" w:val="left"/>
        </w:tabs>
        <w:numPr>
          <w:ilvl w:val="0"/>
          <w:numId w:val="30"/>
        </w:numPr>
        <w:rPr>
          <w:rFonts w:ascii="Arial" w:cs="Arial" w:eastAsia="Arial" w:hAnsi="Arial"/>
          <w:sz w:val="14"/>
          <w:szCs w:val="14"/>
          <w:color w:val="215AA8"/>
        </w:rPr>
      </w:pPr>
      <w:r>
        <w:rPr>
          <w:rFonts w:ascii="Arial" w:cs="Arial" w:eastAsia="Arial" w:hAnsi="Arial"/>
          <w:sz w:val="14"/>
          <w:szCs w:val="14"/>
          <w:color w:val="auto"/>
        </w:rPr>
        <w:t>Neurocrine Biosciences, Inc.</w:t>
      </w:r>
    </w:p>
    <w:p>
      <w:pPr>
        <w:spacing w:after="0" w:line="75" w:lineRule="exact"/>
        <w:rPr>
          <w:rFonts w:ascii="Arial" w:cs="Arial" w:eastAsia="Arial" w:hAnsi="Arial"/>
          <w:sz w:val="14"/>
          <w:szCs w:val="14"/>
          <w:color w:val="215AA8"/>
        </w:rPr>
      </w:pPr>
    </w:p>
    <w:p>
      <w:pPr>
        <w:ind w:left="3180" w:hanging="168"/>
        <w:spacing w:after="0"/>
        <w:tabs>
          <w:tab w:leader="none" w:pos="3180" w:val="left"/>
        </w:tabs>
        <w:numPr>
          <w:ilvl w:val="0"/>
          <w:numId w:val="30"/>
        </w:numPr>
        <w:rPr>
          <w:rFonts w:ascii="Arial" w:cs="Arial" w:eastAsia="Arial" w:hAnsi="Arial"/>
          <w:sz w:val="14"/>
          <w:szCs w:val="14"/>
          <w:color w:val="215AA8"/>
        </w:rPr>
      </w:pPr>
      <w:r>
        <w:rPr>
          <w:rFonts w:ascii="Arial" w:cs="Arial" w:eastAsia="Arial" w:hAnsi="Arial"/>
          <w:sz w:val="14"/>
          <w:szCs w:val="14"/>
          <w:color w:val="auto"/>
        </w:rPr>
        <w:t>Prudential Financial, Inc.</w:t>
      </w:r>
    </w:p>
    <w:p>
      <w:pPr>
        <w:spacing w:after="0" w:line="75" w:lineRule="exact"/>
        <w:rPr>
          <w:rFonts w:ascii="Arial" w:cs="Arial" w:eastAsia="Arial" w:hAnsi="Arial"/>
          <w:sz w:val="14"/>
          <w:szCs w:val="14"/>
          <w:color w:val="215AA8"/>
        </w:rPr>
      </w:pPr>
    </w:p>
    <w:p>
      <w:pPr>
        <w:ind w:left="3180" w:hanging="168"/>
        <w:spacing w:after="0"/>
        <w:tabs>
          <w:tab w:leader="none" w:pos="3180" w:val="left"/>
        </w:tabs>
        <w:numPr>
          <w:ilvl w:val="0"/>
          <w:numId w:val="30"/>
        </w:numPr>
        <w:rPr>
          <w:rFonts w:ascii="Arial" w:cs="Arial" w:eastAsia="Arial" w:hAnsi="Arial"/>
          <w:sz w:val="14"/>
          <w:szCs w:val="14"/>
          <w:color w:val="215AA8"/>
        </w:rPr>
      </w:pPr>
      <w:r>
        <w:rPr>
          <w:rFonts w:ascii="Arial" w:cs="Arial" w:eastAsia="Arial" w:hAnsi="Arial"/>
          <w:sz w:val="14"/>
          <w:szCs w:val="14"/>
          <w:color w:val="auto"/>
        </w:rPr>
        <w:t>The Sherwin-Williams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97155</wp:posOffset>
            </wp:positionV>
            <wp:extent cx="451739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303" w:lineRule="exact"/>
        <w:rPr>
          <w:sz w:val="20"/>
          <w:szCs w:val="20"/>
          <w:color w:val="auto"/>
        </w:rPr>
      </w:pPr>
    </w:p>
    <w:p>
      <w:pPr>
        <w:ind w:left="3020" w:right="1280"/>
        <w:spacing w:after="0" w:line="246" w:lineRule="auto"/>
        <w:rPr>
          <w:sz w:val="20"/>
          <w:szCs w:val="20"/>
          <w:color w:val="auto"/>
        </w:rPr>
      </w:pPr>
      <w:r>
        <w:rPr>
          <w:rFonts w:ascii="Arial" w:cs="Arial" w:eastAsia="Arial" w:hAnsi="Arial"/>
          <w:sz w:val="14"/>
          <w:szCs w:val="14"/>
          <w:i w:val="1"/>
          <w:iCs w:val="1"/>
          <w:color w:val="auto"/>
        </w:rPr>
        <w:t>Ms. Poon’s extensive expertise in domestic and international business operations, including sales and marketing and commercial operations, and her deep strategic and operational knowledge of the pharmaceutical industry, led the board to conclude that Ms. Poon should serve as a director.</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18</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1"/>
          <w:szCs w:val="11"/>
          <w:b w:val="1"/>
          <w:bCs w:val="1"/>
          <w:u w:val="single" w:color="auto"/>
          <w:color w:val="0000EE"/>
        </w:rPr>
        <w:t>Back to Contents</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949599"/>
        </w:rPr>
        <w:t>Users’ Guide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1080"/>
        <w:spacing w:after="0"/>
        <w:tabs>
          <w:tab w:leader="none" w:pos="3760" w:val="left"/>
        </w:tabs>
        <w:rPr>
          <w:sz w:val="20"/>
          <w:szCs w:val="20"/>
          <w:color w:val="auto"/>
        </w:rPr>
      </w:pPr>
      <w:r>
        <w:rPr>
          <w:rFonts w:ascii="Arial" w:cs="Arial" w:eastAsia="Arial" w:hAnsi="Arial"/>
          <w:sz w:val="21"/>
          <w:szCs w:val="21"/>
          <w:b w:val="1"/>
          <w:bCs w:val="1"/>
          <w:color w:val="215AA8"/>
        </w:rPr>
        <w:t>Craig B. Thompson, M.D.</w:t>
      </w:r>
      <w:r>
        <w:rPr>
          <w:sz w:val="20"/>
          <w:szCs w:val="20"/>
          <w:color w:val="auto"/>
        </w:rPr>
        <w:tab/>
      </w:r>
      <w:r>
        <w:rPr>
          <w:rFonts w:ascii="Arial" w:cs="Arial" w:eastAsia="Arial" w:hAnsi="Arial"/>
          <w:sz w:val="12"/>
          <w:szCs w:val="12"/>
          <w:b w:val="1"/>
          <w:bCs w:val="1"/>
          <w:color w:val="FFFFFF"/>
          <w:shd w:val="clear" w:color="auto" w:fill="215A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-139700</wp:posOffset>
            </wp:positionV>
            <wp:extent cx="857885" cy="8578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pacing w:after="0" w:line="16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215AA8"/>
        </w:rPr>
        <w:t xml:space="preserve">Director since: </w:t>
      </w:r>
      <w:r>
        <w:rPr>
          <w:rFonts w:ascii="Arial" w:cs="Arial" w:eastAsia="Arial" w:hAnsi="Arial"/>
          <w:sz w:val="14"/>
          <w:szCs w:val="14"/>
          <w:color w:val="000000"/>
        </w:rPr>
        <w:t>2022 |</w:t>
      </w:r>
      <w:r>
        <w:rPr>
          <w:rFonts w:ascii="Arial" w:cs="Arial" w:eastAsia="Arial" w:hAnsi="Arial"/>
          <w:sz w:val="14"/>
          <w:szCs w:val="14"/>
          <w:b w:val="1"/>
          <w:bCs w:val="1"/>
          <w:color w:val="215AA8"/>
        </w:rPr>
        <w:t xml:space="preserve"> Age: </w:t>
      </w:r>
      <w:r>
        <w:rPr>
          <w:rFonts w:ascii="Arial" w:cs="Arial" w:eastAsia="Arial" w:hAnsi="Arial"/>
          <w:sz w:val="14"/>
          <w:szCs w:val="14"/>
          <w:color w:val="000000"/>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-43815</wp:posOffset>
            </wp:positionV>
            <wp:extent cx="316674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66745" cy="6985"/>
                    </a:xfrm>
                    <a:prstGeom prst="rect">
                      <a:avLst/>
                    </a:prstGeom>
                    <a:noFill/>
                  </pic:spPr>
                </pic:pic>
              </a:graphicData>
            </a:graphic>
          </wp:anchor>
        </w:drawing>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D60058"/>
        </w:rPr>
        <w:t>Career Highlights</w:t>
      </w:r>
    </w:p>
    <w:p>
      <w:pPr>
        <w:spacing w:after="0" w:line="77" w:lineRule="exact"/>
        <w:rPr>
          <w:sz w:val="20"/>
          <w:szCs w:val="20"/>
          <w:color w:val="auto"/>
        </w:rPr>
      </w:pPr>
    </w:p>
    <w:p>
      <w:pPr>
        <w:sectPr>
          <w:pgSz w:w="11900" w:h="16838" w:orient="portrait"/>
          <w:cols w:equalWidth="0" w:num="2">
            <w:col w:w="1220" w:space="720"/>
            <w:col w:w="9320"/>
          </w:cols>
          <w:pgMar w:left="320" w:top="222" w:right="31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215AA8"/>
        </w:rPr>
        <w:t>Board and Committee</w:t>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Membership—2023</w:t>
      </w:r>
    </w:p>
    <w:p>
      <w:pPr>
        <w:ind w:left="1120"/>
        <w:spacing w:after="0"/>
        <w:rPr>
          <w:sz w:val="20"/>
          <w:szCs w:val="20"/>
          <w:color w:val="auto"/>
        </w:rPr>
      </w:pPr>
      <w:r>
        <w:rPr>
          <w:rFonts w:ascii="Arial" w:cs="Arial" w:eastAsia="Arial" w:hAnsi="Arial"/>
          <w:sz w:val="14"/>
          <w:szCs w:val="14"/>
          <w:b w:val="1"/>
          <w:bCs w:val="1"/>
          <w:color w:val="215AA8"/>
        </w:rPr>
        <w:t>Attendance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Board of Directors: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6/6</w:t>
      </w:r>
    </w:p>
    <w:p>
      <w:pPr>
        <w:ind w:left="1120"/>
        <w:spacing w:after="0"/>
        <w:rPr>
          <w:sz w:val="20"/>
          <w:szCs w:val="20"/>
          <w:color w:val="auto"/>
        </w:rPr>
      </w:pPr>
      <w:r>
        <w:rPr>
          <w:rFonts w:ascii="Arial" w:cs="Arial" w:eastAsia="Arial" w:hAnsi="Arial"/>
          <w:sz w:val="12"/>
          <w:szCs w:val="12"/>
          <w:color w:val="auto"/>
        </w:rPr>
        <w:t>Technology Committee:</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2/2</w:t>
      </w:r>
    </w:p>
    <w:p>
      <w:pPr>
        <w:spacing w:after="0" w:line="20" w:lineRule="exact"/>
        <w:rPr>
          <w:sz w:val="20"/>
          <w:szCs w:val="20"/>
          <w:color w:val="auto"/>
        </w:rPr>
      </w:pPr>
      <w:r>
        <w:rPr>
          <w:sz w:val="20"/>
          <w:szCs w:val="20"/>
          <w:color w:val="auto"/>
        </w:rPr>
        <w:br w:type="column"/>
      </w:r>
    </w:p>
    <w:p>
      <w:pPr>
        <w:ind w:left="168" w:hanging="168"/>
        <w:spacing w:after="0"/>
        <w:tabs>
          <w:tab w:leader="none" w:pos="168" w:val="left"/>
        </w:tabs>
        <w:numPr>
          <w:ilvl w:val="0"/>
          <w:numId w:val="31"/>
        </w:numPr>
        <w:rPr>
          <w:rFonts w:ascii="Arial" w:cs="Arial" w:eastAsia="Arial" w:hAnsi="Arial"/>
          <w:sz w:val="12"/>
          <w:szCs w:val="12"/>
          <w:color w:val="215AA8"/>
        </w:rPr>
      </w:pPr>
      <w:r>
        <w:rPr>
          <w:rFonts w:ascii="Arial" w:cs="Arial" w:eastAsia="Arial" w:hAnsi="Arial"/>
          <w:sz w:val="12"/>
          <w:szCs w:val="12"/>
          <w:color w:val="auto"/>
        </w:rPr>
        <w:t>Former President and Chief Executive Officer of Memorial Sloan Kettering Cancer Center from 2010 to 2022</w:t>
      </w:r>
    </w:p>
    <w:p>
      <w:pPr>
        <w:spacing w:after="0" w:line="98" w:lineRule="exact"/>
        <w:rPr>
          <w:rFonts w:ascii="Arial" w:cs="Arial" w:eastAsia="Arial" w:hAnsi="Arial"/>
          <w:sz w:val="12"/>
          <w:szCs w:val="12"/>
          <w:color w:val="215AA8"/>
        </w:rPr>
      </w:pPr>
    </w:p>
    <w:p>
      <w:pPr>
        <w:ind w:left="168" w:hanging="168"/>
        <w:spacing w:after="0"/>
        <w:tabs>
          <w:tab w:leader="none" w:pos="168" w:val="left"/>
        </w:tabs>
        <w:numPr>
          <w:ilvl w:val="0"/>
          <w:numId w:val="31"/>
        </w:numPr>
        <w:rPr>
          <w:rFonts w:ascii="Arial" w:cs="Arial" w:eastAsia="Arial" w:hAnsi="Arial"/>
          <w:sz w:val="14"/>
          <w:szCs w:val="14"/>
          <w:color w:val="215AA8"/>
        </w:rPr>
      </w:pPr>
      <w:r>
        <w:rPr>
          <w:rFonts w:ascii="Arial" w:cs="Arial" w:eastAsia="Arial" w:hAnsi="Arial"/>
          <w:sz w:val="14"/>
          <w:szCs w:val="14"/>
          <w:color w:val="auto"/>
        </w:rPr>
        <w:t>Co-founder of Agios Pharmaceuticals, Inc.</w:t>
      </w:r>
    </w:p>
    <w:p>
      <w:pPr>
        <w:spacing w:after="0" w:line="75" w:lineRule="exact"/>
        <w:rPr>
          <w:rFonts w:ascii="Arial" w:cs="Arial" w:eastAsia="Arial" w:hAnsi="Arial"/>
          <w:sz w:val="14"/>
          <w:szCs w:val="14"/>
          <w:color w:val="215AA8"/>
        </w:rPr>
      </w:pPr>
    </w:p>
    <w:p>
      <w:pPr>
        <w:ind w:left="168" w:hanging="168"/>
        <w:spacing w:after="0"/>
        <w:tabs>
          <w:tab w:leader="none" w:pos="168" w:val="left"/>
        </w:tabs>
        <w:numPr>
          <w:ilvl w:val="0"/>
          <w:numId w:val="31"/>
        </w:numPr>
        <w:rPr>
          <w:rFonts w:ascii="Arial" w:cs="Arial" w:eastAsia="Arial" w:hAnsi="Arial"/>
          <w:sz w:val="14"/>
          <w:szCs w:val="14"/>
          <w:color w:val="215AA8"/>
        </w:rPr>
      </w:pPr>
      <w:r>
        <w:rPr>
          <w:rFonts w:ascii="Arial" w:cs="Arial" w:eastAsia="Arial" w:hAnsi="Arial"/>
          <w:sz w:val="14"/>
          <w:szCs w:val="14"/>
          <w:color w:val="auto"/>
        </w:rPr>
        <w:t>Former director of Merck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451739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312"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D60058"/>
        </w:rPr>
        <w:t>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250190" cy="2432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0190" cy="243205"/>
                    </a:xfrm>
                    <a:prstGeom prst="rect">
                      <a:avLst/>
                    </a:prstGeom>
                    <a:noFill/>
                  </pic:spPr>
                </pic:pic>
              </a:graphicData>
            </a:graphic>
          </wp:anchor>
        </w:drawing>
      </w:r>
    </w:p>
    <w:p>
      <w:pPr>
        <w:spacing w:after="0" w:line="61" w:lineRule="exact"/>
        <w:rPr>
          <w:sz w:val="20"/>
          <w:szCs w:val="20"/>
          <w:color w:val="auto"/>
        </w:rPr>
      </w:pPr>
    </w:p>
    <w:p>
      <w:pPr>
        <w:ind w:left="508"/>
        <w:spacing w:after="0"/>
        <w:rPr>
          <w:sz w:val="20"/>
          <w:szCs w:val="20"/>
          <w:color w:val="auto"/>
        </w:rPr>
      </w:pPr>
      <w:r>
        <w:rPr>
          <w:rFonts w:ascii="Arial" w:cs="Arial" w:eastAsia="Arial" w:hAnsi="Arial"/>
          <w:sz w:val="14"/>
          <w:szCs w:val="14"/>
          <w:color w:val="auto"/>
        </w:rPr>
        <w:t xml:space="preserve">Industry Experience                         </w:t>
      </w:r>
      <w:r>
        <w:rPr>
          <w:sz w:val="1"/>
          <w:szCs w:val="1"/>
          <w:color w:val="auto"/>
        </w:rPr>
        <w:drawing>
          <wp:inline distT="0" distB="0" distL="0" distR="0">
            <wp:extent cx="250190" cy="22161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0190" cy="221615"/>
                    </a:xfrm>
                    <a:prstGeom prst="rect">
                      <a:avLst/>
                    </a:prstGeom>
                    <a:noFill/>
                    <a:ln>
                      <a:noFill/>
                    </a:ln>
                  </pic:spPr>
                </pic:pic>
              </a:graphicData>
            </a:graphic>
          </wp:inline>
        </w:drawing>
      </w:r>
      <w:r>
        <w:rPr>
          <w:rFonts w:ascii="Arial" w:cs="Arial" w:eastAsia="Arial" w:hAnsi="Arial"/>
          <w:sz w:val="14"/>
          <w:szCs w:val="14"/>
          <w:color w:val="auto"/>
        </w:rPr>
        <w:t xml:space="preserve">  Executive/Leadership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250190" cy="2501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0190" cy="2501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64135</wp:posOffset>
            </wp:positionV>
            <wp:extent cx="200025" cy="264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0025" cy="264160"/>
                    </a:xfrm>
                    <a:prstGeom prst="rect">
                      <a:avLst/>
                    </a:prstGeom>
                    <a:noFill/>
                  </pic:spPr>
                </pic:pic>
              </a:graphicData>
            </a:graphic>
          </wp:anchor>
        </w:drawing>
      </w:r>
    </w:p>
    <w:p>
      <w:pPr>
        <w:spacing w:after="0" w:line="195" w:lineRule="exact"/>
        <w:rPr>
          <w:sz w:val="20"/>
          <w:szCs w:val="20"/>
          <w:color w:val="auto"/>
        </w:rPr>
      </w:pPr>
    </w:p>
    <w:p>
      <w:pPr>
        <w:ind w:left="508"/>
        <w:spacing w:after="0"/>
        <w:tabs>
          <w:tab w:leader="none" w:pos="4047" w:val="left"/>
        </w:tabs>
        <w:rPr>
          <w:sz w:val="20"/>
          <w:szCs w:val="20"/>
          <w:color w:val="auto"/>
        </w:rPr>
      </w:pPr>
      <w:r>
        <w:rPr>
          <w:rFonts w:ascii="Arial" w:cs="Arial" w:eastAsia="Arial" w:hAnsi="Arial"/>
          <w:sz w:val="14"/>
          <w:szCs w:val="14"/>
          <w:color w:val="auto"/>
        </w:rPr>
        <w:t>Science/Biotech Background</w:t>
      </w:r>
      <w:r>
        <w:rPr>
          <w:sz w:val="20"/>
          <w:szCs w:val="20"/>
          <w:color w:val="auto"/>
        </w:rPr>
        <w:tab/>
      </w:r>
      <w:r>
        <w:rPr>
          <w:rFonts w:ascii="Arial" w:cs="Arial" w:eastAsia="Arial" w:hAnsi="Arial"/>
          <w:sz w:val="12"/>
          <w:szCs w:val="12"/>
          <w:color w:val="auto"/>
        </w:rPr>
        <w:t>Research/Academic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250190" cy="2501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472"/>
            <w:col w:w="8248"/>
          </w:cols>
          <w:pgMar w:left="320" w:top="222" w:right="319" w:bottom="1440" w:gutter="0" w:footer="0" w:header="0"/>
          <w:type w:val="continuous"/>
        </w:sectPr>
      </w:pPr>
    </w:p>
    <w:p>
      <w:pPr>
        <w:spacing w:after="0" w:line="2" w:lineRule="exact"/>
        <w:rPr>
          <w:sz w:val="20"/>
          <w:szCs w:val="20"/>
          <w:color w:val="auto"/>
        </w:rPr>
      </w:pPr>
    </w:p>
    <w:p>
      <w:pPr>
        <w:ind w:left="3520"/>
        <w:spacing w:after="0"/>
        <w:rPr>
          <w:sz w:val="20"/>
          <w:szCs w:val="20"/>
          <w:color w:val="auto"/>
        </w:rPr>
      </w:pPr>
      <w:r>
        <w:rPr>
          <w:rFonts w:ascii="Arial" w:cs="Arial" w:eastAsia="Arial" w:hAnsi="Arial"/>
          <w:sz w:val="14"/>
          <w:szCs w:val="14"/>
          <w:color w:val="auto"/>
        </w:rPr>
        <w:t xml:space="preserve">Business Strategy/Operations Experience        </w:t>
      </w:r>
      <w:r>
        <w:rPr>
          <w:sz w:val="1"/>
          <w:szCs w:val="1"/>
          <w:color w:val="auto"/>
        </w:rPr>
        <w:drawing>
          <wp:inline distT="0" distB="0" distL="0" distR="0">
            <wp:extent cx="250190" cy="22860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0190" cy="228600"/>
                    </a:xfrm>
                    <a:prstGeom prst="rect">
                      <a:avLst/>
                    </a:prstGeom>
                    <a:noFill/>
                    <a:ln>
                      <a:noFill/>
                    </a:ln>
                  </pic:spPr>
                </pic:pic>
              </a:graphicData>
            </a:graphic>
          </wp:inline>
        </w:drawing>
      </w:r>
      <w:r>
        <w:rPr>
          <w:rFonts w:ascii="Arial" w:cs="Arial" w:eastAsia="Arial" w:hAnsi="Arial"/>
          <w:sz w:val="14"/>
          <w:szCs w:val="14"/>
          <w:color w:val="auto"/>
        </w:rPr>
        <w:t xml:space="preserve">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50165</wp:posOffset>
            </wp:positionV>
            <wp:extent cx="451739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226"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D60058"/>
        </w:rPr>
        <w:t>Scientific Society Memberships</w:t>
      </w:r>
    </w:p>
    <w:p>
      <w:pPr>
        <w:spacing w:after="0" w:line="77" w:lineRule="exact"/>
        <w:rPr>
          <w:sz w:val="20"/>
          <w:szCs w:val="20"/>
          <w:color w:val="auto"/>
        </w:rPr>
      </w:pPr>
    </w:p>
    <w:p>
      <w:pPr>
        <w:ind w:left="3180" w:hanging="168"/>
        <w:spacing w:after="0"/>
        <w:tabs>
          <w:tab w:leader="none" w:pos="3180" w:val="left"/>
        </w:tabs>
        <w:numPr>
          <w:ilvl w:val="0"/>
          <w:numId w:val="32"/>
        </w:numPr>
        <w:rPr>
          <w:rFonts w:ascii="Arial" w:cs="Arial" w:eastAsia="Arial" w:hAnsi="Arial"/>
          <w:sz w:val="14"/>
          <w:szCs w:val="14"/>
          <w:color w:val="215AA8"/>
        </w:rPr>
      </w:pPr>
      <w:r>
        <w:rPr>
          <w:rFonts w:ascii="Arial" w:cs="Arial" w:eastAsia="Arial" w:hAnsi="Arial"/>
          <w:sz w:val="14"/>
          <w:szCs w:val="14"/>
          <w:color w:val="auto"/>
        </w:rPr>
        <w:t>The National Academy of Sciences</w:t>
      </w:r>
    </w:p>
    <w:p>
      <w:pPr>
        <w:spacing w:after="0" w:line="75" w:lineRule="exact"/>
        <w:rPr>
          <w:rFonts w:ascii="Arial" w:cs="Arial" w:eastAsia="Arial" w:hAnsi="Arial"/>
          <w:sz w:val="14"/>
          <w:szCs w:val="14"/>
          <w:color w:val="215AA8"/>
        </w:rPr>
      </w:pPr>
    </w:p>
    <w:p>
      <w:pPr>
        <w:ind w:left="3180" w:hanging="168"/>
        <w:spacing w:after="0"/>
        <w:tabs>
          <w:tab w:leader="none" w:pos="3180" w:val="left"/>
        </w:tabs>
        <w:numPr>
          <w:ilvl w:val="0"/>
          <w:numId w:val="32"/>
        </w:numPr>
        <w:rPr>
          <w:rFonts w:ascii="Arial" w:cs="Arial" w:eastAsia="Arial" w:hAnsi="Arial"/>
          <w:sz w:val="14"/>
          <w:szCs w:val="14"/>
          <w:color w:val="215AA8"/>
        </w:rPr>
      </w:pPr>
      <w:r>
        <w:rPr>
          <w:rFonts w:ascii="Arial" w:cs="Arial" w:eastAsia="Arial" w:hAnsi="Arial"/>
          <w:sz w:val="14"/>
          <w:szCs w:val="14"/>
          <w:color w:val="auto"/>
        </w:rPr>
        <w:t>The National Academy of Medicine</w:t>
      </w:r>
    </w:p>
    <w:p>
      <w:pPr>
        <w:spacing w:after="0" w:line="75" w:lineRule="exact"/>
        <w:rPr>
          <w:rFonts w:ascii="Arial" w:cs="Arial" w:eastAsia="Arial" w:hAnsi="Arial"/>
          <w:sz w:val="14"/>
          <w:szCs w:val="14"/>
          <w:color w:val="215AA8"/>
        </w:rPr>
      </w:pPr>
    </w:p>
    <w:p>
      <w:pPr>
        <w:ind w:left="3180" w:hanging="168"/>
        <w:spacing w:after="0"/>
        <w:tabs>
          <w:tab w:leader="none" w:pos="3180" w:val="left"/>
        </w:tabs>
        <w:numPr>
          <w:ilvl w:val="0"/>
          <w:numId w:val="32"/>
        </w:numPr>
        <w:rPr>
          <w:rFonts w:ascii="Arial" w:cs="Arial" w:eastAsia="Arial" w:hAnsi="Arial"/>
          <w:sz w:val="14"/>
          <w:szCs w:val="14"/>
          <w:color w:val="215AA8"/>
        </w:rPr>
      </w:pPr>
      <w:r>
        <w:rPr>
          <w:rFonts w:ascii="Arial" w:cs="Arial" w:eastAsia="Arial" w:hAnsi="Arial"/>
          <w:sz w:val="14"/>
          <w:szCs w:val="14"/>
          <w:color w:val="auto"/>
        </w:rPr>
        <w:t>The American Academy of Arts and Sciences</w:t>
      </w:r>
    </w:p>
    <w:p>
      <w:pPr>
        <w:spacing w:after="0" w:line="64" w:lineRule="exact"/>
        <w:rPr>
          <w:rFonts w:ascii="Arial" w:cs="Arial" w:eastAsia="Arial" w:hAnsi="Arial"/>
          <w:sz w:val="14"/>
          <w:szCs w:val="14"/>
          <w:color w:val="215AA8"/>
        </w:rPr>
      </w:pPr>
    </w:p>
    <w:p>
      <w:pPr>
        <w:ind w:left="3180" w:hanging="168"/>
        <w:spacing w:after="0"/>
        <w:tabs>
          <w:tab w:leader="none" w:pos="3180" w:val="left"/>
        </w:tabs>
        <w:numPr>
          <w:ilvl w:val="0"/>
          <w:numId w:val="32"/>
        </w:numPr>
        <w:rPr>
          <w:rFonts w:ascii="Arial" w:cs="Arial" w:eastAsia="Arial" w:hAnsi="Arial"/>
          <w:sz w:val="14"/>
          <w:szCs w:val="14"/>
          <w:color w:val="215AA8"/>
        </w:rPr>
      </w:pPr>
      <w:r>
        <w:rPr>
          <w:rFonts w:ascii="Arial" w:cs="Arial" w:eastAsia="Arial" w:hAnsi="Arial"/>
          <w:sz w:val="14"/>
          <w:szCs w:val="14"/>
          <w:color w:val="auto"/>
        </w:rPr>
        <w:t>The American Society for Clinical Investigation</w:t>
      </w:r>
    </w:p>
    <w:p>
      <w:pPr>
        <w:spacing w:after="0" w:line="75" w:lineRule="exact"/>
        <w:rPr>
          <w:rFonts w:ascii="Arial" w:cs="Arial" w:eastAsia="Arial" w:hAnsi="Arial"/>
          <w:sz w:val="14"/>
          <w:szCs w:val="14"/>
          <w:color w:val="215AA8"/>
        </w:rPr>
      </w:pPr>
    </w:p>
    <w:p>
      <w:pPr>
        <w:ind w:left="3180" w:hanging="168"/>
        <w:spacing w:after="0"/>
        <w:tabs>
          <w:tab w:leader="none" w:pos="3180" w:val="left"/>
        </w:tabs>
        <w:numPr>
          <w:ilvl w:val="0"/>
          <w:numId w:val="32"/>
        </w:numPr>
        <w:rPr>
          <w:rFonts w:ascii="Arial" w:cs="Arial" w:eastAsia="Arial" w:hAnsi="Arial"/>
          <w:sz w:val="14"/>
          <w:szCs w:val="14"/>
          <w:color w:val="215AA8"/>
        </w:rPr>
      </w:pPr>
      <w:r>
        <w:rPr>
          <w:rFonts w:ascii="Arial" w:cs="Arial" w:eastAsia="Arial" w:hAnsi="Arial"/>
          <w:sz w:val="14"/>
          <w:szCs w:val="14"/>
          <w:color w:val="auto"/>
        </w:rPr>
        <w:t>The Association of American Physicians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104775</wp:posOffset>
            </wp:positionV>
            <wp:extent cx="451739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301"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D60058"/>
        </w:rPr>
        <w:t>Other Public Boards</w:t>
      </w:r>
    </w:p>
    <w:p>
      <w:pPr>
        <w:spacing w:after="0" w:line="77" w:lineRule="exact"/>
        <w:rPr>
          <w:sz w:val="20"/>
          <w:szCs w:val="20"/>
          <w:color w:val="auto"/>
        </w:rPr>
      </w:pPr>
    </w:p>
    <w:p>
      <w:pPr>
        <w:ind w:left="3180" w:hanging="168"/>
        <w:spacing w:after="0"/>
        <w:tabs>
          <w:tab w:leader="none" w:pos="3180" w:val="left"/>
        </w:tabs>
        <w:numPr>
          <w:ilvl w:val="0"/>
          <w:numId w:val="33"/>
        </w:numPr>
        <w:rPr>
          <w:rFonts w:ascii="Arial" w:cs="Arial" w:eastAsia="Arial" w:hAnsi="Arial"/>
          <w:sz w:val="14"/>
          <w:szCs w:val="14"/>
          <w:color w:val="215AA8"/>
        </w:rPr>
      </w:pPr>
      <w:r>
        <w:rPr>
          <w:rFonts w:ascii="Arial" w:cs="Arial" w:eastAsia="Arial" w:hAnsi="Arial"/>
          <w:sz w:val="14"/>
          <w:szCs w:val="14"/>
          <w:color w:val="auto"/>
        </w:rPr>
        <w:t>Charles River Laboratories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104775</wp:posOffset>
            </wp:positionV>
            <wp:extent cx="451739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517390" cy="6985"/>
                    </a:xfrm>
                    <a:prstGeom prst="rect">
                      <a:avLst/>
                    </a:prstGeom>
                    <a:noFill/>
                  </pic:spPr>
                </pic:pic>
              </a:graphicData>
            </a:graphic>
          </wp:anchor>
        </w:drawing>
      </w:r>
    </w:p>
    <w:p>
      <w:pPr>
        <w:spacing w:after="0" w:line="314" w:lineRule="exact"/>
        <w:rPr>
          <w:sz w:val="20"/>
          <w:szCs w:val="20"/>
          <w:color w:val="auto"/>
        </w:rPr>
      </w:pPr>
    </w:p>
    <w:p>
      <w:pPr>
        <w:ind w:left="3020" w:right="1160"/>
        <w:spacing w:after="0" w:line="340" w:lineRule="auto"/>
        <w:rPr>
          <w:sz w:val="20"/>
          <w:szCs w:val="20"/>
          <w:color w:val="auto"/>
        </w:rPr>
      </w:pPr>
      <w:r>
        <w:rPr>
          <w:rFonts w:ascii="Arial" w:cs="Arial" w:eastAsia="Arial" w:hAnsi="Arial"/>
          <w:sz w:val="12"/>
          <w:szCs w:val="12"/>
          <w:i w:val="1"/>
          <w:iCs w:val="1"/>
          <w:color w:val="auto"/>
        </w:rPr>
        <w:t>Dr. Thompson’s extensive research and leadership experience in the pharmaceutical and healthcare industries, as well as his experience as a corporate director, led the board to conclude that Dr. Thompson should serve as a director.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19</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22" w:right="31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ind w:left="600"/>
              <w:spacing w:after="0"/>
              <w:rPr>
                <w:sz w:val="20"/>
                <w:szCs w:val="20"/>
                <w:color w:val="auto"/>
              </w:rPr>
            </w:pPr>
            <w:r>
              <w:rPr>
                <w:rFonts w:ascii="Arial" w:cs="Arial" w:eastAsia="Arial" w:hAnsi="Arial"/>
                <w:sz w:val="14"/>
                <w:szCs w:val="14"/>
                <w:color w:val="949599"/>
                <w:w w:val="98"/>
              </w:rPr>
              <w:t>Compensation-</w:t>
            </w: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560" w:type="dxa"/>
            <w:vAlign w:val="bottom"/>
          </w:tcPr>
          <w:p>
            <w:pPr>
              <w:ind w:left="600"/>
              <w:spacing w:after="0"/>
              <w:rPr>
                <w:sz w:val="20"/>
                <w:szCs w:val="20"/>
                <w:color w:val="auto"/>
              </w:rPr>
            </w:pPr>
            <w:r>
              <w:rPr>
                <w:rFonts w:ascii="Arial" w:cs="Arial" w:eastAsia="Arial" w:hAnsi="Arial"/>
                <w:sz w:val="14"/>
                <w:szCs w:val="14"/>
                <w:color w:val="949599"/>
                <w:w w:val="95"/>
              </w:rPr>
              <w:t>Related Matters</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3020"/>
        <w:spacing w:after="0"/>
        <w:tabs>
          <w:tab w:leader="none" w:pos="5300" w:val="left"/>
        </w:tabs>
        <w:rPr>
          <w:sz w:val="20"/>
          <w:szCs w:val="20"/>
          <w:color w:val="auto"/>
        </w:rPr>
      </w:pPr>
      <w:r>
        <w:rPr>
          <w:rFonts w:ascii="Arial" w:cs="Arial" w:eastAsia="Arial" w:hAnsi="Arial"/>
          <w:sz w:val="21"/>
          <w:szCs w:val="21"/>
          <w:b w:val="1"/>
          <w:bCs w:val="1"/>
          <w:color w:val="215AA8"/>
        </w:rPr>
        <w:t>Huda Y. Zoghbi, M.D.</w:t>
      </w:r>
      <w:r>
        <w:rPr>
          <w:sz w:val="20"/>
          <w:szCs w:val="20"/>
          <w:color w:val="auto"/>
        </w:rPr>
        <w:tab/>
      </w:r>
      <w:r>
        <w:rPr>
          <w:rFonts w:ascii="Arial" w:cs="Arial" w:eastAsia="Arial" w:hAnsi="Arial"/>
          <w:sz w:val="12"/>
          <w:szCs w:val="12"/>
          <w:b w:val="1"/>
          <w:bCs w:val="1"/>
          <w:color w:val="FFFFFF"/>
          <w:shd w:val="clear" w:color="auto" w:fill="215A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-139700</wp:posOffset>
            </wp:positionV>
            <wp:extent cx="857885" cy="8578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pacing w:after="0" w:line="163"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215AA8"/>
        </w:rPr>
        <w:t xml:space="preserve">Director since: </w:t>
      </w:r>
      <w:r>
        <w:rPr>
          <w:rFonts w:ascii="Arial" w:cs="Arial" w:eastAsia="Arial" w:hAnsi="Arial"/>
          <w:sz w:val="14"/>
          <w:szCs w:val="14"/>
          <w:color w:val="000000"/>
        </w:rPr>
        <w:t>2016 |</w:t>
      </w:r>
      <w:r>
        <w:rPr>
          <w:rFonts w:ascii="Arial" w:cs="Arial" w:eastAsia="Arial" w:hAnsi="Arial"/>
          <w:sz w:val="14"/>
          <w:szCs w:val="14"/>
          <w:b w:val="1"/>
          <w:bCs w:val="1"/>
          <w:color w:val="215AA8"/>
        </w:rPr>
        <w:t xml:space="preserve"> Age: </w:t>
      </w:r>
      <w:r>
        <w:rPr>
          <w:rFonts w:ascii="Arial" w:cs="Arial" w:eastAsia="Arial" w:hAnsi="Arial"/>
          <w:sz w:val="14"/>
          <w:szCs w:val="14"/>
          <w:color w:val="00000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-43815</wp:posOffset>
            </wp:positionV>
            <wp:extent cx="315912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59125" cy="6985"/>
                    </a:xfrm>
                    <a:prstGeom prst="rect">
                      <a:avLst/>
                    </a:prstGeom>
                    <a:noFill/>
                  </pic:spPr>
                </pic:pic>
              </a:graphicData>
            </a:graphic>
          </wp:anchor>
        </w:drawing>
      </w:r>
    </w:p>
    <w:p>
      <w:pPr>
        <w:spacing w:after="0" w:line="157"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D60058"/>
        </w:rPr>
        <w:t>Career Highlights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949599"/>
        </w:rPr>
        <w:t>Other Matters</w:t>
      </w:r>
    </w:p>
    <w:p>
      <w:pPr>
        <w:spacing w:after="0" w:line="1426" w:lineRule="exact"/>
        <w:rPr>
          <w:sz w:val="20"/>
          <w:szCs w:val="20"/>
          <w:color w:val="auto"/>
        </w:rPr>
      </w:pPr>
    </w:p>
    <w:p>
      <w:pPr>
        <w:sectPr>
          <w:pgSz w:w="11900" w:h="16838" w:orient="portrait"/>
          <w:cols w:equalWidth="0" w:num="2">
            <w:col w:w="9700" w:space="720"/>
            <w:col w:w="840"/>
          </w:cols>
          <w:pgMar w:left="320" w:top="215" w:right="31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215AA8"/>
        </w:rPr>
        <w:t>Board and Committee</w:t>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215AA8"/>
        </w:rPr>
        <w:t>Membership—2023</w:t>
      </w:r>
    </w:p>
    <w:p>
      <w:pPr>
        <w:ind w:left="1120"/>
        <w:spacing w:after="0"/>
        <w:rPr>
          <w:sz w:val="20"/>
          <w:szCs w:val="20"/>
          <w:color w:val="auto"/>
        </w:rPr>
      </w:pPr>
      <w:r>
        <w:rPr>
          <w:rFonts w:ascii="Arial" w:cs="Arial" w:eastAsia="Arial" w:hAnsi="Arial"/>
          <w:sz w:val="14"/>
          <w:szCs w:val="14"/>
          <w:b w:val="1"/>
          <w:bCs w:val="1"/>
          <w:color w:val="215AA8"/>
        </w:rPr>
        <w:t>Attendance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Board of Directors:</w:t>
      </w:r>
    </w:p>
    <w:p>
      <w:pPr>
        <w:spacing w:after="0" w:line="20" w:lineRule="exact"/>
        <w:rPr>
          <w:sz w:val="20"/>
          <w:szCs w:val="20"/>
          <w:color w:val="auto"/>
        </w:rPr>
      </w:pPr>
      <w:r>
        <w:rPr>
          <w:sz w:val="20"/>
          <w:szCs w:val="20"/>
          <w:color w:val="auto"/>
        </w:rPr>
        <w:br w:type="column"/>
      </w:r>
    </w:p>
    <w:p>
      <w:pPr>
        <w:ind w:left="156" w:right="1360" w:hanging="156"/>
        <w:spacing w:after="0" w:line="257" w:lineRule="auto"/>
        <w:tabs>
          <w:tab w:leader="none" w:pos="151" w:val="left"/>
        </w:tabs>
        <w:numPr>
          <w:ilvl w:val="0"/>
          <w:numId w:val="34"/>
        </w:numPr>
        <w:rPr>
          <w:rFonts w:ascii="Arial" w:cs="Arial" w:eastAsia="Arial" w:hAnsi="Arial"/>
          <w:sz w:val="14"/>
          <w:szCs w:val="14"/>
          <w:color w:val="215AA8"/>
        </w:rPr>
      </w:pPr>
      <w:r>
        <w:rPr>
          <w:rFonts w:ascii="Arial" w:cs="Arial" w:eastAsia="Arial" w:hAnsi="Arial"/>
          <w:sz w:val="14"/>
          <w:szCs w:val="14"/>
          <w:color w:val="auto"/>
        </w:rPr>
        <w:t>Professor in the departments of Pediatrics, Molecular and Human Genetics, and Neurology and Neuroscience at Baylor College of Medicine since 1994</w:t>
      </w:r>
    </w:p>
    <w:p>
      <w:pPr>
        <w:spacing w:after="0" w:line="49" w:lineRule="exact"/>
        <w:rPr>
          <w:rFonts w:ascii="Arial" w:cs="Arial" w:eastAsia="Arial" w:hAnsi="Arial"/>
          <w:sz w:val="14"/>
          <w:szCs w:val="14"/>
          <w:color w:val="215AA8"/>
        </w:rPr>
      </w:pPr>
    </w:p>
    <w:p>
      <w:pPr>
        <w:ind w:left="156" w:hanging="156"/>
        <w:spacing w:after="0"/>
        <w:tabs>
          <w:tab w:leader="none" w:pos="156" w:val="left"/>
        </w:tabs>
        <w:numPr>
          <w:ilvl w:val="0"/>
          <w:numId w:val="34"/>
        </w:numPr>
        <w:rPr>
          <w:rFonts w:ascii="Arial" w:cs="Arial" w:eastAsia="Arial" w:hAnsi="Arial"/>
          <w:sz w:val="14"/>
          <w:szCs w:val="14"/>
          <w:color w:val="215AA8"/>
        </w:rPr>
      </w:pPr>
      <w:r>
        <w:rPr>
          <w:rFonts w:ascii="Arial" w:cs="Arial" w:eastAsia="Arial" w:hAnsi="Arial"/>
          <w:sz w:val="14"/>
          <w:szCs w:val="14"/>
          <w:color w:val="auto"/>
        </w:rPr>
        <w:t>Director of the Jan and Dan Duncan Neurological Research Institute at Texas Children’s Hospital</w:t>
      </w:r>
    </w:p>
    <w:p>
      <w:pPr>
        <w:spacing w:after="0" w:line="75" w:lineRule="exact"/>
        <w:rPr>
          <w:rFonts w:ascii="Arial" w:cs="Arial" w:eastAsia="Arial" w:hAnsi="Arial"/>
          <w:sz w:val="14"/>
          <w:szCs w:val="14"/>
          <w:color w:val="215AA8"/>
        </w:rPr>
      </w:pPr>
    </w:p>
    <w:p>
      <w:pPr>
        <w:ind w:left="156" w:hanging="156"/>
        <w:spacing w:after="0"/>
        <w:tabs>
          <w:tab w:leader="none" w:pos="156" w:val="left"/>
        </w:tabs>
        <w:numPr>
          <w:ilvl w:val="0"/>
          <w:numId w:val="34"/>
        </w:numPr>
        <w:rPr>
          <w:rFonts w:ascii="Arial" w:cs="Arial" w:eastAsia="Arial" w:hAnsi="Arial"/>
          <w:sz w:val="14"/>
          <w:szCs w:val="14"/>
          <w:color w:val="215AA8"/>
        </w:rPr>
      </w:pPr>
      <w:r>
        <w:rPr>
          <w:rFonts w:ascii="Arial" w:cs="Arial" w:eastAsia="Arial" w:hAnsi="Arial"/>
          <w:sz w:val="14"/>
          <w:szCs w:val="14"/>
          <w:color w:val="auto"/>
        </w:rPr>
        <w:t>Howard Hughes Medical Institute Investigator</w:t>
      </w:r>
    </w:p>
    <w:p>
      <w:pPr>
        <w:spacing w:after="0" w:line="75" w:lineRule="exact"/>
        <w:rPr>
          <w:rFonts w:ascii="Arial" w:cs="Arial" w:eastAsia="Arial" w:hAnsi="Arial"/>
          <w:sz w:val="14"/>
          <w:szCs w:val="14"/>
          <w:color w:val="215AA8"/>
        </w:rPr>
      </w:pPr>
    </w:p>
    <w:p>
      <w:pPr>
        <w:ind w:left="156" w:hanging="156"/>
        <w:spacing w:after="0"/>
        <w:tabs>
          <w:tab w:leader="none" w:pos="156" w:val="left"/>
        </w:tabs>
        <w:numPr>
          <w:ilvl w:val="0"/>
          <w:numId w:val="34"/>
        </w:numPr>
        <w:rPr>
          <w:rFonts w:ascii="Arial" w:cs="Arial" w:eastAsia="Arial" w:hAnsi="Arial"/>
          <w:sz w:val="14"/>
          <w:szCs w:val="14"/>
          <w:color w:val="215AA8"/>
        </w:rPr>
      </w:pPr>
      <w:r>
        <w:rPr>
          <w:rFonts w:ascii="Arial" w:cs="Arial" w:eastAsia="Arial" w:hAnsi="Arial"/>
          <w:sz w:val="14"/>
          <w:szCs w:val="14"/>
          <w:color w:val="auto"/>
        </w:rPr>
        <w:t>Pearl Meister Greengard Prize</w:t>
      </w:r>
    </w:p>
    <w:p>
      <w:pPr>
        <w:spacing w:after="0" w:line="75" w:lineRule="exact"/>
        <w:rPr>
          <w:rFonts w:ascii="Arial" w:cs="Arial" w:eastAsia="Arial" w:hAnsi="Arial"/>
          <w:sz w:val="14"/>
          <w:szCs w:val="14"/>
          <w:color w:val="215AA8"/>
        </w:rPr>
      </w:pPr>
    </w:p>
    <w:p>
      <w:pPr>
        <w:ind w:left="156" w:hanging="156"/>
        <w:spacing w:after="0"/>
        <w:tabs>
          <w:tab w:leader="none" w:pos="156" w:val="left"/>
        </w:tabs>
        <w:numPr>
          <w:ilvl w:val="0"/>
          <w:numId w:val="34"/>
        </w:numPr>
        <w:rPr>
          <w:rFonts w:ascii="Arial" w:cs="Arial" w:eastAsia="Arial" w:hAnsi="Arial"/>
          <w:sz w:val="14"/>
          <w:szCs w:val="14"/>
          <w:color w:val="215AA8"/>
        </w:rPr>
      </w:pPr>
      <w:r>
        <w:rPr>
          <w:rFonts w:ascii="Arial" w:cs="Arial" w:eastAsia="Arial" w:hAnsi="Arial"/>
          <w:sz w:val="14"/>
          <w:szCs w:val="14"/>
          <w:color w:val="auto"/>
        </w:rPr>
        <w:t>March of Dimes Prize in Developmental Biology</w:t>
      </w:r>
    </w:p>
    <w:p>
      <w:pPr>
        <w:spacing w:after="0" w:line="49" w:lineRule="exact"/>
        <w:rPr>
          <w:sz w:val="20"/>
          <w:szCs w:val="20"/>
          <w:color w:val="auto"/>
        </w:rPr>
      </w:pPr>
    </w:p>
    <w:p>
      <w:pPr>
        <w:sectPr>
          <w:pgSz w:w="11900" w:h="16838" w:orient="portrait"/>
          <w:cols w:equalWidth="0" w:num="2">
            <w:col w:w="2520" w:space="504"/>
            <w:col w:w="8236"/>
          </w:cols>
          <w:pgMar w:left="320" w:top="215" w:right="319" w:bottom="1440" w:gutter="0" w:footer="0" w:header="0"/>
          <w:type w:val="continuous"/>
        </w:sectPr>
      </w:pPr>
    </w:p>
    <w:tbl>
      <w:tblPr>
        <w:tblLayout w:type="fixed"/>
        <w:tblInd w:w="112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b w:val="1"/>
                <w:bCs w:val="1"/>
                <w:color w:val="215AA8"/>
              </w:rPr>
              <w:t>6/6</w:t>
            </w:r>
          </w:p>
        </w:tc>
        <w:tc>
          <w:tcPr>
            <w:tcW w:w="3540" w:type="dxa"/>
            <w:vAlign w:val="bottom"/>
            <w:gridSpan w:val="2"/>
          </w:tcPr>
          <w:p>
            <w:pPr>
              <w:ind w:left="240"/>
              <w:spacing w:after="0"/>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color w:val="000000"/>
              </w:rPr>
              <w:t>Vanderbilt Prize in Biomedical Science</w:t>
            </w:r>
          </w:p>
        </w:tc>
        <w:tc>
          <w:tcPr>
            <w:tcW w:w="3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660" w:type="dxa"/>
            <w:vAlign w:val="bottom"/>
          </w:tcPr>
          <w:p>
            <w:pPr>
              <w:spacing w:after="0" w:line="147" w:lineRule="exact"/>
              <w:rPr>
                <w:sz w:val="20"/>
                <w:szCs w:val="20"/>
                <w:color w:val="auto"/>
              </w:rPr>
            </w:pPr>
            <w:r>
              <w:rPr>
                <w:rFonts w:ascii="Arial" w:cs="Arial" w:eastAsia="Arial" w:hAnsi="Arial"/>
                <w:sz w:val="14"/>
                <w:szCs w:val="14"/>
                <w:color w:val="auto"/>
              </w:rPr>
              <w:t>Compensation</w:t>
            </w:r>
          </w:p>
        </w:tc>
        <w:tc>
          <w:tcPr>
            <w:tcW w:w="2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660" w:type="dxa"/>
            <w:vAlign w:val="bottom"/>
            <w:vMerge w:val="restart"/>
          </w:tcPr>
          <w:p>
            <w:pPr>
              <w:spacing w:after="0" w:line="155" w:lineRule="exact"/>
              <w:rPr>
                <w:sz w:val="20"/>
                <w:szCs w:val="20"/>
                <w:color w:val="auto"/>
              </w:rPr>
            </w:pPr>
            <w:r>
              <w:rPr>
                <w:rFonts w:ascii="Arial" w:cs="Arial" w:eastAsia="Arial" w:hAnsi="Arial"/>
                <w:sz w:val="14"/>
                <w:szCs w:val="14"/>
                <w:color w:val="auto"/>
              </w:rPr>
              <w:t>Committee:</w:t>
            </w:r>
          </w:p>
        </w:tc>
        <w:tc>
          <w:tcPr>
            <w:tcW w:w="240" w:type="dxa"/>
            <w:vAlign w:val="bottom"/>
          </w:tcPr>
          <w:p>
            <w:pPr>
              <w:spacing w:after="0"/>
              <w:rPr>
                <w:sz w:val="3"/>
                <w:szCs w:val="3"/>
                <w:color w:val="auto"/>
              </w:rPr>
            </w:pPr>
          </w:p>
        </w:tc>
        <w:tc>
          <w:tcPr>
            <w:tcW w:w="3300" w:type="dxa"/>
            <w:vAlign w:val="bottom"/>
            <w:tcBorders>
              <w:bottom w:val="single" w:sz="8" w:color="215AA8"/>
            </w:tcBorders>
          </w:tcPr>
          <w:p>
            <w:pPr>
              <w:spacing w:after="0"/>
              <w:rPr>
                <w:sz w:val="3"/>
                <w:szCs w:val="3"/>
                <w:color w:val="auto"/>
              </w:rPr>
            </w:pPr>
          </w:p>
        </w:tc>
        <w:tc>
          <w:tcPr>
            <w:tcW w:w="3820" w:type="dxa"/>
            <w:vAlign w:val="bottom"/>
            <w:tcBorders>
              <w:bottom w:val="single" w:sz="8" w:color="215AA8"/>
            </w:tcBorders>
          </w:tcPr>
          <w:p>
            <w:pPr>
              <w:spacing w:after="0"/>
              <w:rPr>
                <w:sz w:val="3"/>
                <w:szCs w:val="3"/>
                <w:color w:val="auto"/>
              </w:rPr>
            </w:pPr>
          </w:p>
        </w:tc>
        <w:tc>
          <w:tcPr>
            <w:tcW w:w="0" w:type="dxa"/>
            <w:vAlign w:val="bottom"/>
          </w:tcPr>
          <w:p>
            <w:pPr>
              <w:spacing w:after="0"/>
              <w:rPr>
                <w:sz w:val="1"/>
                <w:szCs w:val="1"/>
                <w:color w:val="auto"/>
              </w:rPr>
            </w:pPr>
          </w:p>
        </w:tc>
      </w:tr>
      <w:tr>
        <w:trPr>
          <w:trHeight w:val="91"/>
        </w:trPr>
        <w:tc>
          <w:tcPr>
            <w:tcW w:w="16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3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660" w:type="dxa"/>
            <w:vAlign w:val="bottom"/>
          </w:tcPr>
          <w:p>
            <w:pPr>
              <w:spacing w:after="0" w:line="159" w:lineRule="exact"/>
              <w:rPr>
                <w:sz w:val="20"/>
                <w:szCs w:val="20"/>
                <w:color w:val="auto"/>
              </w:rPr>
            </w:pPr>
            <w:r>
              <w:rPr>
                <w:rFonts w:ascii="Arial" w:cs="Arial" w:eastAsia="Arial" w:hAnsi="Arial"/>
                <w:sz w:val="14"/>
                <w:szCs w:val="14"/>
                <w:b w:val="1"/>
                <w:bCs w:val="1"/>
                <w:color w:val="215AA8"/>
              </w:rPr>
              <w:t>9/9</w:t>
            </w:r>
          </w:p>
        </w:tc>
        <w:tc>
          <w:tcPr>
            <w:tcW w:w="35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D60058"/>
              </w:rPr>
              <w:t>Experience and Expertise</w:t>
            </w: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660" w:type="dxa"/>
            <w:vAlign w:val="bottom"/>
            <w:vMerge w:val="restart"/>
          </w:tcPr>
          <w:p>
            <w:pPr>
              <w:spacing w:after="0" w:line="155" w:lineRule="exact"/>
              <w:rPr>
                <w:sz w:val="20"/>
                <w:szCs w:val="20"/>
                <w:color w:val="auto"/>
              </w:rPr>
            </w:pPr>
            <w:r>
              <w:rPr>
                <w:rFonts w:ascii="Arial" w:cs="Arial" w:eastAsia="Arial" w:hAnsi="Arial"/>
                <w:sz w:val="14"/>
                <w:szCs w:val="14"/>
                <w:color w:val="auto"/>
              </w:rPr>
              <w:t>Technology Committee:</w:t>
            </w:r>
          </w:p>
        </w:tc>
        <w:tc>
          <w:tcPr>
            <w:tcW w:w="3540" w:type="dxa"/>
            <w:vAlign w:val="bottom"/>
            <w:gridSpan w:val="2"/>
            <w:vMerge w:val="continue"/>
          </w:tcPr>
          <w:p>
            <w:pPr>
              <w:spacing w:after="0"/>
              <w:rPr>
                <w:sz w:val="7"/>
                <w:szCs w:val="7"/>
                <w:color w:val="auto"/>
              </w:rPr>
            </w:pPr>
          </w:p>
        </w:tc>
        <w:tc>
          <w:tcPr>
            <w:tcW w:w="3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300" w:type="dxa"/>
            <w:vAlign w:val="bottom"/>
          </w:tcPr>
          <w:p>
            <w:pPr>
              <w:spacing w:after="0"/>
              <w:rPr>
                <w:sz w:val="6"/>
                <w:szCs w:val="6"/>
                <w:color w:val="auto"/>
              </w:rPr>
            </w:pPr>
          </w:p>
        </w:tc>
        <w:tc>
          <w:tcPr>
            <w:tcW w:w="3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20"/>
                <w:szCs w:val="20"/>
                <w:color w:val="auto"/>
              </w:rPr>
            </w:pPr>
            <w:r>
              <w:rPr>
                <w:rFonts w:ascii="Arial" w:cs="Arial" w:eastAsia="Arial" w:hAnsi="Arial"/>
                <w:sz w:val="14"/>
                <w:szCs w:val="14"/>
                <w:b w:val="1"/>
                <w:bCs w:val="1"/>
                <w:color w:val="215AA8"/>
              </w:rPr>
              <w:t>2/2</w:t>
            </w:r>
          </w:p>
        </w:tc>
        <w:tc>
          <w:tcPr>
            <w:tcW w:w="240" w:type="dxa"/>
            <w:vAlign w:val="bottom"/>
          </w:tcPr>
          <w:p>
            <w:pPr>
              <w:spacing w:after="0"/>
              <w:rPr>
                <w:sz w:val="16"/>
                <w:szCs w:val="16"/>
                <w:color w:val="auto"/>
              </w:rPr>
            </w:pPr>
          </w:p>
        </w:tc>
        <w:tc>
          <w:tcPr>
            <w:tcW w:w="3300" w:type="dxa"/>
            <w:vAlign w:val="bottom"/>
            <w:vMerge w:val="restart"/>
          </w:tcPr>
          <w:p>
            <w:pPr>
              <w:ind w:left="520"/>
              <w:spacing w:after="0"/>
              <w:rPr>
                <w:sz w:val="20"/>
                <w:szCs w:val="20"/>
                <w:color w:val="auto"/>
              </w:rPr>
            </w:pPr>
            <w:r>
              <w:rPr>
                <w:rFonts w:ascii="Arial" w:cs="Arial" w:eastAsia="Arial" w:hAnsi="Arial"/>
                <w:sz w:val="14"/>
                <w:szCs w:val="14"/>
                <w:color w:val="auto"/>
              </w:rPr>
              <w:t>Executive/Leadership Experience</w:t>
            </w:r>
          </w:p>
        </w:tc>
        <w:tc>
          <w:tcPr>
            <w:tcW w:w="3820" w:type="dxa"/>
            <w:vAlign w:val="bottom"/>
            <w:vMerge w:val="restart"/>
          </w:tcPr>
          <w:p>
            <w:pPr>
              <w:ind w:left="800"/>
              <w:spacing w:after="0"/>
              <w:rPr>
                <w:sz w:val="20"/>
                <w:szCs w:val="20"/>
                <w:color w:val="auto"/>
              </w:rPr>
            </w:pPr>
            <w:r>
              <w:rPr>
                <w:rFonts w:ascii="Arial" w:cs="Arial" w:eastAsia="Arial" w:hAnsi="Arial"/>
                <w:sz w:val="14"/>
                <w:szCs w:val="14"/>
                <w:color w:val="auto"/>
              </w:rPr>
              <w:t>Science/Biotech Background</w:t>
            </w:r>
          </w:p>
        </w:tc>
        <w:tc>
          <w:tcPr>
            <w:tcW w:w="0" w:type="dxa"/>
            <w:vAlign w:val="bottom"/>
          </w:tcPr>
          <w:p>
            <w:pPr>
              <w:spacing w:after="0"/>
              <w:rPr>
                <w:sz w:val="1"/>
                <w:szCs w:val="1"/>
                <w:color w:val="auto"/>
              </w:rPr>
            </w:pPr>
          </w:p>
        </w:tc>
      </w:tr>
      <w:tr>
        <w:trPr>
          <w:trHeight w:val="93"/>
        </w:trPr>
        <w:tc>
          <w:tcPr>
            <w:tcW w:w="1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300" w:type="dxa"/>
            <w:vAlign w:val="bottom"/>
            <w:vMerge w:val="continue"/>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tcPr>
          <w:p>
            <w:pPr>
              <w:ind w:left="520"/>
              <w:spacing w:after="0"/>
              <w:rPr>
                <w:sz w:val="20"/>
                <w:szCs w:val="20"/>
                <w:color w:val="auto"/>
              </w:rPr>
            </w:pPr>
            <w:r>
              <w:rPr>
                <w:rFonts w:ascii="Arial" w:cs="Arial" w:eastAsia="Arial" w:hAnsi="Arial"/>
                <w:sz w:val="14"/>
                <w:szCs w:val="14"/>
                <w:color w:val="auto"/>
              </w:rPr>
              <w:t>Research/Academic Experience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1923415</wp:posOffset>
            </wp:positionH>
            <wp:positionV relativeFrom="paragraph">
              <wp:posOffset>116205</wp:posOffset>
            </wp:positionV>
            <wp:extent cx="451040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510405" cy="6985"/>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-469265</wp:posOffset>
            </wp:positionV>
            <wp:extent cx="250190" cy="2216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0190" cy="2216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-483235</wp:posOffset>
            </wp:positionV>
            <wp:extent cx="250190" cy="2501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0190" cy="25019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-183515</wp:posOffset>
            </wp:positionV>
            <wp:extent cx="200025" cy="264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0025" cy="264160"/>
                    </a:xfrm>
                    <a:prstGeom prst="rect">
                      <a:avLst/>
                    </a:prstGeom>
                    <a:noFill/>
                  </pic:spPr>
                </pic:pic>
              </a:graphicData>
            </a:graphic>
          </wp:anchor>
        </w:drawing>
      </w:r>
    </w:p>
    <w:p>
      <w:pPr>
        <w:spacing w:after="0" w:line="331"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D60058"/>
        </w:rPr>
        <w:t>Scientific Society Memberships</w:t>
      </w:r>
    </w:p>
    <w:p>
      <w:pPr>
        <w:spacing w:after="0" w:line="77" w:lineRule="exact"/>
        <w:rPr>
          <w:sz w:val="20"/>
          <w:szCs w:val="20"/>
          <w:color w:val="auto"/>
        </w:rPr>
      </w:pPr>
    </w:p>
    <w:p>
      <w:pPr>
        <w:ind w:left="3180" w:hanging="156"/>
        <w:spacing w:after="0"/>
        <w:tabs>
          <w:tab w:leader="none" w:pos="3180" w:val="left"/>
        </w:tabs>
        <w:numPr>
          <w:ilvl w:val="0"/>
          <w:numId w:val="35"/>
        </w:numPr>
        <w:rPr>
          <w:rFonts w:ascii="Arial" w:cs="Arial" w:eastAsia="Arial" w:hAnsi="Arial"/>
          <w:sz w:val="14"/>
          <w:szCs w:val="14"/>
          <w:color w:val="215AA8"/>
        </w:rPr>
      </w:pPr>
      <w:r>
        <w:rPr>
          <w:rFonts w:ascii="Arial" w:cs="Arial" w:eastAsia="Arial" w:hAnsi="Arial"/>
          <w:sz w:val="14"/>
          <w:szCs w:val="14"/>
          <w:color w:val="auto"/>
        </w:rPr>
        <w:t>The National Academy of Sciences</w:t>
      </w:r>
    </w:p>
    <w:p>
      <w:pPr>
        <w:spacing w:after="0" w:line="75" w:lineRule="exact"/>
        <w:rPr>
          <w:rFonts w:ascii="Arial" w:cs="Arial" w:eastAsia="Arial" w:hAnsi="Arial"/>
          <w:sz w:val="14"/>
          <w:szCs w:val="14"/>
          <w:color w:val="215AA8"/>
        </w:rPr>
      </w:pPr>
    </w:p>
    <w:p>
      <w:pPr>
        <w:ind w:left="3180" w:hanging="156"/>
        <w:spacing w:after="0"/>
        <w:tabs>
          <w:tab w:leader="none" w:pos="3180" w:val="left"/>
        </w:tabs>
        <w:numPr>
          <w:ilvl w:val="0"/>
          <w:numId w:val="35"/>
        </w:numPr>
        <w:rPr>
          <w:rFonts w:ascii="Arial" w:cs="Arial" w:eastAsia="Arial" w:hAnsi="Arial"/>
          <w:sz w:val="14"/>
          <w:szCs w:val="14"/>
          <w:color w:val="215AA8"/>
        </w:rPr>
      </w:pPr>
      <w:r>
        <w:rPr>
          <w:rFonts w:ascii="Arial" w:cs="Arial" w:eastAsia="Arial" w:hAnsi="Arial"/>
          <w:sz w:val="14"/>
          <w:szCs w:val="14"/>
          <w:color w:val="auto"/>
        </w:rPr>
        <w:t>The Institute of Medicine</w:t>
      </w:r>
    </w:p>
    <w:p>
      <w:pPr>
        <w:spacing w:after="0" w:line="75" w:lineRule="exact"/>
        <w:rPr>
          <w:rFonts w:ascii="Arial" w:cs="Arial" w:eastAsia="Arial" w:hAnsi="Arial"/>
          <w:sz w:val="14"/>
          <w:szCs w:val="14"/>
          <w:color w:val="215AA8"/>
        </w:rPr>
      </w:pPr>
    </w:p>
    <w:p>
      <w:pPr>
        <w:ind w:left="3180" w:hanging="156"/>
        <w:spacing w:after="0"/>
        <w:tabs>
          <w:tab w:leader="none" w:pos="3180" w:val="left"/>
        </w:tabs>
        <w:numPr>
          <w:ilvl w:val="0"/>
          <w:numId w:val="35"/>
        </w:numPr>
        <w:rPr>
          <w:rFonts w:ascii="Arial" w:cs="Arial" w:eastAsia="Arial" w:hAnsi="Arial"/>
          <w:sz w:val="14"/>
          <w:szCs w:val="14"/>
          <w:color w:val="215AA8"/>
        </w:rPr>
      </w:pPr>
      <w:r>
        <w:rPr>
          <w:rFonts w:ascii="Arial" w:cs="Arial" w:eastAsia="Arial" w:hAnsi="Arial"/>
          <w:sz w:val="14"/>
          <w:szCs w:val="14"/>
          <w:color w:val="auto"/>
        </w:rPr>
        <w:t>The American Association for the Advancement of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1923415</wp:posOffset>
            </wp:positionH>
            <wp:positionV relativeFrom="paragraph">
              <wp:posOffset>97155</wp:posOffset>
            </wp:positionV>
            <wp:extent cx="451040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10405" cy="6985"/>
                    </a:xfrm>
                    <a:prstGeom prst="rect">
                      <a:avLst/>
                    </a:prstGeom>
                    <a:noFill/>
                  </pic:spPr>
                </pic:pic>
              </a:graphicData>
            </a:graphic>
          </wp:anchor>
        </w:drawing>
      </w:r>
    </w:p>
    <w:p>
      <w:pPr>
        <w:spacing w:after="0" w:line="303" w:lineRule="exact"/>
        <w:rPr>
          <w:sz w:val="20"/>
          <w:szCs w:val="20"/>
          <w:color w:val="auto"/>
        </w:rPr>
      </w:pPr>
    </w:p>
    <w:p>
      <w:pPr>
        <w:ind w:left="3020" w:right="1500"/>
        <w:spacing w:after="0" w:line="257" w:lineRule="auto"/>
        <w:rPr>
          <w:sz w:val="20"/>
          <w:szCs w:val="20"/>
          <w:color w:val="auto"/>
        </w:rPr>
      </w:pPr>
      <w:r>
        <w:rPr>
          <w:rFonts w:ascii="Arial" w:cs="Arial" w:eastAsia="Arial" w:hAnsi="Arial"/>
          <w:sz w:val="14"/>
          <w:szCs w:val="14"/>
          <w:i w:val="1"/>
          <w:iCs w:val="1"/>
          <w:color w:val="auto"/>
        </w:rPr>
        <w:t>Dr. Zoghbi’s extensive research experience and her scientific and academic career and accomplishments led the board to conclude that Dr. Zoghbi should serve as a director.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20</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30"/>
          <w:szCs w:val="30"/>
          <w:b w:val="1"/>
          <w:bCs w:val="1"/>
          <w:color w:val="D60058"/>
        </w:rPr>
        <w:t>Board Committees</w:t>
      </w:r>
    </w:p>
    <w:p>
      <w:pPr>
        <w:spacing w:after="0" w:line="183"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 xml:space="preserve">The board has a standing Audit Committee, Compensation Committee, and Corporate Governance and Compliance Committee, each of which is comprised entirely of independent directors. The Corporate Governance and Compliance Committee is responsible for reviewing and recommending for the board’s selection candidates to serve on our board of directors and for overseeing all aspects of the Company’s compliance program other than financial compliance. The board also has a standing Technology Committee, which provides direct oversight of our research and clinical development programs, plans, and policies. The board has adopted charters for the Audit Committee, Compensation Committee, Corporate Governance and Compliance Committee, and Technology Committee, current copies of which are available on our website at </w:t>
      </w:r>
      <w:r>
        <w:rPr>
          <w:rFonts w:ascii="Arial" w:cs="Arial" w:eastAsia="Arial" w:hAnsi="Arial"/>
          <w:sz w:val="14"/>
          <w:szCs w:val="14"/>
          <w:b w:val="1"/>
          <w:bCs w:val="1"/>
          <w:color w:val="auto"/>
        </w:rPr>
        <w:t>www.regeneron.com</w:t>
      </w:r>
      <w:r>
        <w:rPr>
          <w:rFonts w:ascii="Arial" w:cs="Arial" w:eastAsia="Arial" w:hAnsi="Arial"/>
          <w:sz w:val="14"/>
          <w:szCs w:val="14"/>
          <w:color w:val="auto"/>
        </w:rPr>
        <w:t xml:space="preserve"> under the “Corporate Governance” heading on the “Investors &amp; Media” page.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We show below information on the membership, key functions, recent focus areas, and number of meetings of each board committee during 2023.</w:t>
      </w:r>
    </w:p>
    <w:p>
      <w:pPr>
        <w:sectPr>
          <w:pgSz w:w="11900" w:h="16838" w:orient="portrait"/>
          <w:cols w:equalWidth="0" w:num="1">
            <w:col w:w="11260"/>
          </w:cols>
          <w:pgMar w:left="320" w:top="215" w:right="31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AUDIT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Members</w:t>
      </w:r>
    </w:p>
    <w:p>
      <w:pPr>
        <w:spacing w:after="0" w:line="156" w:lineRule="exact"/>
        <w:rPr>
          <w:sz w:val="20"/>
          <w:szCs w:val="20"/>
          <w:color w:val="auto"/>
        </w:rPr>
      </w:pPr>
    </w:p>
    <w:p>
      <w:pPr>
        <w:ind w:right="540"/>
        <w:spacing w:after="0"/>
        <w:rPr>
          <w:sz w:val="20"/>
          <w:szCs w:val="20"/>
          <w:color w:val="auto"/>
        </w:rPr>
      </w:pPr>
      <w:r>
        <w:rPr>
          <w:rFonts w:ascii="Arial" w:cs="Arial" w:eastAsia="Arial" w:hAnsi="Arial"/>
          <w:sz w:val="14"/>
          <w:szCs w:val="14"/>
          <w:color w:val="auto"/>
        </w:rPr>
        <w:t xml:space="preserve">George L. Sing, </w:t>
      </w:r>
      <w:r>
        <w:rPr>
          <w:rFonts w:ascii="Arial" w:cs="Arial" w:eastAsia="Arial" w:hAnsi="Arial"/>
          <w:sz w:val="14"/>
          <w:szCs w:val="14"/>
          <w:i w:val="1"/>
          <w:iCs w:val="1"/>
          <w:color w:val="auto"/>
        </w:rPr>
        <w:t>Chair</w:t>
      </w:r>
      <w:r>
        <w:rPr>
          <w:rFonts w:ascii="Arial" w:cs="Arial" w:eastAsia="Arial" w:hAnsi="Arial"/>
          <w:sz w:val="14"/>
          <w:szCs w:val="14"/>
          <w:color w:val="auto"/>
        </w:rPr>
        <w:t xml:space="preserve"> N. Anthony Coles, M.D. Kathryn Guarini, Ph.D. </w:t>
      </w:r>
      <w:r>
        <w:rPr>
          <w:rFonts w:ascii="Arial" w:cs="Arial" w:eastAsia="Arial" w:hAnsi="Arial"/>
          <w:sz w:val="14"/>
          <w:szCs w:val="14"/>
          <w:i w:val="1"/>
          <w:iCs w:val="1"/>
          <w:color w:val="auto"/>
        </w:rPr>
        <w:t xml:space="preserve">(since September 8, 2023) </w:t>
      </w:r>
      <w:r>
        <w:rPr>
          <w:rFonts w:ascii="Arial" w:cs="Arial" w:eastAsia="Arial" w:hAnsi="Arial"/>
          <w:sz w:val="14"/>
          <w:szCs w:val="14"/>
          <w:color w:val="auto"/>
        </w:rPr>
        <w:t>Arthur F. Ryan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215AA8"/>
        </w:rPr>
        <w:t>Number of Meetings Held in 2023</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215AA8"/>
        </w:rPr>
        <w:t>Key Functions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-294005</wp:posOffset>
            </wp:positionV>
            <wp:extent cx="6497320" cy="146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97320" cy="14605"/>
                    </a:xfrm>
                    <a:prstGeom prst="rect">
                      <a:avLst/>
                    </a:prstGeom>
                    <a:noFill/>
                  </pic:spPr>
                </pic:pic>
              </a:graphicData>
            </a:graphic>
          </wp:anchor>
        </w:drawing>
      </w:r>
    </w:p>
    <w:p>
      <w:pPr>
        <w:spacing w:after="0" w:line="136" w:lineRule="exact"/>
        <w:rPr>
          <w:sz w:val="20"/>
          <w:szCs w:val="20"/>
          <w:color w:val="auto"/>
        </w:rPr>
      </w:pPr>
    </w:p>
    <w:p>
      <w:pPr>
        <w:ind w:left="166" w:right="540" w:hanging="166"/>
        <w:spacing w:after="0" w:line="257" w:lineRule="auto"/>
        <w:tabs>
          <w:tab w:leader="none" w:pos="161" w:val="left"/>
        </w:tabs>
        <w:numPr>
          <w:ilvl w:val="0"/>
          <w:numId w:val="36"/>
        </w:numPr>
        <w:rPr>
          <w:rFonts w:ascii="Arial" w:cs="Arial" w:eastAsia="Arial" w:hAnsi="Arial"/>
          <w:sz w:val="14"/>
          <w:szCs w:val="14"/>
          <w:b w:val="1"/>
          <w:bCs w:val="1"/>
          <w:color w:val="215AA8"/>
        </w:rPr>
      </w:pPr>
      <w:r>
        <w:rPr>
          <w:rFonts w:ascii="Arial" w:cs="Arial" w:eastAsia="Arial" w:hAnsi="Arial"/>
          <w:sz w:val="14"/>
          <w:szCs w:val="14"/>
          <w:color w:val="auto"/>
        </w:rPr>
        <w:t>Select the independent registered public accounting firm, review and approve its engagement letter, and monitor its independence and performance</w:t>
      </w:r>
    </w:p>
    <w:p>
      <w:pPr>
        <w:spacing w:after="0" w:line="49"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6"/>
        </w:numPr>
        <w:rPr>
          <w:rFonts w:ascii="Arial" w:cs="Arial" w:eastAsia="Arial" w:hAnsi="Arial"/>
          <w:sz w:val="14"/>
          <w:szCs w:val="14"/>
          <w:b w:val="1"/>
          <w:bCs w:val="1"/>
          <w:color w:val="215AA8"/>
        </w:rPr>
      </w:pPr>
      <w:r>
        <w:rPr>
          <w:rFonts w:ascii="Arial" w:cs="Arial" w:eastAsia="Arial" w:hAnsi="Arial"/>
          <w:sz w:val="14"/>
          <w:szCs w:val="14"/>
          <w:color w:val="auto"/>
        </w:rPr>
        <w:t>Review the overall scope and plans for the annual audit by the independent registered public accounting firm</w:t>
      </w:r>
    </w:p>
    <w:p>
      <w:pPr>
        <w:spacing w:after="0" w:line="75" w:lineRule="exact"/>
        <w:rPr>
          <w:rFonts w:ascii="Arial" w:cs="Arial" w:eastAsia="Arial" w:hAnsi="Arial"/>
          <w:sz w:val="14"/>
          <w:szCs w:val="14"/>
          <w:b w:val="1"/>
          <w:bCs w:val="1"/>
          <w:color w:val="215AA8"/>
        </w:rPr>
      </w:pPr>
    </w:p>
    <w:p>
      <w:pPr>
        <w:ind w:left="166" w:right="60" w:hanging="166"/>
        <w:spacing w:after="0" w:line="257" w:lineRule="auto"/>
        <w:tabs>
          <w:tab w:leader="none" w:pos="161" w:val="left"/>
        </w:tabs>
        <w:numPr>
          <w:ilvl w:val="0"/>
          <w:numId w:val="36"/>
        </w:numPr>
        <w:rPr>
          <w:rFonts w:ascii="Arial" w:cs="Arial" w:eastAsia="Arial" w:hAnsi="Arial"/>
          <w:sz w:val="14"/>
          <w:szCs w:val="14"/>
          <w:b w:val="1"/>
          <w:bCs w:val="1"/>
          <w:color w:val="215AA8"/>
        </w:rPr>
      </w:pPr>
      <w:r>
        <w:rPr>
          <w:rFonts w:ascii="Arial" w:cs="Arial" w:eastAsia="Arial" w:hAnsi="Arial"/>
          <w:sz w:val="14"/>
          <w:szCs w:val="14"/>
          <w:color w:val="auto"/>
        </w:rPr>
        <w:t>Approve permissible non-audit services by the independent registered public accounting firm and evaluate the performance and independence of the independent registered public accounting firm</w:t>
      </w:r>
    </w:p>
    <w:p>
      <w:pPr>
        <w:spacing w:after="0" w:line="37"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6"/>
        </w:numPr>
        <w:rPr>
          <w:rFonts w:ascii="Arial" w:cs="Arial" w:eastAsia="Arial" w:hAnsi="Arial"/>
          <w:sz w:val="14"/>
          <w:szCs w:val="14"/>
          <w:b w:val="1"/>
          <w:bCs w:val="1"/>
          <w:color w:val="215AA8"/>
        </w:rPr>
      </w:pPr>
      <w:r>
        <w:rPr>
          <w:rFonts w:ascii="Arial" w:cs="Arial" w:eastAsia="Arial" w:hAnsi="Arial"/>
          <w:sz w:val="14"/>
          <w:szCs w:val="14"/>
          <w:color w:val="auto"/>
        </w:rPr>
        <w:t>Review and approve the Company’s periodic financial statements and the results of the year-end audit</w:t>
      </w:r>
    </w:p>
    <w:p>
      <w:pPr>
        <w:spacing w:after="0" w:line="75"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6"/>
        </w:numPr>
        <w:rPr>
          <w:rFonts w:ascii="Arial" w:cs="Arial" w:eastAsia="Arial" w:hAnsi="Arial"/>
          <w:sz w:val="14"/>
          <w:szCs w:val="14"/>
          <w:b w:val="1"/>
          <w:bCs w:val="1"/>
          <w:color w:val="215AA8"/>
        </w:rPr>
      </w:pPr>
      <w:r>
        <w:rPr>
          <w:rFonts w:ascii="Arial" w:cs="Arial" w:eastAsia="Arial" w:hAnsi="Arial"/>
          <w:sz w:val="14"/>
          <w:szCs w:val="14"/>
          <w:color w:val="auto"/>
        </w:rPr>
        <w:t>Review and discuss the adequacy and effectiveness of the Company’s accounting and internal control policies and procedures</w:t>
      </w:r>
    </w:p>
    <w:p>
      <w:pPr>
        <w:spacing w:after="0" w:line="75" w:lineRule="exact"/>
        <w:rPr>
          <w:rFonts w:ascii="Arial" w:cs="Arial" w:eastAsia="Arial" w:hAnsi="Arial"/>
          <w:sz w:val="14"/>
          <w:szCs w:val="14"/>
          <w:b w:val="1"/>
          <w:bCs w:val="1"/>
          <w:color w:val="215AA8"/>
        </w:rPr>
      </w:pPr>
    </w:p>
    <w:p>
      <w:pPr>
        <w:ind w:left="166" w:right="80" w:hanging="166"/>
        <w:spacing w:after="0" w:line="246" w:lineRule="auto"/>
        <w:tabs>
          <w:tab w:leader="none" w:pos="161" w:val="left"/>
        </w:tabs>
        <w:numPr>
          <w:ilvl w:val="0"/>
          <w:numId w:val="36"/>
        </w:numPr>
        <w:rPr>
          <w:rFonts w:ascii="Arial" w:cs="Arial" w:eastAsia="Arial" w:hAnsi="Arial"/>
          <w:sz w:val="14"/>
          <w:szCs w:val="14"/>
          <w:b w:val="1"/>
          <w:bCs w:val="1"/>
          <w:color w:val="215AA8"/>
        </w:rPr>
      </w:pPr>
      <w:r>
        <w:rPr>
          <w:rFonts w:ascii="Arial" w:cs="Arial" w:eastAsia="Arial" w:hAnsi="Arial"/>
          <w:sz w:val="14"/>
          <w:szCs w:val="14"/>
          <w:color w:val="auto"/>
        </w:rPr>
        <w:t>Evaluate the internal audit process for establishing the annual audit plan; review and approve the appointment and replacement of the Company’s Chief Audit Executive, if applicable, and any outside entities providing internal audit services and evaluate their performance on an annual basis</w:t>
      </w:r>
    </w:p>
    <w:p>
      <w:pPr>
        <w:spacing w:after="0" w:line="45"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6"/>
        </w:numPr>
        <w:rPr>
          <w:rFonts w:ascii="Arial" w:cs="Arial" w:eastAsia="Arial" w:hAnsi="Arial"/>
          <w:sz w:val="12"/>
          <w:szCs w:val="12"/>
          <w:b w:val="1"/>
          <w:bCs w:val="1"/>
          <w:color w:val="215AA8"/>
        </w:rPr>
      </w:pPr>
      <w:r>
        <w:rPr>
          <w:rFonts w:ascii="Arial" w:cs="Arial" w:eastAsia="Arial" w:hAnsi="Arial"/>
          <w:sz w:val="12"/>
          <w:szCs w:val="12"/>
          <w:color w:val="auto"/>
        </w:rPr>
        <w:t>Review the independent registered public accounting firm’s recommendations concerning the Company’s financial practices and procedures</w:t>
      </w:r>
    </w:p>
    <w:p>
      <w:pPr>
        <w:spacing w:after="0" w:line="98" w:lineRule="exact"/>
        <w:rPr>
          <w:rFonts w:ascii="Arial" w:cs="Arial" w:eastAsia="Arial" w:hAnsi="Arial"/>
          <w:sz w:val="12"/>
          <w:szCs w:val="12"/>
          <w:b w:val="1"/>
          <w:bCs w:val="1"/>
          <w:color w:val="215AA8"/>
        </w:rPr>
      </w:pPr>
    </w:p>
    <w:p>
      <w:pPr>
        <w:ind w:left="166" w:hanging="166"/>
        <w:spacing w:after="0"/>
        <w:tabs>
          <w:tab w:leader="none" w:pos="166" w:val="left"/>
        </w:tabs>
        <w:numPr>
          <w:ilvl w:val="0"/>
          <w:numId w:val="36"/>
        </w:numPr>
        <w:rPr>
          <w:rFonts w:ascii="Arial" w:cs="Arial" w:eastAsia="Arial" w:hAnsi="Arial"/>
          <w:sz w:val="14"/>
          <w:szCs w:val="14"/>
          <w:b w:val="1"/>
          <w:bCs w:val="1"/>
          <w:color w:val="215AA8"/>
        </w:rPr>
      </w:pPr>
      <w:r>
        <w:rPr>
          <w:rFonts w:ascii="Arial" w:cs="Arial" w:eastAsia="Arial" w:hAnsi="Arial"/>
          <w:sz w:val="14"/>
          <w:szCs w:val="14"/>
          <w:color w:val="auto"/>
        </w:rPr>
        <w:t>Oversee the Company’s risk management program</w:t>
      </w:r>
    </w:p>
    <w:p>
      <w:pPr>
        <w:spacing w:after="0" w:line="75" w:lineRule="exact"/>
        <w:rPr>
          <w:rFonts w:ascii="Arial" w:cs="Arial" w:eastAsia="Arial" w:hAnsi="Arial"/>
          <w:sz w:val="14"/>
          <w:szCs w:val="14"/>
          <w:b w:val="1"/>
          <w:bCs w:val="1"/>
          <w:color w:val="215AA8"/>
        </w:rPr>
      </w:pPr>
    </w:p>
    <w:p>
      <w:pPr>
        <w:ind w:left="166" w:right="280" w:hanging="166"/>
        <w:spacing w:after="0" w:line="257" w:lineRule="auto"/>
        <w:tabs>
          <w:tab w:leader="none" w:pos="161" w:val="left"/>
        </w:tabs>
        <w:numPr>
          <w:ilvl w:val="0"/>
          <w:numId w:val="36"/>
        </w:numPr>
        <w:rPr>
          <w:rFonts w:ascii="Arial" w:cs="Arial" w:eastAsia="Arial" w:hAnsi="Arial"/>
          <w:sz w:val="14"/>
          <w:szCs w:val="14"/>
          <w:b w:val="1"/>
          <w:bCs w:val="1"/>
          <w:color w:val="215AA8"/>
        </w:rPr>
      </w:pPr>
      <w:r>
        <w:rPr>
          <w:rFonts w:ascii="Arial" w:cs="Arial" w:eastAsia="Arial" w:hAnsi="Arial"/>
          <w:sz w:val="14"/>
          <w:szCs w:val="14"/>
          <w:color w:val="auto"/>
        </w:rPr>
        <w:t>Discuss with management the Company’s major financial risk exposures and the steps management has taken to monitor and control such exposures</w:t>
      </w:r>
    </w:p>
    <w:p>
      <w:pPr>
        <w:spacing w:after="0" w:line="37" w:lineRule="exact"/>
        <w:rPr>
          <w:rFonts w:ascii="Arial" w:cs="Arial" w:eastAsia="Arial" w:hAnsi="Arial"/>
          <w:sz w:val="14"/>
          <w:szCs w:val="14"/>
          <w:b w:val="1"/>
          <w:bCs w:val="1"/>
          <w:color w:val="215AA8"/>
        </w:rPr>
      </w:pPr>
    </w:p>
    <w:p>
      <w:pPr>
        <w:ind w:left="166" w:right="20" w:hanging="166"/>
        <w:spacing w:after="0" w:line="246" w:lineRule="auto"/>
        <w:tabs>
          <w:tab w:leader="none" w:pos="161" w:val="left"/>
        </w:tabs>
        <w:numPr>
          <w:ilvl w:val="0"/>
          <w:numId w:val="36"/>
        </w:numPr>
        <w:rPr>
          <w:rFonts w:ascii="Arial" w:cs="Arial" w:eastAsia="Arial" w:hAnsi="Arial"/>
          <w:sz w:val="14"/>
          <w:szCs w:val="14"/>
          <w:b w:val="1"/>
          <w:bCs w:val="1"/>
          <w:color w:val="215AA8"/>
        </w:rPr>
      </w:pPr>
      <w:r>
        <w:rPr>
          <w:rFonts w:ascii="Arial" w:cs="Arial" w:eastAsia="Arial" w:hAnsi="Arial"/>
          <w:sz w:val="14"/>
          <w:szCs w:val="14"/>
          <w:color w:val="auto"/>
        </w:rPr>
        <w:t>Establish procedures for the receipt, retention, and treatment of complaints received by the Company regarding accounting, internal accounting controls, or auditing matters and for the confidential, anonymous submission by employees of concerns regarding questionable accounting or auditing matters</w:t>
      </w:r>
    </w:p>
    <w:p>
      <w:pPr>
        <w:spacing w:after="0" w:line="56"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6"/>
        </w:numPr>
        <w:rPr>
          <w:rFonts w:ascii="Arial" w:cs="Arial" w:eastAsia="Arial" w:hAnsi="Arial"/>
          <w:sz w:val="14"/>
          <w:szCs w:val="14"/>
          <w:b w:val="1"/>
          <w:bCs w:val="1"/>
          <w:color w:val="215AA8"/>
        </w:rPr>
      </w:pPr>
      <w:r>
        <w:rPr>
          <w:rFonts w:ascii="Arial" w:cs="Arial" w:eastAsia="Arial" w:hAnsi="Arial"/>
          <w:sz w:val="14"/>
          <w:szCs w:val="14"/>
          <w:color w:val="auto"/>
        </w:rPr>
        <w:t>Review and approve any related person transaction</w:t>
      </w:r>
    </w:p>
    <w:p>
      <w:pPr>
        <w:spacing w:after="0" w:line="75"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6"/>
        </w:numPr>
        <w:rPr>
          <w:rFonts w:ascii="Arial" w:cs="Arial" w:eastAsia="Arial" w:hAnsi="Arial"/>
          <w:sz w:val="14"/>
          <w:szCs w:val="14"/>
          <w:b w:val="1"/>
          <w:bCs w:val="1"/>
          <w:color w:val="215AA8"/>
        </w:rPr>
      </w:pPr>
      <w:r>
        <w:rPr>
          <w:rFonts w:ascii="Arial" w:cs="Arial" w:eastAsia="Arial" w:hAnsi="Arial"/>
          <w:sz w:val="14"/>
          <w:szCs w:val="14"/>
          <w:color w:val="auto"/>
        </w:rPr>
        <w:t>Prepare an annual report of the Audit Committee for inclusion in the Company’s proxy statement</w:t>
      </w:r>
    </w:p>
    <w:p>
      <w:pPr>
        <w:spacing w:after="0" w:line="152"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215AA8"/>
        </w:rPr>
        <w:t>Recent Focus Areas</w:t>
      </w:r>
    </w:p>
    <w:p>
      <w:pPr>
        <w:spacing w:after="0" w:line="156" w:lineRule="exact"/>
        <w:rPr>
          <w:sz w:val="20"/>
          <w:szCs w:val="20"/>
          <w:color w:val="auto"/>
        </w:rPr>
      </w:pPr>
    </w:p>
    <w:p>
      <w:pPr>
        <w:ind w:left="166" w:hanging="166"/>
        <w:spacing w:after="0"/>
        <w:tabs>
          <w:tab w:leader="none" w:pos="166" w:val="left"/>
        </w:tabs>
        <w:numPr>
          <w:ilvl w:val="0"/>
          <w:numId w:val="37"/>
        </w:numPr>
        <w:rPr>
          <w:rFonts w:ascii="Arial" w:cs="Arial" w:eastAsia="Arial" w:hAnsi="Arial"/>
          <w:sz w:val="14"/>
          <w:szCs w:val="14"/>
          <w:b w:val="1"/>
          <w:bCs w:val="1"/>
          <w:color w:val="215AA8"/>
        </w:rPr>
      </w:pPr>
      <w:r>
        <w:rPr>
          <w:rFonts w:ascii="Arial" w:cs="Arial" w:eastAsia="Arial" w:hAnsi="Arial"/>
          <w:sz w:val="14"/>
          <w:szCs w:val="14"/>
          <w:color w:val="auto"/>
        </w:rPr>
        <w:t>Regeneron’s international expansion and related audit matters</w:t>
      </w:r>
    </w:p>
    <w:p>
      <w:pPr>
        <w:spacing w:after="0" w:line="64"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7"/>
        </w:numPr>
        <w:rPr>
          <w:rFonts w:ascii="Arial" w:cs="Arial" w:eastAsia="Arial" w:hAnsi="Arial"/>
          <w:sz w:val="14"/>
          <w:szCs w:val="14"/>
          <w:b w:val="1"/>
          <w:bCs w:val="1"/>
          <w:color w:val="215AA8"/>
        </w:rPr>
      </w:pPr>
      <w:r>
        <w:rPr>
          <w:rFonts w:ascii="Arial" w:cs="Arial" w:eastAsia="Arial" w:hAnsi="Arial"/>
          <w:sz w:val="14"/>
          <w:szCs w:val="14"/>
          <w:color w:val="auto"/>
        </w:rPr>
        <w:t>Cybersecurity risk assessment</w:t>
      </w:r>
    </w:p>
    <w:p>
      <w:pPr>
        <w:spacing w:after="0" w:line="75" w:lineRule="exact"/>
        <w:rPr>
          <w:rFonts w:ascii="Arial" w:cs="Arial" w:eastAsia="Arial" w:hAnsi="Arial"/>
          <w:sz w:val="14"/>
          <w:szCs w:val="14"/>
          <w:b w:val="1"/>
          <w:bCs w:val="1"/>
          <w:color w:val="215AA8"/>
        </w:rPr>
      </w:pPr>
    </w:p>
    <w:p>
      <w:pPr>
        <w:ind w:left="166" w:right="580" w:hanging="166"/>
        <w:spacing w:after="0" w:line="257" w:lineRule="auto"/>
        <w:tabs>
          <w:tab w:leader="none" w:pos="161" w:val="left"/>
        </w:tabs>
        <w:numPr>
          <w:ilvl w:val="0"/>
          <w:numId w:val="37"/>
        </w:numPr>
        <w:rPr>
          <w:rFonts w:ascii="Arial" w:cs="Arial" w:eastAsia="Arial" w:hAnsi="Arial"/>
          <w:sz w:val="14"/>
          <w:szCs w:val="14"/>
          <w:b w:val="1"/>
          <w:bCs w:val="1"/>
          <w:color w:val="215AA8"/>
        </w:rPr>
      </w:pPr>
      <w:r>
        <w:rPr>
          <w:rFonts w:ascii="Arial" w:cs="Arial" w:eastAsia="Arial" w:hAnsi="Arial"/>
          <w:sz w:val="14"/>
          <w:szCs w:val="14"/>
          <w:color w:val="auto"/>
        </w:rPr>
        <w:t>Succession planning for the Company’s Chief Financial Officer and Controller as well as other positions within the finance, information technology, and real estate &amp; facilities management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30480</wp:posOffset>
            </wp:positionV>
            <wp:extent cx="7155180" cy="146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414"/>
            <w:col w:w="8726"/>
          </w:cols>
          <w:pgMar w:left="320" w:top="215" w:right="31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21</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215" w:right="31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Members</w:t>
      </w:r>
    </w:p>
    <w:p>
      <w:pPr>
        <w:spacing w:after="0" w:line="156" w:lineRule="exact"/>
        <w:rPr>
          <w:sz w:val="20"/>
          <w:szCs w:val="20"/>
          <w:color w:val="auto"/>
        </w:rPr>
      </w:pPr>
    </w:p>
    <w:p>
      <w:pPr>
        <w:ind w:right="680"/>
        <w:spacing w:after="0" w:line="246" w:lineRule="auto"/>
        <w:rPr>
          <w:sz w:val="20"/>
          <w:szCs w:val="20"/>
          <w:color w:val="auto"/>
        </w:rPr>
      </w:pPr>
      <w:r>
        <w:rPr>
          <w:rFonts w:ascii="Arial" w:cs="Arial" w:eastAsia="Arial" w:hAnsi="Arial"/>
          <w:sz w:val="14"/>
          <w:szCs w:val="14"/>
          <w:color w:val="auto"/>
        </w:rPr>
        <w:t xml:space="preserve">Christine A. Poon, </w:t>
      </w:r>
      <w:r>
        <w:rPr>
          <w:rFonts w:ascii="Arial" w:cs="Arial" w:eastAsia="Arial" w:hAnsi="Arial"/>
          <w:sz w:val="14"/>
          <w:szCs w:val="14"/>
          <w:i w:val="1"/>
          <w:iCs w:val="1"/>
          <w:color w:val="auto"/>
        </w:rPr>
        <w:t>Chair</w:t>
      </w:r>
      <w:r>
        <w:rPr>
          <w:rFonts w:ascii="Arial" w:cs="Arial" w:eastAsia="Arial" w:hAnsi="Arial"/>
          <w:sz w:val="14"/>
          <w:szCs w:val="14"/>
          <w:color w:val="auto"/>
        </w:rPr>
        <w:t xml:space="preserve"> George L. Sing Huda Y. Zoghbi, M.D.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215AA8"/>
        </w:rPr>
        <w:t>Number of Meetings Held in 2023</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215AA8"/>
        </w:rPr>
        <w:t>Key Functions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-294005</wp:posOffset>
            </wp:positionV>
            <wp:extent cx="5725795" cy="146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25795" cy="14605"/>
                    </a:xfrm>
                    <a:prstGeom prst="rect">
                      <a:avLst/>
                    </a:prstGeom>
                    <a:noFill/>
                  </pic:spPr>
                </pic:pic>
              </a:graphicData>
            </a:graphic>
          </wp:anchor>
        </w:drawing>
      </w:r>
    </w:p>
    <w:p>
      <w:pPr>
        <w:spacing w:after="0" w:line="136" w:lineRule="exact"/>
        <w:rPr>
          <w:sz w:val="20"/>
          <w:szCs w:val="20"/>
          <w:color w:val="auto"/>
        </w:rPr>
      </w:pPr>
    </w:p>
    <w:p>
      <w:pPr>
        <w:ind w:left="166" w:hanging="166"/>
        <w:spacing w:after="0"/>
        <w:tabs>
          <w:tab w:leader="none" w:pos="166" w:val="left"/>
        </w:tabs>
        <w:numPr>
          <w:ilvl w:val="0"/>
          <w:numId w:val="38"/>
        </w:numPr>
        <w:rPr>
          <w:rFonts w:ascii="Arial" w:cs="Arial" w:eastAsia="Arial" w:hAnsi="Arial"/>
          <w:sz w:val="14"/>
          <w:szCs w:val="14"/>
          <w:b w:val="1"/>
          <w:bCs w:val="1"/>
          <w:color w:val="215AA8"/>
        </w:rPr>
      </w:pPr>
      <w:r>
        <w:rPr>
          <w:rFonts w:ascii="Arial" w:cs="Arial" w:eastAsia="Arial" w:hAnsi="Arial"/>
          <w:sz w:val="14"/>
          <w:szCs w:val="14"/>
          <w:color w:val="auto"/>
        </w:rPr>
        <w:t>Evaluate the performance of the Chief Executive Officer, the Chief Scientific Officer, and other executive officers of the Company</w:t>
      </w:r>
    </w:p>
    <w:p>
      <w:pPr>
        <w:spacing w:after="0" w:line="75" w:lineRule="exact"/>
        <w:rPr>
          <w:rFonts w:ascii="Arial" w:cs="Arial" w:eastAsia="Arial" w:hAnsi="Arial"/>
          <w:sz w:val="14"/>
          <w:szCs w:val="14"/>
          <w:b w:val="1"/>
          <w:bCs w:val="1"/>
          <w:color w:val="215AA8"/>
        </w:rPr>
      </w:pPr>
    </w:p>
    <w:p>
      <w:pPr>
        <w:ind w:left="166" w:right="220" w:hanging="166"/>
        <w:spacing w:after="0" w:line="257" w:lineRule="auto"/>
        <w:tabs>
          <w:tab w:leader="none" w:pos="161" w:val="left"/>
        </w:tabs>
        <w:numPr>
          <w:ilvl w:val="0"/>
          <w:numId w:val="38"/>
        </w:numPr>
        <w:rPr>
          <w:rFonts w:ascii="Arial" w:cs="Arial" w:eastAsia="Arial" w:hAnsi="Arial"/>
          <w:sz w:val="14"/>
          <w:szCs w:val="14"/>
          <w:b w:val="1"/>
          <w:bCs w:val="1"/>
          <w:color w:val="215AA8"/>
        </w:rPr>
      </w:pPr>
      <w:r>
        <w:rPr>
          <w:rFonts w:ascii="Arial" w:cs="Arial" w:eastAsia="Arial" w:hAnsi="Arial"/>
          <w:sz w:val="14"/>
          <w:szCs w:val="14"/>
          <w:color w:val="auto"/>
        </w:rPr>
        <w:t>Recommend compensation for the Chief Executive Officer and the Chief Scientific Officer for approval by the non-employee members of the board of directors</w:t>
      </w:r>
    </w:p>
    <w:p>
      <w:pPr>
        <w:spacing w:after="0" w:line="49"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8"/>
        </w:numPr>
        <w:rPr>
          <w:rFonts w:ascii="Arial" w:cs="Arial" w:eastAsia="Arial" w:hAnsi="Arial"/>
          <w:sz w:val="14"/>
          <w:szCs w:val="14"/>
          <w:b w:val="1"/>
          <w:bCs w:val="1"/>
          <w:color w:val="215AA8"/>
        </w:rPr>
      </w:pPr>
      <w:r>
        <w:rPr>
          <w:rFonts w:ascii="Arial" w:cs="Arial" w:eastAsia="Arial" w:hAnsi="Arial"/>
          <w:sz w:val="14"/>
          <w:szCs w:val="14"/>
          <w:color w:val="auto"/>
        </w:rPr>
        <w:t>Approve compensation for other executive officers</w:t>
      </w:r>
    </w:p>
    <w:p>
      <w:pPr>
        <w:spacing w:after="0" w:line="64"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8"/>
        </w:numPr>
        <w:rPr>
          <w:rFonts w:ascii="Arial" w:cs="Arial" w:eastAsia="Arial" w:hAnsi="Arial"/>
          <w:sz w:val="14"/>
          <w:szCs w:val="14"/>
          <w:b w:val="1"/>
          <w:bCs w:val="1"/>
          <w:color w:val="215AA8"/>
        </w:rPr>
      </w:pPr>
      <w:r>
        <w:rPr>
          <w:rFonts w:ascii="Arial" w:cs="Arial" w:eastAsia="Arial" w:hAnsi="Arial"/>
          <w:sz w:val="14"/>
          <w:szCs w:val="14"/>
          <w:color w:val="auto"/>
        </w:rPr>
        <w:t>Approve the total compensation budget for all Company employees</w:t>
      </w:r>
    </w:p>
    <w:p>
      <w:pPr>
        <w:spacing w:after="0" w:line="75"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8"/>
        </w:numPr>
        <w:rPr>
          <w:rFonts w:ascii="Arial" w:cs="Arial" w:eastAsia="Arial" w:hAnsi="Arial"/>
          <w:sz w:val="14"/>
          <w:szCs w:val="14"/>
          <w:b w:val="1"/>
          <w:bCs w:val="1"/>
          <w:color w:val="215AA8"/>
        </w:rPr>
      </w:pPr>
      <w:r>
        <w:rPr>
          <w:rFonts w:ascii="Arial" w:cs="Arial" w:eastAsia="Arial" w:hAnsi="Arial"/>
          <w:sz w:val="14"/>
          <w:szCs w:val="14"/>
          <w:color w:val="auto"/>
        </w:rPr>
        <w:t>Oversee the Company’s compensation and benefit philosophy and programs generally</w:t>
      </w:r>
    </w:p>
    <w:p>
      <w:pPr>
        <w:spacing w:after="0" w:line="75" w:lineRule="exact"/>
        <w:rPr>
          <w:rFonts w:ascii="Arial" w:cs="Arial" w:eastAsia="Arial" w:hAnsi="Arial"/>
          <w:sz w:val="14"/>
          <w:szCs w:val="14"/>
          <w:b w:val="1"/>
          <w:bCs w:val="1"/>
          <w:color w:val="215AA8"/>
        </w:rPr>
      </w:pPr>
    </w:p>
    <w:p>
      <w:pPr>
        <w:ind w:left="166" w:right="240" w:hanging="166"/>
        <w:spacing w:after="0" w:line="257" w:lineRule="auto"/>
        <w:tabs>
          <w:tab w:leader="none" w:pos="161" w:val="left"/>
        </w:tabs>
        <w:numPr>
          <w:ilvl w:val="0"/>
          <w:numId w:val="38"/>
        </w:numPr>
        <w:rPr>
          <w:rFonts w:ascii="Arial" w:cs="Arial" w:eastAsia="Arial" w:hAnsi="Arial"/>
          <w:sz w:val="14"/>
          <w:szCs w:val="14"/>
          <w:b w:val="1"/>
          <w:bCs w:val="1"/>
          <w:color w:val="215AA8"/>
        </w:rPr>
      </w:pPr>
      <w:r>
        <w:rPr>
          <w:rFonts w:ascii="Arial" w:cs="Arial" w:eastAsia="Arial" w:hAnsi="Arial"/>
          <w:sz w:val="14"/>
          <w:szCs w:val="14"/>
          <w:color w:val="auto"/>
        </w:rPr>
        <w:t>Oversee the Company’s strategies and policies related to human capital management, including with respect to workplace environment and culture; talent recruitment, development, and retention; and employee engagement*</w:t>
      </w:r>
    </w:p>
    <w:p>
      <w:pPr>
        <w:spacing w:after="0" w:line="37" w:lineRule="exact"/>
        <w:rPr>
          <w:rFonts w:ascii="Arial" w:cs="Arial" w:eastAsia="Arial" w:hAnsi="Arial"/>
          <w:sz w:val="14"/>
          <w:szCs w:val="14"/>
          <w:b w:val="1"/>
          <w:bCs w:val="1"/>
          <w:color w:val="215AA8"/>
        </w:rPr>
      </w:pPr>
    </w:p>
    <w:p>
      <w:pPr>
        <w:ind w:left="166" w:right="160" w:hanging="166"/>
        <w:spacing w:after="0" w:line="257" w:lineRule="auto"/>
        <w:tabs>
          <w:tab w:leader="none" w:pos="161" w:val="left"/>
        </w:tabs>
        <w:numPr>
          <w:ilvl w:val="0"/>
          <w:numId w:val="38"/>
        </w:numPr>
        <w:rPr>
          <w:rFonts w:ascii="Arial" w:cs="Arial" w:eastAsia="Arial" w:hAnsi="Arial"/>
          <w:sz w:val="14"/>
          <w:szCs w:val="14"/>
          <w:b w:val="1"/>
          <w:bCs w:val="1"/>
          <w:color w:val="215AA8"/>
        </w:rPr>
      </w:pPr>
      <w:r>
        <w:rPr>
          <w:rFonts w:ascii="Arial" w:cs="Arial" w:eastAsia="Arial" w:hAnsi="Arial"/>
          <w:sz w:val="14"/>
          <w:szCs w:val="14"/>
          <w:color w:val="auto"/>
        </w:rPr>
        <w:t>Review and approve annually the corporate goals and objectives applicable to the compensation of the Chief Executive Officer and the goals and objectives of the Company’s executive compensation programs</w:t>
      </w:r>
    </w:p>
    <w:p>
      <w:pPr>
        <w:spacing w:after="0" w:line="49"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8"/>
        </w:numPr>
        <w:rPr>
          <w:rFonts w:ascii="Arial" w:cs="Arial" w:eastAsia="Arial" w:hAnsi="Arial"/>
          <w:sz w:val="14"/>
          <w:szCs w:val="14"/>
          <w:b w:val="1"/>
          <w:bCs w:val="1"/>
          <w:color w:val="215AA8"/>
        </w:rPr>
      </w:pPr>
      <w:r>
        <w:rPr>
          <w:rFonts w:ascii="Arial" w:cs="Arial" w:eastAsia="Arial" w:hAnsi="Arial"/>
          <w:sz w:val="14"/>
          <w:szCs w:val="14"/>
          <w:color w:val="auto"/>
        </w:rPr>
        <w:t>Review and approve the Compensation Discussion and Analysis to be included in the Company’s proxy statement</w:t>
      </w:r>
    </w:p>
    <w:p>
      <w:pPr>
        <w:spacing w:after="0" w:line="75"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8"/>
        </w:numPr>
        <w:rPr>
          <w:rFonts w:ascii="Arial" w:cs="Arial" w:eastAsia="Arial" w:hAnsi="Arial"/>
          <w:sz w:val="14"/>
          <w:szCs w:val="14"/>
          <w:b w:val="1"/>
          <w:bCs w:val="1"/>
          <w:color w:val="215AA8"/>
        </w:rPr>
      </w:pPr>
      <w:r>
        <w:rPr>
          <w:rFonts w:ascii="Arial" w:cs="Arial" w:eastAsia="Arial" w:hAnsi="Arial"/>
          <w:sz w:val="14"/>
          <w:szCs w:val="14"/>
          <w:color w:val="auto"/>
        </w:rPr>
        <w:t>Prepare an annual report of the Compensation Committee for inclusion in the Company’s proxy statement</w:t>
      </w:r>
    </w:p>
    <w:p>
      <w:pPr>
        <w:spacing w:after="0" w:line="152"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215AA8"/>
        </w:rPr>
        <w:t>Recent Focus Areas</w:t>
      </w:r>
    </w:p>
    <w:p>
      <w:pPr>
        <w:spacing w:after="0" w:line="156" w:lineRule="exact"/>
        <w:rPr>
          <w:sz w:val="20"/>
          <w:szCs w:val="20"/>
          <w:color w:val="auto"/>
        </w:rPr>
      </w:pPr>
    </w:p>
    <w:p>
      <w:pPr>
        <w:ind w:left="166" w:hanging="166"/>
        <w:spacing w:after="0" w:line="257" w:lineRule="auto"/>
        <w:tabs>
          <w:tab w:leader="none" w:pos="161" w:val="left"/>
        </w:tabs>
        <w:numPr>
          <w:ilvl w:val="0"/>
          <w:numId w:val="39"/>
        </w:numPr>
        <w:rPr>
          <w:rFonts w:ascii="Arial" w:cs="Arial" w:eastAsia="Arial" w:hAnsi="Arial"/>
          <w:sz w:val="14"/>
          <w:szCs w:val="14"/>
          <w:b w:val="1"/>
          <w:bCs w:val="1"/>
          <w:color w:val="215AA8"/>
        </w:rPr>
      </w:pPr>
      <w:r>
        <w:rPr>
          <w:rFonts w:ascii="Arial" w:cs="Arial" w:eastAsia="Arial" w:hAnsi="Arial"/>
          <w:sz w:val="14"/>
          <w:szCs w:val="14"/>
          <w:color w:val="auto"/>
        </w:rPr>
        <w:t>Design of annual cash incentive program, including enhanced framework for year-end assessment of Company performance and determination of the Company performance multiplier</w:t>
      </w:r>
    </w:p>
    <w:p>
      <w:pPr>
        <w:spacing w:after="0" w:line="37"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9"/>
        </w:numPr>
        <w:rPr>
          <w:rFonts w:ascii="Arial" w:cs="Arial" w:eastAsia="Arial" w:hAnsi="Arial"/>
          <w:sz w:val="14"/>
          <w:szCs w:val="14"/>
          <w:b w:val="1"/>
          <w:bCs w:val="1"/>
          <w:color w:val="215AA8"/>
        </w:rPr>
      </w:pPr>
      <w:r>
        <w:rPr>
          <w:rFonts w:ascii="Arial" w:cs="Arial" w:eastAsia="Arial" w:hAnsi="Arial"/>
          <w:sz w:val="14"/>
          <w:szCs w:val="14"/>
          <w:color w:val="auto"/>
        </w:rPr>
        <w:t>Retention of key leaders</w:t>
      </w:r>
    </w:p>
    <w:p>
      <w:pPr>
        <w:spacing w:after="0" w:line="75"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9"/>
        </w:numPr>
        <w:rPr>
          <w:rFonts w:ascii="Arial" w:cs="Arial" w:eastAsia="Arial" w:hAnsi="Arial"/>
          <w:sz w:val="14"/>
          <w:szCs w:val="14"/>
          <w:b w:val="1"/>
          <w:bCs w:val="1"/>
          <w:color w:val="215AA8"/>
        </w:rPr>
      </w:pPr>
      <w:r>
        <w:rPr>
          <w:rFonts w:ascii="Arial" w:cs="Arial" w:eastAsia="Arial" w:hAnsi="Arial"/>
          <w:sz w:val="14"/>
          <w:szCs w:val="14"/>
          <w:color w:val="auto"/>
        </w:rPr>
        <w:t>Pay mix considerations</w:t>
      </w:r>
    </w:p>
    <w:p>
      <w:pPr>
        <w:spacing w:after="0" w:line="75" w:lineRule="exact"/>
        <w:rPr>
          <w:rFonts w:ascii="Arial" w:cs="Arial" w:eastAsia="Arial" w:hAnsi="Arial"/>
          <w:sz w:val="14"/>
          <w:szCs w:val="14"/>
          <w:b w:val="1"/>
          <w:bCs w:val="1"/>
          <w:color w:val="215AA8"/>
        </w:rPr>
      </w:pPr>
    </w:p>
    <w:p>
      <w:pPr>
        <w:ind w:left="166" w:hanging="166"/>
        <w:spacing w:after="0"/>
        <w:tabs>
          <w:tab w:leader="none" w:pos="166" w:val="left"/>
        </w:tabs>
        <w:numPr>
          <w:ilvl w:val="0"/>
          <w:numId w:val="39"/>
        </w:numPr>
        <w:rPr>
          <w:rFonts w:ascii="Arial" w:cs="Arial" w:eastAsia="Arial" w:hAnsi="Arial"/>
          <w:sz w:val="14"/>
          <w:szCs w:val="14"/>
          <w:b w:val="1"/>
          <w:bCs w:val="1"/>
          <w:color w:val="215AA8"/>
        </w:rPr>
      </w:pPr>
      <w:r>
        <w:rPr>
          <w:rFonts w:ascii="Arial" w:cs="Arial" w:eastAsia="Arial" w:hAnsi="Arial"/>
          <w:sz w:val="14"/>
          <w:szCs w:val="14"/>
          <w:color w:val="auto"/>
        </w:rPr>
        <w:t>Supplement to clawback policy required by amended listing standards of the Nasdaq Stock Market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47625</wp:posOffset>
            </wp:positionV>
            <wp:extent cx="7155180" cy="146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414"/>
            <w:col w:w="8726"/>
          </w:cols>
          <w:pgMar w:left="320" w:top="215" w:right="319" w:bottom="1440" w:gutter="0" w:footer="0" w:header="0"/>
          <w:type w:val="continuous"/>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22</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33" w:name="page34"/>
    <w:bookmarkEnd w:id="33"/>
    <w:tbl>
      <w:tblPr>
        <w:tblLayout w:type="fixed"/>
        <w:tblInd w:w="1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CORPORATE GOVERNANCE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-71120</wp:posOffset>
            </wp:positionV>
            <wp:extent cx="3430905" cy="146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30905" cy="1460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p>
      <w:pPr>
        <w:spacing w:after="0" w:line="189"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Members</w:t>
      </w:r>
    </w:p>
    <w:p>
      <w:pPr>
        <w:spacing w:after="0" w:line="167" w:lineRule="exact"/>
        <w:rPr>
          <w:sz w:val="20"/>
          <w:szCs w:val="20"/>
          <w:color w:val="auto"/>
        </w:rPr>
      </w:pPr>
    </w:p>
    <w:p>
      <w:pPr>
        <w:ind w:left="10" w:right="580"/>
        <w:spacing w:after="0"/>
        <w:rPr>
          <w:sz w:val="20"/>
          <w:szCs w:val="20"/>
          <w:color w:val="auto"/>
        </w:rPr>
      </w:pPr>
      <w:r>
        <w:rPr>
          <w:rFonts w:ascii="Arial" w:cs="Arial" w:eastAsia="Arial" w:hAnsi="Arial"/>
          <w:sz w:val="14"/>
          <w:szCs w:val="14"/>
          <w:color w:val="auto"/>
        </w:rPr>
        <w:t xml:space="preserve">Arthur F. Ryan, </w:t>
      </w:r>
      <w:r>
        <w:rPr>
          <w:rFonts w:ascii="Arial" w:cs="Arial" w:eastAsia="Arial" w:hAnsi="Arial"/>
          <w:sz w:val="14"/>
          <w:szCs w:val="14"/>
          <w:i w:val="1"/>
          <w:iCs w:val="1"/>
          <w:color w:val="auto"/>
        </w:rPr>
        <w:t>Chair</w:t>
      </w:r>
      <w:r>
        <w:rPr>
          <w:rFonts w:ascii="Arial" w:cs="Arial" w:eastAsia="Arial" w:hAnsi="Arial"/>
          <w:sz w:val="14"/>
          <w:szCs w:val="14"/>
          <w:color w:val="auto"/>
        </w:rPr>
        <w:t xml:space="preserve"> Bonnie L. Bassler, Ph.D. Michael S. Brown, M.D. Joseph L. Goldstein, M.D. Christine A. Poon</w:t>
      </w:r>
    </w:p>
    <w:p>
      <w:pPr>
        <w:spacing w:after="0" w:line="139" w:lineRule="exact"/>
        <w:rPr>
          <w:sz w:val="20"/>
          <w:szCs w:val="20"/>
          <w:color w:val="auto"/>
        </w:rPr>
      </w:pPr>
    </w:p>
    <w:p>
      <w:pPr>
        <w:ind w:left="10"/>
        <w:spacing w:after="0"/>
        <w:rPr>
          <w:sz w:val="20"/>
          <w:szCs w:val="20"/>
          <w:color w:val="auto"/>
        </w:rPr>
      </w:pPr>
      <w:r>
        <w:rPr>
          <w:rFonts w:ascii="Arial" w:cs="Arial" w:eastAsia="Arial" w:hAnsi="Arial"/>
          <w:sz w:val="12"/>
          <w:szCs w:val="12"/>
          <w:b w:val="1"/>
          <w:bCs w:val="1"/>
          <w:color w:val="215AA8"/>
        </w:rPr>
        <w:t>Number of Meetings Held in 2023</w:t>
      </w:r>
    </w:p>
    <w:p>
      <w:pPr>
        <w:spacing w:after="0" w:line="179" w:lineRule="exact"/>
        <w:rPr>
          <w:sz w:val="20"/>
          <w:szCs w:val="20"/>
          <w:color w:val="auto"/>
        </w:rPr>
      </w:pPr>
    </w:p>
    <w:p>
      <w:pPr>
        <w:ind w:left="1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215AA8"/>
        </w:rPr>
        <w:t>Key Functions of the Committee</w:t>
      </w:r>
    </w:p>
    <w:p>
      <w:pPr>
        <w:spacing w:after="0" w:line="167" w:lineRule="exact"/>
        <w:rPr>
          <w:sz w:val="20"/>
          <w:szCs w:val="20"/>
          <w:color w:val="auto"/>
        </w:rPr>
      </w:pPr>
    </w:p>
    <w:p>
      <w:pPr>
        <w:ind w:left="166" w:hanging="166"/>
        <w:spacing w:after="0"/>
        <w:tabs>
          <w:tab w:leader="none" w:pos="166" w:val="left"/>
        </w:tabs>
        <w:numPr>
          <w:ilvl w:val="0"/>
          <w:numId w:val="40"/>
        </w:numPr>
        <w:rPr>
          <w:rFonts w:ascii="Arial" w:cs="Arial" w:eastAsia="Arial" w:hAnsi="Arial"/>
          <w:sz w:val="14"/>
          <w:szCs w:val="14"/>
          <w:b w:val="1"/>
          <w:bCs w:val="1"/>
          <w:color w:val="215AA8"/>
        </w:rPr>
      </w:pPr>
      <w:r>
        <w:rPr>
          <w:rFonts w:ascii="Arial" w:cs="Arial" w:eastAsia="Arial" w:hAnsi="Arial"/>
          <w:sz w:val="14"/>
          <w:szCs w:val="14"/>
          <w:color w:val="auto"/>
        </w:rPr>
        <w:t>Identify qualified individuals to become members of the board and recommend such candidates to the board</w:t>
      </w:r>
    </w:p>
    <w:p>
      <w:pPr>
        <w:spacing w:after="0" w:line="75" w:lineRule="exact"/>
        <w:rPr>
          <w:rFonts w:ascii="Arial" w:cs="Arial" w:eastAsia="Arial" w:hAnsi="Arial"/>
          <w:sz w:val="14"/>
          <w:szCs w:val="14"/>
          <w:b w:val="1"/>
          <w:bCs w:val="1"/>
          <w:color w:val="215AA8"/>
        </w:rPr>
      </w:pPr>
    </w:p>
    <w:p>
      <w:pPr>
        <w:ind w:left="166" w:right="20" w:hanging="166"/>
        <w:spacing w:after="0" w:line="257" w:lineRule="auto"/>
        <w:tabs>
          <w:tab w:leader="none" w:pos="161" w:val="left"/>
        </w:tabs>
        <w:numPr>
          <w:ilvl w:val="0"/>
          <w:numId w:val="40"/>
        </w:numPr>
        <w:rPr>
          <w:rFonts w:ascii="Arial" w:cs="Arial" w:eastAsia="Arial" w:hAnsi="Arial"/>
          <w:sz w:val="14"/>
          <w:szCs w:val="14"/>
          <w:b w:val="1"/>
          <w:bCs w:val="1"/>
          <w:color w:val="215AA8"/>
        </w:rPr>
      </w:pPr>
      <w:r>
        <w:rPr>
          <w:rFonts w:ascii="Arial" w:cs="Arial" w:eastAsia="Arial" w:hAnsi="Arial"/>
          <w:sz w:val="14"/>
          <w:szCs w:val="14"/>
          <w:color w:val="auto"/>
        </w:rPr>
        <w:t>Assess the functioning of the board and its committees and make recommendations to the board concerning the appropriate size, function, and needs of the board</w:t>
      </w:r>
    </w:p>
    <w:p>
      <w:pPr>
        <w:spacing w:after="0" w:line="49" w:lineRule="exact"/>
        <w:rPr>
          <w:rFonts w:ascii="Arial" w:cs="Arial" w:eastAsia="Arial" w:hAnsi="Arial"/>
          <w:sz w:val="14"/>
          <w:szCs w:val="14"/>
          <w:b w:val="1"/>
          <w:bCs w:val="1"/>
          <w:color w:val="215AA8"/>
        </w:rPr>
      </w:pPr>
    </w:p>
    <w:p>
      <w:pPr>
        <w:ind w:left="166" w:hanging="166"/>
        <w:spacing w:after="0"/>
        <w:tabs>
          <w:tab w:leader="none" w:pos="166" w:val="left"/>
        </w:tabs>
        <w:numPr>
          <w:ilvl w:val="0"/>
          <w:numId w:val="40"/>
        </w:numPr>
        <w:rPr>
          <w:rFonts w:ascii="Arial" w:cs="Arial" w:eastAsia="Arial" w:hAnsi="Arial"/>
          <w:sz w:val="14"/>
          <w:szCs w:val="14"/>
          <w:b w:val="1"/>
          <w:bCs w:val="1"/>
          <w:color w:val="215AA8"/>
        </w:rPr>
      </w:pPr>
      <w:r>
        <w:rPr>
          <w:rFonts w:ascii="Arial" w:cs="Arial" w:eastAsia="Arial" w:hAnsi="Arial"/>
          <w:sz w:val="14"/>
          <w:szCs w:val="14"/>
          <w:color w:val="auto"/>
        </w:rPr>
        <w:t>Review, and make recommendations to the board regarding, non-employee director compensation</w:t>
      </w:r>
    </w:p>
    <w:p>
      <w:pPr>
        <w:spacing w:after="0" w:line="64" w:lineRule="exact"/>
        <w:rPr>
          <w:rFonts w:ascii="Arial" w:cs="Arial" w:eastAsia="Arial" w:hAnsi="Arial"/>
          <w:sz w:val="14"/>
          <w:szCs w:val="14"/>
          <w:b w:val="1"/>
          <w:bCs w:val="1"/>
          <w:color w:val="215AA8"/>
        </w:rPr>
      </w:pPr>
    </w:p>
    <w:p>
      <w:pPr>
        <w:ind w:left="166" w:hanging="166"/>
        <w:spacing w:after="0"/>
        <w:tabs>
          <w:tab w:leader="none" w:pos="166" w:val="left"/>
        </w:tabs>
        <w:numPr>
          <w:ilvl w:val="0"/>
          <w:numId w:val="40"/>
        </w:numPr>
        <w:rPr>
          <w:rFonts w:ascii="Arial" w:cs="Arial" w:eastAsia="Arial" w:hAnsi="Arial"/>
          <w:sz w:val="14"/>
          <w:szCs w:val="14"/>
          <w:b w:val="1"/>
          <w:bCs w:val="1"/>
          <w:color w:val="215AA8"/>
        </w:rPr>
      </w:pPr>
      <w:r>
        <w:rPr>
          <w:rFonts w:ascii="Arial" w:cs="Arial" w:eastAsia="Arial" w:hAnsi="Arial"/>
          <w:sz w:val="14"/>
          <w:szCs w:val="14"/>
          <w:color w:val="auto"/>
        </w:rPr>
        <w:t>Make recommendations to the board regarding corporate governance matters and practices</w:t>
      </w:r>
    </w:p>
    <w:p>
      <w:pPr>
        <w:spacing w:after="0" w:line="75" w:lineRule="exact"/>
        <w:rPr>
          <w:rFonts w:ascii="Arial" w:cs="Arial" w:eastAsia="Arial" w:hAnsi="Arial"/>
          <w:sz w:val="14"/>
          <w:szCs w:val="14"/>
          <w:b w:val="1"/>
          <w:bCs w:val="1"/>
          <w:color w:val="215AA8"/>
        </w:rPr>
      </w:pPr>
    </w:p>
    <w:p>
      <w:pPr>
        <w:ind w:left="166" w:hanging="166"/>
        <w:spacing w:after="0"/>
        <w:tabs>
          <w:tab w:leader="none" w:pos="166" w:val="left"/>
        </w:tabs>
        <w:numPr>
          <w:ilvl w:val="0"/>
          <w:numId w:val="40"/>
        </w:numPr>
        <w:rPr>
          <w:rFonts w:ascii="Arial" w:cs="Arial" w:eastAsia="Arial" w:hAnsi="Arial"/>
          <w:sz w:val="14"/>
          <w:szCs w:val="14"/>
          <w:b w:val="1"/>
          <w:bCs w:val="1"/>
          <w:color w:val="215AA8"/>
        </w:rPr>
      </w:pPr>
      <w:r>
        <w:rPr>
          <w:rFonts w:ascii="Arial" w:cs="Arial" w:eastAsia="Arial" w:hAnsi="Arial"/>
          <w:sz w:val="14"/>
          <w:szCs w:val="14"/>
          <w:color w:val="auto"/>
        </w:rPr>
        <w:t>Oversee all aspects of the Company’s comprehensive compliance program other than financial compliance</w:t>
      </w:r>
    </w:p>
    <w:p>
      <w:pPr>
        <w:spacing w:after="0" w:line="75" w:lineRule="exact"/>
        <w:rPr>
          <w:rFonts w:ascii="Arial" w:cs="Arial" w:eastAsia="Arial" w:hAnsi="Arial"/>
          <w:sz w:val="14"/>
          <w:szCs w:val="14"/>
          <w:b w:val="1"/>
          <w:bCs w:val="1"/>
          <w:color w:val="215AA8"/>
        </w:rPr>
      </w:pPr>
    </w:p>
    <w:p>
      <w:pPr>
        <w:ind w:left="166" w:right="20" w:hanging="166"/>
        <w:spacing w:after="0" w:line="257" w:lineRule="auto"/>
        <w:tabs>
          <w:tab w:leader="none" w:pos="161" w:val="left"/>
        </w:tabs>
        <w:numPr>
          <w:ilvl w:val="0"/>
          <w:numId w:val="40"/>
        </w:numPr>
        <w:rPr>
          <w:rFonts w:ascii="Arial" w:cs="Arial" w:eastAsia="Arial" w:hAnsi="Arial"/>
          <w:sz w:val="14"/>
          <w:szCs w:val="14"/>
          <w:b w:val="1"/>
          <w:bCs w:val="1"/>
          <w:color w:val="215AA8"/>
        </w:rPr>
      </w:pPr>
      <w:r>
        <w:rPr>
          <w:rFonts w:ascii="Arial" w:cs="Arial" w:eastAsia="Arial" w:hAnsi="Arial"/>
          <w:sz w:val="14"/>
          <w:szCs w:val="14"/>
          <w:color w:val="auto"/>
        </w:rPr>
        <w:t>Oversee the Company’s key corporate responsibility initiatives and conduct a periodic review of environmental, social, and governance (“ESG”) matters*</w:t>
      </w:r>
    </w:p>
    <w:p>
      <w:pPr>
        <w:spacing w:after="0" w:line="126"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215AA8"/>
        </w:rPr>
        <w:t>Recent Focus Areas</w:t>
      </w:r>
    </w:p>
    <w:p>
      <w:pPr>
        <w:spacing w:after="0" w:line="156" w:lineRule="exact"/>
        <w:rPr>
          <w:sz w:val="20"/>
          <w:szCs w:val="20"/>
          <w:color w:val="auto"/>
        </w:rPr>
      </w:pPr>
    </w:p>
    <w:p>
      <w:pPr>
        <w:ind w:left="166" w:hanging="166"/>
        <w:spacing w:after="0"/>
        <w:tabs>
          <w:tab w:leader="none" w:pos="166" w:val="left"/>
        </w:tabs>
        <w:numPr>
          <w:ilvl w:val="0"/>
          <w:numId w:val="41"/>
        </w:numPr>
        <w:rPr>
          <w:rFonts w:ascii="Arial" w:cs="Arial" w:eastAsia="Arial" w:hAnsi="Arial"/>
          <w:sz w:val="14"/>
          <w:szCs w:val="14"/>
          <w:b w:val="1"/>
          <w:bCs w:val="1"/>
          <w:color w:val="215AA8"/>
        </w:rPr>
      </w:pPr>
      <w:r>
        <w:rPr>
          <w:rFonts w:ascii="Arial" w:cs="Arial" w:eastAsia="Arial" w:hAnsi="Arial"/>
          <w:sz w:val="14"/>
          <w:szCs w:val="14"/>
          <w:color w:val="auto"/>
        </w:rPr>
        <w:t>Board leadership structure, including the establishment of a robust Lead Independent Director role</w:t>
      </w:r>
    </w:p>
    <w:p>
      <w:pPr>
        <w:spacing w:after="0" w:line="64" w:lineRule="exact"/>
        <w:rPr>
          <w:rFonts w:ascii="Arial" w:cs="Arial" w:eastAsia="Arial" w:hAnsi="Arial"/>
          <w:sz w:val="14"/>
          <w:szCs w:val="14"/>
          <w:b w:val="1"/>
          <w:bCs w:val="1"/>
          <w:color w:val="215AA8"/>
        </w:rPr>
      </w:pPr>
    </w:p>
    <w:p>
      <w:pPr>
        <w:ind w:left="166" w:hanging="166"/>
        <w:spacing w:after="0"/>
        <w:tabs>
          <w:tab w:leader="none" w:pos="166" w:val="left"/>
        </w:tabs>
        <w:numPr>
          <w:ilvl w:val="0"/>
          <w:numId w:val="41"/>
        </w:numPr>
        <w:rPr>
          <w:rFonts w:ascii="Arial" w:cs="Arial" w:eastAsia="Arial" w:hAnsi="Arial"/>
          <w:sz w:val="14"/>
          <w:szCs w:val="14"/>
          <w:b w:val="1"/>
          <w:bCs w:val="1"/>
          <w:color w:val="215AA8"/>
        </w:rPr>
      </w:pPr>
      <w:r>
        <w:rPr>
          <w:rFonts w:ascii="Arial" w:cs="Arial" w:eastAsia="Arial" w:hAnsi="Arial"/>
          <w:sz w:val="14"/>
          <w:szCs w:val="14"/>
          <w:color w:val="auto"/>
        </w:rPr>
        <w:t>Director refreshment efforts, including the appointments of Drs. Kathryn Guarini and David P. Schenkein</w:t>
      </w:r>
    </w:p>
    <w:p>
      <w:pPr>
        <w:spacing w:after="0" w:line="75" w:lineRule="exact"/>
        <w:rPr>
          <w:rFonts w:ascii="Arial" w:cs="Arial" w:eastAsia="Arial" w:hAnsi="Arial"/>
          <w:sz w:val="14"/>
          <w:szCs w:val="14"/>
          <w:b w:val="1"/>
          <w:bCs w:val="1"/>
          <w:color w:val="215AA8"/>
        </w:rPr>
      </w:pPr>
    </w:p>
    <w:p>
      <w:pPr>
        <w:ind w:left="166" w:hanging="166"/>
        <w:spacing w:after="0"/>
        <w:tabs>
          <w:tab w:leader="none" w:pos="166" w:val="left"/>
        </w:tabs>
        <w:numPr>
          <w:ilvl w:val="0"/>
          <w:numId w:val="41"/>
        </w:numPr>
        <w:rPr>
          <w:rFonts w:ascii="Arial" w:cs="Arial" w:eastAsia="Arial" w:hAnsi="Arial"/>
          <w:sz w:val="14"/>
          <w:szCs w:val="14"/>
          <w:b w:val="1"/>
          <w:bCs w:val="1"/>
          <w:color w:val="215AA8"/>
        </w:rPr>
      </w:pPr>
      <w:r>
        <w:rPr>
          <w:rFonts w:ascii="Arial" w:cs="Arial" w:eastAsia="Arial" w:hAnsi="Arial"/>
          <w:sz w:val="14"/>
          <w:szCs w:val="14"/>
          <w:color w:val="auto"/>
        </w:rPr>
        <w:t>Corporate governance expectations of shareholders and other stakeholders</w:t>
      </w:r>
    </w:p>
    <w:p>
      <w:pPr>
        <w:spacing w:after="0" w:line="75" w:lineRule="exact"/>
        <w:rPr>
          <w:rFonts w:ascii="Arial" w:cs="Arial" w:eastAsia="Arial" w:hAnsi="Arial"/>
          <w:sz w:val="14"/>
          <w:szCs w:val="14"/>
          <w:b w:val="1"/>
          <w:bCs w:val="1"/>
          <w:color w:val="215AA8"/>
        </w:rPr>
      </w:pPr>
    </w:p>
    <w:p>
      <w:pPr>
        <w:ind w:left="166" w:hanging="166"/>
        <w:spacing w:after="0"/>
        <w:tabs>
          <w:tab w:leader="none" w:pos="166" w:val="left"/>
        </w:tabs>
        <w:numPr>
          <w:ilvl w:val="0"/>
          <w:numId w:val="41"/>
        </w:numPr>
        <w:rPr>
          <w:rFonts w:ascii="Arial" w:cs="Arial" w:eastAsia="Arial" w:hAnsi="Arial"/>
          <w:sz w:val="14"/>
          <w:szCs w:val="14"/>
          <w:b w:val="1"/>
          <w:bCs w:val="1"/>
          <w:color w:val="215AA8"/>
        </w:rPr>
      </w:pPr>
      <w:r>
        <w:rPr>
          <w:rFonts w:ascii="Arial" w:cs="Arial" w:eastAsia="Arial" w:hAnsi="Arial"/>
          <w:sz w:val="14"/>
          <w:szCs w:val="14"/>
          <w:color w:val="auto"/>
        </w:rPr>
        <w:t>Compliance program and data privacy</w:t>
      </w:r>
    </w:p>
    <w:p>
      <w:pPr>
        <w:spacing w:after="0" w:line="64" w:lineRule="exact"/>
        <w:rPr>
          <w:rFonts w:ascii="Arial" w:cs="Arial" w:eastAsia="Arial" w:hAnsi="Arial"/>
          <w:sz w:val="14"/>
          <w:szCs w:val="14"/>
          <w:b w:val="1"/>
          <w:bCs w:val="1"/>
          <w:color w:val="215AA8"/>
        </w:rPr>
      </w:pPr>
    </w:p>
    <w:p>
      <w:pPr>
        <w:ind w:left="166" w:hanging="166"/>
        <w:spacing w:after="0"/>
        <w:tabs>
          <w:tab w:leader="none" w:pos="166" w:val="left"/>
        </w:tabs>
        <w:numPr>
          <w:ilvl w:val="0"/>
          <w:numId w:val="41"/>
        </w:numPr>
        <w:rPr>
          <w:rFonts w:ascii="Arial" w:cs="Arial" w:eastAsia="Arial" w:hAnsi="Arial"/>
          <w:sz w:val="14"/>
          <w:szCs w:val="14"/>
          <w:b w:val="1"/>
          <w:bCs w:val="1"/>
          <w:color w:val="215AA8"/>
        </w:rPr>
      </w:pPr>
      <w:r>
        <w:rPr>
          <w:rFonts w:ascii="Arial" w:cs="Arial" w:eastAsia="Arial" w:hAnsi="Arial"/>
          <w:sz w:val="14"/>
          <w:szCs w:val="14"/>
          <w:color w:val="auto"/>
        </w:rPr>
        <w:t>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54610</wp:posOffset>
            </wp:positionV>
            <wp:extent cx="7155180" cy="146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30" w:space="414"/>
            <w:col w:w="8726"/>
          </w:cols>
          <w:pgMar w:left="310" w:top="215" w:right="319" w:bottom="1440" w:gutter="0" w:footer="0" w:header="0"/>
          <w:type w:val="continuous"/>
        </w:sectPr>
      </w:pPr>
    </w:p>
    <w:p>
      <w:pPr>
        <w:spacing w:after="0" w:line="162" w:lineRule="exact"/>
        <w:rPr>
          <w:sz w:val="20"/>
          <w:szCs w:val="20"/>
          <w:color w:val="auto"/>
        </w:rPr>
      </w:pPr>
    </w:p>
    <w:p>
      <w:pPr>
        <w:ind w:left="10"/>
        <w:spacing w:after="0"/>
        <w:rPr>
          <w:sz w:val="20"/>
          <w:szCs w:val="20"/>
          <w:color w:val="auto"/>
        </w:rPr>
      </w:pPr>
      <w:r>
        <w:rPr>
          <w:rFonts w:ascii="Arial" w:cs="Arial" w:eastAsia="Arial" w:hAnsi="Arial"/>
          <w:sz w:val="23"/>
          <w:szCs w:val="23"/>
          <w:b w:val="1"/>
          <w:bCs w:val="1"/>
          <w:color w:val="215AA8"/>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-64135</wp:posOffset>
            </wp:positionV>
            <wp:extent cx="5882640" cy="146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82640" cy="1460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type w:val="continuous"/>
        </w:sectPr>
      </w:pPr>
    </w:p>
    <w:p>
      <w:pPr>
        <w:spacing w:after="0" w:line="201"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Members</w:t>
      </w:r>
    </w:p>
    <w:p>
      <w:pPr>
        <w:spacing w:after="0" w:line="156" w:lineRule="exact"/>
        <w:rPr>
          <w:sz w:val="20"/>
          <w:szCs w:val="20"/>
          <w:color w:val="auto"/>
        </w:rPr>
      </w:pPr>
    </w:p>
    <w:p>
      <w:pPr>
        <w:ind w:left="10" w:right="480"/>
        <w:spacing w:after="0" w:line="237" w:lineRule="auto"/>
        <w:rPr>
          <w:sz w:val="20"/>
          <w:szCs w:val="20"/>
          <w:color w:val="auto"/>
        </w:rPr>
      </w:pPr>
      <w:r>
        <w:rPr>
          <w:rFonts w:ascii="Arial" w:cs="Arial" w:eastAsia="Arial" w:hAnsi="Arial"/>
          <w:sz w:val="14"/>
          <w:szCs w:val="14"/>
          <w:color w:val="auto"/>
        </w:rPr>
        <w:t xml:space="preserve">Michael S. Brown, M.D., </w:t>
      </w:r>
      <w:r>
        <w:rPr>
          <w:rFonts w:ascii="Arial" w:cs="Arial" w:eastAsia="Arial" w:hAnsi="Arial"/>
          <w:sz w:val="14"/>
          <w:szCs w:val="14"/>
          <w:i w:val="1"/>
          <w:iCs w:val="1"/>
          <w:color w:val="auto"/>
        </w:rPr>
        <w:t>Chair</w:t>
      </w:r>
      <w:r>
        <w:rPr>
          <w:rFonts w:ascii="Arial" w:cs="Arial" w:eastAsia="Arial" w:hAnsi="Arial"/>
          <w:sz w:val="14"/>
          <w:szCs w:val="14"/>
          <w:color w:val="auto"/>
        </w:rPr>
        <w:t xml:space="preserve"> Bonnie L. Bassler, Ph.D. Joseph L. Goldstein, M.D. David P. Schenkein, M.D. </w:t>
      </w:r>
      <w:r>
        <w:rPr>
          <w:rFonts w:ascii="Arial" w:cs="Arial" w:eastAsia="Arial" w:hAnsi="Arial"/>
          <w:sz w:val="14"/>
          <w:szCs w:val="14"/>
          <w:i w:val="1"/>
          <w:iCs w:val="1"/>
          <w:color w:val="auto"/>
        </w:rPr>
        <w:t xml:space="preserve">(since September 8, 2023) </w:t>
      </w:r>
      <w:r>
        <w:rPr>
          <w:rFonts w:ascii="Arial" w:cs="Arial" w:eastAsia="Arial" w:hAnsi="Arial"/>
          <w:sz w:val="14"/>
          <w:szCs w:val="14"/>
          <w:color w:val="auto"/>
        </w:rPr>
        <w:t>Craig B. Thompson, M.D. Huda Y. Zoghbi, M.D.</w:t>
      </w:r>
    </w:p>
    <w:p>
      <w:pPr>
        <w:ind w:left="10"/>
        <w:spacing w:after="0" w:line="239" w:lineRule="auto"/>
        <w:rPr>
          <w:sz w:val="20"/>
          <w:szCs w:val="20"/>
          <w:color w:val="auto"/>
        </w:rPr>
      </w:pPr>
      <w:r>
        <w:rPr>
          <w:rFonts w:ascii="Arial" w:cs="Arial" w:eastAsia="Arial" w:hAnsi="Arial"/>
          <w:sz w:val="13"/>
          <w:szCs w:val="13"/>
          <w:color w:val="auto"/>
        </w:rPr>
        <w:t>Leonard S. Schleifer, M.D., Ph.D.</w:t>
      </w:r>
      <w:r>
        <w:rPr>
          <w:rFonts w:ascii="Arial" w:cs="Arial" w:eastAsia="Arial" w:hAnsi="Arial"/>
          <w:sz w:val="21"/>
          <w:szCs w:val="21"/>
          <w:color w:val="auto"/>
          <w:vertAlign w:val="superscript"/>
        </w:rPr>
        <w:t>**</w:t>
      </w:r>
      <w:r>
        <w:rPr>
          <w:rFonts w:ascii="Arial" w:cs="Arial" w:eastAsia="Arial" w:hAnsi="Arial"/>
          <w:sz w:val="13"/>
          <w:szCs w:val="13"/>
          <w:color w:val="auto"/>
        </w:rPr>
        <w:t xml:space="preserve"> George D. Yancopoulos, M.D., Ph.D.</w:t>
      </w:r>
      <w:r>
        <w:rPr>
          <w:rFonts w:ascii="Arial" w:cs="Arial" w:eastAsia="Arial" w:hAnsi="Arial"/>
          <w:sz w:val="21"/>
          <w:szCs w:val="21"/>
          <w:color w:val="auto"/>
          <w:vertAlign w:val="superscript"/>
        </w:rPr>
        <w:t>**</w:t>
      </w:r>
    </w:p>
    <w:p>
      <w:pPr>
        <w:spacing w:after="0" w:line="48"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Number of Meetings Held in 2023</w:t>
      </w:r>
    </w:p>
    <w:p>
      <w:pPr>
        <w:spacing w:after="0" w:line="156" w:lineRule="exact"/>
        <w:rPr>
          <w:sz w:val="20"/>
          <w:szCs w:val="20"/>
          <w:color w:val="auto"/>
        </w:rPr>
      </w:pPr>
    </w:p>
    <w:p>
      <w:pPr>
        <w:ind w:left="1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215AA8"/>
        </w:rPr>
        <w:t>Key Functions of the Committee</w:t>
      </w:r>
    </w:p>
    <w:p>
      <w:pPr>
        <w:spacing w:after="0" w:line="156" w:lineRule="exact"/>
        <w:rPr>
          <w:sz w:val="20"/>
          <w:szCs w:val="20"/>
          <w:color w:val="auto"/>
        </w:rPr>
      </w:pPr>
    </w:p>
    <w:p>
      <w:pPr>
        <w:ind w:left="166" w:hanging="166"/>
        <w:spacing w:after="0"/>
        <w:tabs>
          <w:tab w:leader="none" w:pos="166" w:val="left"/>
        </w:tabs>
        <w:numPr>
          <w:ilvl w:val="0"/>
          <w:numId w:val="42"/>
        </w:numPr>
        <w:rPr>
          <w:rFonts w:ascii="Arial" w:cs="Arial" w:eastAsia="Arial" w:hAnsi="Arial"/>
          <w:sz w:val="14"/>
          <w:szCs w:val="14"/>
          <w:b w:val="1"/>
          <w:bCs w:val="1"/>
          <w:color w:val="215AA8"/>
        </w:rPr>
      </w:pPr>
      <w:r>
        <w:rPr>
          <w:rFonts w:ascii="Arial" w:cs="Arial" w:eastAsia="Arial" w:hAnsi="Arial"/>
          <w:sz w:val="14"/>
          <w:szCs w:val="14"/>
          <w:color w:val="auto"/>
        </w:rPr>
        <w:t>Oversee, review, and evaluate the Company’s research and clinical development programs, plans, and policies</w:t>
      </w:r>
    </w:p>
    <w:p>
      <w:pPr>
        <w:spacing w:after="0" w:line="75" w:lineRule="exact"/>
        <w:rPr>
          <w:rFonts w:ascii="Arial" w:cs="Arial" w:eastAsia="Arial" w:hAnsi="Arial"/>
          <w:sz w:val="14"/>
          <w:szCs w:val="14"/>
          <w:b w:val="1"/>
          <w:bCs w:val="1"/>
          <w:color w:val="215AA8"/>
        </w:rPr>
      </w:pPr>
    </w:p>
    <w:p>
      <w:pPr>
        <w:ind w:left="166" w:right="200" w:hanging="166"/>
        <w:spacing w:after="0" w:line="257" w:lineRule="auto"/>
        <w:tabs>
          <w:tab w:leader="none" w:pos="161" w:val="left"/>
        </w:tabs>
        <w:numPr>
          <w:ilvl w:val="0"/>
          <w:numId w:val="42"/>
        </w:numPr>
        <w:rPr>
          <w:rFonts w:ascii="Arial" w:cs="Arial" w:eastAsia="Arial" w:hAnsi="Arial"/>
          <w:sz w:val="14"/>
          <w:szCs w:val="14"/>
          <w:b w:val="1"/>
          <w:bCs w:val="1"/>
          <w:color w:val="215AA8"/>
        </w:rPr>
      </w:pPr>
      <w:r>
        <w:rPr>
          <w:rFonts w:ascii="Arial" w:cs="Arial" w:eastAsia="Arial" w:hAnsi="Arial"/>
          <w:sz w:val="14"/>
          <w:szCs w:val="14"/>
          <w:color w:val="auto"/>
        </w:rPr>
        <w:t>Identify and discuss emerging scientific and technology issues and trends, including their impact on Regeneron’s research and development programs, plans, or policies</w:t>
      </w:r>
    </w:p>
    <w:p>
      <w:pPr>
        <w:spacing w:after="0" w:line="49" w:lineRule="exact"/>
        <w:rPr>
          <w:rFonts w:ascii="Arial" w:cs="Arial" w:eastAsia="Arial" w:hAnsi="Arial"/>
          <w:sz w:val="14"/>
          <w:szCs w:val="14"/>
          <w:b w:val="1"/>
          <w:bCs w:val="1"/>
          <w:color w:val="215AA8"/>
        </w:rPr>
      </w:pPr>
    </w:p>
    <w:p>
      <w:pPr>
        <w:ind w:left="166" w:hanging="166"/>
        <w:spacing w:after="0"/>
        <w:tabs>
          <w:tab w:leader="none" w:pos="166" w:val="left"/>
        </w:tabs>
        <w:numPr>
          <w:ilvl w:val="0"/>
          <w:numId w:val="42"/>
        </w:numPr>
        <w:rPr>
          <w:rFonts w:ascii="Arial" w:cs="Arial" w:eastAsia="Arial" w:hAnsi="Arial"/>
          <w:sz w:val="14"/>
          <w:szCs w:val="14"/>
          <w:b w:val="1"/>
          <w:bCs w:val="1"/>
          <w:color w:val="215AA8"/>
        </w:rPr>
      </w:pPr>
      <w:r>
        <w:rPr>
          <w:rFonts w:ascii="Arial" w:cs="Arial" w:eastAsia="Arial" w:hAnsi="Arial"/>
          <w:sz w:val="14"/>
          <w:szCs w:val="14"/>
          <w:color w:val="auto"/>
        </w:rPr>
        <w:t>Identify and assess new leaders within research &amp; development and global development organizations</w:t>
      </w:r>
    </w:p>
    <w:p>
      <w:pPr>
        <w:spacing w:after="0" w:line="152"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215AA8"/>
        </w:rPr>
        <w:t>Recent Focus Areas</w:t>
      </w:r>
    </w:p>
    <w:p>
      <w:pPr>
        <w:spacing w:after="0" w:line="156" w:lineRule="exact"/>
        <w:rPr>
          <w:sz w:val="20"/>
          <w:szCs w:val="20"/>
          <w:color w:val="auto"/>
        </w:rPr>
      </w:pPr>
    </w:p>
    <w:p>
      <w:pPr>
        <w:ind w:left="166" w:hanging="166"/>
        <w:spacing w:after="0"/>
        <w:tabs>
          <w:tab w:leader="none" w:pos="166" w:val="left"/>
        </w:tabs>
        <w:numPr>
          <w:ilvl w:val="0"/>
          <w:numId w:val="43"/>
        </w:numPr>
        <w:rPr>
          <w:rFonts w:ascii="Arial" w:cs="Arial" w:eastAsia="Arial" w:hAnsi="Arial"/>
          <w:sz w:val="14"/>
          <w:szCs w:val="14"/>
          <w:b w:val="1"/>
          <w:bCs w:val="1"/>
          <w:color w:val="215AA8"/>
        </w:rPr>
      </w:pPr>
      <w:r>
        <w:rPr>
          <w:rFonts w:ascii="Arial" w:cs="Arial" w:eastAsia="Arial" w:hAnsi="Arial"/>
          <w:sz w:val="14"/>
          <w:szCs w:val="14"/>
          <w:color w:val="auto"/>
        </w:rPr>
        <w:t>The Company’s genetic medicine technologies and programs</w:t>
      </w:r>
    </w:p>
    <w:p>
      <w:pPr>
        <w:spacing w:after="0" w:line="64" w:lineRule="exact"/>
        <w:rPr>
          <w:rFonts w:ascii="Arial" w:cs="Arial" w:eastAsia="Arial" w:hAnsi="Arial"/>
          <w:sz w:val="14"/>
          <w:szCs w:val="14"/>
          <w:b w:val="1"/>
          <w:bCs w:val="1"/>
          <w:color w:val="215AA8"/>
        </w:rPr>
      </w:pPr>
    </w:p>
    <w:p>
      <w:pPr>
        <w:ind w:left="166" w:hanging="166"/>
        <w:spacing w:after="0"/>
        <w:tabs>
          <w:tab w:leader="none" w:pos="166" w:val="left"/>
        </w:tabs>
        <w:numPr>
          <w:ilvl w:val="0"/>
          <w:numId w:val="43"/>
        </w:numPr>
        <w:rPr>
          <w:rFonts w:ascii="Arial" w:cs="Arial" w:eastAsia="Arial" w:hAnsi="Arial"/>
          <w:sz w:val="14"/>
          <w:szCs w:val="14"/>
          <w:b w:val="1"/>
          <w:bCs w:val="1"/>
          <w:color w:val="215AA8"/>
        </w:rPr>
      </w:pPr>
      <w:r>
        <w:rPr>
          <w:rFonts w:ascii="Arial" w:cs="Arial" w:eastAsia="Arial" w:hAnsi="Arial"/>
          <w:sz w:val="14"/>
          <w:szCs w:val="14"/>
          <w:color w:val="auto"/>
        </w:rPr>
        <w:t>The Company’s immuno-oncology programs</w:t>
      </w:r>
    </w:p>
    <w:p>
      <w:pPr>
        <w:spacing w:after="0" w:line="75" w:lineRule="exact"/>
        <w:rPr>
          <w:rFonts w:ascii="Arial" w:cs="Arial" w:eastAsia="Arial" w:hAnsi="Arial"/>
          <w:sz w:val="14"/>
          <w:szCs w:val="14"/>
          <w:b w:val="1"/>
          <w:bCs w:val="1"/>
          <w:color w:val="215AA8"/>
        </w:rPr>
      </w:pPr>
    </w:p>
    <w:p>
      <w:pPr>
        <w:ind w:left="166" w:hanging="166"/>
        <w:spacing w:after="0"/>
        <w:tabs>
          <w:tab w:leader="none" w:pos="166" w:val="left"/>
        </w:tabs>
        <w:numPr>
          <w:ilvl w:val="0"/>
          <w:numId w:val="43"/>
        </w:numPr>
        <w:rPr>
          <w:rFonts w:ascii="Arial" w:cs="Arial" w:eastAsia="Arial" w:hAnsi="Arial"/>
          <w:sz w:val="13"/>
          <w:szCs w:val="13"/>
          <w:b w:val="1"/>
          <w:bCs w:val="1"/>
          <w:color w:val="215AA8"/>
        </w:rPr>
      </w:pPr>
      <w:r>
        <w:rPr>
          <w:rFonts w:ascii="Arial" w:cs="Arial" w:eastAsia="Arial" w:hAnsi="Arial"/>
          <w:sz w:val="13"/>
          <w:szCs w:val="13"/>
          <w:color w:val="auto"/>
        </w:rPr>
        <w:t>Recent advances and discoveries of the Regeneron Genetics Center</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and the Company’s research and preclinical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132080</wp:posOffset>
            </wp:positionV>
            <wp:extent cx="7155180" cy="146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2290" w:space="254"/>
            <w:col w:w="8726"/>
          </w:cols>
          <w:pgMar w:left="310" w:top="215" w:right="319" w:bottom="1440" w:gutter="0" w:footer="0" w:header="0"/>
          <w:type w:val="continuous"/>
        </w:sectPr>
      </w:pPr>
    </w:p>
    <w:p>
      <w:pPr>
        <w:spacing w:after="0" w:line="24" w:lineRule="exact"/>
        <w:rPr>
          <w:sz w:val="20"/>
          <w:szCs w:val="20"/>
          <w:color w:val="auto"/>
        </w:rPr>
      </w:pPr>
    </w:p>
    <w:p>
      <w:pPr>
        <w:ind w:left="350" w:right="20" w:hanging="350"/>
        <w:spacing w:after="0" w:line="270" w:lineRule="auto"/>
        <w:tabs>
          <w:tab w:leader="none" w:pos="35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full board retains oversight of the Company’s strategies and policies related to diversity, equity, and inclusion. See the subsection “The Company – Corporate Governance – Corporate Responsibility” for more information.</w:t>
      </w:r>
    </w:p>
    <w:p>
      <w:pPr>
        <w:spacing w:after="0" w:line="5" w:lineRule="exact"/>
        <w:rPr>
          <w:sz w:val="20"/>
          <w:szCs w:val="20"/>
          <w:color w:val="auto"/>
        </w:rPr>
      </w:pPr>
    </w:p>
    <w:p>
      <w:pPr>
        <w:ind w:left="350" w:hanging="350"/>
        <w:spacing w:after="0"/>
        <w:tabs>
          <w:tab w:leader="none" w:pos="35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 xml:space="preserve">Ex Officio </w:t>
      </w:r>
      <w:r>
        <w:rPr>
          <w:rFonts w:ascii="Arial" w:cs="Arial" w:eastAsia="Arial" w:hAnsi="Arial"/>
          <w:sz w:val="12"/>
          <w:szCs w:val="12"/>
          <w:color w:val="auto"/>
        </w:rPr>
        <w:t>Member.</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23</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type w:val="continuous"/>
        </w:sectPr>
      </w:pPr>
    </w:p>
    <w:bookmarkStart w:id="34" w:name="page35"/>
    <w:bookmarkEnd w:id="34"/>
    <w:tbl>
      <w:tblPr>
        <w:tblLayout w:type="fixed"/>
        <w:tblInd w:w="1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10"/>
        <w:spacing w:after="0"/>
        <w:rPr>
          <w:sz w:val="20"/>
          <w:szCs w:val="20"/>
          <w:color w:val="auto"/>
        </w:rPr>
      </w:pPr>
      <w:r>
        <w:rPr>
          <w:rFonts w:ascii="Arial" w:cs="Arial" w:eastAsia="Arial" w:hAnsi="Arial"/>
          <w:sz w:val="30"/>
          <w:szCs w:val="30"/>
          <w:b w:val="1"/>
          <w:bCs w:val="1"/>
          <w:color w:val="D60058"/>
        </w:rPr>
        <w:t>Board Governance</w:t>
      </w:r>
    </w:p>
    <w:p>
      <w:pPr>
        <w:spacing w:after="0" w:line="267"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Board Structure</w:t>
      </w:r>
    </w:p>
    <w:p>
      <w:pPr>
        <w:spacing w:after="0" w:line="271"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Board Classes</w:t>
      </w:r>
    </w:p>
    <w:p>
      <w:pPr>
        <w:spacing w:after="0" w:line="174" w:lineRule="exact"/>
        <w:rPr>
          <w:sz w:val="20"/>
          <w:szCs w:val="20"/>
          <w:color w:val="auto"/>
        </w:rPr>
      </w:pPr>
    </w:p>
    <w:p>
      <w:pPr>
        <w:ind w:left="10" w:right="100"/>
        <w:spacing w:after="0" w:line="246" w:lineRule="auto"/>
        <w:rPr>
          <w:sz w:val="20"/>
          <w:szCs w:val="20"/>
          <w:color w:val="auto"/>
        </w:rPr>
      </w:pPr>
      <w:r>
        <w:rPr>
          <w:rFonts w:ascii="Arial" w:cs="Arial" w:eastAsia="Arial" w:hAnsi="Arial"/>
          <w:sz w:val="14"/>
          <w:szCs w:val="14"/>
          <w:color w:val="auto"/>
        </w:rPr>
        <w:t>Pursuant to the Company’s Certificate of Incorporation, the board of directors is divided into three classes, denominated Class I, Class II, and Class III, with members of each class holding office for staggered three-year terms. There are currently four members in each of Class I and Class III and five members in Class II. The respective terms of the directors expire (in all cases, subject to the election and qualification of their successors and to their earlier death, resignation, or removal) as follows:</w:t>
      </w:r>
    </w:p>
    <w:p>
      <w:pPr>
        <w:spacing w:after="0" w:line="135" w:lineRule="exact"/>
        <w:rPr>
          <w:sz w:val="20"/>
          <w:szCs w:val="20"/>
          <w:color w:val="auto"/>
        </w:rPr>
      </w:pPr>
    </w:p>
    <w:p>
      <w:pPr>
        <w:ind w:left="230" w:hanging="230"/>
        <w:spacing w:after="0"/>
        <w:tabs>
          <w:tab w:leader="none" w:pos="230" w:val="left"/>
        </w:tabs>
        <w:numPr>
          <w:ilvl w:val="0"/>
          <w:numId w:val="46"/>
        </w:numPr>
        <w:rPr>
          <w:rFonts w:ascii="Arial" w:cs="Arial" w:eastAsia="Arial" w:hAnsi="Arial"/>
          <w:sz w:val="14"/>
          <w:szCs w:val="14"/>
          <w:b w:val="1"/>
          <w:bCs w:val="1"/>
          <w:color w:val="215AA8"/>
        </w:rPr>
      </w:pPr>
      <w:r>
        <w:rPr>
          <w:rFonts w:ascii="Arial" w:cs="Arial" w:eastAsia="Arial" w:hAnsi="Arial"/>
          <w:sz w:val="14"/>
          <w:szCs w:val="14"/>
          <w:color w:val="auto"/>
        </w:rPr>
        <w:t>The terms of the Class I Directors expire at the 2025 Annual Meeting;</w:t>
      </w:r>
    </w:p>
    <w:p>
      <w:pPr>
        <w:spacing w:after="0" w:line="64" w:lineRule="exact"/>
        <w:rPr>
          <w:rFonts w:ascii="Arial" w:cs="Arial" w:eastAsia="Arial" w:hAnsi="Arial"/>
          <w:sz w:val="14"/>
          <w:szCs w:val="14"/>
          <w:b w:val="1"/>
          <w:bCs w:val="1"/>
          <w:color w:val="215AA8"/>
        </w:rPr>
      </w:pPr>
    </w:p>
    <w:p>
      <w:pPr>
        <w:ind w:left="230"/>
        <w:spacing w:after="0"/>
        <w:rPr>
          <w:rFonts w:ascii="Arial" w:cs="Arial" w:eastAsia="Arial" w:hAnsi="Arial"/>
          <w:sz w:val="14"/>
          <w:szCs w:val="14"/>
          <w:b w:val="1"/>
          <w:bCs w:val="1"/>
          <w:color w:val="215AA8"/>
        </w:rPr>
      </w:pPr>
      <w:r>
        <w:rPr>
          <w:rFonts w:ascii="Arial" w:cs="Arial" w:eastAsia="Arial" w:hAnsi="Arial"/>
          <w:sz w:val="12"/>
          <w:szCs w:val="12"/>
          <w:color w:val="auto"/>
        </w:rPr>
        <w:t>The terms of the Class II Directors (other than Dr. Schenkein, who was elected as a Class II Director in September 2023 and whose term expires at the 2024 Annual Meeting) expire at</w:t>
      </w:r>
    </w:p>
    <w:p>
      <w:pPr>
        <w:spacing w:after="0" w:line="31" w:lineRule="exact"/>
        <w:rPr>
          <w:rFonts w:ascii="Arial" w:cs="Arial" w:eastAsia="Arial" w:hAnsi="Arial"/>
          <w:sz w:val="14"/>
          <w:szCs w:val="14"/>
          <w:b w:val="1"/>
          <w:bCs w:val="1"/>
          <w:color w:val="215AA8"/>
        </w:rPr>
      </w:pPr>
    </w:p>
    <w:p>
      <w:pPr>
        <w:ind w:left="230" w:hanging="230"/>
        <w:spacing w:after="0"/>
        <w:tabs>
          <w:tab w:leader="none" w:pos="230" w:val="left"/>
        </w:tabs>
        <w:numPr>
          <w:ilvl w:val="0"/>
          <w:numId w:val="46"/>
        </w:numPr>
        <w:rPr>
          <w:rFonts w:ascii="Arial" w:cs="Arial" w:eastAsia="Arial" w:hAnsi="Arial"/>
          <w:sz w:val="14"/>
          <w:szCs w:val="14"/>
          <w:b w:val="1"/>
          <w:bCs w:val="1"/>
          <w:color w:val="215AA8"/>
        </w:rPr>
      </w:pPr>
      <w:r>
        <w:rPr>
          <w:rFonts w:ascii="Arial" w:cs="Arial" w:eastAsia="Arial" w:hAnsi="Arial"/>
          <w:sz w:val="14"/>
          <w:szCs w:val="14"/>
          <w:color w:val="auto"/>
        </w:rPr>
        <w:t>the 2026 Annual Meeting; and</w:t>
      </w:r>
    </w:p>
    <w:p>
      <w:pPr>
        <w:spacing w:after="0" w:line="52" w:lineRule="exact"/>
        <w:rPr>
          <w:rFonts w:ascii="Arial" w:cs="Arial" w:eastAsia="Arial" w:hAnsi="Arial"/>
          <w:sz w:val="14"/>
          <w:szCs w:val="14"/>
          <w:b w:val="1"/>
          <w:bCs w:val="1"/>
          <w:color w:val="215AA8"/>
        </w:rPr>
      </w:pPr>
    </w:p>
    <w:p>
      <w:pPr>
        <w:ind w:left="230" w:hanging="230"/>
        <w:spacing w:after="0"/>
        <w:tabs>
          <w:tab w:leader="none" w:pos="230" w:val="left"/>
        </w:tabs>
        <w:numPr>
          <w:ilvl w:val="0"/>
          <w:numId w:val="46"/>
        </w:numPr>
        <w:rPr>
          <w:rFonts w:ascii="Arial" w:cs="Arial" w:eastAsia="Arial" w:hAnsi="Arial"/>
          <w:sz w:val="14"/>
          <w:szCs w:val="14"/>
          <w:color w:val="215AA8"/>
        </w:rPr>
      </w:pPr>
      <w:r>
        <w:rPr>
          <w:rFonts w:ascii="Arial" w:cs="Arial" w:eastAsia="Arial" w:hAnsi="Arial"/>
          <w:sz w:val="14"/>
          <w:szCs w:val="14"/>
          <w:color w:val="auto"/>
        </w:rPr>
        <w:t>The terms of the Class III Directors expire at the 2024 Annual Meeting.</w:t>
      </w:r>
    </w:p>
    <w:p>
      <w:pPr>
        <w:spacing w:after="0" w:line="245"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Rationale for Board Structure</w:t>
      </w:r>
    </w:p>
    <w:p>
      <w:pPr>
        <w:spacing w:after="0" w:line="174" w:lineRule="exact"/>
        <w:rPr>
          <w:sz w:val="20"/>
          <w:szCs w:val="20"/>
          <w:color w:val="auto"/>
        </w:rPr>
      </w:pPr>
    </w:p>
    <w:p>
      <w:pPr>
        <w:ind w:left="10" w:right="20"/>
        <w:spacing w:after="0" w:line="238" w:lineRule="auto"/>
        <w:rPr>
          <w:sz w:val="20"/>
          <w:szCs w:val="20"/>
          <w:color w:val="auto"/>
        </w:rPr>
      </w:pPr>
      <w:r>
        <w:rPr>
          <w:rFonts w:ascii="Arial" w:cs="Arial" w:eastAsia="Arial" w:hAnsi="Arial"/>
          <w:sz w:val="14"/>
          <w:szCs w:val="14"/>
          <w:color w:val="auto"/>
        </w:rPr>
        <w:t>Regeneron operates with the long-term outlook required to turn rigorous scientific research into important new medicines. To deliver on this mission, we manage our business for the long term and pursue our core strategy of creating and advancing a high-quality, internally developed product pipeline. In response to shareholder feedback, in January 2023 the Corporate Governance and Compliance Committee requested, reviewed, and discussed a detailed analysis of the costs and benefits of the Company’s classified board structure in order to facilitate the Committee’s continued consideration of this feature of Regeneron’s governance. Following this review, at present the board and the Committee continue to believe that the classified board structure aligns with the Company’s long-term orientation and enables the board to provide appropriate and expert oversight of management over the course of the development cycle of our products, which the board believes ultimately drives the creation of sustainable shareholder value. Furthermore, the board believes three-year terms enhance the independence of our non-employee directors by providing continuity of service and protecting them against potential pressures from special interest groups or others who might have an agenda contrary to the long-term interests of shareholders. The board and/or the Committee will periodically review and continue to consider whether the classified board structure aligns with the Company’s long-term strategic objectives.</w:t>
      </w:r>
    </w:p>
    <w:p>
      <w:pPr>
        <w:spacing w:after="0" w:line="223"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Board Meetings and Attendance of Directors</w:t>
      </w:r>
    </w:p>
    <w:p>
      <w:pPr>
        <w:spacing w:after="0" w:line="271"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Board Meetings</w:t>
      </w:r>
    </w:p>
    <w:p>
      <w:pPr>
        <w:spacing w:after="0" w:line="174" w:lineRule="exact"/>
        <w:rPr>
          <w:sz w:val="20"/>
          <w:szCs w:val="20"/>
          <w:color w:val="auto"/>
        </w:rPr>
      </w:pPr>
    </w:p>
    <w:p>
      <w:pPr>
        <w:ind w:left="10" w:right="120"/>
        <w:spacing w:after="0" w:line="246" w:lineRule="auto"/>
        <w:rPr>
          <w:sz w:val="20"/>
          <w:szCs w:val="20"/>
          <w:color w:val="auto"/>
        </w:rPr>
      </w:pPr>
      <w:r>
        <w:rPr>
          <w:rFonts w:ascii="Arial" w:cs="Arial" w:eastAsia="Arial" w:hAnsi="Arial"/>
          <w:sz w:val="14"/>
          <w:szCs w:val="14"/>
          <w:color w:val="auto"/>
        </w:rPr>
        <w:t>The board held 6 meetings in 2023, of which five were regular meetings and one was a special meeting. The Regeneron Board of Directors Corporate Governance Guidelines provide that directors are expected to attend all or substantially all meetings of the board and the committees on which they serve. All directors in office at that time attended at least 75% of the total number of meetings of the board and committees of the board on which they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92710</wp:posOffset>
            </wp:positionV>
            <wp:extent cx="5360670" cy="7575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360670" cy="75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Annual Shareholder Meetings</w:t>
      </w:r>
    </w:p>
    <w:p>
      <w:pPr>
        <w:spacing w:after="0" w:line="174" w:lineRule="exact"/>
        <w:rPr>
          <w:sz w:val="20"/>
          <w:szCs w:val="20"/>
          <w:color w:val="auto"/>
        </w:rPr>
      </w:pPr>
    </w:p>
    <w:p>
      <w:pPr>
        <w:ind w:left="10" w:right="140"/>
        <w:spacing w:after="0" w:line="257" w:lineRule="auto"/>
        <w:rPr>
          <w:sz w:val="20"/>
          <w:szCs w:val="20"/>
          <w:color w:val="auto"/>
        </w:rPr>
      </w:pPr>
      <w:r>
        <w:rPr>
          <w:rFonts w:ascii="Arial" w:cs="Arial" w:eastAsia="Arial" w:hAnsi="Arial"/>
          <w:sz w:val="14"/>
          <w:szCs w:val="14"/>
          <w:color w:val="auto"/>
        </w:rPr>
        <w:t>According to the Regeneron Board of Directors Corporate Governance Guidelines, board members are expected to attend the Company’s Annual Meeting of Shareholders. All directors in office at that time attended our 2023 Annual Meeting of Shareholders.</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24</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Director Refreshment Philosophy</w:t>
      </w:r>
    </w:p>
    <w:p>
      <w:pPr>
        <w:spacing w:after="0" w:line="180" w:lineRule="exact"/>
        <w:rPr>
          <w:sz w:val="20"/>
          <w:szCs w:val="20"/>
          <w:color w:val="auto"/>
        </w:rPr>
      </w:pPr>
    </w:p>
    <w:p>
      <w:pPr>
        <w:ind w:left="10" w:right="120"/>
        <w:spacing w:after="0" w:line="238" w:lineRule="auto"/>
        <w:rPr>
          <w:sz w:val="20"/>
          <w:szCs w:val="20"/>
          <w:color w:val="auto"/>
        </w:rPr>
      </w:pPr>
      <w:r>
        <w:rPr>
          <w:rFonts w:ascii="Arial" w:cs="Arial" w:eastAsia="Arial" w:hAnsi="Arial"/>
          <w:sz w:val="14"/>
          <w:szCs w:val="14"/>
          <w:color w:val="auto"/>
        </w:rPr>
        <w:t>The board and the Corporate Governance and Compliance Committee strive to ensure that our board is comprised of highly qualified directors with diverse skillsets and backgrounds who will serve as stewards of investor capital and drive the Company’s scientific focus to ensure the continued creation of long-term shareholder value. The objective of the Committee’s continued assessment of the composition of our board is to have a board that as a whole possesses the mix of skills and experiences to provide effective oversight and guidance to management to execute on the Company’s long-term strategy. The Committee’s refreshment philosophy prioritizes skills that it considers important and desirable based on the Company’s current needs and business priorities, while recognizing that our board members must have predominantly science-based backgrounds to effectively provide robust, independent oversight of management. The Committee also works to ensure that various members of the board bring substantial governance, financial, policy, and management expertise gained from their professional backgrounds and their service on other boards.</w:t>
      </w:r>
    </w:p>
    <w:p>
      <w:pPr>
        <w:spacing w:after="0" w:line="143" w:lineRule="exact"/>
        <w:rPr>
          <w:sz w:val="20"/>
          <w:szCs w:val="20"/>
          <w:color w:val="auto"/>
        </w:rPr>
      </w:pPr>
    </w:p>
    <w:p>
      <w:pPr>
        <w:ind w:left="10" w:right="20"/>
        <w:spacing w:after="0" w:line="287" w:lineRule="auto"/>
        <w:rPr>
          <w:sz w:val="20"/>
          <w:szCs w:val="20"/>
          <w:color w:val="auto"/>
        </w:rPr>
      </w:pPr>
      <w:r>
        <w:rPr>
          <w:rFonts w:ascii="Arial" w:cs="Arial" w:eastAsia="Arial" w:hAnsi="Arial"/>
          <w:sz w:val="12"/>
          <w:szCs w:val="12"/>
          <w:color w:val="auto"/>
        </w:rPr>
        <w:t>The Committee believes it is desirable to maintain a mix of longer-tenured, experienced directors who have developed enhanced knowledge and understanding of, and valuable insight into, the Company and its operations and newer directors with fresh perspectives. As a result, we do not impose director tenure limits or a mandatory retirement age. The Committee has considered the perspectives of some shareholders regarding longer-tenured directors but believes that longer-serving directors with experience and institutional knowledge bring critical skills to the boardroom. In particular, the Committee believes that continuity on the board allows for longer-tenured directors to make meaningful contributions and provide effective oversight of management during the complete drug discovery and development cycle. Accordingly, while director tenure is taken into consideration when evaluating the board’s composition, the Committee believes that imposing arbitrary limits on director tenure would deprive the board of the valuable contributions of its most experienced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78105</wp:posOffset>
            </wp:positionV>
            <wp:extent cx="5318125" cy="1672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1812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
        <w:spacing w:after="0"/>
        <w:rPr>
          <w:sz w:val="20"/>
          <w:szCs w:val="20"/>
          <w:color w:val="auto"/>
        </w:rPr>
      </w:pPr>
      <w:r>
        <w:rPr>
          <w:rFonts w:ascii="Arial" w:cs="Arial" w:eastAsia="Arial" w:hAnsi="Arial"/>
          <w:sz w:val="14"/>
          <w:szCs w:val="14"/>
          <w:color w:val="auto"/>
        </w:rPr>
        <w:t>To ensure a robust approach to director suitability, evaluation, and refreshment, the Committee has adopted refreshment mechanisms that include the following:</w:t>
      </w:r>
    </w:p>
    <w:p>
      <w:pPr>
        <w:spacing w:after="0" w:line="154" w:lineRule="exact"/>
        <w:rPr>
          <w:sz w:val="20"/>
          <w:szCs w:val="20"/>
          <w:color w:val="auto"/>
        </w:rPr>
      </w:pPr>
    </w:p>
    <w:p>
      <w:pPr>
        <w:ind w:left="230" w:hanging="230"/>
        <w:spacing w:after="0"/>
        <w:tabs>
          <w:tab w:leader="none" w:pos="230" w:val="left"/>
        </w:tabs>
        <w:numPr>
          <w:ilvl w:val="0"/>
          <w:numId w:val="47"/>
        </w:numPr>
        <w:rPr>
          <w:rFonts w:ascii="Arial" w:cs="Arial" w:eastAsia="Arial" w:hAnsi="Arial"/>
          <w:sz w:val="14"/>
          <w:szCs w:val="14"/>
          <w:b w:val="1"/>
          <w:bCs w:val="1"/>
          <w:color w:val="215AA8"/>
        </w:rPr>
      </w:pPr>
      <w:r>
        <w:rPr>
          <w:rFonts w:ascii="Arial" w:cs="Arial" w:eastAsia="Arial" w:hAnsi="Arial"/>
          <w:sz w:val="14"/>
          <w:szCs w:val="14"/>
          <w:color w:val="auto"/>
        </w:rPr>
        <w:t>A formal annual board and committee self-evaluation, as discussed further below;</w:t>
      </w:r>
    </w:p>
    <w:p>
      <w:pPr>
        <w:spacing w:after="0" w:line="64" w:lineRule="exact"/>
        <w:rPr>
          <w:rFonts w:ascii="Arial" w:cs="Arial" w:eastAsia="Arial" w:hAnsi="Arial"/>
          <w:sz w:val="14"/>
          <w:szCs w:val="14"/>
          <w:b w:val="1"/>
          <w:bCs w:val="1"/>
          <w:color w:val="215AA8"/>
        </w:rPr>
      </w:pPr>
    </w:p>
    <w:p>
      <w:pPr>
        <w:ind w:left="230" w:hanging="230"/>
        <w:spacing w:after="0"/>
        <w:tabs>
          <w:tab w:leader="none" w:pos="230" w:val="left"/>
        </w:tabs>
        <w:numPr>
          <w:ilvl w:val="0"/>
          <w:numId w:val="47"/>
        </w:numPr>
        <w:rPr>
          <w:rFonts w:ascii="Arial" w:cs="Arial" w:eastAsia="Arial" w:hAnsi="Arial"/>
          <w:sz w:val="14"/>
          <w:szCs w:val="14"/>
          <w:b w:val="1"/>
          <w:bCs w:val="1"/>
          <w:color w:val="215AA8"/>
        </w:rPr>
      </w:pPr>
      <w:r>
        <w:rPr>
          <w:rFonts w:ascii="Arial" w:cs="Arial" w:eastAsia="Arial" w:hAnsi="Arial"/>
          <w:sz w:val="14"/>
          <w:szCs w:val="14"/>
          <w:color w:val="auto"/>
        </w:rPr>
        <w:t>A requirement to offer resignation upon a material change in principal employment; and</w:t>
      </w:r>
    </w:p>
    <w:p>
      <w:pPr>
        <w:spacing w:after="0" w:line="64" w:lineRule="exact"/>
        <w:rPr>
          <w:rFonts w:ascii="Arial" w:cs="Arial" w:eastAsia="Arial" w:hAnsi="Arial"/>
          <w:sz w:val="14"/>
          <w:szCs w:val="14"/>
          <w:b w:val="1"/>
          <w:bCs w:val="1"/>
          <w:color w:val="215AA8"/>
        </w:rPr>
      </w:pPr>
    </w:p>
    <w:p>
      <w:pPr>
        <w:ind w:left="230" w:right="140" w:hanging="230"/>
        <w:spacing w:after="0" w:line="257" w:lineRule="auto"/>
        <w:tabs>
          <w:tab w:leader="none" w:pos="230" w:val="left"/>
        </w:tabs>
        <w:numPr>
          <w:ilvl w:val="0"/>
          <w:numId w:val="47"/>
        </w:numPr>
        <w:rPr>
          <w:rFonts w:ascii="Arial" w:cs="Arial" w:eastAsia="Arial" w:hAnsi="Arial"/>
          <w:sz w:val="14"/>
          <w:szCs w:val="14"/>
          <w:color w:val="215AA8"/>
        </w:rPr>
      </w:pPr>
      <w:r>
        <w:rPr>
          <w:rFonts w:ascii="Arial" w:cs="Arial" w:eastAsia="Arial" w:hAnsi="Arial"/>
          <w:sz w:val="14"/>
          <w:szCs w:val="14"/>
          <w:color w:val="auto"/>
        </w:rPr>
        <w:t>A policy formalized in the Regeneron Board of Directors Corporate Governance Guidelines (reviewed annually) that limits director service to no more than four public boards (including Regeneron) and requires notification prior to appointment to another public or for-profit company board (the “director time commitment policy”).</w:t>
      </w:r>
    </w:p>
    <w:p>
      <w:pPr>
        <w:spacing w:after="0" w:line="128" w:lineRule="exact"/>
        <w:rPr>
          <w:sz w:val="20"/>
          <w:szCs w:val="20"/>
          <w:color w:val="auto"/>
        </w:rPr>
      </w:pPr>
    </w:p>
    <w:p>
      <w:pPr>
        <w:ind w:left="10" w:right="80"/>
        <w:spacing w:after="0" w:line="282" w:lineRule="auto"/>
        <w:rPr>
          <w:sz w:val="20"/>
          <w:szCs w:val="20"/>
          <w:color w:val="auto"/>
        </w:rPr>
      </w:pPr>
      <w:r>
        <w:rPr>
          <w:rFonts w:ascii="Arial" w:cs="Arial" w:eastAsia="Arial" w:hAnsi="Arial"/>
          <w:sz w:val="12"/>
          <w:szCs w:val="12"/>
          <w:color w:val="auto"/>
        </w:rPr>
        <w:t>In 2023, Drs. Guarini and Schenkein were elected as members of the board of directors. Dr. Guarini is an experienced business leader with extensive knowledge in the areas of information technology, data security, and artificial intelligence. Her expertise in the technology field, including with respect to digital technologies that facilitate business objectives, will be an asset as</w:t>
      </w:r>
    </w:p>
    <w:p>
      <w:pPr>
        <w:spacing w:after="0" w:line="1" w:lineRule="exact"/>
        <w:rPr>
          <w:sz w:val="20"/>
          <w:szCs w:val="20"/>
          <w:color w:val="auto"/>
        </w:rPr>
      </w:pPr>
    </w:p>
    <w:p>
      <w:pPr>
        <w:ind w:left="10" w:right="60"/>
        <w:spacing w:after="0" w:line="224" w:lineRule="auto"/>
        <w:rPr>
          <w:sz w:val="20"/>
          <w:szCs w:val="20"/>
          <w:color w:val="auto"/>
        </w:rPr>
      </w:pPr>
      <w:r>
        <w:rPr>
          <w:rFonts w:ascii="Arial" w:cs="Arial" w:eastAsia="Arial" w:hAnsi="Arial"/>
          <w:sz w:val="14"/>
          <w:szCs w:val="14"/>
          <w:color w:val="auto"/>
        </w:rPr>
        <w:t>the Company continues to utilize its homegrown and other technologies to analyze data (including human genomics data by the Regeneron Genetics Center</w:t>
      </w:r>
      <w:r>
        <w:rPr>
          <w:rFonts w:ascii="Arial" w:cs="Arial" w:eastAsia="Arial" w:hAnsi="Arial"/>
          <w:sz w:val="22"/>
          <w:szCs w:val="22"/>
          <w:color w:val="auto"/>
          <w:vertAlign w:val="superscript"/>
        </w:rPr>
        <w:t>®</w:t>
      </w:r>
      <w:r>
        <w:rPr>
          <w:rFonts w:ascii="Arial" w:cs="Arial" w:eastAsia="Arial" w:hAnsi="Arial"/>
          <w:sz w:val="14"/>
          <w:szCs w:val="14"/>
          <w:color w:val="auto"/>
        </w:rPr>
        <w:t>) to support research and development efforts. Her election has also strengthened the board’s diversity, delivering on the previously announced goal of increasing board gender diversity to over 30%. Dr. Schenkein is a renowned healthcare business leader with extensive leadership experience as an executive and corporate director in the pharmaceutical and healthcare industries. He has also been a hematologist and medical oncologist for more than 30 years and has extensive academic experience in these fields. His distinguished career, physician-scientist background, and expertise in hematology/oncology will be assets to the Company as we continue to expand our oncology programs. Dr. Guarini was recommended for consideration as a director candidate by a third-party search firm; and Dr. Schenkein was recommended for consideration as a director candidate by our CEO and CSO.</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25</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10"/>
        <w:spacing w:after="0"/>
        <w:rPr>
          <w:sz w:val="20"/>
          <w:szCs w:val="20"/>
          <w:color w:val="auto"/>
        </w:rPr>
      </w:pPr>
      <w:r>
        <w:rPr>
          <w:rFonts w:ascii="Arial" w:cs="Arial" w:eastAsia="Arial" w:hAnsi="Arial"/>
          <w:sz w:val="14"/>
          <w:szCs w:val="14"/>
          <w:color w:val="auto"/>
        </w:rPr>
        <w:t>As shown below, in the last 18 months, three new directors have joined Regeneron’s board of directors and two directors have retired, resulting in significant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104775</wp:posOffset>
            </wp:positionV>
            <wp:extent cx="5360670" cy="1665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60670" cy="1665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Procedures Relating to Nominees; Board Succession Planning</w:t>
      </w:r>
    </w:p>
    <w:p>
      <w:pPr>
        <w:spacing w:after="0" w:line="180" w:lineRule="exact"/>
        <w:rPr>
          <w:sz w:val="20"/>
          <w:szCs w:val="20"/>
          <w:color w:val="auto"/>
        </w:rPr>
      </w:pPr>
    </w:p>
    <w:p>
      <w:pPr>
        <w:ind w:left="10" w:right="220"/>
        <w:spacing w:after="0" w:line="246" w:lineRule="auto"/>
        <w:rPr>
          <w:sz w:val="20"/>
          <w:szCs w:val="20"/>
          <w:color w:val="auto"/>
        </w:rPr>
      </w:pPr>
      <w:r>
        <w:rPr>
          <w:rFonts w:ascii="Arial" w:cs="Arial" w:eastAsia="Arial" w:hAnsi="Arial"/>
          <w:sz w:val="14"/>
          <w:szCs w:val="14"/>
          <w:color w:val="auto"/>
        </w:rPr>
        <w:t xml:space="preserve">The Corporate Governance and Compliance Committee will consider a nominee for election to the board of directors recommended by a shareholder of record if the shareholder submits the recommendation in compliance with the requirements of our Guidelines Regarding Director Nominations, which are available on our website at </w:t>
      </w:r>
      <w:r>
        <w:rPr>
          <w:rFonts w:ascii="Arial" w:cs="Arial" w:eastAsia="Arial" w:hAnsi="Arial"/>
          <w:sz w:val="14"/>
          <w:szCs w:val="14"/>
          <w:b w:val="1"/>
          <w:bCs w:val="1"/>
          <w:color w:val="auto"/>
        </w:rPr>
        <w:t>www.regeneron.com</w:t>
      </w:r>
      <w:r>
        <w:rPr>
          <w:rFonts w:ascii="Arial" w:cs="Arial" w:eastAsia="Arial" w:hAnsi="Arial"/>
          <w:sz w:val="14"/>
          <w:szCs w:val="14"/>
          <w:color w:val="auto"/>
        </w:rPr>
        <w:t xml:space="preserve"> under the “Corporate Governance” heading on the “Investors &amp; Media” page.</w:t>
      </w:r>
    </w:p>
    <w:p>
      <w:pPr>
        <w:spacing w:after="0" w:line="135" w:lineRule="exact"/>
        <w:rPr>
          <w:sz w:val="20"/>
          <w:szCs w:val="20"/>
          <w:color w:val="auto"/>
        </w:rPr>
      </w:pPr>
    </w:p>
    <w:p>
      <w:pPr>
        <w:ind w:left="10"/>
        <w:spacing w:after="0"/>
        <w:rPr>
          <w:sz w:val="20"/>
          <w:szCs w:val="20"/>
          <w:color w:val="auto"/>
        </w:rPr>
      </w:pPr>
      <w:r>
        <w:rPr>
          <w:rFonts w:ascii="Arial" w:cs="Arial" w:eastAsia="Arial" w:hAnsi="Arial"/>
          <w:sz w:val="14"/>
          <w:szCs w:val="14"/>
          <w:color w:val="auto"/>
        </w:rPr>
        <w:t>In considering potential candidates for the board of directors, the Corporate Governance and Compliance Committee considers factors such as whether or not a potential candidate:</w:t>
      </w:r>
    </w:p>
    <w:p>
      <w:pPr>
        <w:spacing w:after="0" w:line="9" w:lineRule="exact"/>
        <w:rPr>
          <w:sz w:val="20"/>
          <w:szCs w:val="20"/>
          <w:color w:val="auto"/>
        </w:rPr>
      </w:pPr>
    </w:p>
    <w:p>
      <w:pPr>
        <w:ind w:left="10" w:right="60" w:hanging="10"/>
        <w:spacing w:after="0" w:line="289" w:lineRule="auto"/>
        <w:tabs>
          <w:tab w:leader="none" w:pos="213" w:val="left"/>
        </w:tabs>
        <w:numPr>
          <w:ilvl w:val="0"/>
          <w:numId w:val="48"/>
        </w:numPr>
        <w:rPr>
          <w:rFonts w:ascii="Arial" w:cs="Arial" w:eastAsia="Arial" w:hAnsi="Arial"/>
          <w:sz w:val="12"/>
          <w:szCs w:val="12"/>
          <w:color w:val="auto"/>
        </w:rPr>
      </w:pPr>
      <w:r>
        <w:rPr>
          <w:rFonts w:ascii="Arial" w:cs="Arial" w:eastAsia="Arial" w:hAnsi="Arial"/>
          <w:sz w:val="12"/>
          <w:szCs w:val="12"/>
          <w:color w:val="auto"/>
        </w:rPr>
        <w:t>possesses relevant expertise; (2) brings skills and experience complementary to those of the other members of the board; (3) has sufficient time to devote to the affairs of the Company (including whether such candidate complies with the director time commitment policy); (4) has demonstrated excellence in his or her field; (5) has the ability to exercise sound business judgment; (6) has the commitment to rigorously represent the long-term interests of the Company’s shareholders; (7) possesses a diverse background and experience, including with respect to race, age, and gender; and (8) should be recommended in light of such other factors as the Corporate Governance and Compliance Committee may determine from time to time.</w:t>
      </w:r>
    </w:p>
    <w:p>
      <w:pPr>
        <w:spacing w:after="0" w:line="111" w:lineRule="exact"/>
        <w:rPr>
          <w:sz w:val="20"/>
          <w:szCs w:val="20"/>
          <w:color w:val="auto"/>
        </w:rPr>
      </w:pPr>
    </w:p>
    <w:p>
      <w:pPr>
        <w:ind w:left="10" w:right="120"/>
        <w:spacing w:after="0" w:line="239" w:lineRule="auto"/>
        <w:rPr>
          <w:sz w:val="20"/>
          <w:szCs w:val="20"/>
          <w:color w:val="auto"/>
        </w:rPr>
      </w:pPr>
      <w:r>
        <w:rPr>
          <w:rFonts w:ascii="Arial" w:cs="Arial" w:eastAsia="Arial" w:hAnsi="Arial"/>
          <w:sz w:val="14"/>
          <w:szCs w:val="14"/>
          <w:color w:val="auto"/>
        </w:rPr>
        <w:t>Candidates for director are reviewed in the context of the current composition of the board of directors, the operating requirements of the Company, and the long-term interests of shareholders. In conducting the assessment, the Committee considers the individual’s independence, experience, skills, background, and 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141" w:lineRule="exact"/>
        <w:rPr>
          <w:sz w:val="20"/>
          <w:szCs w:val="20"/>
          <w:color w:val="auto"/>
        </w:rPr>
      </w:pPr>
    </w:p>
    <w:p>
      <w:pPr>
        <w:ind w:left="10" w:right="100"/>
        <w:spacing w:after="0" w:line="242" w:lineRule="auto"/>
        <w:rPr>
          <w:sz w:val="20"/>
          <w:szCs w:val="20"/>
          <w:color w:val="auto"/>
        </w:rPr>
      </w:pPr>
      <w:r>
        <w:rPr>
          <w:rFonts w:ascii="Arial" w:cs="Arial" w:eastAsia="Arial" w:hAnsi="Arial"/>
          <w:sz w:val="14"/>
          <w:szCs w:val="14"/>
          <w:color w:val="auto"/>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our Corporate Governance Guidelines, applicable listing standards of the Nasdaq Stock Market LLC, and applicable SEC and other relevant rules and regulations, if necessary.</w:t>
      </w:r>
    </w:p>
    <w:p>
      <w:pPr>
        <w:spacing w:after="0" w:line="139" w:lineRule="exact"/>
        <w:rPr>
          <w:sz w:val="20"/>
          <w:szCs w:val="20"/>
          <w:color w:val="auto"/>
        </w:rPr>
      </w:pPr>
    </w:p>
    <w:p>
      <w:pPr>
        <w:ind w:left="10" w:right="40"/>
        <w:spacing w:after="0" w:line="287" w:lineRule="auto"/>
        <w:rPr>
          <w:sz w:val="20"/>
          <w:szCs w:val="20"/>
          <w:color w:val="auto"/>
        </w:rPr>
      </w:pPr>
      <w:r>
        <w:rPr>
          <w:rFonts w:ascii="Arial" w:cs="Arial" w:eastAsia="Arial" w:hAnsi="Arial"/>
          <w:sz w:val="12"/>
          <w:szCs w:val="12"/>
          <w:color w:val="auto"/>
        </w:rPr>
        <w:t>The Corporate Governance and Compliance Committee may employ a variety of methods for identifying and evaluating nominees for the board of directors. In addition,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 any search firm will affirmatively be instructed to seek to include diverse candidates. Candidates recommended by shareholders will be evaluated on the same basis as candidates recommended by our directors or management or by third-party search firms or other sources. Candidates may be evaluated at regular or special meetings of the Corporate Governance and Compliance Committee. The Committee also considers succession planning for board and committee chairs for purposes of continuity and to maintain relevant expertise and depth of experience.</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26</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37" w:name="page38"/>
    <w:bookmarkEnd w:id="37"/>
    <w:p>
      <w:pPr>
        <w:spacing w:after="0"/>
        <w:rPr>
          <w:sz w:val="20"/>
          <w:szCs w:val="20"/>
          <w:color w:val="auto"/>
        </w:rPr>
      </w:pPr>
      <w:r>
        <w:rPr>
          <w:rFonts w:ascii="Arial" w:cs="Arial" w:eastAsia="Arial" w:hAnsi="Arial"/>
          <w:sz w:val="11"/>
          <w:szCs w:val="11"/>
          <w:b w:val="1"/>
          <w:bCs w:val="1"/>
          <w:u w:val="single" w:color="auto"/>
          <w:color w:val="0000EE"/>
        </w:rPr>
        <w:t>Back to Contents</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949599"/>
        </w:rPr>
        <w:t>Users’ Guide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221615</wp:posOffset>
            </wp:positionV>
            <wp:extent cx="5360670" cy="14795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60670" cy="147955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911"/>
        </w:trPr>
        <w:tc>
          <w:tcPr>
            <w:tcW w:w="1880" w:type="dxa"/>
            <w:vAlign w:val="bottom"/>
          </w:tcPr>
          <w:p>
            <w:pPr>
              <w:spacing w:after="0"/>
              <w:rPr>
                <w:sz w:val="20"/>
                <w:szCs w:val="20"/>
                <w:color w:val="auto"/>
              </w:rPr>
            </w:pPr>
            <w:r>
              <w:rPr>
                <w:rFonts w:ascii="Arial" w:cs="Arial" w:eastAsia="Arial" w:hAnsi="Arial"/>
                <w:sz w:val="75"/>
                <w:szCs w:val="75"/>
                <w:b w:val="1"/>
                <w:bCs w:val="1"/>
                <w:color w:val="7A8FC5"/>
              </w:rPr>
              <w:t>1</w:t>
            </w:r>
          </w:p>
        </w:tc>
        <w:tc>
          <w:tcPr>
            <w:tcW w:w="2160" w:type="dxa"/>
            <w:vAlign w:val="bottom"/>
          </w:tcPr>
          <w:p>
            <w:pPr>
              <w:ind w:left="240"/>
              <w:spacing w:after="0"/>
              <w:rPr>
                <w:sz w:val="20"/>
                <w:szCs w:val="20"/>
                <w:color w:val="auto"/>
              </w:rPr>
            </w:pPr>
            <w:r>
              <w:rPr>
                <w:rFonts w:ascii="Arial" w:cs="Arial" w:eastAsia="Arial" w:hAnsi="Arial"/>
                <w:sz w:val="75"/>
                <w:szCs w:val="75"/>
                <w:b w:val="1"/>
                <w:bCs w:val="1"/>
                <w:color w:val="627FBE"/>
              </w:rPr>
              <w:t>2</w:t>
            </w:r>
          </w:p>
        </w:tc>
        <w:tc>
          <w:tcPr>
            <w:tcW w:w="2200" w:type="dxa"/>
            <w:vAlign w:val="bottom"/>
          </w:tcPr>
          <w:p>
            <w:pPr>
              <w:ind w:left="200"/>
              <w:spacing w:after="0"/>
              <w:rPr>
                <w:sz w:val="20"/>
                <w:szCs w:val="20"/>
                <w:color w:val="auto"/>
              </w:rPr>
            </w:pPr>
            <w:r>
              <w:rPr>
                <w:rFonts w:ascii="Arial" w:cs="Arial" w:eastAsia="Arial" w:hAnsi="Arial"/>
                <w:sz w:val="75"/>
                <w:szCs w:val="75"/>
                <w:b w:val="1"/>
                <w:bCs w:val="1"/>
                <w:color w:val="4970B5"/>
              </w:rPr>
              <w:t>3</w:t>
            </w:r>
          </w:p>
        </w:tc>
        <w:tc>
          <w:tcPr>
            <w:tcW w:w="1380" w:type="dxa"/>
            <w:vAlign w:val="bottom"/>
          </w:tcPr>
          <w:p>
            <w:pPr>
              <w:ind w:left="220"/>
              <w:spacing w:after="0"/>
              <w:rPr>
                <w:sz w:val="20"/>
                <w:szCs w:val="20"/>
                <w:color w:val="auto"/>
              </w:rPr>
            </w:pPr>
            <w:r>
              <w:rPr>
                <w:rFonts w:ascii="Arial" w:cs="Arial" w:eastAsia="Arial" w:hAnsi="Arial"/>
                <w:sz w:val="75"/>
                <w:szCs w:val="75"/>
                <w:b w:val="1"/>
                <w:bCs w:val="1"/>
                <w:color w:val="215AA8"/>
              </w:rPr>
              <w:t>4</w:t>
            </w:r>
          </w:p>
        </w:tc>
      </w:tr>
      <w:tr>
        <w:trPr>
          <w:trHeight w:val="169"/>
        </w:trPr>
        <w:tc>
          <w:tcPr>
            <w:tcW w:w="1880" w:type="dxa"/>
            <w:vAlign w:val="bottom"/>
          </w:tcPr>
          <w:p>
            <w:pPr>
              <w:spacing w:after="0" w:line="169" w:lineRule="exact"/>
              <w:rPr>
                <w:sz w:val="20"/>
                <w:szCs w:val="20"/>
                <w:color w:val="auto"/>
              </w:rPr>
            </w:pPr>
            <w:r>
              <w:rPr>
                <w:rFonts w:ascii="Arial" w:cs="Arial" w:eastAsia="Arial" w:hAnsi="Arial"/>
                <w:sz w:val="15"/>
                <w:szCs w:val="15"/>
                <w:b w:val="1"/>
                <w:bCs w:val="1"/>
                <w:color w:val="D60058"/>
              </w:rPr>
              <w:t>Identify Potential</w:t>
            </w:r>
          </w:p>
        </w:tc>
        <w:tc>
          <w:tcPr>
            <w:tcW w:w="2160" w:type="dxa"/>
            <w:vAlign w:val="bottom"/>
          </w:tcPr>
          <w:p>
            <w:pPr>
              <w:ind w:left="240"/>
              <w:spacing w:after="0" w:line="169" w:lineRule="exact"/>
              <w:rPr>
                <w:sz w:val="20"/>
                <w:szCs w:val="20"/>
                <w:color w:val="auto"/>
              </w:rPr>
            </w:pPr>
            <w:r>
              <w:rPr>
                <w:rFonts w:ascii="Arial" w:cs="Arial" w:eastAsia="Arial" w:hAnsi="Arial"/>
                <w:sz w:val="15"/>
                <w:szCs w:val="15"/>
                <w:b w:val="1"/>
                <w:bCs w:val="1"/>
                <w:color w:val="D60058"/>
              </w:rPr>
              <w:t>Conduct In-Depth</w:t>
            </w:r>
          </w:p>
        </w:tc>
        <w:tc>
          <w:tcPr>
            <w:tcW w:w="2200" w:type="dxa"/>
            <w:vAlign w:val="bottom"/>
          </w:tcPr>
          <w:p>
            <w:pPr>
              <w:ind w:left="200"/>
              <w:spacing w:after="0" w:line="169" w:lineRule="exact"/>
              <w:rPr>
                <w:sz w:val="20"/>
                <w:szCs w:val="20"/>
                <w:color w:val="auto"/>
              </w:rPr>
            </w:pPr>
            <w:r>
              <w:rPr>
                <w:rFonts w:ascii="Arial" w:cs="Arial" w:eastAsia="Arial" w:hAnsi="Arial"/>
                <w:sz w:val="15"/>
                <w:szCs w:val="15"/>
                <w:b w:val="1"/>
                <w:bCs w:val="1"/>
                <w:color w:val="D60058"/>
              </w:rPr>
              <w:t>Make a Recommendation</w:t>
            </w:r>
          </w:p>
        </w:tc>
        <w:tc>
          <w:tcPr>
            <w:tcW w:w="1380" w:type="dxa"/>
            <w:vAlign w:val="bottom"/>
          </w:tcPr>
          <w:p>
            <w:pPr>
              <w:ind w:left="220"/>
              <w:spacing w:after="0" w:line="169" w:lineRule="exact"/>
              <w:rPr>
                <w:sz w:val="20"/>
                <w:szCs w:val="20"/>
                <w:color w:val="auto"/>
              </w:rPr>
            </w:pPr>
            <w:r>
              <w:rPr>
                <w:rFonts w:ascii="Arial" w:cs="Arial" w:eastAsia="Arial" w:hAnsi="Arial"/>
                <w:sz w:val="15"/>
                <w:szCs w:val="15"/>
                <w:b w:val="1"/>
                <w:bCs w:val="1"/>
                <w:color w:val="D60058"/>
                <w:w w:val="96"/>
              </w:rPr>
              <w:t>Outcome: Board</w:t>
            </w:r>
          </w:p>
        </w:tc>
      </w:tr>
      <w:tr>
        <w:trPr>
          <w:trHeight w:val="169"/>
        </w:trPr>
        <w:tc>
          <w:tcPr>
            <w:tcW w:w="1880" w:type="dxa"/>
            <w:vAlign w:val="bottom"/>
          </w:tcPr>
          <w:p>
            <w:pPr>
              <w:spacing w:after="0" w:line="169" w:lineRule="exact"/>
              <w:rPr>
                <w:sz w:val="20"/>
                <w:szCs w:val="20"/>
                <w:color w:val="auto"/>
              </w:rPr>
            </w:pPr>
            <w:r>
              <w:rPr>
                <w:rFonts w:ascii="Arial" w:cs="Arial" w:eastAsia="Arial" w:hAnsi="Arial"/>
                <w:sz w:val="15"/>
                <w:szCs w:val="15"/>
                <w:b w:val="1"/>
                <w:bCs w:val="1"/>
                <w:color w:val="D60058"/>
              </w:rPr>
              <w:t>Nominees</w:t>
            </w:r>
          </w:p>
        </w:tc>
        <w:tc>
          <w:tcPr>
            <w:tcW w:w="2160" w:type="dxa"/>
            <w:vAlign w:val="bottom"/>
          </w:tcPr>
          <w:p>
            <w:pPr>
              <w:ind w:left="240"/>
              <w:spacing w:after="0" w:line="169" w:lineRule="exact"/>
              <w:rPr>
                <w:sz w:val="20"/>
                <w:szCs w:val="20"/>
                <w:color w:val="auto"/>
              </w:rPr>
            </w:pPr>
            <w:r>
              <w:rPr>
                <w:rFonts w:ascii="Arial" w:cs="Arial" w:eastAsia="Arial" w:hAnsi="Arial"/>
                <w:sz w:val="15"/>
                <w:szCs w:val="15"/>
                <w:b w:val="1"/>
                <w:bCs w:val="1"/>
                <w:color w:val="D60058"/>
              </w:rPr>
              <w:t>Review</w:t>
            </w:r>
          </w:p>
        </w:tc>
        <w:tc>
          <w:tcPr>
            <w:tcW w:w="2200" w:type="dxa"/>
            <w:vAlign w:val="bottom"/>
          </w:tcPr>
          <w:p>
            <w:pPr>
              <w:ind w:left="200"/>
              <w:spacing w:after="0" w:line="169" w:lineRule="exact"/>
              <w:rPr>
                <w:sz w:val="20"/>
                <w:szCs w:val="20"/>
                <w:color w:val="auto"/>
              </w:rPr>
            </w:pPr>
            <w:r>
              <w:rPr>
                <w:rFonts w:ascii="Arial" w:cs="Arial" w:eastAsia="Arial" w:hAnsi="Arial"/>
                <w:sz w:val="15"/>
                <w:szCs w:val="15"/>
                <w:b w:val="1"/>
                <w:bCs w:val="1"/>
                <w:color w:val="D60058"/>
              </w:rPr>
              <w:t>to the Board</w:t>
            </w:r>
          </w:p>
        </w:tc>
        <w:tc>
          <w:tcPr>
            <w:tcW w:w="1380" w:type="dxa"/>
            <w:vAlign w:val="bottom"/>
          </w:tcPr>
          <w:p>
            <w:pPr>
              <w:ind w:left="220"/>
              <w:spacing w:after="0" w:line="169" w:lineRule="exact"/>
              <w:rPr>
                <w:sz w:val="20"/>
                <w:szCs w:val="20"/>
                <w:color w:val="auto"/>
              </w:rPr>
            </w:pPr>
            <w:r>
              <w:rPr>
                <w:rFonts w:ascii="Arial" w:cs="Arial" w:eastAsia="Arial" w:hAnsi="Arial"/>
                <w:sz w:val="15"/>
                <w:szCs w:val="15"/>
                <w:b w:val="1"/>
                <w:bCs w:val="1"/>
                <w:color w:val="D60058"/>
              </w:rPr>
              <w:t>Decision</w:t>
            </w:r>
          </w:p>
        </w:tc>
      </w:tr>
      <w:tr>
        <w:trPr>
          <w:trHeight w:val="169"/>
        </w:trPr>
        <w:tc>
          <w:tcPr>
            <w:tcW w:w="1880" w:type="dxa"/>
            <w:vAlign w:val="bottom"/>
          </w:tcPr>
          <w:p>
            <w:pPr>
              <w:spacing w:after="0" w:line="169" w:lineRule="exact"/>
              <w:rPr>
                <w:sz w:val="20"/>
                <w:szCs w:val="20"/>
                <w:color w:val="auto"/>
              </w:rPr>
            </w:pPr>
            <w:r>
              <w:rPr>
                <w:rFonts w:ascii="Arial" w:cs="Arial" w:eastAsia="Arial" w:hAnsi="Arial"/>
                <w:sz w:val="15"/>
                <w:szCs w:val="15"/>
                <w:color w:val="auto"/>
              </w:rPr>
              <w:t>from variety of sources &amp;</w:t>
            </w:r>
          </w:p>
        </w:tc>
        <w:tc>
          <w:tcPr>
            <w:tcW w:w="2160" w:type="dxa"/>
            <w:vAlign w:val="bottom"/>
          </w:tcPr>
          <w:p>
            <w:pPr>
              <w:ind w:left="240"/>
              <w:spacing w:after="0" w:line="169" w:lineRule="exact"/>
              <w:rPr>
                <w:sz w:val="20"/>
                <w:szCs w:val="20"/>
                <w:color w:val="auto"/>
              </w:rPr>
            </w:pPr>
            <w:r>
              <w:rPr>
                <w:rFonts w:ascii="Arial" w:cs="Arial" w:eastAsia="Arial" w:hAnsi="Arial"/>
                <w:sz w:val="15"/>
                <w:szCs w:val="15"/>
                <w:color w:val="auto"/>
              </w:rPr>
              <w:t>&amp; consider a range of</w:t>
            </w:r>
          </w:p>
        </w:tc>
        <w:tc>
          <w:tcPr>
            <w:tcW w:w="2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9"/>
        </w:trPr>
        <w:tc>
          <w:tcPr>
            <w:tcW w:w="1880" w:type="dxa"/>
            <w:vAlign w:val="bottom"/>
          </w:tcPr>
          <w:p>
            <w:pPr>
              <w:spacing w:after="0" w:line="169" w:lineRule="exact"/>
              <w:rPr>
                <w:sz w:val="20"/>
                <w:szCs w:val="20"/>
                <w:color w:val="auto"/>
              </w:rPr>
            </w:pPr>
            <w:r>
              <w:rPr>
                <w:rFonts w:ascii="Arial" w:cs="Arial" w:eastAsia="Arial" w:hAnsi="Arial"/>
                <w:sz w:val="15"/>
                <w:szCs w:val="15"/>
                <w:color w:val="auto"/>
              </w:rPr>
              <w:t>take reasonable steps to</w:t>
            </w:r>
          </w:p>
        </w:tc>
        <w:tc>
          <w:tcPr>
            <w:tcW w:w="2160" w:type="dxa"/>
            <w:vAlign w:val="bottom"/>
          </w:tcPr>
          <w:p>
            <w:pPr>
              <w:ind w:left="240"/>
              <w:spacing w:after="0" w:line="169" w:lineRule="exact"/>
              <w:rPr>
                <w:sz w:val="20"/>
                <w:szCs w:val="20"/>
                <w:color w:val="auto"/>
              </w:rPr>
            </w:pPr>
            <w:r>
              <w:rPr>
                <w:rFonts w:ascii="Arial" w:cs="Arial" w:eastAsia="Arial" w:hAnsi="Arial"/>
                <w:sz w:val="15"/>
                <w:szCs w:val="15"/>
                <w:color w:val="auto"/>
              </w:rPr>
              <w:t>factors in the context of</w:t>
            </w:r>
          </w:p>
        </w:tc>
        <w:tc>
          <w:tcPr>
            <w:tcW w:w="2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9"/>
        </w:trPr>
        <w:tc>
          <w:tcPr>
            <w:tcW w:w="1880" w:type="dxa"/>
            <w:vAlign w:val="bottom"/>
          </w:tcPr>
          <w:p>
            <w:pPr>
              <w:spacing w:after="0" w:line="169" w:lineRule="exact"/>
              <w:rPr>
                <w:sz w:val="20"/>
                <w:szCs w:val="20"/>
                <w:color w:val="auto"/>
              </w:rPr>
            </w:pPr>
            <w:r>
              <w:rPr>
                <w:rFonts w:ascii="Arial" w:cs="Arial" w:eastAsia="Arial" w:hAnsi="Arial"/>
                <w:sz w:val="15"/>
                <w:szCs w:val="15"/>
                <w:color w:val="auto"/>
              </w:rPr>
              <w:t>include diverse</w:t>
            </w:r>
          </w:p>
        </w:tc>
        <w:tc>
          <w:tcPr>
            <w:tcW w:w="2160" w:type="dxa"/>
            <w:vAlign w:val="bottom"/>
          </w:tcPr>
          <w:p>
            <w:pPr>
              <w:ind w:left="240"/>
              <w:spacing w:after="0" w:line="169" w:lineRule="exact"/>
              <w:rPr>
                <w:sz w:val="20"/>
                <w:szCs w:val="20"/>
                <w:color w:val="auto"/>
              </w:rPr>
            </w:pPr>
            <w:r>
              <w:rPr>
                <w:rFonts w:ascii="Arial" w:cs="Arial" w:eastAsia="Arial" w:hAnsi="Arial"/>
                <w:sz w:val="15"/>
                <w:szCs w:val="15"/>
                <w:color w:val="auto"/>
              </w:rPr>
              <w:t>current board composition</w:t>
            </w:r>
          </w:p>
        </w:tc>
        <w:tc>
          <w:tcPr>
            <w:tcW w:w="2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9"/>
        </w:trPr>
        <w:tc>
          <w:tcPr>
            <w:tcW w:w="1880" w:type="dxa"/>
            <w:vAlign w:val="bottom"/>
          </w:tcPr>
          <w:p>
            <w:pPr>
              <w:spacing w:after="0" w:line="169" w:lineRule="exact"/>
              <w:rPr>
                <w:sz w:val="20"/>
                <w:szCs w:val="20"/>
                <w:color w:val="auto"/>
              </w:rPr>
            </w:pPr>
            <w:r>
              <w:rPr>
                <w:rFonts w:ascii="Arial" w:cs="Arial" w:eastAsia="Arial" w:hAnsi="Arial"/>
                <w:sz w:val="15"/>
                <w:szCs w:val="15"/>
                <w:color w:val="auto"/>
              </w:rPr>
              <w:t>candidates in the pool of</w:t>
            </w:r>
          </w:p>
        </w:tc>
        <w:tc>
          <w:tcPr>
            <w:tcW w:w="2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nominees</w:t>
            </w:r>
          </w:p>
        </w:tc>
        <w:tc>
          <w:tcPr>
            <w:tcW w:w="21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980" w:space="580"/>
            <w:col w:w="9700"/>
          </w:cols>
          <w:pgMar w:left="320" w:top="222" w:right="31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Director Onboarding</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All new directors participate in a robust director orientation and onboarding process to ensure a strong working knowledge of our industry, business, strategies, and policies and a successful integration into boardroom discussions as soon as possible. The initial, typically multi-day orientation program includes in-person meetings at our corporate headquarters with senior executives across our key corporate functions. New directors also meet with the executives and staff supporting the board committees on which they serve. The onboarding process continues after the initial orientation and includes meetings with each committee chair and the Lead Independent Director.</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Board and Committee Self-Assessments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On an annual basis, the board of directors, the Audit Committee, the Compensation Committee, and the Corporate Governance and Compliance Committee conduct self-assessments to ensure effective performance and to identify opportunities for improvement. As the first step in the self-assessment process, directors complete a comprehensive questionnaire, which asks them to consider various topics related to board and committee composition, structure, effectiveness, and responsibilities, as well as satisfaction with the schedule, materials, and discussion topics. Each committee, as well as the board as a whole, then reviews and assesses the responses and presents its findings and recommendations to the board of directors. The Lead Independent Director, in consultation with the Corporate Governance and Compliance Committee or the Committee’s Chair, reviews and reports on the results of the assessments, which are discussed by the board of directors and the respective committees in executive session with a view toward taking action to address any issues presented. Results requiring additional consideration are addressed at subsequent board and committee meetings, where appropriate.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Annual Self-Assessment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112395</wp:posOffset>
            </wp:positionV>
            <wp:extent cx="5360670" cy="8578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6067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While this formal self-assessment is conducted on an annual basis, directors share perspectives, feedback, and suggestions year round, both inside and outside the boardroom.</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Shareholder Right to Call Special Shareholder Meeting</w:t>
      </w:r>
    </w:p>
    <w:p>
      <w:pPr>
        <w:spacing w:after="0" w:line="180"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Regeneron’s charter documents give shareholders the right to call a special shareholder meeting upon the written request of at least 25% of the total number of votes entitled to be cast by shareholders.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27</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22" w:right="31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Director Independence</w:t>
      </w:r>
    </w:p>
    <w:p>
      <w:pPr>
        <w:spacing w:after="0" w:line="180"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The board of directors has determined that each of the following currently serving directors is independent as defined in the listing standards of the Nasdaq Stock Market LLC and our Corporate Governance Guidelines: Bonnie L. Bassler, Ph.D., Michael S. Brown, M.D., N. Anthony Coles, M.D., Joseph L. Goldstein, M.D., Kathryn Guarini, Ph.D., Christine A. Poon, Arthur F. Ryan, George L. Sing, Craig B. Thompson, M.D., and Huda Y. Zoghbi, M.D. These individuals are affiliated with numerous educational institutions, hospitals, charities, and corporations, as well as civic organizations and professional associations. The board of directors considered each of these relationships and determined that none of these relationships conflicted with the interests of the Company or would impair their independence or judgment. David P. Schenkein, M.D. is not currently considered independent under the listing standards of the Nasdaq Stock Market LLC due to compensation received within the last three years pursuant to a consulting arrangement with the Company that ended in 2022. In accordance with our Corporate Governance Guidelines, the board conducts executive sessions of independent directors presided by the Lead Independent Director following each regularly scheduled board meeting, as discussed further below.</w:t>
      </w:r>
    </w:p>
    <w:p>
      <w:pPr>
        <w:spacing w:after="0" w:line="141" w:lineRule="exact"/>
        <w:rPr>
          <w:sz w:val="20"/>
          <w:szCs w:val="20"/>
          <w:color w:val="auto"/>
        </w:rPr>
      </w:pPr>
    </w:p>
    <w:p>
      <w:pPr>
        <w:ind w:right="260"/>
        <w:spacing w:after="0" w:line="246" w:lineRule="auto"/>
        <w:rPr>
          <w:sz w:val="20"/>
          <w:szCs w:val="20"/>
          <w:color w:val="auto"/>
        </w:rPr>
      </w:pPr>
      <w:r>
        <w:rPr>
          <w:rFonts w:ascii="Arial" w:cs="Arial" w:eastAsia="Arial" w:hAnsi="Arial"/>
          <w:sz w:val="14"/>
          <w:szCs w:val="14"/>
          <w:color w:val="auto"/>
        </w:rPr>
        <w:t>The board of directors has determined that each of the current members of the Audit Committee, Messrs. Ryan and Sing and Drs. Coles and Guarini, is independent as defined for audit committee members in the listing standards of the Nasdaq Stock Market LLC and SEC rules; and that each of Messrs. Ryan and Sing and Dr. Coles qualifies as an “audit committee financial expert” as that term is defined by SEC rules.</w:t>
      </w:r>
    </w:p>
    <w:p>
      <w:pPr>
        <w:spacing w:after="0" w:line="135"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In addition, the board of directors has determined that each of the current members of the Compensation Committee, Ms. Poon, Mr. Sing, and Dr. Zoghbi, meets the additional independence criteria applicable to compensation committee members under the listing standards of the Nasdaq Stock Market LLC and qualifies as a “Non-Employee Director” pursuant to Rule 16b-3 under the Securities Exchange Act of 1934, as amended (the “Exchange Act”).</w:t>
      </w:r>
    </w:p>
    <w:p>
      <w:pPr>
        <w:spacing w:after="0" w:line="220"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Board Leadership Structure; Responsibilities of Lead Independent Director</w:t>
      </w:r>
    </w:p>
    <w:p>
      <w:pPr>
        <w:spacing w:after="0" w:line="180" w:lineRule="exact"/>
        <w:rPr>
          <w:sz w:val="20"/>
          <w:szCs w:val="20"/>
          <w:color w:val="auto"/>
        </w:rPr>
      </w:pPr>
    </w:p>
    <w:p>
      <w:pPr>
        <w:ind w:right="260"/>
        <w:spacing w:after="0" w:line="307" w:lineRule="auto"/>
        <w:rPr>
          <w:sz w:val="20"/>
          <w:szCs w:val="20"/>
          <w:color w:val="auto"/>
        </w:rPr>
      </w:pPr>
      <w:r>
        <w:rPr>
          <w:rFonts w:ascii="Arial" w:cs="Arial" w:eastAsia="Arial" w:hAnsi="Arial"/>
          <w:sz w:val="12"/>
          <w:szCs w:val="12"/>
          <w:color w:val="auto"/>
        </w:rPr>
        <w:t>The board of directors recognizes that one of its key responsibilities is to establish and evaluate an appropriate leadership structure for the board so as to provide effective oversight of management. The board of directors believes that a company’s board leadership structure should take into account relevant corporate governance and strategic considerations (such as board size and composition, director tenure, and experience of the management team) and that the board should maintain flexibility and adjust the leadership structure as appropriate.</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Current Board Leadership Structure</w:t>
      </w:r>
    </w:p>
    <w:p>
      <w:pPr>
        <w:spacing w:after="0" w:line="174"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Regeneron’s current board leadership structure has been in effect since June 2023. Pursuant to a board leadership succession plan, the board elected Drs. Schleifer and Yancopoulos as co-Chairs of the Board to succeed Dr. Vagelos, the former Chair of the Board, effective as of the conclusion of the 2023 Annual Meeting. On the same day, the independent directors of the board designated Ms. Poon as the board’s Lead Independent Director, a role that was established under the board leadership succession plan. Under our Corporate Governance Guidelines (as amended in connection with the board leadership changes discussed in this section), if the Chair of the Board is not an independent director (or, in the case of co-Chairs, neither is an independent director), the Company’s independent directors shall designate one of the independent directors to serve as a Lead Independent Director. The Lead Independent Director coordinates the activities of the independent directors and has the duties and responsibilities described in Regeneron’s Lead Independent Director Charter, which are summarized below under the subsection “Responsibilities of Lead Independent Director.”</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2"/>
          <w:szCs w:val="12"/>
          <w:color w:val="auto"/>
        </w:rPr>
        <w:t>In electing Drs. Schleifer and Yancopoulos as co-Chairs, the board of directors considered their incomparable knowledge and demonstrated leadership of the Company for over three decades. The board’s decision also took into account Dr. Schleifer’s previous service as Chair of the Board from 1990 through 1994 and the importance, both from an external and internal perspective, of Dr. Yancopoulos’s scientific leadership. The board further believes that the ability of Drs. Schleifer and Yancopoulos to speak as co-Chairs of the Board as well as Presidents of the Company provides strong unified leadership for the Company. In the board’s view, electing Drs. Schleifer and Yancopoulos as co-Chairs, combined with a strong Lead Independent Director appointed by the independent directors, provides balanced leadership and effective oversight of management and is in the best interest of the Company and its shareholders.</w:t>
      </w:r>
    </w:p>
    <w:p>
      <w:pPr>
        <w:spacing w:after="0" w:line="112" w:lineRule="exact"/>
        <w:rPr>
          <w:sz w:val="20"/>
          <w:szCs w:val="20"/>
          <w:color w:val="auto"/>
        </w:rPr>
      </w:pPr>
    </w:p>
    <w:p>
      <w:pPr>
        <w:ind w:right="200"/>
        <w:spacing w:after="0" w:line="242" w:lineRule="auto"/>
        <w:rPr>
          <w:sz w:val="20"/>
          <w:szCs w:val="20"/>
          <w:color w:val="auto"/>
        </w:rPr>
      </w:pPr>
      <w:r>
        <w:rPr>
          <w:rFonts w:ascii="Arial" w:cs="Arial" w:eastAsia="Arial" w:hAnsi="Arial"/>
          <w:sz w:val="14"/>
          <w:szCs w:val="14"/>
          <w:color w:val="auto"/>
        </w:rPr>
        <w:t>In designating Ms. Poon as the board’s Lead Independent Director, the independent directors of the board considered her deep strategic and operational knowledge of the Company’s business and industry; broad experience serving as a public company director, including in the role of lead independent director of another S&amp;P 500 company; productive working relationship with Drs. Schleifer and Yancopoulos; history of demonstrating independent judgment to support management when appropriate and fortitude to challenge management when deemed in the best interest of the Company and its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28</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right="640"/>
        <w:spacing w:after="0" w:line="257" w:lineRule="auto"/>
        <w:rPr>
          <w:sz w:val="20"/>
          <w:szCs w:val="20"/>
          <w:color w:val="auto"/>
        </w:rPr>
      </w:pPr>
      <w:r>
        <w:rPr>
          <w:rFonts w:ascii="Arial" w:cs="Arial" w:eastAsia="Arial" w:hAnsi="Arial"/>
          <w:sz w:val="14"/>
          <w:szCs w:val="14"/>
          <w:color w:val="auto"/>
        </w:rPr>
        <w:t>shareholders; strong interpersonal skills and ability to build consensus; and demonstrated influence on the board’s culture and insistence on a high standard of ethics, candor, and transparency.</w:t>
      </w:r>
    </w:p>
    <w:p>
      <w:pPr>
        <w:spacing w:after="0" w:line="128" w:lineRule="exact"/>
        <w:rPr>
          <w:sz w:val="20"/>
          <w:szCs w:val="20"/>
          <w:color w:val="auto"/>
        </w:rPr>
      </w:pPr>
    </w:p>
    <w:p>
      <w:pPr>
        <w:ind w:right="540"/>
        <w:spacing w:after="0" w:line="257" w:lineRule="auto"/>
        <w:rPr>
          <w:sz w:val="20"/>
          <w:szCs w:val="20"/>
          <w:color w:val="auto"/>
        </w:rPr>
      </w:pPr>
      <w:r>
        <w:rPr>
          <w:rFonts w:ascii="Arial" w:cs="Arial" w:eastAsia="Arial" w:hAnsi="Arial"/>
          <w:sz w:val="14"/>
          <w:szCs w:val="14"/>
          <w:color w:val="auto"/>
        </w:rPr>
        <w:t>The board will continue to periodically evaluate and determine, with input from the independent directors, an appropriate leadership structure for the board so as to provide effective oversight of management.</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Responsibilities of Lead Independent Director</w:t>
      </w:r>
    </w:p>
    <w:p>
      <w:pPr>
        <w:spacing w:after="0" w:line="174"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Under Regeneron’s Lead Independent Director Charter, the Lead Independent Director is appointed annually by the independent directors of the board. Although appointed annually, the Lead Independent Director is generally expected to serve for more than one year. The Lead Independent Director Charter sets forth a robust set of specific duties and responsibilities of the Lead Independent Director, which are summarized below.</w:t>
      </w:r>
    </w:p>
    <w:p>
      <w:pPr>
        <w:sectPr>
          <w:pgSz w:w="11900" w:h="16838" w:orient="portrait"/>
          <w:cols w:equalWidth="0" w:num="1">
            <w:col w:w="11260"/>
          </w:cols>
          <w:pgMar w:left="320" w:top="215" w:right="31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Key Duties and Responsibilities of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102870</wp:posOffset>
            </wp:positionV>
            <wp:extent cx="7173595" cy="28987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3595" cy="2898775"/>
                    </a:xfrm>
                    <a:prstGeom prst="rect">
                      <a:avLst/>
                    </a:prstGeom>
                    <a:noFill/>
                  </pic:spPr>
                </pic:pic>
              </a:graphicData>
            </a:graphic>
          </wp:anchor>
        </w:drawing>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215AA8"/>
        </w:rPr>
        <w:t>Meetings and Executive Sessions</w:t>
      </w:r>
    </w:p>
    <w:p>
      <w:pPr>
        <w:spacing w:after="0" w:line="76" w:lineRule="exact"/>
        <w:rPr>
          <w:sz w:val="20"/>
          <w:szCs w:val="20"/>
          <w:color w:val="auto"/>
        </w:rPr>
      </w:pPr>
    </w:p>
    <w:p>
      <w:pPr>
        <w:ind w:left="320" w:right="300" w:hanging="142"/>
        <w:spacing w:after="0" w:line="257" w:lineRule="auto"/>
        <w:tabs>
          <w:tab w:leader="none" w:pos="330" w:val="left"/>
        </w:tabs>
        <w:numPr>
          <w:ilvl w:val="0"/>
          <w:numId w:val="49"/>
        </w:numPr>
        <w:rPr>
          <w:rFonts w:ascii="Arial" w:cs="Arial" w:eastAsia="Arial" w:hAnsi="Arial"/>
          <w:sz w:val="14"/>
          <w:szCs w:val="14"/>
          <w:b w:val="1"/>
          <w:bCs w:val="1"/>
          <w:color w:val="215AA8"/>
        </w:rPr>
      </w:pPr>
      <w:r>
        <w:rPr>
          <w:rFonts w:ascii="Arial" w:cs="Arial" w:eastAsia="Arial" w:hAnsi="Arial"/>
          <w:sz w:val="14"/>
          <w:szCs w:val="14"/>
          <w:color w:val="auto"/>
        </w:rPr>
        <w:t>Presides at all meetings of the board at which the Chair* is not present, including executive sessions of the independent directors</w:t>
      </w:r>
    </w:p>
    <w:p>
      <w:pPr>
        <w:spacing w:after="0" w:line="49" w:lineRule="exact"/>
        <w:rPr>
          <w:rFonts w:ascii="Arial" w:cs="Arial" w:eastAsia="Arial" w:hAnsi="Arial"/>
          <w:sz w:val="14"/>
          <w:szCs w:val="14"/>
          <w:b w:val="1"/>
          <w:bCs w:val="1"/>
          <w:color w:val="215AA8"/>
        </w:rPr>
      </w:pPr>
    </w:p>
    <w:p>
      <w:pPr>
        <w:ind w:left="340" w:hanging="162"/>
        <w:spacing w:after="0"/>
        <w:tabs>
          <w:tab w:leader="none" w:pos="340" w:val="left"/>
        </w:tabs>
        <w:numPr>
          <w:ilvl w:val="0"/>
          <w:numId w:val="49"/>
        </w:numPr>
        <w:rPr>
          <w:rFonts w:ascii="Arial" w:cs="Arial" w:eastAsia="Arial" w:hAnsi="Arial"/>
          <w:sz w:val="14"/>
          <w:szCs w:val="14"/>
          <w:b w:val="1"/>
          <w:bCs w:val="1"/>
          <w:color w:val="215AA8"/>
        </w:rPr>
      </w:pPr>
      <w:r>
        <w:rPr>
          <w:rFonts w:ascii="Arial" w:cs="Arial" w:eastAsia="Arial" w:hAnsi="Arial"/>
          <w:sz w:val="14"/>
          <w:szCs w:val="14"/>
          <w:color w:val="auto"/>
        </w:rPr>
        <w:t>Has discretion to call meetings of the independent directors</w:t>
      </w:r>
    </w:p>
    <w:p>
      <w:pPr>
        <w:spacing w:after="0" w:line="75" w:lineRule="exact"/>
        <w:rPr>
          <w:rFonts w:ascii="Arial" w:cs="Arial" w:eastAsia="Arial" w:hAnsi="Arial"/>
          <w:sz w:val="14"/>
          <w:szCs w:val="14"/>
          <w:b w:val="1"/>
          <w:bCs w:val="1"/>
          <w:color w:val="215AA8"/>
        </w:rPr>
      </w:pPr>
    </w:p>
    <w:p>
      <w:pPr>
        <w:ind w:left="320" w:right="280" w:hanging="142"/>
        <w:spacing w:after="0" w:line="257" w:lineRule="auto"/>
        <w:tabs>
          <w:tab w:leader="none" w:pos="330" w:val="left"/>
        </w:tabs>
        <w:numPr>
          <w:ilvl w:val="0"/>
          <w:numId w:val="49"/>
        </w:numPr>
        <w:rPr>
          <w:rFonts w:ascii="Arial" w:cs="Arial" w:eastAsia="Arial" w:hAnsi="Arial"/>
          <w:sz w:val="14"/>
          <w:szCs w:val="14"/>
          <w:b w:val="1"/>
          <w:bCs w:val="1"/>
          <w:color w:val="215AA8"/>
        </w:rPr>
      </w:pPr>
      <w:r>
        <w:rPr>
          <w:rFonts w:ascii="Arial" w:cs="Arial" w:eastAsia="Arial" w:hAnsi="Arial"/>
          <w:sz w:val="14"/>
          <w:szCs w:val="14"/>
          <w:color w:val="auto"/>
        </w:rPr>
        <w:t>Facilitates discussion and open dialogue among the independent directors during board meetings, executive sessions, and outside board meetings</w:t>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215AA8"/>
        </w:rPr>
        <w:t>Liaison with the Chair and Management</w:t>
      </w:r>
    </w:p>
    <w:p>
      <w:pPr>
        <w:spacing w:after="0" w:line="76" w:lineRule="exact"/>
        <w:rPr>
          <w:sz w:val="20"/>
          <w:szCs w:val="20"/>
          <w:color w:val="auto"/>
        </w:rPr>
      </w:pPr>
    </w:p>
    <w:p>
      <w:pPr>
        <w:ind w:left="320" w:right="340" w:hanging="142"/>
        <w:spacing w:after="0" w:line="257" w:lineRule="auto"/>
        <w:tabs>
          <w:tab w:leader="none" w:pos="330" w:val="left"/>
        </w:tabs>
        <w:numPr>
          <w:ilvl w:val="0"/>
          <w:numId w:val="50"/>
        </w:numPr>
        <w:rPr>
          <w:rFonts w:ascii="Arial" w:cs="Arial" w:eastAsia="Arial" w:hAnsi="Arial"/>
          <w:sz w:val="14"/>
          <w:szCs w:val="14"/>
          <w:b w:val="1"/>
          <w:bCs w:val="1"/>
          <w:color w:val="215AA8"/>
        </w:rPr>
      </w:pPr>
      <w:r>
        <w:rPr>
          <w:rFonts w:ascii="Arial" w:cs="Arial" w:eastAsia="Arial" w:hAnsi="Arial"/>
          <w:sz w:val="14"/>
          <w:szCs w:val="14"/>
          <w:color w:val="auto"/>
        </w:rPr>
        <w:t>Serves as the principal liaison between the independent directors and the Chair, without inhibiting direct communication between them</w:t>
      </w:r>
    </w:p>
    <w:p>
      <w:pPr>
        <w:spacing w:after="0" w:line="49" w:lineRule="exact"/>
        <w:rPr>
          <w:rFonts w:ascii="Arial" w:cs="Arial" w:eastAsia="Arial" w:hAnsi="Arial"/>
          <w:sz w:val="14"/>
          <w:szCs w:val="14"/>
          <w:b w:val="1"/>
          <w:bCs w:val="1"/>
          <w:color w:val="215AA8"/>
        </w:rPr>
      </w:pPr>
    </w:p>
    <w:p>
      <w:pPr>
        <w:ind w:left="320" w:hanging="142"/>
        <w:spacing w:after="0" w:line="246" w:lineRule="auto"/>
        <w:tabs>
          <w:tab w:leader="none" w:pos="330" w:val="left"/>
        </w:tabs>
        <w:numPr>
          <w:ilvl w:val="0"/>
          <w:numId w:val="50"/>
        </w:numPr>
        <w:rPr>
          <w:rFonts w:ascii="Arial" w:cs="Arial" w:eastAsia="Arial" w:hAnsi="Arial"/>
          <w:sz w:val="14"/>
          <w:szCs w:val="14"/>
          <w:b w:val="1"/>
          <w:bCs w:val="1"/>
          <w:color w:val="215AA8"/>
        </w:rPr>
      </w:pPr>
      <w:r>
        <w:rPr>
          <w:rFonts w:ascii="Arial" w:cs="Arial" w:eastAsia="Arial" w:hAnsi="Arial"/>
          <w:sz w:val="14"/>
          <w:szCs w:val="14"/>
          <w:color w:val="auto"/>
        </w:rPr>
        <w:t>Communicates to the Chair and management, as appropriate, any decisions reached, suggestions made, or views or concerns expressed by independent directors in executive sessions or outside of board meetings</w:t>
      </w:r>
    </w:p>
    <w:p>
      <w:pPr>
        <w:spacing w:after="0" w:line="56" w:lineRule="exact"/>
        <w:rPr>
          <w:rFonts w:ascii="Arial" w:cs="Arial" w:eastAsia="Arial" w:hAnsi="Arial"/>
          <w:sz w:val="14"/>
          <w:szCs w:val="14"/>
          <w:b w:val="1"/>
          <w:bCs w:val="1"/>
          <w:color w:val="215AA8"/>
        </w:rPr>
      </w:pPr>
    </w:p>
    <w:p>
      <w:pPr>
        <w:ind w:left="320" w:hanging="142"/>
        <w:spacing w:after="0" w:line="257" w:lineRule="auto"/>
        <w:tabs>
          <w:tab w:leader="none" w:pos="330" w:val="left"/>
        </w:tabs>
        <w:numPr>
          <w:ilvl w:val="0"/>
          <w:numId w:val="50"/>
        </w:numPr>
        <w:rPr>
          <w:rFonts w:ascii="Arial" w:cs="Arial" w:eastAsia="Arial" w:hAnsi="Arial"/>
          <w:sz w:val="14"/>
          <w:szCs w:val="14"/>
          <w:b w:val="1"/>
          <w:bCs w:val="1"/>
          <w:color w:val="215AA8"/>
        </w:rPr>
      </w:pPr>
      <w:r>
        <w:rPr>
          <w:rFonts w:ascii="Arial" w:cs="Arial" w:eastAsia="Arial" w:hAnsi="Arial"/>
          <w:sz w:val="14"/>
          <w:szCs w:val="14"/>
          <w:color w:val="auto"/>
        </w:rPr>
        <w:t>Provides the Chair with feedback and counsel concerning the Chair’s interactions with the board</w:t>
      </w:r>
    </w:p>
    <w:p>
      <w:pPr>
        <w:spacing w:after="0" w:line="37" w:lineRule="exact"/>
        <w:rPr>
          <w:rFonts w:ascii="Arial" w:cs="Arial" w:eastAsia="Arial" w:hAnsi="Arial"/>
          <w:sz w:val="14"/>
          <w:szCs w:val="14"/>
          <w:b w:val="1"/>
          <w:bCs w:val="1"/>
          <w:color w:val="215AA8"/>
        </w:rPr>
      </w:pPr>
    </w:p>
    <w:p>
      <w:pPr>
        <w:ind w:left="320" w:right="180" w:hanging="142"/>
        <w:spacing w:after="0" w:line="257" w:lineRule="auto"/>
        <w:tabs>
          <w:tab w:leader="none" w:pos="330" w:val="left"/>
        </w:tabs>
        <w:numPr>
          <w:ilvl w:val="0"/>
          <w:numId w:val="50"/>
        </w:numPr>
        <w:rPr>
          <w:rFonts w:ascii="Arial" w:cs="Arial" w:eastAsia="Arial" w:hAnsi="Arial"/>
          <w:sz w:val="14"/>
          <w:szCs w:val="14"/>
          <w:b w:val="1"/>
          <w:bCs w:val="1"/>
          <w:color w:val="215AA8"/>
        </w:rPr>
      </w:pPr>
      <w:r>
        <w:rPr>
          <w:rFonts w:ascii="Arial" w:cs="Arial" w:eastAsia="Arial" w:hAnsi="Arial"/>
          <w:sz w:val="14"/>
          <w:szCs w:val="14"/>
          <w:color w:val="auto"/>
        </w:rPr>
        <w:t>In the case of co-Chairs, resolves any disagreement between the co-Chairs in their performance of the duties and responsibilities of the Chair</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215AA8"/>
        </w:rPr>
        <w:t>CEO Succession</w:t>
      </w:r>
    </w:p>
    <w:p>
      <w:pPr>
        <w:spacing w:after="0" w:line="76" w:lineRule="exact"/>
        <w:rPr>
          <w:sz w:val="20"/>
          <w:szCs w:val="20"/>
          <w:color w:val="auto"/>
        </w:rPr>
      </w:pPr>
    </w:p>
    <w:p>
      <w:pPr>
        <w:ind w:left="340" w:hanging="162"/>
        <w:spacing w:after="0"/>
        <w:tabs>
          <w:tab w:leader="none" w:pos="340" w:val="left"/>
        </w:tabs>
        <w:numPr>
          <w:ilvl w:val="1"/>
          <w:numId w:val="51"/>
        </w:numPr>
        <w:rPr>
          <w:rFonts w:ascii="Arial" w:cs="Arial" w:eastAsia="Arial" w:hAnsi="Arial"/>
          <w:sz w:val="14"/>
          <w:szCs w:val="14"/>
          <w:b w:val="1"/>
          <w:bCs w:val="1"/>
          <w:color w:val="215AA8"/>
        </w:rPr>
      </w:pPr>
      <w:r>
        <w:rPr>
          <w:rFonts w:ascii="Arial" w:cs="Arial" w:eastAsia="Arial" w:hAnsi="Arial"/>
          <w:sz w:val="14"/>
          <w:szCs w:val="14"/>
          <w:color w:val="auto"/>
        </w:rPr>
        <w:t>Coordinates the board’s CEO succession planning process</w:t>
      </w:r>
    </w:p>
    <w:p>
      <w:pPr>
        <w:spacing w:after="0" w:line="323" w:lineRule="exact"/>
        <w:rPr>
          <w:rFonts w:ascii="Arial" w:cs="Arial" w:eastAsia="Arial" w:hAnsi="Arial"/>
          <w:sz w:val="14"/>
          <w:szCs w:val="14"/>
          <w:b w:val="1"/>
          <w:bCs w:val="1"/>
          <w:color w:val="215AA8"/>
        </w:rPr>
      </w:pPr>
    </w:p>
    <w:p>
      <w:pPr>
        <w:spacing w:after="0"/>
        <w:rPr>
          <w:rFonts w:ascii="Arial" w:cs="Arial" w:eastAsia="Arial" w:hAnsi="Arial"/>
          <w:sz w:val="14"/>
          <w:szCs w:val="14"/>
          <w:b w:val="1"/>
          <w:bCs w:val="1"/>
          <w:color w:val="215AA8"/>
        </w:rPr>
      </w:pPr>
      <w:r>
        <w:rPr>
          <w:rFonts w:ascii="Arial" w:cs="Arial" w:eastAsia="Arial" w:hAnsi="Arial"/>
          <w:sz w:val="14"/>
          <w:szCs w:val="14"/>
          <w:color w:val="auto"/>
        </w:rPr>
        <w:t xml:space="preserve">*   </w:t>
      </w:r>
      <w:r>
        <w:rPr>
          <w:rFonts w:ascii="Arial" w:cs="Arial" w:eastAsia="Arial" w:hAnsi="Arial"/>
          <w:sz w:val="11"/>
          <w:szCs w:val="11"/>
          <w:color w:val="auto"/>
        </w:rPr>
        <w:t>All references to the Chair are, in the case of co-Chairs, deemed to mean either co-Chair.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Oversight of Information Provided to the Board</w:t>
      </w:r>
    </w:p>
    <w:p>
      <w:pPr>
        <w:spacing w:after="0" w:line="76" w:lineRule="exact"/>
        <w:rPr>
          <w:sz w:val="20"/>
          <w:szCs w:val="20"/>
          <w:color w:val="auto"/>
        </w:rPr>
      </w:pPr>
    </w:p>
    <w:p>
      <w:pPr>
        <w:ind w:left="160" w:right="240" w:hanging="157"/>
        <w:spacing w:after="0" w:line="246" w:lineRule="auto"/>
        <w:tabs>
          <w:tab w:leader="none" w:pos="132" w:val="left"/>
        </w:tabs>
        <w:numPr>
          <w:ilvl w:val="0"/>
          <w:numId w:val="52"/>
        </w:numPr>
        <w:rPr>
          <w:rFonts w:ascii="Arial" w:cs="Arial" w:eastAsia="Arial" w:hAnsi="Arial"/>
          <w:sz w:val="14"/>
          <w:szCs w:val="14"/>
          <w:b w:val="1"/>
          <w:bCs w:val="1"/>
          <w:color w:val="215AA8"/>
        </w:rPr>
      </w:pPr>
      <w:r>
        <w:rPr>
          <w:rFonts w:ascii="Arial" w:cs="Arial" w:eastAsia="Arial" w:hAnsi="Arial"/>
          <w:sz w:val="14"/>
          <w:szCs w:val="14"/>
          <w:color w:val="auto"/>
        </w:rPr>
        <w:t>Works with the Chair to develop and approve board meeting agendas and meeting schedules, including to ensure that there is sufficient time for discussion of all agenda items</w:t>
      </w:r>
    </w:p>
    <w:p>
      <w:pPr>
        <w:spacing w:after="0" w:line="56" w:lineRule="exact"/>
        <w:rPr>
          <w:rFonts w:ascii="Arial" w:cs="Arial" w:eastAsia="Arial" w:hAnsi="Arial"/>
          <w:sz w:val="14"/>
          <w:szCs w:val="14"/>
          <w:b w:val="1"/>
          <w:bCs w:val="1"/>
          <w:color w:val="215AA8"/>
        </w:rPr>
      </w:pPr>
    </w:p>
    <w:p>
      <w:pPr>
        <w:ind w:left="160" w:right="520" w:hanging="157"/>
        <w:spacing w:after="0" w:line="257" w:lineRule="auto"/>
        <w:tabs>
          <w:tab w:leader="none" w:pos="170" w:val="left"/>
        </w:tabs>
        <w:numPr>
          <w:ilvl w:val="0"/>
          <w:numId w:val="52"/>
        </w:numPr>
        <w:rPr>
          <w:rFonts w:ascii="Arial" w:cs="Arial" w:eastAsia="Arial" w:hAnsi="Arial"/>
          <w:sz w:val="14"/>
          <w:szCs w:val="14"/>
          <w:b w:val="1"/>
          <w:bCs w:val="1"/>
          <w:color w:val="215AA8"/>
        </w:rPr>
      </w:pPr>
      <w:r>
        <w:rPr>
          <w:rFonts w:ascii="Arial" w:cs="Arial" w:eastAsia="Arial" w:hAnsi="Arial"/>
          <w:sz w:val="14"/>
          <w:szCs w:val="14"/>
          <w:color w:val="auto"/>
        </w:rPr>
        <w:t>Works with the Chair on the appropriateness (including quality and quantity) and timeliness of the information provided to the board</w:t>
      </w:r>
    </w:p>
    <w:p>
      <w:pPr>
        <w:spacing w:after="0" w:line="49" w:lineRule="exact"/>
        <w:rPr>
          <w:rFonts w:ascii="Arial" w:cs="Arial" w:eastAsia="Arial" w:hAnsi="Arial"/>
          <w:sz w:val="14"/>
          <w:szCs w:val="14"/>
          <w:b w:val="1"/>
          <w:bCs w:val="1"/>
          <w:color w:val="215AA8"/>
        </w:rPr>
      </w:pPr>
    </w:p>
    <w:p>
      <w:pPr>
        <w:ind w:left="160" w:right="160" w:hanging="157"/>
        <w:spacing w:after="0" w:line="257" w:lineRule="auto"/>
        <w:tabs>
          <w:tab w:leader="none" w:pos="170" w:val="left"/>
        </w:tabs>
        <w:numPr>
          <w:ilvl w:val="0"/>
          <w:numId w:val="52"/>
        </w:numPr>
        <w:rPr>
          <w:rFonts w:ascii="Arial" w:cs="Arial" w:eastAsia="Arial" w:hAnsi="Arial"/>
          <w:sz w:val="14"/>
          <w:szCs w:val="14"/>
          <w:b w:val="1"/>
          <w:bCs w:val="1"/>
          <w:color w:val="215AA8"/>
        </w:rPr>
      </w:pPr>
      <w:r>
        <w:rPr>
          <w:rFonts w:ascii="Arial" w:cs="Arial" w:eastAsia="Arial" w:hAnsi="Arial"/>
          <w:sz w:val="14"/>
          <w:szCs w:val="14"/>
          <w:color w:val="auto"/>
        </w:rPr>
        <w:t>Authorizes the retention of advisors and consultants who report directly to the board or the independent directors when appropriate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Board and Leadership Evaluation</w:t>
      </w:r>
    </w:p>
    <w:p>
      <w:pPr>
        <w:spacing w:after="0" w:line="76" w:lineRule="exact"/>
        <w:rPr>
          <w:sz w:val="20"/>
          <w:szCs w:val="20"/>
          <w:color w:val="auto"/>
        </w:rPr>
      </w:pPr>
    </w:p>
    <w:p>
      <w:pPr>
        <w:ind w:left="160" w:right="460" w:hanging="157"/>
        <w:spacing w:after="0" w:line="246" w:lineRule="auto"/>
        <w:tabs>
          <w:tab w:leader="none" w:pos="170" w:val="left"/>
        </w:tabs>
        <w:numPr>
          <w:ilvl w:val="0"/>
          <w:numId w:val="53"/>
        </w:numPr>
        <w:rPr>
          <w:rFonts w:ascii="Arial" w:cs="Arial" w:eastAsia="Arial" w:hAnsi="Arial"/>
          <w:sz w:val="14"/>
          <w:szCs w:val="14"/>
          <w:b w:val="1"/>
          <w:bCs w:val="1"/>
          <w:color w:val="215AA8"/>
        </w:rPr>
      </w:pPr>
      <w:r>
        <w:rPr>
          <w:rFonts w:ascii="Arial" w:cs="Arial" w:eastAsia="Arial" w:hAnsi="Arial"/>
          <w:sz w:val="14"/>
          <w:szCs w:val="14"/>
          <w:color w:val="auto"/>
        </w:rPr>
        <w:t>In consultation with the Corporate Governance and Compliance Committee of the board (or the Chair thereof), reviews and reports on the results of the board and committee performance self-evaluations</w:t>
      </w:r>
    </w:p>
    <w:p>
      <w:pPr>
        <w:spacing w:after="0" w:line="56" w:lineRule="exact"/>
        <w:rPr>
          <w:rFonts w:ascii="Arial" w:cs="Arial" w:eastAsia="Arial" w:hAnsi="Arial"/>
          <w:sz w:val="14"/>
          <w:szCs w:val="14"/>
          <w:b w:val="1"/>
          <w:bCs w:val="1"/>
          <w:color w:val="215AA8"/>
        </w:rPr>
      </w:pPr>
    </w:p>
    <w:p>
      <w:pPr>
        <w:ind w:left="160" w:right="180" w:hanging="157"/>
        <w:spacing w:after="0" w:line="340" w:lineRule="auto"/>
        <w:tabs>
          <w:tab w:leader="none" w:pos="170" w:val="left"/>
        </w:tabs>
        <w:numPr>
          <w:ilvl w:val="0"/>
          <w:numId w:val="53"/>
        </w:numPr>
        <w:rPr>
          <w:rFonts w:ascii="Arial" w:cs="Arial" w:eastAsia="Arial" w:hAnsi="Arial"/>
          <w:sz w:val="12"/>
          <w:szCs w:val="12"/>
          <w:b w:val="1"/>
          <w:bCs w:val="1"/>
          <w:color w:val="215AA8"/>
        </w:rPr>
      </w:pPr>
      <w:r>
        <w:rPr>
          <w:rFonts w:ascii="Arial" w:cs="Arial" w:eastAsia="Arial" w:hAnsi="Arial"/>
          <w:sz w:val="12"/>
          <w:szCs w:val="12"/>
          <w:color w:val="auto"/>
        </w:rPr>
        <w:t>Periodically meets on an individual basis with the independent directors to discuss performance, effectiveness, and composition of the board and any committees thereof</w:t>
      </w:r>
    </w:p>
    <w:p>
      <w:pPr>
        <w:spacing w:after="0" w:line="3" w:lineRule="exact"/>
        <w:rPr>
          <w:rFonts w:ascii="Arial" w:cs="Arial" w:eastAsia="Arial" w:hAnsi="Arial"/>
          <w:sz w:val="12"/>
          <w:szCs w:val="12"/>
          <w:b w:val="1"/>
          <w:bCs w:val="1"/>
          <w:color w:val="215AA8"/>
        </w:rPr>
      </w:pPr>
    </w:p>
    <w:p>
      <w:pPr>
        <w:ind w:left="160" w:right="160" w:hanging="157"/>
        <w:spacing w:after="0" w:line="246" w:lineRule="auto"/>
        <w:tabs>
          <w:tab w:leader="none" w:pos="170" w:val="left"/>
        </w:tabs>
        <w:numPr>
          <w:ilvl w:val="0"/>
          <w:numId w:val="53"/>
        </w:numPr>
        <w:rPr>
          <w:rFonts w:ascii="Arial" w:cs="Arial" w:eastAsia="Arial" w:hAnsi="Arial"/>
          <w:sz w:val="14"/>
          <w:szCs w:val="14"/>
          <w:b w:val="1"/>
          <w:bCs w:val="1"/>
          <w:color w:val="215AA8"/>
        </w:rPr>
      </w:pPr>
      <w:r>
        <w:rPr>
          <w:rFonts w:ascii="Arial" w:cs="Arial" w:eastAsia="Arial" w:hAnsi="Arial"/>
          <w:sz w:val="14"/>
          <w:szCs w:val="14"/>
          <w:color w:val="auto"/>
        </w:rPr>
        <w:t>Leads the independent directors’ evaluation of the effectiveness of the Chair, including his or her interactions with directors and ability to provide leadership and direction to the board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Shareholder Communication</w:t>
      </w:r>
    </w:p>
    <w:p>
      <w:pPr>
        <w:spacing w:after="0" w:line="76" w:lineRule="exact"/>
        <w:rPr>
          <w:sz w:val="20"/>
          <w:szCs w:val="20"/>
          <w:color w:val="auto"/>
        </w:rPr>
      </w:pPr>
    </w:p>
    <w:p>
      <w:pPr>
        <w:ind w:left="160" w:right="740" w:hanging="157"/>
        <w:spacing w:after="0" w:line="257" w:lineRule="auto"/>
        <w:tabs>
          <w:tab w:leader="none" w:pos="170" w:val="left"/>
        </w:tabs>
        <w:numPr>
          <w:ilvl w:val="0"/>
          <w:numId w:val="54"/>
        </w:numPr>
        <w:rPr>
          <w:rFonts w:ascii="Arial" w:cs="Arial" w:eastAsia="Arial" w:hAnsi="Arial"/>
          <w:sz w:val="14"/>
          <w:szCs w:val="14"/>
          <w:b w:val="1"/>
          <w:bCs w:val="1"/>
          <w:color w:val="215AA8"/>
        </w:rPr>
      </w:pPr>
      <w:r>
        <w:rPr>
          <w:rFonts w:ascii="Arial" w:cs="Arial" w:eastAsia="Arial" w:hAnsi="Arial"/>
          <w:sz w:val="14"/>
          <w:szCs w:val="14"/>
          <w:color w:val="auto"/>
        </w:rPr>
        <w:t>If requested, and in coordination with executive management, is available for consultation and direct communication with shareholders</w:t>
      </w:r>
    </w:p>
    <w:p>
      <w:pPr>
        <w:spacing w:after="0" w:line="454" w:lineRule="exact"/>
        <w:rPr>
          <w:sz w:val="20"/>
          <w:szCs w:val="20"/>
          <w:color w:val="auto"/>
        </w:rPr>
      </w:pPr>
    </w:p>
    <w:p>
      <w:pPr>
        <w:sectPr>
          <w:pgSz w:w="11900" w:h="16838" w:orient="portrait"/>
          <w:cols w:equalWidth="0" w:num="2">
            <w:col w:w="5460" w:space="320"/>
            <w:col w:w="5480"/>
          </w:cols>
          <w:pgMar w:left="320" w:top="215" w:right="319" w:bottom="1440" w:gutter="0" w:footer="0" w:header="0"/>
          <w:type w:val="continuous"/>
        </w:sectPr>
      </w:pPr>
    </w:p>
    <w:p>
      <w:pPr>
        <w:ind w:right="360"/>
        <w:spacing w:after="0" w:line="257" w:lineRule="auto"/>
        <w:rPr>
          <w:sz w:val="20"/>
          <w:szCs w:val="20"/>
          <w:color w:val="auto"/>
        </w:rPr>
      </w:pPr>
      <w:r>
        <w:rPr>
          <w:rFonts w:ascii="Arial" w:cs="Arial" w:eastAsia="Arial" w:hAnsi="Arial"/>
          <w:sz w:val="14"/>
          <w:szCs w:val="14"/>
          <w:color w:val="auto"/>
        </w:rPr>
        <w:t>On an annual basis, the Lead Independent Director, in consultation with the Corporate Governance and Compliance Committee or the Chair thereof, reviews the adequacy of the Lead Independent Director Charter and recommends to the board any modifications or changes for approval by the board.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29</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Board Oversight of Risk and Key Pricing Decisions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board executes its oversight responsibility for risk management directly and through its committees,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95250</wp:posOffset>
            </wp:positionV>
            <wp:extent cx="7173595" cy="17195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3595" cy="1719580"/>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15AA8"/>
        </w:rPr>
        <w:t>BOARD</w:t>
      </w:r>
    </w:p>
    <w:p>
      <w:pPr>
        <w:spacing w:after="0" w:line="66" w:lineRule="exact"/>
        <w:rPr>
          <w:sz w:val="20"/>
          <w:szCs w:val="20"/>
          <w:color w:val="auto"/>
        </w:rPr>
      </w:pPr>
    </w:p>
    <w:p>
      <w:pPr>
        <w:ind w:left="220" w:right="260" w:hanging="144"/>
        <w:spacing w:after="0" w:line="246" w:lineRule="auto"/>
        <w:tabs>
          <w:tab w:leader="none" w:pos="230" w:val="left"/>
        </w:tabs>
        <w:numPr>
          <w:ilvl w:val="0"/>
          <w:numId w:val="55"/>
        </w:numPr>
        <w:rPr>
          <w:rFonts w:ascii="Arial" w:cs="Arial" w:eastAsia="Arial" w:hAnsi="Arial"/>
          <w:sz w:val="14"/>
          <w:szCs w:val="14"/>
          <w:b w:val="1"/>
          <w:bCs w:val="1"/>
          <w:color w:val="215AA8"/>
        </w:rPr>
      </w:pPr>
      <w:r>
        <w:rPr>
          <w:rFonts w:ascii="Arial" w:cs="Arial" w:eastAsia="Arial" w:hAnsi="Arial"/>
          <w:sz w:val="14"/>
          <w:szCs w:val="14"/>
          <w:color w:val="auto"/>
        </w:rPr>
        <w:t>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56" w:lineRule="exact"/>
        <w:rPr>
          <w:rFonts w:ascii="Arial" w:cs="Arial" w:eastAsia="Arial" w:hAnsi="Arial"/>
          <w:sz w:val="14"/>
          <w:szCs w:val="14"/>
          <w:b w:val="1"/>
          <w:bCs w:val="1"/>
          <w:color w:val="215AA8"/>
        </w:rPr>
      </w:pPr>
    </w:p>
    <w:p>
      <w:pPr>
        <w:ind w:left="220" w:right="500" w:hanging="144"/>
        <w:spacing w:after="0" w:line="257" w:lineRule="auto"/>
        <w:tabs>
          <w:tab w:leader="none" w:pos="230" w:val="left"/>
        </w:tabs>
        <w:numPr>
          <w:ilvl w:val="0"/>
          <w:numId w:val="55"/>
        </w:numPr>
        <w:rPr>
          <w:rFonts w:ascii="Arial" w:cs="Arial" w:eastAsia="Arial" w:hAnsi="Arial"/>
          <w:sz w:val="14"/>
          <w:szCs w:val="14"/>
          <w:b w:val="1"/>
          <w:bCs w:val="1"/>
          <w:color w:val="215AA8"/>
        </w:rPr>
      </w:pPr>
      <w:r>
        <w:rPr>
          <w:rFonts w:ascii="Arial" w:cs="Arial" w:eastAsia="Arial" w:hAnsi="Arial"/>
          <w:sz w:val="14"/>
          <w:szCs w:val="14"/>
          <w:color w:val="auto"/>
        </w:rPr>
        <w:t>The board considers specific risk topics, including risks associated with our strategic plan, drug access and pricing (discussed further below), our finances, and our development activities. Specific risk topics may also be considered at executive sessions of independent directors, which are chaired by our Lead Independent Director.</w:t>
      </w:r>
    </w:p>
    <w:p>
      <w:pPr>
        <w:spacing w:after="0" w:line="49" w:lineRule="exact"/>
        <w:rPr>
          <w:rFonts w:ascii="Arial" w:cs="Arial" w:eastAsia="Arial" w:hAnsi="Arial"/>
          <w:sz w:val="14"/>
          <w:szCs w:val="14"/>
          <w:b w:val="1"/>
          <w:bCs w:val="1"/>
          <w:color w:val="215AA8"/>
        </w:rPr>
      </w:pPr>
    </w:p>
    <w:p>
      <w:pPr>
        <w:ind w:left="380" w:right="180" w:hanging="154"/>
        <w:spacing w:after="0" w:line="257" w:lineRule="auto"/>
        <w:tabs>
          <w:tab w:leader="none" w:pos="390" w:val="left"/>
        </w:tabs>
        <w:numPr>
          <w:ilvl w:val="1"/>
          <w:numId w:val="55"/>
        </w:numPr>
        <w:rPr>
          <w:rFonts w:ascii="Arial" w:cs="Arial" w:eastAsia="Arial" w:hAnsi="Arial"/>
          <w:sz w:val="14"/>
          <w:szCs w:val="14"/>
          <w:color w:val="215AA8"/>
        </w:rPr>
      </w:pPr>
      <w:r>
        <w:rPr>
          <w:rFonts w:ascii="Arial" w:cs="Arial" w:eastAsia="Arial" w:hAnsi="Arial"/>
          <w:sz w:val="14"/>
          <w:szCs w:val="14"/>
          <w:color w:val="auto"/>
        </w:rPr>
        <w:t>The board is closely involved in and provides oversight of all key pricing determinations for our products, which we endeavor to make in a thoughtful and well-informed manner with fairness and affordability in mind.</w:t>
      </w:r>
    </w:p>
    <w:p>
      <w:pPr>
        <w:spacing w:after="0" w:line="37" w:lineRule="exact"/>
        <w:rPr>
          <w:rFonts w:ascii="Arial" w:cs="Arial" w:eastAsia="Arial" w:hAnsi="Arial"/>
          <w:sz w:val="14"/>
          <w:szCs w:val="14"/>
          <w:color w:val="215AA8"/>
        </w:rPr>
      </w:pPr>
    </w:p>
    <w:p>
      <w:pPr>
        <w:ind w:left="380" w:right="240" w:hanging="154"/>
        <w:spacing w:after="0" w:line="246" w:lineRule="auto"/>
        <w:tabs>
          <w:tab w:leader="none" w:pos="390" w:val="left"/>
        </w:tabs>
        <w:numPr>
          <w:ilvl w:val="1"/>
          <w:numId w:val="55"/>
        </w:numPr>
        <w:rPr>
          <w:rFonts w:ascii="Arial" w:cs="Arial" w:eastAsia="Arial" w:hAnsi="Arial"/>
          <w:sz w:val="14"/>
          <w:szCs w:val="14"/>
          <w:color w:val="215AA8"/>
        </w:rPr>
      </w:pPr>
      <w:r>
        <w:rPr>
          <w:rFonts w:ascii="Arial" w:cs="Arial" w:eastAsia="Arial" w:hAnsi="Arial"/>
          <w:sz w:val="14"/>
          <w:szCs w:val="14"/>
          <w:color w:val="auto"/>
        </w:rPr>
        <w:t>We believe we have the appropriate governance mechanisms and internal processes in place to ensure that pricing decisions are thoroughly and appropriately vetted prior to implementation and are made in line with our values and commitments. This includes routine presentations to our board of directors or the appropriate committees thereof on drug pricing strategies, practices, and trends. See “The Company—Corporate Governance—Corporate Responsibility” for more information.</w:t>
      </w:r>
    </w:p>
    <w:p>
      <w:pPr>
        <w:spacing w:after="0" w:line="56" w:lineRule="exact"/>
        <w:rPr>
          <w:rFonts w:ascii="Arial" w:cs="Arial" w:eastAsia="Arial" w:hAnsi="Arial"/>
          <w:sz w:val="14"/>
          <w:szCs w:val="14"/>
          <w:color w:val="215AA8"/>
        </w:rPr>
      </w:pPr>
    </w:p>
    <w:p>
      <w:pPr>
        <w:ind w:left="220" w:right="380" w:hanging="144"/>
        <w:spacing w:after="0" w:line="257" w:lineRule="auto"/>
        <w:tabs>
          <w:tab w:leader="none" w:pos="230" w:val="left"/>
        </w:tabs>
        <w:numPr>
          <w:ilvl w:val="0"/>
          <w:numId w:val="55"/>
        </w:numPr>
        <w:rPr>
          <w:rFonts w:ascii="Arial" w:cs="Arial" w:eastAsia="Arial" w:hAnsi="Arial"/>
          <w:sz w:val="14"/>
          <w:szCs w:val="14"/>
          <w:b w:val="1"/>
          <w:bCs w:val="1"/>
          <w:color w:val="215AA8"/>
        </w:rPr>
      </w:pPr>
      <w:r>
        <w:rPr>
          <w:rFonts w:ascii="Arial" w:cs="Arial" w:eastAsia="Arial" w:hAnsi="Arial"/>
          <w:sz w:val="14"/>
          <w:szCs w:val="14"/>
          <w:color w:val="auto"/>
        </w:rPr>
        <w:t>As shown below, the board has delegated certain risk oversight responsibilities to its committees. The board is kept abreast of its committees’ risk oversight and other activities via reports of the committee chairs to the full board at regular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135890</wp:posOffset>
            </wp:positionV>
            <wp:extent cx="7173595" cy="1812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3595" cy="1812290"/>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p>
      <w:pPr>
        <w:spacing w:after="0" w:line="37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D60058"/>
        </w:rPr>
        <w:t>AUDIT COMMITTEE</w:t>
      </w:r>
    </w:p>
    <w:p>
      <w:pPr>
        <w:spacing w:after="0" w:line="77" w:lineRule="exact"/>
        <w:rPr>
          <w:sz w:val="20"/>
          <w:szCs w:val="20"/>
          <w:color w:val="auto"/>
        </w:rPr>
      </w:pPr>
    </w:p>
    <w:p>
      <w:pPr>
        <w:ind w:left="320" w:hanging="169"/>
        <w:spacing w:after="0"/>
        <w:tabs>
          <w:tab w:leader="none" w:pos="320" w:val="left"/>
        </w:tabs>
        <w:numPr>
          <w:ilvl w:val="0"/>
          <w:numId w:val="56"/>
        </w:numPr>
        <w:rPr>
          <w:rFonts w:ascii="Arial" w:cs="Arial" w:eastAsia="Arial" w:hAnsi="Arial"/>
          <w:sz w:val="14"/>
          <w:szCs w:val="14"/>
          <w:b w:val="1"/>
          <w:bCs w:val="1"/>
          <w:color w:val="215AA8"/>
        </w:rPr>
      </w:pPr>
      <w:r>
        <w:rPr>
          <w:rFonts w:ascii="Arial" w:cs="Arial" w:eastAsia="Arial" w:hAnsi="Arial"/>
          <w:sz w:val="14"/>
          <w:szCs w:val="14"/>
          <w:color w:val="auto"/>
        </w:rPr>
        <w:t>The Audit Committee oversees the Company’s risk management program.</w:t>
      </w:r>
    </w:p>
    <w:p>
      <w:pPr>
        <w:spacing w:after="0" w:line="64" w:lineRule="exact"/>
        <w:rPr>
          <w:rFonts w:ascii="Arial" w:cs="Arial" w:eastAsia="Arial" w:hAnsi="Arial"/>
          <w:sz w:val="14"/>
          <w:szCs w:val="14"/>
          <w:b w:val="1"/>
          <w:bCs w:val="1"/>
          <w:color w:val="215AA8"/>
        </w:rPr>
      </w:pPr>
    </w:p>
    <w:p>
      <w:pPr>
        <w:ind w:left="460" w:right="560" w:hanging="159"/>
        <w:spacing w:after="0" w:line="340" w:lineRule="auto"/>
        <w:tabs>
          <w:tab w:leader="none" w:pos="470" w:val="left"/>
        </w:tabs>
        <w:numPr>
          <w:ilvl w:val="1"/>
          <w:numId w:val="56"/>
        </w:numPr>
        <w:rPr>
          <w:rFonts w:ascii="Arial" w:cs="Arial" w:eastAsia="Arial" w:hAnsi="Arial"/>
          <w:sz w:val="12"/>
          <w:szCs w:val="12"/>
          <w:color w:val="215AA8"/>
        </w:rPr>
      </w:pPr>
      <w:r>
        <w:rPr>
          <w:rFonts w:ascii="Arial" w:cs="Arial" w:eastAsia="Arial" w:hAnsi="Arial"/>
          <w:sz w:val="12"/>
          <w:szCs w:val="12"/>
          <w:color w:val="auto"/>
        </w:rPr>
        <w:t>The risk management program focuses on the most significant risks the Company faces in the short-, intermediate-, and long-term timeframe.</w:t>
      </w:r>
    </w:p>
    <w:p>
      <w:pPr>
        <w:spacing w:after="0" w:line="3" w:lineRule="exact"/>
        <w:rPr>
          <w:rFonts w:ascii="Arial" w:cs="Arial" w:eastAsia="Arial" w:hAnsi="Arial"/>
          <w:sz w:val="12"/>
          <w:szCs w:val="12"/>
          <w:color w:val="215AA8"/>
        </w:rPr>
      </w:pPr>
    </w:p>
    <w:p>
      <w:pPr>
        <w:ind w:left="460" w:right="540" w:hanging="159"/>
        <w:spacing w:after="0" w:line="257" w:lineRule="auto"/>
        <w:tabs>
          <w:tab w:leader="none" w:pos="470" w:val="left"/>
        </w:tabs>
        <w:numPr>
          <w:ilvl w:val="1"/>
          <w:numId w:val="56"/>
        </w:numPr>
        <w:rPr>
          <w:rFonts w:ascii="Arial" w:cs="Arial" w:eastAsia="Arial" w:hAnsi="Arial"/>
          <w:sz w:val="14"/>
          <w:szCs w:val="14"/>
          <w:color w:val="215AA8"/>
        </w:rPr>
      </w:pPr>
      <w:r>
        <w:rPr>
          <w:rFonts w:ascii="Arial" w:cs="Arial" w:eastAsia="Arial" w:hAnsi="Arial"/>
          <w:sz w:val="14"/>
          <w:szCs w:val="14"/>
          <w:color w:val="auto"/>
        </w:rPr>
        <w:t>The Company’s Chief Audit Executive, who reports independently to the Committee, facilitates the risk management program.</w:t>
      </w:r>
    </w:p>
    <w:p>
      <w:pPr>
        <w:spacing w:after="0" w:line="49" w:lineRule="exact"/>
        <w:rPr>
          <w:rFonts w:ascii="Arial" w:cs="Arial" w:eastAsia="Arial" w:hAnsi="Arial"/>
          <w:sz w:val="14"/>
          <w:szCs w:val="14"/>
          <w:color w:val="215AA8"/>
        </w:rPr>
      </w:pPr>
    </w:p>
    <w:p>
      <w:pPr>
        <w:ind w:left="300" w:right="80" w:hanging="149"/>
        <w:spacing w:after="0" w:line="242" w:lineRule="auto"/>
        <w:tabs>
          <w:tab w:leader="none" w:pos="310" w:val="left"/>
        </w:tabs>
        <w:numPr>
          <w:ilvl w:val="0"/>
          <w:numId w:val="56"/>
        </w:numPr>
        <w:rPr>
          <w:rFonts w:ascii="Arial" w:cs="Arial" w:eastAsia="Arial" w:hAnsi="Arial"/>
          <w:sz w:val="14"/>
          <w:szCs w:val="14"/>
          <w:b w:val="1"/>
          <w:bCs w:val="1"/>
          <w:color w:val="215AA8"/>
        </w:rPr>
      </w:pPr>
      <w:r>
        <w:rPr>
          <w:rFonts w:ascii="Arial" w:cs="Arial" w:eastAsia="Arial" w:hAnsi="Arial"/>
          <w:sz w:val="14"/>
          <w:szCs w:val="14"/>
          <w:color w:val="auto"/>
        </w:rPr>
        <w:t>Audit Committee meetings include discussions of specific risk areas throughout the year, including, among others, those relating to cybersecurity, and reports from the Chief Audit Executive on the Company’s enterprise risk profile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586105</wp:posOffset>
            </wp:positionV>
            <wp:extent cx="3442335" cy="11188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42335" cy="111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D60058"/>
        </w:rPr>
        <w:t>COMPENSATION COMMITTEE</w:t>
      </w:r>
    </w:p>
    <w:p>
      <w:pPr>
        <w:spacing w:after="0" w:line="77" w:lineRule="exact"/>
        <w:rPr>
          <w:sz w:val="20"/>
          <w:szCs w:val="20"/>
          <w:color w:val="auto"/>
        </w:rPr>
      </w:pPr>
    </w:p>
    <w:p>
      <w:pPr>
        <w:ind w:left="300" w:right="80" w:hanging="149"/>
        <w:spacing w:after="0" w:line="242" w:lineRule="auto"/>
        <w:tabs>
          <w:tab w:leader="none" w:pos="310" w:val="left"/>
        </w:tabs>
        <w:numPr>
          <w:ilvl w:val="0"/>
          <w:numId w:val="57"/>
        </w:numPr>
        <w:rPr>
          <w:rFonts w:ascii="Arial" w:cs="Arial" w:eastAsia="Arial" w:hAnsi="Arial"/>
          <w:sz w:val="14"/>
          <w:szCs w:val="14"/>
          <w:b w:val="1"/>
          <w:bCs w:val="1"/>
          <w:color w:val="215AA8"/>
        </w:rPr>
      </w:pPr>
      <w:r>
        <w:rPr>
          <w:rFonts w:ascii="Arial" w:cs="Arial" w:eastAsia="Arial" w:hAnsi="Arial"/>
          <w:sz w:val="14"/>
          <w:szCs w:val="14"/>
          <w:color w:val="auto"/>
        </w:rPr>
        <w:t>As part of its overall review of the Company’s compensation policies and practices, the Compensation Committee generally considers the risks associated with these policies and practices while designing performance incentives that align executives’ interests with those of long-term shareholders.</w:t>
      </w:r>
    </w:p>
    <w:p>
      <w:pPr>
        <w:spacing w:after="0" w:line="59" w:lineRule="exact"/>
        <w:rPr>
          <w:rFonts w:ascii="Arial" w:cs="Arial" w:eastAsia="Arial" w:hAnsi="Arial"/>
          <w:sz w:val="14"/>
          <w:szCs w:val="14"/>
          <w:b w:val="1"/>
          <w:bCs w:val="1"/>
          <w:color w:val="215AA8"/>
        </w:rPr>
      </w:pPr>
    </w:p>
    <w:p>
      <w:pPr>
        <w:ind w:left="300" w:right="680" w:hanging="149"/>
        <w:spacing w:after="0" w:line="246" w:lineRule="auto"/>
        <w:tabs>
          <w:tab w:leader="none" w:pos="310" w:val="left"/>
        </w:tabs>
        <w:numPr>
          <w:ilvl w:val="0"/>
          <w:numId w:val="57"/>
        </w:numPr>
        <w:rPr>
          <w:rFonts w:ascii="Arial" w:cs="Arial" w:eastAsia="Arial" w:hAnsi="Arial"/>
          <w:sz w:val="14"/>
          <w:szCs w:val="14"/>
          <w:b w:val="1"/>
          <w:bCs w:val="1"/>
          <w:color w:val="215AA8"/>
        </w:rPr>
      </w:pPr>
      <w:r>
        <w:rPr>
          <w:rFonts w:ascii="Arial" w:cs="Arial" w:eastAsia="Arial" w:hAnsi="Arial"/>
          <w:sz w:val="14"/>
          <w:szCs w:val="14"/>
          <w:color w:val="auto"/>
        </w:rPr>
        <w:t>At least annually the Compensation Committee reviews and considers a compensation program risk assessment performed by its independent compensation consultant.</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CORPORATE GOVERNANCE AND COMPLIANCE</w:t>
      </w:r>
    </w:p>
    <w:p>
      <w:pPr>
        <w:spacing w:after="0" w:line="77" w:lineRule="exact"/>
        <w:rPr>
          <w:sz w:val="20"/>
          <w:szCs w:val="20"/>
          <w:color w:val="auto"/>
        </w:rPr>
      </w:pPr>
    </w:p>
    <w:p>
      <w:pPr>
        <w:ind w:left="160" w:right="280" w:hanging="154"/>
        <w:spacing w:after="0" w:line="238" w:lineRule="auto"/>
        <w:tabs>
          <w:tab w:leader="none" w:pos="170" w:val="left"/>
        </w:tabs>
        <w:numPr>
          <w:ilvl w:val="0"/>
          <w:numId w:val="58"/>
        </w:numPr>
        <w:rPr>
          <w:rFonts w:ascii="Arial" w:cs="Arial" w:eastAsia="Arial" w:hAnsi="Arial"/>
          <w:sz w:val="14"/>
          <w:szCs w:val="14"/>
          <w:b w:val="1"/>
          <w:bCs w:val="1"/>
          <w:color w:val="215AA8"/>
        </w:rPr>
      </w:pPr>
      <w:r>
        <w:rPr>
          <w:rFonts w:ascii="Arial" w:cs="Arial" w:eastAsia="Arial" w:hAnsi="Arial"/>
          <w:sz w:val="14"/>
          <w:szCs w:val="14"/>
          <w:color w:val="auto"/>
        </w:rPr>
        <w:t>The Corporate Governance and Compliance Committee oversees all aspects of the Company’s comprehensive compliance program other than financial compliance (including healthcare law compliance, good manufacturing practices, good clinical practices, and good laboratory practices) and considers legal and regulatory compliance risks as well as corporate responsibility initiatives that are expected to have a significant impact on the Company’s ability to deliver sustained growth.</w:t>
      </w:r>
    </w:p>
    <w:p>
      <w:pPr>
        <w:spacing w:after="0" w:line="53" w:lineRule="exact"/>
        <w:rPr>
          <w:rFonts w:ascii="Arial" w:cs="Arial" w:eastAsia="Arial" w:hAnsi="Arial"/>
          <w:sz w:val="14"/>
          <w:szCs w:val="14"/>
          <w:b w:val="1"/>
          <w:bCs w:val="1"/>
          <w:color w:val="215AA8"/>
        </w:rPr>
      </w:pPr>
    </w:p>
    <w:p>
      <w:pPr>
        <w:ind w:left="160" w:right="180" w:hanging="154"/>
        <w:spacing w:after="0" w:line="239" w:lineRule="auto"/>
        <w:tabs>
          <w:tab w:leader="none" w:pos="170" w:val="left"/>
        </w:tabs>
        <w:numPr>
          <w:ilvl w:val="0"/>
          <w:numId w:val="58"/>
        </w:numPr>
        <w:rPr>
          <w:rFonts w:ascii="Arial" w:cs="Arial" w:eastAsia="Arial" w:hAnsi="Arial"/>
          <w:sz w:val="14"/>
          <w:szCs w:val="14"/>
          <w:b w:val="1"/>
          <w:bCs w:val="1"/>
          <w:color w:val="215AA8"/>
        </w:rPr>
      </w:pPr>
      <w:r>
        <w:rPr>
          <w:rFonts w:ascii="Arial" w:cs="Arial" w:eastAsia="Arial" w:hAnsi="Arial"/>
          <w:sz w:val="14"/>
          <w:szCs w:val="14"/>
          <w:color w:val="auto"/>
        </w:rPr>
        <w:t>The Company’s Chief Compliance Officer, who reports to our Executive Vice President, General Counsel and Secretary, provides regular updates directly to the Corporate Governance and Compliance Committee (generally given at every regularly scheduled meeting of the Committee), and relevant information is shared with the full board as part of the Corporate Governance and Compliance Committee’s report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287020</wp:posOffset>
            </wp:positionV>
            <wp:extent cx="3442335" cy="1026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42335" cy="102616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TECHNOLOGY COMMITTEE</w:t>
      </w:r>
    </w:p>
    <w:p>
      <w:pPr>
        <w:spacing w:after="0" w:line="77" w:lineRule="exact"/>
        <w:rPr>
          <w:sz w:val="20"/>
          <w:szCs w:val="20"/>
          <w:color w:val="auto"/>
        </w:rPr>
      </w:pPr>
    </w:p>
    <w:p>
      <w:pPr>
        <w:ind w:left="160" w:right="480" w:hanging="154"/>
        <w:spacing w:after="0" w:line="257" w:lineRule="auto"/>
        <w:tabs>
          <w:tab w:leader="none" w:pos="170" w:val="left"/>
        </w:tabs>
        <w:numPr>
          <w:ilvl w:val="0"/>
          <w:numId w:val="59"/>
        </w:numPr>
        <w:rPr>
          <w:rFonts w:ascii="Arial" w:cs="Arial" w:eastAsia="Arial" w:hAnsi="Arial"/>
          <w:sz w:val="14"/>
          <w:szCs w:val="14"/>
          <w:b w:val="1"/>
          <w:bCs w:val="1"/>
          <w:color w:val="215AA8"/>
        </w:rPr>
      </w:pPr>
      <w:r>
        <w:rPr>
          <w:rFonts w:ascii="Arial" w:cs="Arial" w:eastAsia="Arial" w:hAnsi="Arial"/>
          <w:sz w:val="14"/>
          <w:szCs w:val="14"/>
          <w:color w:val="auto"/>
        </w:rPr>
        <w:t>The Technology Committee considers risks associated with our research and development programs.</w:t>
      </w:r>
    </w:p>
    <w:p>
      <w:pPr>
        <w:spacing w:after="0" w:line="1059" w:lineRule="exact"/>
        <w:rPr>
          <w:sz w:val="20"/>
          <w:szCs w:val="20"/>
          <w:color w:val="auto"/>
        </w:rPr>
      </w:pPr>
    </w:p>
    <w:p>
      <w:pPr>
        <w:sectPr>
          <w:pgSz w:w="11900" w:h="16838" w:orient="portrait"/>
          <w:cols w:equalWidth="0" w:num="2">
            <w:col w:w="5300" w:space="720"/>
            <w:col w:w="5240"/>
          </w:cols>
          <w:pgMar w:left="320" w:top="215" w:right="319" w:bottom="1440" w:gutter="0" w:footer="0" w:header="0"/>
          <w:type w:val="continuous"/>
        </w:sect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30</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Executive Compensation Processes and Procedures; Role of Compensation Consultants</w:t>
      </w:r>
    </w:p>
    <w:p>
      <w:pPr>
        <w:spacing w:after="0" w:line="180" w:lineRule="exact"/>
        <w:rPr>
          <w:sz w:val="20"/>
          <w:szCs w:val="20"/>
          <w:color w:val="auto"/>
        </w:rPr>
      </w:pPr>
    </w:p>
    <w:p>
      <w:pPr>
        <w:ind w:right="100"/>
        <w:spacing w:after="0" w:line="307" w:lineRule="auto"/>
        <w:rPr>
          <w:sz w:val="20"/>
          <w:szCs w:val="20"/>
          <w:color w:val="auto"/>
        </w:rPr>
      </w:pPr>
      <w:r>
        <w:rPr>
          <w:rFonts w:ascii="Arial" w:cs="Arial" w:eastAsia="Arial" w:hAnsi="Arial"/>
          <w:sz w:val="12"/>
          <w:szCs w:val="12"/>
          <w:color w:val="auto"/>
        </w:rPr>
        <w:t>The Compensation Committee is responsible for overseeing the Company’s general compensation objectives and programs. We describe below under “Compensation-Related Matters— Compensation Discussion and Analysis—Compensation Processes” the role of the Compensation Committee, as well as the role of our executive officers, in decisions regarding executive compensation (particularly with respect to our Named Executive Officers (as defined below under “Compensation-Related Matters—Compensation Discussion and Analysis”)).</w:t>
      </w:r>
    </w:p>
    <w:p>
      <w:pPr>
        <w:spacing w:after="0" w:line="101" w:lineRule="exact"/>
        <w:rPr>
          <w:sz w:val="20"/>
          <w:szCs w:val="20"/>
          <w:color w:val="auto"/>
        </w:rPr>
      </w:pPr>
    </w:p>
    <w:p>
      <w:pPr>
        <w:ind w:right="20"/>
        <w:spacing w:after="0"/>
        <w:rPr>
          <w:sz w:val="20"/>
          <w:szCs w:val="20"/>
          <w:color w:val="auto"/>
        </w:rPr>
      </w:pPr>
      <w:r>
        <w:rPr>
          <w:rFonts w:ascii="Arial" w:cs="Arial" w:eastAsia="Arial" w:hAnsi="Arial"/>
          <w:sz w:val="14"/>
          <w:szCs w:val="14"/>
          <w:color w:val="auto"/>
        </w:rPr>
        <w:t>The Compensation Committee has the sole authority to retain its own third-party compensation consultants, and in 2023 utilized the services of Pay Governance LLC, an independent compensation consultant. Advice and recommendations provided by Pay Governance LLC in 2023 related to both executive compensation (discussed in the section “Compensation-Related Matters” below) and director compensation matters (discussed in the subsection “Compensation of Directors” below). As discussed further below, the Corporate Governance and Compliance Committee has adopted a policy requiring the annual review of non-employee director compensation by an independent compensation consultant and separately engaged Pay Governance LLC for that purpose.</w:t>
      </w:r>
    </w:p>
    <w:p>
      <w:pPr>
        <w:spacing w:after="0" w:line="141"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Management also retains another compensation consultant for its own use. In 2023, management used the services of Radford (part of Aon plc), a compensation consultant focused on the technology and life sciences sectors. Radford provided various consulting services to us, including analyzing the competitiveness of specific compensation programs; preparing surveys of competitive pay practices; and assisting management in the development and analysis of executive compensation recommendations. Reports prepared by Radford that relate to executive compensation may also be shared with the Compensation Committee, the full board, or another committee of the board.</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Shareholder Engagement Philosophy and Board Responsiveness</w:t>
      </w:r>
    </w:p>
    <w:p>
      <w:pPr>
        <w:spacing w:after="0" w:line="180"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Our board of directors has always viewed shareholder feedback as critical for its decision-making and has taken several actions after careful consideration of the feedback received. For over a decade, the board and management have conducted regular and extensive investor outreach. Annually, we seek to engage in direct one-on-one discussions with shareholders collectively representing in excess of 50% of the shares of common stock outstanding (excluding shares held by our directors and executive officers), which we refer to as “public shares.” We encourage director participation in our outreach, and our Lead Independent Director (who is also the Chair of our Compensation Committee) led many of these discussions as a representative of the board in recent years. We also routinely engage with our shareholders through regular investor-relations channels, industry and corporate governance conferences, and informal exchanges in other settings.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Regeneron’s Longstanding Commitment to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112395</wp:posOffset>
            </wp:positionV>
            <wp:extent cx="5360670" cy="26301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360670" cy="263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31</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10" w:right="180"/>
        <w:spacing w:after="0" w:line="296" w:lineRule="auto"/>
        <w:rPr>
          <w:sz w:val="20"/>
          <w:szCs w:val="20"/>
          <w:color w:val="auto"/>
        </w:rPr>
      </w:pPr>
      <w:r>
        <w:rPr>
          <w:rFonts w:ascii="Arial" w:cs="Arial" w:eastAsia="Arial" w:hAnsi="Arial"/>
          <w:sz w:val="12"/>
          <w:szCs w:val="12"/>
          <w:color w:val="auto"/>
        </w:rPr>
        <w:t>Our active investor outreach program solicits and gathers feedback on a broad range of matters, including board structure and composition, executive compensation, shareholder rights, and corporate responsibility and other ESG topics. The feedback received is a key input in board and relevant committee discussions, and has consistently been a significant driver of actions taken over the last several years. We have a track record of carefully considering, and taking actions in response to, shareholder input, as described in the section “Compensation Related Matters – Compensation Discussion and Analysis – Compensation Processes – Shareholder Input and Outreach and the 2023 Say-on-Pay Vote Result.”</w:t>
      </w:r>
    </w:p>
    <w:p>
      <w:pPr>
        <w:spacing w:after="0" w:line="188" w:lineRule="exact"/>
        <w:rPr>
          <w:sz w:val="20"/>
          <w:szCs w:val="20"/>
          <w:color w:val="auto"/>
        </w:rPr>
      </w:pPr>
    </w:p>
    <w:p>
      <w:pPr>
        <w:ind w:left="10"/>
        <w:spacing w:after="0"/>
        <w:rPr>
          <w:sz w:val="20"/>
          <w:szCs w:val="20"/>
          <w:color w:val="auto"/>
        </w:rPr>
      </w:pPr>
      <w:r>
        <w:rPr>
          <w:rFonts w:ascii="Arial" w:cs="Arial" w:eastAsia="Arial" w:hAnsi="Arial"/>
          <w:sz w:val="30"/>
          <w:szCs w:val="30"/>
          <w:b w:val="1"/>
          <w:bCs w:val="1"/>
          <w:color w:val="D60058"/>
        </w:rPr>
        <w:t>Compensation of Directors</w:t>
      </w:r>
    </w:p>
    <w:p>
      <w:pPr>
        <w:spacing w:after="0" w:line="267"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Overview</w:t>
      </w:r>
    </w:p>
    <w:p>
      <w:pPr>
        <w:spacing w:after="0" w:line="180" w:lineRule="exact"/>
        <w:rPr>
          <w:sz w:val="20"/>
          <w:szCs w:val="20"/>
          <w:color w:val="auto"/>
        </w:rPr>
      </w:pPr>
    </w:p>
    <w:p>
      <w:pPr>
        <w:ind w:left="10" w:right="40"/>
        <w:spacing w:after="0" w:line="246" w:lineRule="auto"/>
        <w:rPr>
          <w:sz w:val="20"/>
          <w:szCs w:val="20"/>
          <w:color w:val="auto"/>
        </w:rPr>
      </w:pPr>
      <w:r>
        <w:rPr>
          <w:rFonts w:ascii="Arial" w:cs="Arial" w:eastAsia="Arial" w:hAnsi="Arial"/>
          <w:sz w:val="14"/>
          <w:szCs w:val="14"/>
          <w:color w:val="auto"/>
        </w:rPr>
        <w:t>The general philosophy we have applied to compensation of our non-employee directors (as well as the former Chair of the Board, as discussed below) is similar to the executive compensation philosophy outlined in the “Compensation-Related Matters” section of this proxy statement. This philosophy, including its emphasis on equity compensation, is consistent with the Company’s long-term business orientation and has helped ensure alignment of directors’ interests with those of Regeneron shareholders.</w:t>
      </w:r>
    </w:p>
    <w:p>
      <w:pPr>
        <w:spacing w:after="0" w:line="135" w:lineRule="exact"/>
        <w:rPr>
          <w:sz w:val="20"/>
          <w:szCs w:val="20"/>
          <w:color w:val="auto"/>
        </w:rPr>
      </w:pPr>
    </w:p>
    <w:p>
      <w:pPr>
        <w:ind w:left="10" w:right="80"/>
        <w:spacing w:after="0" w:line="277" w:lineRule="auto"/>
        <w:rPr>
          <w:sz w:val="20"/>
          <w:szCs w:val="20"/>
          <w:color w:val="auto"/>
        </w:rPr>
      </w:pPr>
      <w:r>
        <w:rPr>
          <w:rFonts w:ascii="Arial" w:cs="Arial" w:eastAsia="Arial" w:hAnsi="Arial"/>
          <w:sz w:val="12"/>
          <w:szCs w:val="12"/>
          <w:color w:val="auto"/>
        </w:rPr>
        <w:t>Non-employee director compensation matters are subject to annual review. The Corporate Governance and Compliance Committee makes recommendations to the board of directors regarding, and the board of directors determines, the compensation of non-employee directors. The Corporate Governance and Compliance Committee evaluates the appropriate level and form of compensation for non-employee directors and recommends changes to such compensation to the board of directors when appropriate. Directors who are Company employees receive no additional compensation for serving on our board of directors or its committees. In determining compensation recommendations for the non-employee directors, the Corporate Governance and Compliance Committee considers, among other things, the qualifications, expertise, and demands on our directors, practices of similar companies in the biotechnology</w:t>
      </w:r>
    </w:p>
    <w:p>
      <w:pPr>
        <w:spacing w:after="0" w:line="2" w:lineRule="exact"/>
        <w:rPr>
          <w:sz w:val="20"/>
          <w:szCs w:val="20"/>
          <w:color w:val="auto"/>
        </w:rPr>
      </w:pPr>
    </w:p>
    <w:p>
      <w:pPr>
        <w:jc w:val="both"/>
        <w:ind w:left="10" w:right="180"/>
        <w:spacing w:after="0" w:line="215" w:lineRule="auto"/>
        <w:rPr>
          <w:sz w:val="20"/>
          <w:szCs w:val="20"/>
          <w:color w:val="auto"/>
        </w:rPr>
      </w:pPr>
      <w:r>
        <w:rPr>
          <w:rFonts w:ascii="Arial" w:cs="Arial" w:eastAsia="Arial" w:hAnsi="Arial"/>
          <w:sz w:val="14"/>
          <w:szCs w:val="14"/>
          <w:color w:val="auto"/>
        </w:rPr>
        <w:t>industry (including the Peer Group</w:t>
      </w:r>
      <w:r>
        <w:rPr>
          <w:rFonts w:ascii="Arial" w:cs="Arial" w:eastAsia="Arial" w:hAnsi="Arial"/>
          <w:sz w:val="22"/>
          <w:szCs w:val="22"/>
          <w:color w:val="auto"/>
          <w:vertAlign w:val="superscript"/>
        </w:rPr>
        <w:t>2</w:t>
      </w:r>
      <w:r>
        <w:rPr>
          <w:rFonts w:ascii="Arial" w:cs="Arial" w:eastAsia="Arial" w:hAnsi="Arial"/>
          <w:sz w:val="14"/>
          <w:szCs w:val="14"/>
          <w:color w:val="auto"/>
        </w:rPr>
        <w:t>), and any comparative information provided by independent compensation consultants. In addition, since November 2018, the Corporate Governance and Compliance Committee has required the annual review of non-employee director compensation by an independent compensation consultant, and has engaged Pay Governance LLC for this purpose since 2021.</w:t>
      </w:r>
    </w:p>
    <w:p>
      <w:pPr>
        <w:spacing w:after="0" w:line="139" w:lineRule="exact"/>
        <w:rPr>
          <w:sz w:val="20"/>
          <w:szCs w:val="20"/>
          <w:color w:val="auto"/>
        </w:rPr>
      </w:pPr>
    </w:p>
    <w:p>
      <w:pPr>
        <w:ind w:left="10" w:right="60"/>
        <w:spacing w:after="0" w:line="257" w:lineRule="auto"/>
        <w:rPr>
          <w:sz w:val="20"/>
          <w:szCs w:val="20"/>
          <w:color w:val="auto"/>
        </w:rPr>
      </w:pPr>
      <w:r>
        <w:rPr>
          <w:rFonts w:ascii="Arial" w:cs="Arial" w:eastAsia="Arial" w:hAnsi="Arial"/>
          <w:sz w:val="14"/>
          <w:szCs w:val="14"/>
          <w:color w:val="auto"/>
        </w:rPr>
        <w:t>The process governing the compensation arrangements of the former Chair of the Board, who retired in June 2023, is described under “Compensation Arrangements of the Former Chair of the Board of Directors” below.</w:t>
      </w:r>
    </w:p>
    <w:p>
      <w:pPr>
        <w:spacing w:after="0" w:line="128" w:lineRule="exact"/>
        <w:rPr>
          <w:sz w:val="20"/>
          <w:szCs w:val="20"/>
          <w:color w:val="auto"/>
        </w:rPr>
      </w:pPr>
    </w:p>
    <w:p>
      <w:pPr>
        <w:ind w:left="10" w:right="100"/>
        <w:spacing w:after="0" w:line="281" w:lineRule="auto"/>
        <w:rPr>
          <w:sz w:val="20"/>
          <w:szCs w:val="20"/>
          <w:color w:val="auto"/>
        </w:rPr>
      </w:pPr>
      <w:r>
        <w:rPr>
          <w:rFonts w:ascii="Arial" w:cs="Arial" w:eastAsia="Arial" w:hAnsi="Arial"/>
          <w:sz w:val="14"/>
          <w:szCs w:val="14"/>
          <w:color w:val="auto"/>
        </w:rPr>
        <w:t>The current compensation program for our non-employee directors (which has been effective for our non-employee directors since January 2019 and is further described below) is referred to in this section as the “Current Compensation Program.”</w:t>
      </w:r>
      <w:r>
        <w:rPr>
          <w:rFonts w:ascii="Arial" w:cs="Arial" w:eastAsia="Arial" w:hAnsi="Arial"/>
          <w:sz w:val="22"/>
          <w:szCs w:val="22"/>
          <w:color w:val="auto"/>
          <w:vertAlign w:val="superscript"/>
        </w:rPr>
        <w:t>3</w:t>
      </w:r>
    </w:p>
    <w:p>
      <w:pPr>
        <w:spacing w:after="0" w:line="106"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Non-Employee Director Compensation Philosophy</w:t>
      </w:r>
    </w:p>
    <w:p>
      <w:pPr>
        <w:spacing w:after="0" w:line="180" w:lineRule="exact"/>
        <w:rPr>
          <w:sz w:val="20"/>
          <w:szCs w:val="20"/>
          <w:color w:val="auto"/>
        </w:rPr>
      </w:pPr>
    </w:p>
    <w:p>
      <w:pPr>
        <w:ind w:left="10" w:right="20"/>
        <w:spacing w:after="0" w:line="238" w:lineRule="auto"/>
        <w:rPr>
          <w:sz w:val="20"/>
          <w:szCs w:val="20"/>
          <w:color w:val="auto"/>
        </w:rPr>
      </w:pPr>
      <w:r>
        <w:rPr>
          <w:rFonts w:ascii="Arial" w:cs="Arial" w:eastAsia="Arial" w:hAnsi="Arial"/>
          <w:sz w:val="14"/>
          <w:szCs w:val="14"/>
          <w:color w:val="auto"/>
        </w:rPr>
        <w:t>Our philosophy for non-employee director compensation is simple: to attract the most highly qualified directors with a diverse skillset who will serve as stewards of the Company’s long-term prospects and scientific focus. There is significant competition within our industry for highly qualified directors, particularly those with distinguished scientific credentials (such as members of the National Academy of Sciences) and the caliber of science-based backgrounds that we seek in our board members from the industry. With this in mind, our non-employee director compensation program emphasizes equity compensation primarily in the form of stock options, which reward increases in stock price, over cash fees. The board of directors believes that this emphasis is consistent with the Company’s long-term business orientation and has helped ensure alignment of directors’ interests with those of Regeneron shareholders. Under the Current Compensation Program, we have utilized value-denominated equity compensation awards (granted in the form of stock options and a relatively small percentage of restricted stock units (“RSUs”)) for our non-employee directors. This feature of the Current Compensation Program is meant to, among other things, ensure greater stability in reported non-employee director compensation on a year-over-year basis. The board of directors believes that the Current Compensation Program is consistent with Regeneron’s philosophy for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15518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63" w:lineRule="exact"/>
        <w:rPr>
          <w:sz w:val="20"/>
          <w:szCs w:val="20"/>
          <w:color w:val="auto"/>
        </w:rPr>
      </w:pPr>
    </w:p>
    <w:p>
      <w:pPr>
        <w:ind w:left="230" w:hanging="230"/>
        <w:spacing w:after="0"/>
        <w:tabs>
          <w:tab w:leader="none" w:pos="230" w:val="left"/>
        </w:tabs>
        <w:numPr>
          <w:ilvl w:val="0"/>
          <w:numId w:val="60"/>
        </w:numPr>
        <w:rPr>
          <w:rFonts w:ascii="Arial" w:cs="Arial" w:eastAsia="Arial" w:hAnsi="Arial"/>
          <w:sz w:val="20"/>
          <w:szCs w:val="20"/>
          <w:color w:val="auto"/>
          <w:vertAlign w:val="superscript"/>
        </w:rPr>
      </w:pPr>
      <w:r>
        <w:rPr>
          <w:rFonts w:ascii="Arial" w:cs="Arial" w:eastAsia="Arial" w:hAnsi="Arial"/>
          <w:sz w:val="12"/>
          <w:szCs w:val="12"/>
          <w:color w:val="auto"/>
        </w:rPr>
        <w:t>See “Compensation-Related Matters— Compensation Discussion and Analysis—Compensation Processes—Peer Data” below for a list of the companies included in our Peer Group.</w:t>
      </w:r>
    </w:p>
    <w:p>
      <w:pPr>
        <w:ind w:left="230" w:hanging="230"/>
        <w:spacing w:after="0" w:line="187" w:lineRule="auto"/>
        <w:tabs>
          <w:tab w:leader="none" w:pos="230" w:val="left"/>
        </w:tabs>
        <w:numPr>
          <w:ilvl w:val="0"/>
          <w:numId w:val="61"/>
        </w:numPr>
        <w:rPr>
          <w:rFonts w:ascii="Arial" w:cs="Arial" w:eastAsia="Arial" w:hAnsi="Arial"/>
          <w:sz w:val="20"/>
          <w:szCs w:val="20"/>
          <w:color w:val="auto"/>
          <w:vertAlign w:val="superscript"/>
        </w:rPr>
      </w:pPr>
      <w:r>
        <w:rPr>
          <w:rFonts w:ascii="Arial" w:cs="Arial" w:eastAsia="Arial" w:hAnsi="Arial"/>
          <w:sz w:val="12"/>
          <w:szCs w:val="12"/>
          <w:color w:val="auto"/>
        </w:rPr>
        <w:t>The Current Compensation Program was implemented following the previously disclosed settlement of two shareholder derivative actions (the “Settlement”) and complies with the terms of the Settlement.</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32</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Cash Fees, Expenses, and Matching Gift Program</w:t>
      </w:r>
    </w:p>
    <w:p>
      <w:pPr>
        <w:spacing w:after="0" w:line="180" w:lineRule="exact"/>
        <w:rPr>
          <w:sz w:val="20"/>
          <w:szCs w:val="20"/>
          <w:color w:val="auto"/>
        </w:rPr>
      </w:pPr>
    </w:p>
    <w:p>
      <w:pPr>
        <w:ind w:left="10" w:right="20"/>
        <w:spacing w:after="0" w:line="277" w:lineRule="auto"/>
        <w:rPr>
          <w:sz w:val="20"/>
          <w:szCs w:val="20"/>
          <w:color w:val="auto"/>
        </w:rPr>
      </w:pPr>
      <w:r>
        <w:rPr>
          <w:rFonts w:ascii="Arial" w:cs="Arial" w:eastAsia="Arial" w:hAnsi="Arial"/>
          <w:sz w:val="12"/>
          <w:szCs w:val="12"/>
          <w:color w:val="auto"/>
        </w:rPr>
        <w:t>In 2023, each non-employee director received an annual retainer of $90,000 and an annual committee retainer of $10,000 for each standing committee of the Company’s board of directors on which the director served (in the case of Drs. Guarini and Schenkein, with such retainers prorated based on the date of their election to the board; and, in the case of Dr. Tessier-Lavigne, with such retainers prorated based on the date of his retirement). In addition, each chair of each standing committee received an additional annual retainer of $10,000, and Ms. Poon also received a portion of the annual Lead Independent Director retainer of $50,000 prorated based on the date she assumed this role in 2023. Compared to cash compensation of non-employee directors in our Peer Group, the 2023 annual retainer for board service was below the median; the additional retainers provided to our committee chairs were at or below the</w:t>
      </w:r>
    </w:p>
    <w:p>
      <w:pPr>
        <w:spacing w:after="0" w:line="2" w:lineRule="exact"/>
        <w:rPr>
          <w:sz w:val="20"/>
          <w:szCs w:val="20"/>
          <w:color w:val="auto"/>
        </w:rPr>
      </w:pPr>
    </w:p>
    <w:p>
      <w:pPr>
        <w:ind w:left="10"/>
        <w:spacing w:after="0"/>
        <w:rPr>
          <w:sz w:val="20"/>
          <w:szCs w:val="20"/>
          <w:color w:val="auto"/>
        </w:rPr>
      </w:pPr>
      <w:r>
        <w:rPr>
          <w:rFonts w:ascii="Arial" w:cs="Arial" w:eastAsia="Arial" w:hAnsi="Arial"/>
          <w:sz w:val="14"/>
          <w:szCs w:val="14"/>
          <w:color w:val="auto"/>
        </w:rPr>
        <w:t>median; and the Lead Independent Director retainer was set at approximately the 75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w:t>
      </w:r>
      <w:r>
        <w:rPr>
          <w:rFonts w:ascii="Arial" w:cs="Arial" w:eastAsia="Arial" w:hAnsi="Arial"/>
          <w:sz w:val="22"/>
          <w:szCs w:val="22"/>
          <w:color w:val="auto"/>
          <w:vertAlign w:val="superscript"/>
        </w:rPr>
        <w:t>4</w:t>
      </w:r>
    </w:p>
    <w:p>
      <w:pPr>
        <w:spacing w:after="0" w:line="86" w:lineRule="exact"/>
        <w:rPr>
          <w:sz w:val="20"/>
          <w:szCs w:val="20"/>
          <w:color w:val="auto"/>
        </w:rPr>
      </w:pPr>
    </w:p>
    <w:p>
      <w:pPr>
        <w:ind w:left="10" w:right="180"/>
        <w:spacing w:after="0" w:line="246" w:lineRule="auto"/>
        <w:rPr>
          <w:sz w:val="20"/>
          <w:szCs w:val="20"/>
          <w:color w:val="auto"/>
        </w:rPr>
      </w:pPr>
      <w:r>
        <w:rPr>
          <w:rFonts w:ascii="Arial" w:cs="Arial" w:eastAsia="Arial" w:hAnsi="Arial"/>
          <w:sz w:val="14"/>
          <w:szCs w:val="14"/>
          <w:color w:val="auto"/>
        </w:rPr>
        <w:t>Non-employee directors are reimbursed for their actual expenses incurred in connection with their activities as directors, which include travel, hotel, and food and entertainment expenses (as applicable). In addition, directors are eligible to participate in the Regeneron Matching Gift Program, which is also available to eligible employees. Under this program, the Company matches contributions made by directors and employees to eligible tax-exempt organizations up to an annual maximum amount per director or employee.</w:t>
      </w:r>
    </w:p>
    <w:p>
      <w:pPr>
        <w:spacing w:after="0" w:line="220"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Annual Equity Awards</w:t>
      </w:r>
    </w:p>
    <w:p>
      <w:pPr>
        <w:spacing w:after="0" w:line="271"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2023 and 2024 Equity Awards</w:t>
      </w:r>
    </w:p>
    <w:p>
      <w:pPr>
        <w:spacing w:after="0" w:line="174" w:lineRule="exact"/>
        <w:rPr>
          <w:sz w:val="20"/>
          <w:szCs w:val="20"/>
          <w:color w:val="auto"/>
        </w:rPr>
      </w:pPr>
    </w:p>
    <w:p>
      <w:pPr>
        <w:ind w:left="10" w:right="540"/>
        <w:spacing w:after="0" w:line="257" w:lineRule="auto"/>
        <w:rPr>
          <w:sz w:val="20"/>
          <w:szCs w:val="20"/>
          <w:color w:val="auto"/>
        </w:rPr>
      </w:pPr>
      <w:r>
        <w:rPr>
          <w:rFonts w:ascii="Arial" w:cs="Arial" w:eastAsia="Arial" w:hAnsi="Arial"/>
          <w:sz w:val="14"/>
          <w:szCs w:val="14"/>
          <w:color w:val="auto"/>
        </w:rPr>
        <w:t>The January 2023 and January 2024 annual equity awards to our non-employee directors were made in accordance with the Current Compensation Program and complied with the respective limits imposed by the Second Amended and Restated Regeneron Pharmaceuticals, Inc. 2014 Long-Term Incentive Plan and the Settlement.</w:t>
      </w:r>
    </w:p>
    <w:p>
      <w:pPr>
        <w:spacing w:after="0" w:line="128" w:lineRule="exact"/>
        <w:rPr>
          <w:sz w:val="20"/>
          <w:szCs w:val="20"/>
          <w:color w:val="auto"/>
        </w:rPr>
      </w:pPr>
    </w:p>
    <w:p>
      <w:pPr>
        <w:ind w:left="10" w:right="20"/>
        <w:spacing w:after="0" w:line="238" w:lineRule="auto"/>
        <w:rPr>
          <w:sz w:val="20"/>
          <w:szCs w:val="20"/>
          <w:color w:val="auto"/>
        </w:rPr>
      </w:pPr>
      <w:r>
        <w:rPr>
          <w:rFonts w:ascii="Arial" w:cs="Arial" w:eastAsia="Arial" w:hAnsi="Arial"/>
          <w:sz w:val="14"/>
          <w:szCs w:val="14"/>
          <w:color w:val="auto"/>
        </w:rPr>
        <w:t>With respect to each of the January 2023 and January 2024 annual equity awards, the board of directors (upon the recommendation of the Corporate Governance and Compliance Committee) determined that the targeted aggregate grant date fair value of such equity awards would be set at $600,000 per non-employee director and consist of stock options with a grant date fair value of $480,000 (or 80% thereof) and RSUs with a grant date fair value of $120,000 (or 20% thereof). The January 2023 annual equity awards to our non-employee directors are shown in the table below. On January 2, 2024, each of the then-serving non-employee directors (other than Drs. Guarini and Schenkein) received an annual equity award comprised of stock options representing 1,607 shares of common stock (with a grant date fair value of $479,846) and 135 RSUs (with a grant date fair value of $119,926). The aggregate grant date fair value of the January 2024 equity awards to these directors was $599,772 per such non-employee director. As non-employee directors newly elected effective September 8, 2023, Drs. Guarini and Schenkein each received a prorated annual equity award on January 2, 2024 consisting of 508 options (with a grant date fair value of $151,681) and 42 RSUs (with a grant date fair value of $37,310). The aggregate grant date fair value of the January 2024 equity awards to Drs. Guarini and Schenkein was $188,991 per such non-employee director. See “Equity Awards to New Directors” below for more information.</w:t>
      </w:r>
    </w:p>
    <w:p>
      <w:pPr>
        <w:spacing w:after="0" w:line="139" w:lineRule="exact"/>
        <w:rPr>
          <w:sz w:val="20"/>
          <w:szCs w:val="20"/>
          <w:color w:val="auto"/>
        </w:rPr>
      </w:pPr>
    </w:p>
    <w:p>
      <w:pPr>
        <w:ind w:left="10" w:right="360"/>
        <w:spacing w:after="0" w:line="296" w:lineRule="auto"/>
        <w:rPr>
          <w:sz w:val="20"/>
          <w:szCs w:val="20"/>
          <w:color w:val="auto"/>
        </w:rPr>
      </w:pPr>
      <w:r>
        <w:rPr>
          <w:rFonts w:ascii="Arial" w:cs="Arial" w:eastAsia="Arial" w:hAnsi="Arial"/>
          <w:sz w:val="12"/>
          <w:szCs w:val="12"/>
          <w:color w:val="auto"/>
        </w:rPr>
        <w:t>Similar to the process undertaken in respect of the January 2023 annual equity awards, the Corporate Governance and Compliance Committee recommended the approval of, and the board of directors approved, the terms of the January 2024 annual equity awards after consideration of the review, analysis, and recommendations of the Corporate Governance and Compliance Committee’s independent compensation consultant. Such analysis focused on, among other matters, the market practices of companies in our Peer Group, other relevant industry and market data points, Regeneron’s non-employee director compensation philosophy (including its emphasis on long-term incentives), and the terms of the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5518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31" w:lineRule="exact"/>
        <w:rPr>
          <w:sz w:val="20"/>
          <w:szCs w:val="20"/>
          <w:color w:val="auto"/>
        </w:rPr>
      </w:pPr>
    </w:p>
    <w:p>
      <w:pPr>
        <w:ind w:left="230" w:hanging="230"/>
        <w:spacing w:after="0"/>
        <w:tabs>
          <w:tab w:leader="none" w:pos="230" w:val="left"/>
        </w:tabs>
        <w:numPr>
          <w:ilvl w:val="0"/>
          <w:numId w:val="62"/>
        </w:numPr>
        <w:rPr>
          <w:rFonts w:ascii="Arial" w:cs="Arial" w:eastAsia="Arial" w:hAnsi="Arial"/>
          <w:sz w:val="20"/>
          <w:szCs w:val="20"/>
          <w:color w:val="auto"/>
          <w:vertAlign w:val="superscript"/>
        </w:rPr>
      </w:pPr>
      <w:r>
        <w:rPr>
          <w:rFonts w:ascii="Arial" w:cs="Arial" w:eastAsia="Arial" w:hAnsi="Arial"/>
          <w:sz w:val="12"/>
          <w:szCs w:val="12"/>
          <w:color w:val="auto"/>
        </w:rPr>
        <w:t>Based on information reported by our Peer Group companies in 2023.</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33</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Terms of Equity Awards</w:t>
      </w:r>
    </w:p>
    <w:p>
      <w:pPr>
        <w:spacing w:after="0" w:line="174" w:lineRule="exact"/>
        <w:rPr>
          <w:sz w:val="20"/>
          <w:szCs w:val="20"/>
          <w:color w:val="auto"/>
        </w:rPr>
      </w:pPr>
    </w:p>
    <w:p>
      <w:pPr>
        <w:jc w:val="both"/>
        <w:ind w:right="160"/>
        <w:spacing w:after="0" w:line="246" w:lineRule="auto"/>
        <w:rPr>
          <w:sz w:val="20"/>
          <w:szCs w:val="20"/>
          <w:color w:val="auto"/>
        </w:rPr>
      </w:pPr>
      <w:r>
        <w:rPr>
          <w:rFonts w:ascii="Arial" w:cs="Arial" w:eastAsia="Arial" w:hAnsi="Arial"/>
          <w:sz w:val="14"/>
          <w:szCs w:val="14"/>
          <w:color w:val="auto"/>
        </w:rPr>
        <w:t>The exercise price of a non-employee director stock option is equal to the fair market value of a share of the Company’s common stock on the date of grant (determined as the average of the high and low sales price per share of the Company’s common stock on the Nasdaq Global Select Market on the date of grant or, if such date is not a trading day, on the last preceding date on which there was a sale of the Company’s common stock on the Nasdaq Global Select Market).</w:t>
      </w:r>
    </w:p>
    <w:p>
      <w:pPr>
        <w:spacing w:after="0" w:line="135"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Under the Current Compensation Program, a pro-rata portion of each equity award (i.e., each stock option and RSU award) equal to the portion of one year that has passed from its date of grant vests on the date of the Company’s first annual shareholder meeting following the date of grant, and the remaining portion vests on the first anniversary of the date of grant. The RSU awards contain mandatory deferral provisions, according to which the shares underlying the RSUs will generally not be delivered to the non-employee director until the earliest of (i) the termination of the non-employee director’s service as a member of the board, (ii) the seventh anniversary of the RSU grant date, and (iii) the date of a change in control (as defined in the Second Amended and Restated Regeneron Pharmaceuticals, Inc. 2014 Long-Term Incentive Plan (or its predecessor)). A non-employee director may, subject to compliance with applicable tax rules, elect in writing a maximum deferral period longer than the seventh anniversary of the grant date. Other than as discussed below, the vesting of equity awards is generally subject to continued service on the board, and stock option awards generally expire ten years following the date of grant.</w:t>
      </w:r>
    </w:p>
    <w:p>
      <w:pPr>
        <w:spacing w:after="0" w:line="143"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To the extent they remain unvested and outstanding, equity awards granted to a non-employee director continue to vest following the retirement of that director provided applicable conditions relating to the length of the director’s service and the director’s age have been met. If a non-employee director’s service as a member of the board is terminated as a result of his or her death, all of the director’s equity awards will immediately vest in full.</w:t>
      </w:r>
    </w:p>
    <w:p>
      <w:pPr>
        <w:spacing w:after="0" w:line="135"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To the extent they remain unvested and outstanding, equity awards granted to non-employee directors become fully vested automatically upon a change in control of the Company. Each non-employee director has the right to nullify this acceleration of vesting, in whole or in part, if it would cause the director to pay excise taxes under the requirements of the Internal Revenue Code.</w:t>
      </w:r>
    </w:p>
    <w:p>
      <w:pPr>
        <w:spacing w:after="0" w:line="220"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Equity Awards to New Directors</w:t>
      </w:r>
    </w:p>
    <w:p>
      <w:pPr>
        <w:spacing w:after="0" w:line="180" w:lineRule="exact"/>
        <w:rPr>
          <w:sz w:val="20"/>
          <w:szCs w:val="20"/>
          <w:color w:val="auto"/>
        </w:rPr>
      </w:pPr>
    </w:p>
    <w:p>
      <w:pPr>
        <w:ind w:right="40"/>
        <w:spacing w:after="0"/>
        <w:rPr>
          <w:sz w:val="20"/>
          <w:szCs w:val="20"/>
          <w:color w:val="auto"/>
        </w:rPr>
      </w:pPr>
      <w:r>
        <w:rPr>
          <w:rFonts w:ascii="Arial" w:cs="Arial" w:eastAsia="Arial" w:hAnsi="Arial"/>
          <w:sz w:val="14"/>
          <w:szCs w:val="14"/>
          <w:color w:val="auto"/>
        </w:rPr>
        <w:t>Under the Current Compensation Program, any newly elected non-employee director will receive an initial equity award with an aggregate grant date fair value equal to 5/3rds of the aggregate grant date fair value of the most recent annual equity award to a non-employee director; and, with respect to the annual equity award to a non-employee director in respect of the first year of his or her service, the aggregate grant date fair value of such annual award will be prorated based on the date as of which the non-employee director first becomes a member of the board of directors. The initial equity awards to Drs. Guarini and Schenkein (shown in the table below) and their prorated January 2024 annual equity awards (discussed above) were consistent with these guidelines.</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Compensation Arrangements of the Former Chair of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On December 31, 1998, we entered into an employment agreement with the former Chair of the board of directors, Dr. Vagelos. Pursuant to the terms of his employment agreement,</w:t>
      </w:r>
    </w:p>
    <w:p>
      <w:pPr>
        <w:spacing w:after="0" w:line="9" w:lineRule="exact"/>
        <w:rPr>
          <w:sz w:val="20"/>
          <w:szCs w:val="20"/>
          <w:color w:val="auto"/>
        </w:rPr>
      </w:pPr>
    </w:p>
    <w:p>
      <w:pPr>
        <w:ind w:right="200"/>
        <w:spacing w:after="0" w:line="239" w:lineRule="auto"/>
        <w:rPr>
          <w:sz w:val="20"/>
          <w:szCs w:val="20"/>
          <w:color w:val="auto"/>
        </w:rPr>
      </w:pPr>
      <w:r>
        <w:rPr>
          <w:rFonts w:ascii="Arial" w:cs="Arial" w:eastAsia="Arial" w:hAnsi="Arial"/>
          <w:sz w:val="14"/>
          <w:szCs w:val="14"/>
          <w:color w:val="auto"/>
        </w:rPr>
        <w:t>Dr. Vagelos was entitled to receive an annual salary of $100,000 as a non-officer employee, which in 2023 was prorated based on the length of time he was employed by the Company in 2023.</w:t>
      </w:r>
    </w:p>
    <w:p>
      <w:pPr>
        <w:spacing w:after="0" w:line="140"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As Dr. Vagelos retired from the board of directors in June 2023, he did not receive an annual equity award as part of the Company’s regular year-end grant cycle in December 2023. The award agreements relating to Dr. Vagelos’s outstanding equity awards provide that any award unvested as of the June 2023 date of his qualified retirement (as defined in the applicable Company policy) will continue to vest in accordance with the terms of the applicable award agreement. In addition, as the result of his qualified retirement, the award agreements relating to Dr. Vagelos’s outstanding stock option awards provide that he is entitled to exercise all outstanding stock options throughout their original 10-year term.</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34</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10" w:right="120"/>
        <w:spacing w:after="0" w:line="257" w:lineRule="auto"/>
        <w:rPr>
          <w:sz w:val="20"/>
          <w:szCs w:val="20"/>
          <w:color w:val="auto"/>
        </w:rPr>
      </w:pPr>
      <w:r>
        <w:rPr>
          <w:rFonts w:ascii="Arial" w:cs="Arial" w:eastAsia="Arial" w:hAnsi="Arial"/>
          <w:sz w:val="14"/>
          <w:szCs w:val="14"/>
          <w:color w:val="auto"/>
        </w:rPr>
        <w:t>The following table and explanatory footnotes provide information with respect to compensation paid to Dr. Vagelos and each non-employee director for their service in 2023 in accordance with the policies, plans, and employment agreement described above:</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Director Compensation</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00" w:type="dxa"/>
            <w:vAlign w:val="bottom"/>
            <w:tcBorders>
              <w:bottom w:val="single" w:sz="8" w:color="215AA8"/>
            </w:tcBorders>
          </w:tcPr>
          <w:p>
            <w:pPr>
              <w:ind w:left="1960"/>
              <w:spacing w:after="0"/>
              <w:rPr>
                <w:sz w:val="20"/>
                <w:szCs w:val="20"/>
                <w:color w:val="auto"/>
              </w:rPr>
            </w:pPr>
            <w:r>
              <w:rPr>
                <w:rFonts w:ascii="Arial" w:cs="Arial" w:eastAsia="Arial" w:hAnsi="Arial"/>
                <w:sz w:val="14"/>
                <w:szCs w:val="14"/>
                <w:b w:val="1"/>
                <w:bCs w:val="1"/>
                <w:color w:val="215AA8"/>
              </w:rPr>
              <w:t>A</w:t>
            </w:r>
          </w:p>
        </w:tc>
        <w:tc>
          <w:tcPr>
            <w:tcW w:w="1940" w:type="dxa"/>
            <w:vAlign w:val="bottom"/>
            <w:tcBorders>
              <w:bottom w:val="single" w:sz="8" w:color="215AA8"/>
            </w:tcBorders>
          </w:tcPr>
          <w:p>
            <w:pPr>
              <w:jc w:val="right"/>
              <w:ind w:right="532"/>
              <w:spacing w:after="0"/>
              <w:rPr>
                <w:sz w:val="20"/>
                <w:szCs w:val="20"/>
                <w:color w:val="auto"/>
              </w:rPr>
            </w:pPr>
            <w:r>
              <w:rPr>
                <w:rFonts w:ascii="Arial" w:cs="Arial" w:eastAsia="Arial" w:hAnsi="Arial"/>
                <w:sz w:val="14"/>
                <w:szCs w:val="14"/>
                <w:b w:val="1"/>
                <w:bCs w:val="1"/>
                <w:color w:val="215AA8"/>
              </w:rPr>
              <w:t>B</w:t>
            </w:r>
          </w:p>
        </w:tc>
        <w:tc>
          <w:tcPr>
            <w:tcW w:w="940" w:type="dxa"/>
            <w:vAlign w:val="bottom"/>
            <w:tcBorders>
              <w:bottom w:val="single" w:sz="8" w:color="215AA8"/>
            </w:tcBorders>
          </w:tcPr>
          <w:p>
            <w:pPr>
              <w:jc w:val="right"/>
              <w:ind w:right="473"/>
              <w:spacing w:after="0"/>
              <w:rPr>
                <w:sz w:val="20"/>
                <w:szCs w:val="20"/>
                <w:color w:val="auto"/>
              </w:rPr>
            </w:pPr>
            <w:r>
              <w:rPr>
                <w:rFonts w:ascii="Arial" w:cs="Arial" w:eastAsia="Arial" w:hAnsi="Arial"/>
                <w:sz w:val="14"/>
                <w:szCs w:val="14"/>
                <w:b w:val="1"/>
                <w:bCs w:val="1"/>
                <w:color w:val="215AA8"/>
              </w:rPr>
              <w:t>C</w:t>
            </w:r>
          </w:p>
        </w:tc>
        <w:tc>
          <w:tcPr>
            <w:tcW w:w="920" w:type="dxa"/>
            <w:vAlign w:val="bottom"/>
            <w:tcBorders>
              <w:bottom w:val="single" w:sz="8" w:color="215AA8"/>
            </w:tcBorders>
          </w:tcPr>
          <w:p>
            <w:pPr>
              <w:jc w:val="right"/>
              <w:ind w:right="413"/>
              <w:spacing w:after="0"/>
              <w:rPr>
                <w:sz w:val="20"/>
                <w:szCs w:val="20"/>
                <w:color w:val="auto"/>
              </w:rPr>
            </w:pPr>
            <w:r>
              <w:rPr>
                <w:rFonts w:ascii="Arial" w:cs="Arial" w:eastAsia="Arial" w:hAnsi="Arial"/>
                <w:sz w:val="14"/>
                <w:szCs w:val="14"/>
                <w:b w:val="1"/>
                <w:bCs w:val="1"/>
                <w:color w:val="215AA8"/>
              </w:rPr>
              <w:t>D</w:t>
            </w:r>
          </w:p>
        </w:tc>
        <w:tc>
          <w:tcPr>
            <w:tcW w:w="1080" w:type="dxa"/>
            <w:vAlign w:val="bottom"/>
            <w:tcBorders>
              <w:bottom w:val="single" w:sz="8" w:color="215AA8"/>
            </w:tcBorders>
          </w:tcPr>
          <w:p>
            <w:pPr>
              <w:jc w:val="right"/>
              <w:ind w:right="432"/>
              <w:spacing w:after="0"/>
              <w:rPr>
                <w:sz w:val="20"/>
                <w:szCs w:val="20"/>
                <w:color w:val="auto"/>
              </w:rPr>
            </w:pPr>
            <w:r>
              <w:rPr>
                <w:rFonts w:ascii="Arial" w:cs="Arial" w:eastAsia="Arial" w:hAnsi="Arial"/>
                <w:sz w:val="14"/>
                <w:szCs w:val="14"/>
                <w:b w:val="1"/>
                <w:bCs w:val="1"/>
                <w:color w:val="215AA8"/>
              </w:rPr>
              <w:t>E</w:t>
            </w:r>
          </w:p>
        </w:tc>
        <w:tc>
          <w:tcPr>
            <w:tcW w:w="1060" w:type="dxa"/>
            <w:vAlign w:val="bottom"/>
            <w:tcBorders>
              <w:bottom w:val="single" w:sz="8" w:color="215AA8"/>
            </w:tcBorders>
          </w:tcPr>
          <w:p>
            <w:pPr>
              <w:jc w:val="right"/>
              <w:ind w:right="432"/>
              <w:spacing w:after="0"/>
              <w:rPr>
                <w:sz w:val="20"/>
                <w:szCs w:val="20"/>
                <w:color w:val="auto"/>
              </w:rPr>
            </w:pPr>
            <w:r>
              <w:rPr>
                <w:rFonts w:ascii="Arial" w:cs="Arial" w:eastAsia="Arial" w:hAnsi="Arial"/>
                <w:sz w:val="14"/>
                <w:szCs w:val="14"/>
                <w:b w:val="1"/>
                <w:bCs w:val="1"/>
                <w:color w:val="215AA8"/>
              </w:rPr>
              <w:t>F</w:t>
            </w:r>
          </w:p>
        </w:tc>
        <w:tc>
          <w:tcPr>
            <w:tcW w:w="1200" w:type="dxa"/>
            <w:vAlign w:val="bottom"/>
            <w:tcBorders>
              <w:bottom w:val="single" w:sz="8" w:color="215AA8"/>
            </w:tcBorders>
          </w:tcPr>
          <w:p>
            <w:pPr>
              <w:jc w:val="right"/>
              <w:ind w:right="513"/>
              <w:spacing w:after="0"/>
              <w:rPr>
                <w:sz w:val="20"/>
                <w:szCs w:val="20"/>
                <w:color w:val="auto"/>
              </w:rPr>
            </w:pPr>
            <w:r>
              <w:rPr>
                <w:rFonts w:ascii="Arial" w:cs="Arial" w:eastAsia="Arial" w:hAnsi="Arial"/>
                <w:sz w:val="14"/>
                <w:szCs w:val="14"/>
                <w:b w:val="1"/>
                <w:bCs w:val="1"/>
                <w:color w:val="215AA8"/>
              </w:rPr>
              <w:t>G</w:t>
            </w:r>
          </w:p>
        </w:tc>
        <w:tc>
          <w:tcPr>
            <w:tcW w:w="820" w:type="dxa"/>
            <w:vAlign w:val="bottom"/>
            <w:tcBorders>
              <w:bottom w:val="single" w:sz="8" w:color="215AA8"/>
            </w:tcBorders>
          </w:tcPr>
          <w:p>
            <w:pPr>
              <w:jc w:val="right"/>
              <w:ind w:right="292"/>
              <w:spacing w:after="0"/>
              <w:rPr>
                <w:sz w:val="20"/>
                <w:szCs w:val="20"/>
                <w:color w:val="auto"/>
              </w:rPr>
            </w:pPr>
            <w:r>
              <w:rPr>
                <w:rFonts w:ascii="Arial" w:cs="Arial" w:eastAsia="Arial" w:hAnsi="Arial"/>
                <w:sz w:val="14"/>
                <w:szCs w:val="14"/>
                <w:b w:val="1"/>
                <w:bCs w:val="1"/>
                <w:color w:val="215AA8"/>
              </w:rPr>
              <w:t>H</w:t>
            </w:r>
          </w:p>
        </w:tc>
        <w:tc>
          <w:tcPr>
            <w:tcW w:w="0" w:type="dxa"/>
            <w:vAlign w:val="bottom"/>
          </w:tcPr>
          <w:p>
            <w:pPr>
              <w:spacing w:after="0"/>
              <w:rPr>
                <w:sz w:val="1"/>
                <w:szCs w:val="1"/>
                <w:color w:val="auto"/>
              </w:rPr>
            </w:pPr>
          </w:p>
        </w:tc>
      </w:tr>
      <w:tr>
        <w:trPr>
          <w:trHeight w:val="138"/>
        </w:trPr>
        <w:tc>
          <w:tcPr>
            <w:tcW w:w="3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jc w:val="right"/>
              <w:ind w:right="72"/>
              <w:spacing w:after="0" w:line="139" w:lineRule="exact"/>
              <w:rPr>
                <w:sz w:val="20"/>
                <w:szCs w:val="20"/>
                <w:color w:val="auto"/>
              </w:rPr>
            </w:pPr>
            <w:r>
              <w:rPr>
                <w:rFonts w:ascii="Arial" w:cs="Arial" w:eastAsia="Arial" w:hAnsi="Arial"/>
                <w:sz w:val="14"/>
                <w:szCs w:val="14"/>
                <w:color w:val="215AA8"/>
              </w:rPr>
              <w:t>Change in</w:t>
            </w: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pension</w:t>
            </w: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value and</w:t>
            </w: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940" w:type="dxa"/>
            <w:vAlign w:val="bottom"/>
          </w:tcPr>
          <w:p>
            <w:pPr>
              <w:jc w:val="right"/>
              <w:ind w:right="192"/>
              <w:spacing w:after="0" w:line="157" w:lineRule="exact"/>
              <w:rPr>
                <w:sz w:val="20"/>
                <w:szCs w:val="20"/>
                <w:color w:val="auto"/>
              </w:rPr>
            </w:pPr>
            <w:r>
              <w:rPr>
                <w:rFonts w:ascii="Arial" w:cs="Arial" w:eastAsia="Arial" w:hAnsi="Arial"/>
                <w:sz w:val="14"/>
                <w:szCs w:val="14"/>
                <w:color w:val="215AA8"/>
              </w:rPr>
              <w:t>Fees earned</w:t>
            </w:r>
          </w:p>
        </w:tc>
        <w:tc>
          <w:tcPr>
            <w:tcW w:w="940" w:type="dxa"/>
            <w:vAlign w:val="bottom"/>
            <w:vMerge w:val="restart"/>
          </w:tcPr>
          <w:p>
            <w:pPr>
              <w:jc w:val="right"/>
              <w:ind w:right="133"/>
              <w:spacing w:after="0"/>
              <w:rPr>
                <w:sz w:val="20"/>
                <w:szCs w:val="20"/>
                <w:color w:val="auto"/>
              </w:rPr>
            </w:pPr>
            <w:r>
              <w:rPr>
                <w:rFonts w:ascii="Arial" w:cs="Arial" w:eastAsia="Arial" w:hAnsi="Arial"/>
                <w:sz w:val="14"/>
                <w:szCs w:val="14"/>
                <w:color w:val="215AA8"/>
              </w:rPr>
              <w:t>Stock</w:t>
            </w:r>
          </w:p>
        </w:tc>
        <w:tc>
          <w:tcPr>
            <w:tcW w:w="920" w:type="dxa"/>
            <w:vAlign w:val="bottom"/>
            <w:vMerge w:val="restart"/>
          </w:tcPr>
          <w:p>
            <w:pPr>
              <w:jc w:val="right"/>
              <w:ind w:right="73"/>
              <w:spacing w:after="0"/>
              <w:rPr>
                <w:sz w:val="20"/>
                <w:szCs w:val="20"/>
                <w:color w:val="auto"/>
              </w:rPr>
            </w:pPr>
            <w:r>
              <w:rPr>
                <w:rFonts w:ascii="Arial" w:cs="Arial" w:eastAsia="Arial" w:hAnsi="Arial"/>
                <w:sz w:val="14"/>
                <w:szCs w:val="14"/>
                <w:color w:val="215AA8"/>
              </w:rPr>
              <w:t>Option</w:t>
            </w:r>
          </w:p>
        </w:tc>
        <w:tc>
          <w:tcPr>
            <w:tcW w:w="10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Non-equity</w:t>
            </w:r>
          </w:p>
        </w:tc>
        <w:tc>
          <w:tcPr>
            <w:tcW w:w="106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non-qualified</w:t>
            </w:r>
          </w:p>
        </w:tc>
        <w:tc>
          <w:tcPr>
            <w:tcW w:w="1200" w:type="dxa"/>
            <w:vAlign w:val="bottom"/>
            <w:vMerge w:val="restart"/>
          </w:tcPr>
          <w:p>
            <w:pPr>
              <w:jc w:val="right"/>
              <w:ind w:right="153"/>
              <w:spacing w:after="0"/>
              <w:rPr>
                <w:sz w:val="20"/>
                <w:szCs w:val="20"/>
                <w:color w:val="auto"/>
              </w:rPr>
            </w:pPr>
            <w:r>
              <w:rPr>
                <w:rFonts w:ascii="Arial" w:cs="Arial" w:eastAsia="Arial" w:hAnsi="Arial"/>
                <w:sz w:val="14"/>
                <w:szCs w:val="14"/>
                <w:color w:val="215AA8"/>
              </w:rPr>
              <w:t>All other</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1940" w:type="dxa"/>
            <w:vAlign w:val="bottom"/>
          </w:tcPr>
          <w:p>
            <w:pPr>
              <w:jc w:val="right"/>
              <w:ind w:right="192"/>
              <w:spacing w:after="0" w:line="135" w:lineRule="exact"/>
              <w:rPr>
                <w:sz w:val="20"/>
                <w:szCs w:val="20"/>
                <w:color w:val="auto"/>
              </w:rPr>
            </w:pPr>
            <w:r>
              <w:rPr>
                <w:rFonts w:ascii="Arial" w:cs="Arial" w:eastAsia="Arial" w:hAnsi="Arial"/>
                <w:sz w:val="14"/>
                <w:szCs w:val="14"/>
                <w:color w:val="215AA8"/>
              </w:rPr>
              <w:t>or paid in</w:t>
            </w: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80" w:type="dxa"/>
            <w:vAlign w:val="bottom"/>
          </w:tcPr>
          <w:p>
            <w:pPr>
              <w:jc w:val="right"/>
              <w:ind w:right="32"/>
              <w:spacing w:after="0" w:line="135" w:lineRule="exact"/>
              <w:rPr>
                <w:sz w:val="20"/>
                <w:szCs w:val="20"/>
                <w:color w:val="auto"/>
              </w:rPr>
            </w:pPr>
            <w:r>
              <w:rPr>
                <w:rFonts w:ascii="Arial" w:cs="Arial" w:eastAsia="Arial" w:hAnsi="Arial"/>
                <w:sz w:val="14"/>
                <w:szCs w:val="14"/>
                <w:color w:val="215AA8"/>
              </w:rPr>
              <w:t>incentive plan</w:t>
            </w:r>
          </w:p>
        </w:tc>
        <w:tc>
          <w:tcPr>
            <w:tcW w:w="1060" w:type="dxa"/>
            <w:vAlign w:val="bottom"/>
          </w:tcPr>
          <w:p>
            <w:pPr>
              <w:jc w:val="right"/>
              <w:ind w:right="72"/>
              <w:spacing w:after="0" w:line="135" w:lineRule="exact"/>
              <w:rPr>
                <w:sz w:val="20"/>
                <w:szCs w:val="20"/>
                <w:color w:val="auto"/>
              </w:rPr>
            </w:pPr>
            <w:r>
              <w:rPr>
                <w:rFonts w:ascii="Arial" w:cs="Arial" w:eastAsia="Arial" w:hAnsi="Arial"/>
                <w:sz w:val="14"/>
                <w:szCs w:val="14"/>
                <w:color w:val="215AA8"/>
              </w:rPr>
              <w:t>deferred</w:t>
            </w:r>
          </w:p>
        </w:tc>
        <w:tc>
          <w:tcPr>
            <w:tcW w:w="12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300" w:type="dxa"/>
            <w:vAlign w:val="bottom"/>
          </w:tcPr>
          <w:p>
            <w:pPr>
              <w:spacing w:after="0"/>
              <w:rPr>
                <w:sz w:val="15"/>
                <w:szCs w:val="15"/>
                <w:color w:val="auto"/>
              </w:rPr>
            </w:pPr>
          </w:p>
        </w:tc>
        <w:tc>
          <w:tcPr>
            <w:tcW w:w="1940" w:type="dxa"/>
            <w:vAlign w:val="bottom"/>
          </w:tcPr>
          <w:p>
            <w:pPr>
              <w:jc w:val="right"/>
              <w:ind w:right="192"/>
              <w:spacing w:after="0"/>
              <w:rPr>
                <w:sz w:val="20"/>
                <w:szCs w:val="20"/>
                <w:color w:val="auto"/>
              </w:rPr>
            </w:pPr>
            <w:r>
              <w:rPr>
                <w:rFonts w:ascii="Arial" w:cs="Arial" w:eastAsia="Arial" w:hAnsi="Arial"/>
                <w:sz w:val="14"/>
                <w:szCs w:val="14"/>
                <w:color w:val="215AA8"/>
              </w:rPr>
              <w:t>cash</w:t>
            </w:r>
          </w:p>
        </w:tc>
        <w:tc>
          <w:tcPr>
            <w:tcW w:w="940" w:type="dxa"/>
            <w:vAlign w:val="bottom"/>
          </w:tcPr>
          <w:p>
            <w:pPr>
              <w:jc w:val="right"/>
              <w:ind w:right="133"/>
              <w:spacing w:after="0" w:line="181" w:lineRule="exact"/>
              <w:rPr>
                <w:sz w:val="20"/>
                <w:szCs w:val="20"/>
                <w:color w:val="auto"/>
              </w:rPr>
            </w:pPr>
            <w:r>
              <w:rPr>
                <w:rFonts w:ascii="Arial" w:cs="Arial" w:eastAsia="Arial" w:hAnsi="Arial"/>
                <w:sz w:val="13"/>
                <w:szCs w:val="13"/>
                <w:color w:val="215AA8"/>
              </w:rPr>
              <w:t>awards</w:t>
            </w:r>
            <w:r>
              <w:rPr>
                <w:rFonts w:ascii="Arial" w:cs="Arial" w:eastAsia="Arial" w:hAnsi="Arial"/>
                <w:sz w:val="20"/>
                <w:szCs w:val="20"/>
                <w:color w:val="215AA8"/>
                <w:vertAlign w:val="superscript"/>
              </w:rPr>
              <w:t>1</w:t>
            </w:r>
          </w:p>
        </w:tc>
        <w:tc>
          <w:tcPr>
            <w:tcW w:w="920" w:type="dxa"/>
            <w:vAlign w:val="bottom"/>
          </w:tcPr>
          <w:p>
            <w:pPr>
              <w:jc w:val="right"/>
              <w:ind w:right="73"/>
              <w:spacing w:after="0" w:line="181" w:lineRule="exact"/>
              <w:rPr>
                <w:sz w:val="20"/>
                <w:szCs w:val="20"/>
                <w:color w:val="auto"/>
              </w:rPr>
            </w:pPr>
            <w:r>
              <w:rPr>
                <w:rFonts w:ascii="Arial" w:cs="Arial" w:eastAsia="Arial" w:hAnsi="Arial"/>
                <w:sz w:val="13"/>
                <w:szCs w:val="13"/>
                <w:color w:val="215AA8"/>
              </w:rPr>
              <w:t>awards</w:t>
            </w:r>
            <w:r>
              <w:rPr>
                <w:rFonts w:ascii="Arial" w:cs="Arial" w:eastAsia="Arial" w:hAnsi="Arial"/>
                <w:sz w:val="20"/>
                <w:szCs w:val="20"/>
                <w:color w:val="215AA8"/>
                <w:vertAlign w:val="superscript"/>
              </w:rPr>
              <w:t>1,2</w:t>
            </w:r>
          </w:p>
        </w:tc>
        <w:tc>
          <w:tcPr>
            <w:tcW w:w="1080" w:type="dxa"/>
            <w:vAlign w:val="bottom"/>
          </w:tcPr>
          <w:p>
            <w:pPr>
              <w:jc w:val="right"/>
              <w:ind w:right="32"/>
              <w:spacing w:after="0"/>
              <w:rPr>
                <w:sz w:val="20"/>
                <w:szCs w:val="20"/>
                <w:color w:val="auto"/>
              </w:rPr>
            </w:pPr>
            <w:r>
              <w:rPr>
                <w:rFonts w:ascii="Arial" w:cs="Arial" w:eastAsia="Arial" w:hAnsi="Arial"/>
                <w:sz w:val="14"/>
                <w:szCs w:val="14"/>
                <w:color w:val="215AA8"/>
              </w:rPr>
              <w:t>compensation</w:t>
            </w:r>
          </w:p>
        </w:tc>
        <w:tc>
          <w:tcPr>
            <w:tcW w:w="1060" w:type="dxa"/>
            <w:vAlign w:val="bottom"/>
          </w:tcPr>
          <w:p>
            <w:pPr>
              <w:jc w:val="right"/>
              <w:ind w:right="32"/>
              <w:spacing w:after="0"/>
              <w:rPr>
                <w:sz w:val="20"/>
                <w:szCs w:val="20"/>
                <w:color w:val="auto"/>
              </w:rPr>
            </w:pPr>
            <w:r>
              <w:rPr>
                <w:rFonts w:ascii="Arial" w:cs="Arial" w:eastAsia="Arial" w:hAnsi="Arial"/>
                <w:sz w:val="14"/>
                <w:szCs w:val="14"/>
                <w:color w:val="215AA8"/>
              </w:rPr>
              <w:t>compensation</w:t>
            </w:r>
          </w:p>
        </w:tc>
        <w:tc>
          <w:tcPr>
            <w:tcW w:w="1200" w:type="dxa"/>
            <w:vAlign w:val="bottom"/>
          </w:tcPr>
          <w:p>
            <w:pPr>
              <w:jc w:val="right"/>
              <w:ind w:right="113"/>
              <w:spacing w:after="0" w:line="181" w:lineRule="exact"/>
              <w:rPr>
                <w:sz w:val="20"/>
                <w:szCs w:val="20"/>
                <w:color w:val="auto"/>
              </w:rPr>
            </w:pPr>
            <w:r>
              <w:rPr>
                <w:rFonts w:ascii="Arial" w:cs="Arial" w:eastAsia="Arial" w:hAnsi="Arial"/>
                <w:sz w:val="13"/>
                <w:szCs w:val="13"/>
                <w:color w:val="215AA8"/>
              </w:rPr>
              <w:t>compensation</w:t>
            </w:r>
            <w:r>
              <w:rPr>
                <w:rFonts w:ascii="Arial" w:cs="Arial" w:eastAsia="Arial" w:hAnsi="Arial"/>
                <w:sz w:val="20"/>
                <w:szCs w:val="20"/>
                <w:color w:val="215AA8"/>
                <w:vertAlign w:val="superscript"/>
              </w:rPr>
              <w:t>3</w:t>
            </w:r>
          </w:p>
        </w:tc>
        <w:tc>
          <w:tcPr>
            <w:tcW w:w="820" w:type="dxa"/>
            <w:vAlign w:val="bottom"/>
          </w:tcPr>
          <w:p>
            <w:pPr>
              <w:jc w:val="right"/>
              <w:ind w:right="12"/>
              <w:spacing w:after="0"/>
              <w:rPr>
                <w:sz w:val="20"/>
                <w:szCs w:val="20"/>
                <w:color w:val="auto"/>
              </w:rPr>
            </w:pPr>
            <w:r>
              <w:rPr>
                <w:rFonts w:ascii="Arial" w:cs="Arial" w:eastAsia="Arial" w:hAnsi="Arial"/>
                <w:sz w:val="14"/>
                <w:szCs w:val="14"/>
                <w:color w:val="215AA8"/>
              </w:rPr>
              <w:t>Total</w:t>
            </w:r>
          </w:p>
        </w:tc>
        <w:tc>
          <w:tcPr>
            <w:tcW w:w="0" w:type="dxa"/>
            <w:vAlign w:val="bottom"/>
          </w:tcPr>
          <w:p>
            <w:pPr>
              <w:spacing w:after="0"/>
              <w:rPr>
                <w:sz w:val="1"/>
                <w:szCs w:val="1"/>
                <w:color w:val="auto"/>
              </w:rPr>
            </w:pPr>
          </w:p>
        </w:tc>
      </w:tr>
      <w:tr>
        <w:trPr>
          <w:trHeight w:val="168"/>
        </w:trPr>
        <w:tc>
          <w:tcPr>
            <w:tcW w:w="3300" w:type="dxa"/>
            <w:vAlign w:val="bottom"/>
            <w:tcBorders>
              <w:bottom w:val="single" w:sz="8" w:color="215AA8"/>
            </w:tcBorders>
          </w:tcPr>
          <w:p>
            <w:pPr>
              <w:ind w:left="40"/>
              <w:spacing w:after="0"/>
              <w:rPr>
                <w:sz w:val="20"/>
                <w:szCs w:val="20"/>
                <w:color w:val="auto"/>
              </w:rPr>
            </w:pPr>
            <w:r>
              <w:rPr>
                <w:rFonts w:ascii="Arial" w:cs="Arial" w:eastAsia="Arial" w:hAnsi="Arial"/>
                <w:sz w:val="14"/>
                <w:szCs w:val="14"/>
                <w:color w:val="215AA8"/>
              </w:rPr>
              <w:t>Name</w:t>
            </w:r>
          </w:p>
        </w:tc>
        <w:tc>
          <w:tcPr>
            <w:tcW w:w="1940" w:type="dxa"/>
            <w:vAlign w:val="bottom"/>
            <w:tcBorders>
              <w:bottom w:val="single" w:sz="8" w:color="215AA8"/>
            </w:tcBorders>
          </w:tcPr>
          <w:p>
            <w:pPr>
              <w:jc w:val="right"/>
              <w:ind w:right="192"/>
              <w:spacing w:after="0"/>
              <w:rPr>
                <w:sz w:val="20"/>
                <w:szCs w:val="20"/>
                <w:color w:val="auto"/>
              </w:rPr>
            </w:pPr>
            <w:r>
              <w:rPr>
                <w:rFonts w:ascii="Arial" w:cs="Arial" w:eastAsia="Arial" w:hAnsi="Arial"/>
                <w:sz w:val="14"/>
                <w:szCs w:val="14"/>
                <w:color w:val="215AA8"/>
              </w:rPr>
              <w:t>($)</w:t>
            </w:r>
          </w:p>
        </w:tc>
        <w:tc>
          <w:tcPr>
            <w:tcW w:w="940" w:type="dxa"/>
            <w:vAlign w:val="bottom"/>
            <w:tcBorders>
              <w:bottom w:val="single" w:sz="8" w:color="215AA8"/>
            </w:tcBorders>
          </w:tcPr>
          <w:p>
            <w:pPr>
              <w:jc w:val="right"/>
              <w:ind w:right="133"/>
              <w:spacing w:after="0"/>
              <w:rPr>
                <w:sz w:val="20"/>
                <w:szCs w:val="20"/>
                <w:color w:val="auto"/>
              </w:rPr>
            </w:pPr>
            <w:r>
              <w:rPr>
                <w:rFonts w:ascii="Arial" w:cs="Arial" w:eastAsia="Arial" w:hAnsi="Arial"/>
                <w:sz w:val="14"/>
                <w:szCs w:val="14"/>
                <w:color w:val="215AA8"/>
              </w:rPr>
              <w:t>($)</w:t>
            </w:r>
          </w:p>
        </w:tc>
        <w:tc>
          <w:tcPr>
            <w:tcW w:w="920" w:type="dxa"/>
            <w:vAlign w:val="bottom"/>
            <w:tcBorders>
              <w:bottom w:val="single" w:sz="8" w:color="215AA8"/>
            </w:tcBorders>
          </w:tcPr>
          <w:p>
            <w:pPr>
              <w:jc w:val="right"/>
              <w:ind w:right="73"/>
              <w:spacing w:after="0"/>
              <w:rPr>
                <w:sz w:val="20"/>
                <w:szCs w:val="20"/>
                <w:color w:val="auto"/>
              </w:rPr>
            </w:pPr>
            <w:r>
              <w:rPr>
                <w:rFonts w:ascii="Arial" w:cs="Arial" w:eastAsia="Arial" w:hAnsi="Arial"/>
                <w:sz w:val="14"/>
                <w:szCs w:val="14"/>
                <w:color w:val="215AA8"/>
              </w:rPr>
              <w:t>($)</w:t>
            </w:r>
          </w:p>
        </w:tc>
        <w:tc>
          <w:tcPr>
            <w:tcW w:w="1080" w:type="dxa"/>
            <w:vAlign w:val="bottom"/>
            <w:tcBorders>
              <w:bottom w:val="single" w:sz="8" w:color="215AA8"/>
            </w:tcBorders>
          </w:tcPr>
          <w:p>
            <w:pPr>
              <w:jc w:val="right"/>
              <w:ind w:right="32"/>
              <w:spacing w:after="0"/>
              <w:rPr>
                <w:sz w:val="20"/>
                <w:szCs w:val="20"/>
                <w:color w:val="auto"/>
              </w:rPr>
            </w:pPr>
            <w:r>
              <w:rPr>
                <w:rFonts w:ascii="Arial" w:cs="Arial" w:eastAsia="Arial" w:hAnsi="Arial"/>
                <w:sz w:val="14"/>
                <w:szCs w:val="14"/>
                <w:color w:val="215AA8"/>
              </w:rPr>
              <w:t>($)</w:t>
            </w:r>
          </w:p>
        </w:tc>
        <w:tc>
          <w:tcPr>
            <w:tcW w:w="1060" w:type="dxa"/>
            <w:vAlign w:val="bottom"/>
            <w:tcBorders>
              <w:bottom w:val="single" w:sz="8" w:color="215AA8"/>
            </w:tcBorders>
          </w:tcPr>
          <w:p>
            <w:pPr>
              <w:jc w:val="right"/>
              <w:ind w:right="32"/>
              <w:spacing w:after="0"/>
              <w:rPr>
                <w:sz w:val="20"/>
                <w:szCs w:val="20"/>
                <w:color w:val="auto"/>
              </w:rPr>
            </w:pPr>
            <w:r>
              <w:rPr>
                <w:rFonts w:ascii="Arial" w:cs="Arial" w:eastAsia="Arial" w:hAnsi="Arial"/>
                <w:sz w:val="14"/>
                <w:szCs w:val="14"/>
                <w:color w:val="215AA8"/>
              </w:rPr>
              <w:t>earnings</w:t>
            </w:r>
          </w:p>
        </w:tc>
        <w:tc>
          <w:tcPr>
            <w:tcW w:w="1200" w:type="dxa"/>
            <w:vAlign w:val="bottom"/>
            <w:tcBorders>
              <w:bottom w:val="single" w:sz="8" w:color="215AA8"/>
            </w:tcBorders>
          </w:tcPr>
          <w:p>
            <w:pPr>
              <w:jc w:val="right"/>
              <w:ind w:right="113"/>
              <w:spacing w:after="0"/>
              <w:rPr>
                <w:sz w:val="20"/>
                <w:szCs w:val="20"/>
                <w:color w:val="auto"/>
              </w:rPr>
            </w:pPr>
            <w:r>
              <w:rPr>
                <w:rFonts w:ascii="Arial" w:cs="Arial" w:eastAsia="Arial" w:hAnsi="Arial"/>
                <w:sz w:val="14"/>
                <w:szCs w:val="14"/>
                <w:color w:val="215AA8"/>
              </w:rPr>
              <w:t>($)</w:t>
            </w:r>
          </w:p>
        </w:tc>
        <w:tc>
          <w:tcPr>
            <w:tcW w:w="82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215AA8"/>
              </w:rPr>
              <w:t>($)</w:t>
            </w:r>
          </w:p>
        </w:tc>
        <w:tc>
          <w:tcPr>
            <w:tcW w:w="0" w:type="dxa"/>
            <w:vAlign w:val="bottom"/>
          </w:tcPr>
          <w:p>
            <w:pPr>
              <w:spacing w:after="0"/>
              <w:rPr>
                <w:sz w:val="1"/>
                <w:szCs w:val="1"/>
                <w:color w:val="auto"/>
              </w:rPr>
            </w:pPr>
          </w:p>
        </w:tc>
      </w:tr>
      <w:tr>
        <w:trPr>
          <w:trHeight w:val="149"/>
        </w:trPr>
        <w:tc>
          <w:tcPr>
            <w:tcW w:w="3300" w:type="dxa"/>
            <w:vAlign w:val="bottom"/>
          </w:tcPr>
          <w:p>
            <w:pPr>
              <w:ind w:left="40"/>
              <w:spacing w:after="0" w:line="149" w:lineRule="exact"/>
              <w:rPr>
                <w:sz w:val="20"/>
                <w:szCs w:val="20"/>
                <w:color w:val="auto"/>
              </w:rPr>
            </w:pPr>
            <w:r>
              <w:rPr>
                <w:rFonts w:ascii="Arial" w:cs="Arial" w:eastAsia="Arial" w:hAnsi="Arial"/>
                <w:sz w:val="14"/>
                <w:szCs w:val="14"/>
                <w:b w:val="1"/>
                <w:bCs w:val="1"/>
                <w:color w:val="215AA8"/>
              </w:rPr>
              <w:t>Bonnie L. Bassler, Ph.D.</w:t>
            </w:r>
          </w:p>
        </w:tc>
        <w:tc>
          <w:tcPr>
            <w:tcW w:w="1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110,000</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119,772</w:t>
            </w:r>
          </w:p>
        </w:tc>
        <w:tc>
          <w:tcPr>
            <w:tcW w:w="920" w:type="dxa"/>
            <w:vAlign w:val="bottom"/>
          </w:tcPr>
          <w:p>
            <w:pPr>
              <w:jc w:val="right"/>
              <w:ind w:right="73"/>
              <w:spacing w:after="0" w:line="149" w:lineRule="exact"/>
              <w:rPr>
                <w:sz w:val="20"/>
                <w:szCs w:val="20"/>
                <w:color w:val="auto"/>
              </w:rPr>
            </w:pPr>
            <w:r>
              <w:rPr>
                <w:rFonts w:ascii="Arial" w:cs="Arial" w:eastAsia="Arial" w:hAnsi="Arial"/>
                <w:sz w:val="14"/>
                <w:szCs w:val="14"/>
                <w:color w:val="auto"/>
              </w:rPr>
              <w:t>480,215</w:t>
            </w: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709,987</w:t>
            </w:r>
          </w:p>
        </w:tc>
        <w:tc>
          <w:tcPr>
            <w:tcW w:w="0" w:type="dxa"/>
            <w:vAlign w:val="bottom"/>
          </w:tcPr>
          <w:p>
            <w:pPr>
              <w:spacing w:after="0"/>
              <w:rPr>
                <w:sz w:val="1"/>
                <w:szCs w:val="1"/>
                <w:color w:val="auto"/>
              </w:rPr>
            </w:pPr>
          </w:p>
        </w:tc>
      </w:tr>
      <w:tr>
        <w:trPr>
          <w:trHeight w:val="191"/>
        </w:trPr>
        <w:tc>
          <w:tcPr>
            <w:tcW w:w="3300" w:type="dxa"/>
            <w:vAlign w:val="bottom"/>
            <w:shd w:val="clear" w:color="auto" w:fill="E8ECF5"/>
          </w:tcPr>
          <w:p>
            <w:pPr>
              <w:ind w:left="40"/>
              <w:spacing w:after="0"/>
              <w:rPr>
                <w:sz w:val="20"/>
                <w:szCs w:val="20"/>
                <w:color w:val="auto"/>
              </w:rPr>
            </w:pPr>
            <w:r>
              <w:rPr>
                <w:rFonts w:ascii="Arial" w:cs="Arial" w:eastAsia="Arial" w:hAnsi="Arial"/>
                <w:sz w:val="14"/>
                <w:szCs w:val="14"/>
                <w:b w:val="1"/>
                <w:bCs w:val="1"/>
                <w:color w:val="215AA8"/>
              </w:rPr>
              <w:t>Michael S. Brown, M.D.</w:t>
            </w:r>
          </w:p>
        </w:tc>
        <w:tc>
          <w:tcPr>
            <w:tcW w:w="1940" w:type="dxa"/>
            <w:vAlign w:val="bottom"/>
            <w:shd w:val="clear" w:color="auto" w:fill="E8ECF5"/>
          </w:tcPr>
          <w:p>
            <w:pPr>
              <w:jc w:val="right"/>
              <w:ind w:right="192"/>
              <w:spacing w:after="0"/>
              <w:rPr>
                <w:sz w:val="20"/>
                <w:szCs w:val="20"/>
                <w:color w:val="auto"/>
              </w:rPr>
            </w:pPr>
            <w:r>
              <w:rPr>
                <w:rFonts w:ascii="Arial" w:cs="Arial" w:eastAsia="Arial" w:hAnsi="Arial"/>
                <w:sz w:val="14"/>
                <w:szCs w:val="14"/>
                <w:color w:val="auto"/>
              </w:rPr>
              <w:t>120,000</w:t>
            </w:r>
          </w:p>
        </w:tc>
        <w:tc>
          <w:tcPr>
            <w:tcW w:w="940" w:type="dxa"/>
            <w:vAlign w:val="bottom"/>
            <w:shd w:val="clear" w:color="auto" w:fill="E8ECF5"/>
          </w:tcPr>
          <w:p>
            <w:pPr>
              <w:jc w:val="right"/>
              <w:ind w:right="133"/>
              <w:spacing w:after="0"/>
              <w:rPr>
                <w:sz w:val="20"/>
                <w:szCs w:val="20"/>
                <w:color w:val="auto"/>
              </w:rPr>
            </w:pPr>
            <w:r>
              <w:rPr>
                <w:rFonts w:ascii="Arial" w:cs="Arial" w:eastAsia="Arial" w:hAnsi="Arial"/>
                <w:sz w:val="14"/>
                <w:szCs w:val="14"/>
                <w:color w:val="auto"/>
              </w:rPr>
              <w:t>119,772</w:t>
            </w:r>
          </w:p>
        </w:tc>
        <w:tc>
          <w:tcPr>
            <w:tcW w:w="920" w:type="dxa"/>
            <w:vAlign w:val="bottom"/>
            <w:shd w:val="clear" w:color="auto" w:fill="E8ECF5"/>
          </w:tcPr>
          <w:p>
            <w:pPr>
              <w:jc w:val="right"/>
              <w:ind w:right="73"/>
              <w:spacing w:after="0"/>
              <w:rPr>
                <w:sz w:val="20"/>
                <w:szCs w:val="20"/>
                <w:color w:val="auto"/>
              </w:rPr>
            </w:pPr>
            <w:r>
              <w:rPr>
                <w:rFonts w:ascii="Arial" w:cs="Arial" w:eastAsia="Arial" w:hAnsi="Arial"/>
                <w:sz w:val="14"/>
                <w:szCs w:val="14"/>
                <w:color w:val="auto"/>
              </w:rPr>
              <w:t>480,215</w:t>
            </w:r>
          </w:p>
        </w:tc>
        <w:tc>
          <w:tcPr>
            <w:tcW w:w="1080" w:type="dxa"/>
            <w:vAlign w:val="bottom"/>
            <w:shd w:val="clear" w:color="auto" w:fill="E8ECF5"/>
          </w:tcPr>
          <w:p>
            <w:pPr>
              <w:jc w:val="right"/>
              <w:ind w:right="32"/>
              <w:spacing w:after="0"/>
              <w:rPr>
                <w:sz w:val="20"/>
                <w:szCs w:val="20"/>
                <w:color w:val="auto"/>
              </w:rPr>
            </w:pPr>
            <w:r>
              <w:rPr>
                <w:rFonts w:ascii="Arial" w:cs="Arial" w:eastAsia="Arial" w:hAnsi="Arial"/>
                <w:sz w:val="14"/>
                <w:szCs w:val="14"/>
                <w:color w:val="auto"/>
              </w:rPr>
              <w:t>—</w:t>
            </w:r>
          </w:p>
        </w:tc>
        <w:tc>
          <w:tcPr>
            <w:tcW w:w="1060" w:type="dxa"/>
            <w:vAlign w:val="bottom"/>
            <w:shd w:val="clear" w:color="auto" w:fill="E8ECF5"/>
          </w:tcPr>
          <w:p>
            <w:pPr>
              <w:jc w:val="right"/>
              <w:ind w:right="32"/>
              <w:spacing w:after="0"/>
              <w:rPr>
                <w:sz w:val="20"/>
                <w:szCs w:val="20"/>
                <w:color w:val="auto"/>
              </w:rPr>
            </w:pPr>
            <w:r>
              <w:rPr>
                <w:rFonts w:ascii="Arial" w:cs="Arial" w:eastAsia="Arial" w:hAnsi="Arial"/>
                <w:sz w:val="14"/>
                <w:szCs w:val="14"/>
                <w:color w:val="auto"/>
              </w:rPr>
              <w:t>—</w:t>
            </w:r>
          </w:p>
        </w:tc>
        <w:tc>
          <w:tcPr>
            <w:tcW w:w="1200" w:type="dxa"/>
            <w:vAlign w:val="bottom"/>
            <w:shd w:val="clear" w:color="auto" w:fill="E8ECF5"/>
          </w:tcPr>
          <w:p>
            <w:pPr>
              <w:jc w:val="right"/>
              <w:ind w:right="113"/>
              <w:spacing w:after="0" w:line="191" w:lineRule="exact"/>
              <w:rPr>
                <w:sz w:val="20"/>
                <w:szCs w:val="20"/>
                <w:color w:val="auto"/>
              </w:rPr>
            </w:pPr>
            <w:r>
              <w:rPr>
                <w:rFonts w:ascii="Arial" w:cs="Arial" w:eastAsia="Arial" w:hAnsi="Arial"/>
                <w:sz w:val="14"/>
                <w:szCs w:val="14"/>
                <w:color w:val="auto"/>
              </w:rPr>
              <w:t>9,000</w:t>
            </w:r>
            <w:r>
              <w:rPr>
                <w:rFonts w:ascii="Arial" w:cs="Arial" w:eastAsia="Arial" w:hAnsi="Arial"/>
                <w:sz w:val="22"/>
                <w:szCs w:val="22"/>
                <w:color w:val="auto"/>
                <w:vertAlign w:val="superscript"/>
              </w:rPr>
              <w:t>4</w:t>
            </w:r>
          </w:p>
        </w:tc>
        <w:tc>
          <w:tcPr>
            <w:tcW w:w="820" w:type="dxa"/>
            <w:vAlign w:val="bottom"/>
            <w:shd w:val="clear" w:color="auto" w:fill="E8ECF5"/>
          </w:tcPr>
          <w:p>
            <w:pPr>
              <w:jc w:val="right"/>
              <w:spacing w:after="0"/>
              <w:rPr>
                <w:sz w:val="20"/>
                <w:szCs w:val="20"/>
                <w:color w:val="auto"/>
              </w:rPr>
            </w:pPr>
            <w:r>
              <w:rPr>
                <w:rFonts w:ascii="Arial" w:cs="Arial" w:eastAsia="Arial" w:hAnsi="Arial"/>
                <w:sz w:val="14"/>
                <w:szCs w:val="14"/>
                <w:color w:val="auto"/>
              </w:rPr>
              <w:t>728,987</w:t>
            </w:r>
          </w:p>
        </w:tc>
        <w:tc>
          <w:tcPr>
            <w:tcW w:w="0" w:type="dxa"/>
            <w:vAlign w:val="bottom"/>
          </w:tcPr>
          <w:p>
            <w:pPr>
              <w:spacing w:after="0"/>
              <w:rPr>
                <w:sz w:val="1"/>
                <w:szCs w:val="1"/>
                <w:color w:val="auto"/>
              </w:rPr>
            </w:pPr>
          </w:p>
        </w:tc>
      </w:tr>
      <w:tr>
        <w:trPr>
          <w:trHeight w:val="191"/>
        </w:trPr>
        <w:tc>
          <w:tcPr>
            <w:tcW w:w="3300" w:type="dxa"/>
            <w:vAlign w:val="bottom"/>
          </w:tcPr>
          <w:p>
            <w:pPr>
              <w:ind w:left="40"/>
              <w:spacing w:after="0"/>
              <w:rPr>
                <w:sz w:val="20"/>
                <w:szCs w:val="20"/>
                <w:color w:val="auto"/>
              </w:rPr>
            </w:pPr>
            <w:r>
              <w:rPr>
                <w:rFonts w:ascii="Arial" w:cs="Arial" w:eastAsia="Arial" w:hAnsi="Arial"/>
                <w:sz w:val="14"/>
                <w:szCs w:val="14"/>
                <w:b w:val="1"/>
                <w:bCs w:val="1"/>
                <w:color w:val="215AA8"/>
              </w:rPr>
              <w:t>N. Anthony Coles, M. D.</w:t>
            </w:r>
          </w:p>
        </w:tc>
        <w:tc>
          <w:tcPr>
            <w:tcW w:w="1940" w:type="dxa"/>
            <w:vAlign w:val="bottom"/>
          </w:tcPr>
          <w:p>
            <w:pPr>
              <w:jc w:val="right"/>
              <w:ind w:right="192"/>
              <w:spacing w:after="0"/>
              <w:rPr>
                <w:sz w:val="20"/>
                <w:szCs w:val="20"/>
                <w:color w:val="auto"/>
              </w:rPr>
            </w:pPr>
            <w:r>
              <w:rPr>
                <w:rFonts w:ascii="Arial" w:cs="Arial" w:eastAsia="Arial" w:hAnsi="Arial"/>
                <w:sz w:val="14"/>
                <w:szCs w:val="14"/>
                <w:color w:val="auto"/>
              </w:rPr>
              <w:t>100,000</w:t>
            </w:r>
          </w:p>
        </w:tc>
        <w:tc>
          <w:tcPr>
            <w:tcW w:w="940" w:type="dxa"/>
            <w:vAlign w:val="bottom"/>
          </w:tcPr>
          <w:p>
            <w:pPr>
              <w:jc w:val="right"/>
              <w:ind w:right="133"/>
              <w:spacing w:after="0"/>
              <w:rPr>
                <w:sz w:val="20"/>
                <w:szCs w:val="20"/>
                <w:color w:val="auto"/>
              </w:rPr>
            </w:pPr>
            <w:r>
              <w:rPr>
                <w:rFonts w:ascii="Arial" w:cs="Arial" w:eastAsia="Arial" w:hAnsi="Arial"/>
                <w:sz w:val="14"/>
                <w:szCs w:val="14"/>
                <w:color w:val="auto"/>
              </w:rPr>
              <w:t>119,772</w:t>
            </w:r>
          </w:p>
        </w:tc>
        <w:tc>
          <w:tcPr>
            <w:tcW w:w="920" w:type="dxa"/>
            <w:vAlign w:val="bottom"/>
          </w:tcPr>
          <w:p>
            <w:pPr>
              <w:jc w:val="right"/>
              <w:ind w:right="73"/>
              <w:spacing w:after="0"/>
              <w:rPr>
                <w:sz w:val="20"/>
                <w:szCs w:val="20"/>
                <w:color w:val="auto"/>
              </w:rPr>
            </w:pPr>
            <w:r>
              <w:rPr>
                <w:rFonts w:ascii="Arial" w:cs="Arial" w:eastAsia="Arial" w:hAnsi="Arial"/>
                <w:sz w:val="14"/>
                <w:szCs w:val="14"/>
                <w:color w:val="auto"/>
              </w:rPr>
              <w:t>480,215</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3"/>
              <w:spacing w:after="0" w:line="191" w:lineRule="exact"/>
              <w:rPr>
                <w:sz w:val="20"/>
                <w:szCs w:val="20"/>
                <w:color w:val="auto"/>
              </w:rPr>
            </w:pPr>
            <w:r>
              <w:rPr>
                <w:rFonts w:ascii="Arial" w:cs="Arial" w:eastAsia="Arial" w:hAnsi="Arial"/>
                <w:sz w:val="14"/>
                <w:szCs w:val="14"/>
                <w:color w:val="auto"/>
              </w:rPr>
              <w:t>5,000</w:t>
            </w:r>
            <w:r>
              <w:rPr>
                <w:rFonts w:ascii="Arial" w:cs="Arial" w:eastAsia="Arial" w:hAnsi="Arial"/>
                <w:sz w:val="22"/>
                <w:szCs w:val="22"/>
                <w:color w:val="auto"/>
                <w:vertAlign w:val="superscript"/>
              </w:rPr>
              <w:t>4</w:t>
            </w:r>
          </w:p>
        </w:tc>
        <w:tc>
          <w:tcPr>
            <w:tcW w:w="820" w:type="dxa"/>
            <w:vAlign w:val="bottom"/>
          </w:tcPr>
          <w:p>
            <w:pPr>
              <w:jc w:val="right"/>
              <w:spacing w:after="0"/>
              <w:rPr>
                <w:sz w:val="20"/>
                <w:szCs w:val="20"/>
                <w:color w:val="auto"/>
              </w:rPr>
            </w:pPr>
            <w:r>
              <w:rPr>
                <w:rFonts w:ascii="Arial" w:cs="Arial" w:eastAsia="Arial" w:hAnsi="Arial"/>
                <w:sz w:val="14"/>
                <w:szCs w:val="14"/>
                <w:color w:val="auto"/>
              </w:rPr>
              <w:t>704,987</w:t>
            </w:r>
          </w:p>
        </w:tc>
        <w:tc>
          <w:tcPr>
            <w:tcW w:w="0" w:type="dxa"/>
            <w:vAlign w:val="bottom"/>
          </w:tcPr>
          <w:p>
            <w:pPr>
              <w:spacing w:after="0"/>
              <w:rPr>
                <w:sz w:val="1"/>
                <w:szCs w:val="1"/>
                <w:color w:val="auto"/>
              </w:rPr>
            </w:pPr>
          </w:p>
        </w:tc>
      </w:tr>
      <w:tr>
        <w:trPr>
          <w:trHeight w:val="158"/>
        </w:trPr>
        <w:tc>
          <w:tcPr>
            <w:tcW w:w="3300" w:type="dxa"/>
            <w:vAlign w:val="bottom"/>
            <w:shd w:val="clear" w:color="auto" w:fill="E8ECF5"/>
          </w:tcPr>
          <w:p>
            <w:pPr>
              <w:ind w:left="40"/>
              <w:spacing w:after="0" w:line="157" w:lineRule="exact"/>
              <w:rPr>
                <w:sz w:val="20"/>
                <w:szCs w:val="20"/>
                <w:color w:val="auto"/>
              </w:rPr>
            </w:pPr>
            <w:r>
              <w:rPr>
                <w:rFonts w:ascii="Arial" w:cs="Arial" w:eastAsia="Arial" w:hAnsi="Arial"/>
                <w:sz w:val="14"/>
                <w:szCs w:val="14"/>
                <w:b w:val="1"/>
                <w:bCs w:val="1"/>
                <w:color w:val="215AA8"/>
              </w:rPr>
              <w:t>Joseph L. Goldstein, M.D.</w:t>
            </w:r>
          </w:p>
        </w:tc>
        <w:tc>
          <w:tcPr>
            <w:tcW w:w="1940" w:type="dxa"/>
            <w:vAlign w:val="bottom"/>
            <w:shd w:val="clear" w:color="auto" w:fill="E8ECF5"/>
          </w:tcPr>
          <w:p>
            <w:pPr>
              <w:jc w:val="right"/>
              <w:ind w:right="192"/>
              <w:spacing w:after="0" w:line="157" w:lineRule="exact"/>
              <w:rPr>
                <w:sz w:val="20"/>
                <w:szCs w:val="20"/>
                <w:color w:val="auto"/>
              </w:rPr>
            </w:pPr>
            <w:r>
              <w:rPr>
                <w:rFonts w:ascii="Arial" w:cs="Arial" w:eastAsia="Arial" w:hAnsi="Arial"/>
                <w:sz w:val="14"/>
                <w:szCs w:val="14"/>
                <w:color w:val="auto"/>
              </w:rPr>
              <w:t>110,000</w:t>
            </w:r>
          </w:p>
        </w:tc>
        <w:tc>
          <w:tcPr>
            <w:tcW w:w="940" w:type="dxa"/>
            <w:vAlign w:val="bottom"/>
            <w:shd w:val="clear" w:color="auto" w:fill="E8ECF5"/>
          </w:tcPr>
          <w:p>
            <w:pPr>
              <w:jc w:val="right"/>
              <w:ind w:right="133"/>
              <w:spacing w:after="0" w:line="157" w:lineRule="exact"/>
              <w:rPr>
                <w:sz w:val="20"/>
                <w:szCs w:val="20"/>
                <w:color w:val="auto"/>
              </w:rPr>
            </w:pPr>
            <w:r>
              <w:rPr>
                <w:rFonts w:ascii="Arial" w:cs="Arial" w:eastAsia="Arial" w:hAnsi="Arial"/>
                <w:sz w:val="14"/>
                <w:szCs w:val="14"/>
                <w:color w:val="auto"/>
              </w:rPr>
              <w:t>119,772</w:t>
            </w:r>
          </w:p>
        </w:tc>
        <w:tc>
          <w:tcPr>
            <w:tcW w:w="920" w:type="dxa"/>
            <w:vAlign w:val="bottom"/>
            <w:shd w:val="clear" w:color="auto" w:fill="E8ECF5"/>
          </w:tcPr>
          <w:p>
            <w:pPr>
              <w:jc w:val="right"/>
              <w:ind w:right="73"/>
              <w:spacing w:after="0" w:line="157" w:lineRule="exact"/>
              <w:rPr>
                <w:sz w:val="20"/>
                <w:szCs w:val="20"/>
                <w:color w:val="auto"/>
              </w:rPr>
            </w:pPr>
            <w:r>
              <w:rPr>
                <w:rFonts w:ascii="Arial" w:cs="Arial" w:eastAsia="Arial" w:hAnsi="Arial"/>
                <w:sz w:val="14"/>
                <w:szCs w:val="14"/>
                <w:color w:val="auto"/>
              </w:rPr>
              <w:t>480,215</w:t>
            </w:r>
          </w:p>
        </w:tc>
        <w:tc>
          <w:tcPr>
            <w:tcW w:w="1080" w:type="dxa"/>
            <w:vAlign w:val="bottom"/>
            <w:shd w:val="clear" w:color="auto" w:fill="E8ECF5"/>
          </w:tcPr>
          <w:p>
            <w:pPr>
              <w:jc w:val="right"/>
              <w:ind w:right="32"/>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E8ECF5"/>
          </w:tcPr>
          <w:p>
            <w:pPr>
              <w:jc w:val="right"/>
              <w:ind w:right="32"/>
              <w:spacing w:after="0" w:line="157" w:lineRule="exact"/>
              <w:rPr>
                <w:sz w:val="20"/>
                <w:szCs w:val="20"/>
                <w:color w:val="auto"/>
              </w:rPr>
            </w:pPr>
            <w:r>
              <w:rPr>
                <w:rFonts w:ascii="Arial" w:cs="Arial" w:eastAsia="Arial" w:hAnsi="Arial"/>
                <w:sz w:val="14"/>
                <w:szCs w:val="14"/>
                <w:color w:val="auto"/>
              </w:rPr>
              <w:t>—</w:t>
            </w:r>
          </w:p>
        </w:tc>
        <w:tc>
          <w:tcPr>
            <w:tcW w:w="1200" w:type="dxa"/>
            <w:vAlign w:val="bottom"/>
            <w:shd w:val="clear" w:color="auto" w:fill="E8ECF5"/>
          </w:tcPr>
          <w:p>
            <w:pPr>
              <w:jc w:val="right"/>
              <w:ind w:right="113"/>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E8ECF5"/>
          </w:tcPr>
          <w:p>
            <w:pPr>
              <w:jc w:val="right"/>
              <w:spacing w:after="0" w:line="157" w:lineRule="exact"/>
              <w:rPr>
                <w:sz w:val="20"/>
                <w:szCs w:val="20"/>
                <w:color w:val="auto"/>
              </w:rPr>
            </w:pPr>
            <w:r>
              <w:rPr>
                <w:rFonts w:ascii="Arial" w:cs="Arial" w:eastAsia="Arial" w:hAnsi="Arial"/>
                <w:sz w:val="14"/>
                <w:szCs w:val="14"/>
                <w:color w:val="auto"/>
              </w:rPr>
              <w:t>709,987</w:t>
            </w:r>
          </w:p>
        </w:tc>
        <w:tc>
          <w:tcPr>
            <w:tcW w:w="0" w:type="dxa"/>
            <w:vAlign w:val="bottom"/>
          </w:tcPr>
          <w:p>
            <w:pPr>
              <w:spacing w:after="0"/>
              <w:rPr>
                <w:sz w:val="1"/>
                <w:szCs w:val="1"/>
                <w:color w:val="auto"/>
              </w:rPr>
            </w:pPr>
          </w:p>
        </w:tc>
      </w:tr>
      <w:tr>
        <w:trPr>
          <w:trHeight w:val="191"/>
        </w:trPr>
        <w:tc>
          <w:tcPr>
            <w:tcW w:w="3300" w:type="dxa"/>
            <w:vAlign w:val="bottom"/>
          </w:tcPr>
          <w:p>
            <w:pPr>
              <w:ind w:left="40"/>
              <w:spacing w:after="0" w:line="191" w:lineRule="exact"/>
              <w:rPr>
                <w:sz w:val="20"/>
                <w:szCs w:val="20"/>
                <w:color w:val="auto"/>
              </w:rPr>
            </w:pPr>
            <w:r>
              <w:rPr>
                <w:rFonts w:ascii="Arial" w:cs="Arial" w:eastAsia="Arial" w:hAnsi="Arial"/>
                <w:sz w:val="14"/>
                <w:szCs w:val="14"/>
                <w:b w:val="1"/>
                <w:bCs w:val="1"/>
                <w:color w:val="215AA8"/>
              </w:rPr>
              <w:t>Kathryn Guarini, Ph.D.</w:t>
            </w:r>
            <w:r>
              <w:rPr>
                <w:rFonts w:ascii="Arial" w:cs="Arial" w:eastAsia="Arial" w:hAnsi="Arial"/>
                <w:sz w:val="22"/>
                <w:szCs w:val="22"/>
                <w:b w:val="1"/>
                <w:bCs w:val="1"/>
                <w:color w:val="215AA8"/>
                <w:vertAlign w:val="superscript"/>
              </w:rPr>
              <w:t>5</w:t>
            </w:r>
          </w:p>
        </w:tc>
        <w:tc>
          <w:tcPr>
            <w:tcW w:w="1940" w:type="dxa"/>
            <w:vAlign w:val="bottom"/>
          </w:tcPr>
          <w:p>
            <w:pPr>
              <w:jc w:val="right"/>
              <w:ind w:right="192"/>
              <w:spacing w:after="0"/>
              <w:rPr>
                <w:sz w:val="20"/>
                <w:szCs w:val="20"/>
                <w:color w:val="auto"/>
              </w:rPr>
            </w:pPr>
            <w:r>
              <w:rPr>
                <w:rFonts w:ascii="Arial" w:cs="Arial" w:eastAsia="Arial" w:hAnsi="Arial"/>
                <w:sz w:val="14"/>
                <w:szCs w:val="14"/>
                <w:color w:val="auto"/>
              </w:rPr>
              <w:t>31,250</w:t>
            </w:r>
          </w:p>
        </w:tc>
        <w:tc>
          <w:tcPr>
            <w:tcW w:w="940" w:type="dxa"/>
            <w:vAlign w:val="bottom"/>
          </w:tcPr>
          <w:p>
            <w:pPr>
              <w:jc w:val="right"/>
              <w:ind w:right="133"/>
              <w:spacing w:after="0"/>
              <w:rPr>
                <w:sz w:val="20"/>
                <w:szCs w:val="20"/>
                <w:color w:val="auto"/>
              </w:rPr>
            </w:pPr>
            <w:r>
              <w:rPr>
                <w:rFonts w:ascii="Arial" w:cs="Arial" w:eastAsia="Arial" w:hAnsi="Arial"/>
                <w:sz w:val="14"/>
                <w:szCs w:val="14"/>
                <w:color w:val="auto"/>
              </w:rPr>
              <w:t>199,975</w:t>
            </w:r>
          </w:p>
        </w:tc>
        <w:tc>
          <w:tcPr>
            <w:tcW w:w="920" w:type="dxa"/>
            <w:vAlign w:val="bottom"/>
          </w:tcPr>
          <w:p>
            <w:pPr>
              <w:jc w:val="right"/>
              <w:ind w:right="73"/>
              <w:spacing w:after="0"/>
              <w:rPr>
                <w:sz w:val="20"/>
                <w:szCs w:val="20"/>
                <w:color w:val="auto"/>
              </w:rPr>
            </w:pPr>
            <w:r>
              <w:rPr>
                <w:rFonts w:ascii="Arial" w:cs="Arial" w:eastAsia="Arial" w:hAnsi="Arial"/>
                <w:sz w:val="14"/>
                <w:szCs w:val="14"/>
                <w:color w:val="auto"/>
              </w:rPr>
              <w:t>799,930</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1,031,155</w:t>
            </w:r>
          </w:p>
        </w:tc>
        <w:tc>
          <w:tcPr>
            <w:tcW w:w="0" w:type="dxa"/>
            <w:vAlign w:val="bottom"/>
          </w:tcPr>
          <w:p>
            <w:pPr>
              <w:spacing w:after="0"/>
              <w:rPr>
                <w:sz w:val="1"/>
                <w:szCs w:val="1"/>
                <w:color w:val="auto"/>
              </w:rPr>
            </w:pPr>
          </w:p>
        </w:tc>
      </w:tr>
      <w:tr>
        <w:trPr>
          <w:trHeight w:val="158"/>
        </w:trPr>
        <w:tc>
          <w:tcPr>
            <w:tcW w:w="3300" w:type="dxa"/>
            <w:vAlign w:val="bottom"/>
            <w:shd w:val="clear" w:color="auto" w:fill="E8ECF5"/>
          </w:tcPr>
          <w:p>
            <w:pPr>
              <w:ind w:left="40"/>
              <w:spacing w:after="0" w:line="157" w:lineRule="exact"/>
              <w:rPr>
                <w:sz w:val="20"/>
                <w:szCs w:val="20"/>
                <w:color w:val="auto"/>
              </w:rPr>
            </w:pPr>
            <w:r>
              <w:rPr>
                <w:rFonts w:ascii="Arial" w:cs="Arial" w:eastAsia="Arial" w:hAnsi="Arial"/>
                <w:sz w:val="14"/>
                <w:szCs w:val="14"/>
                <w:b w:val="1"/>
                <w:bCs w:val="1"/>
                <w:color w:val="215AA8"/>
              </w:rPr>
              <w:t>Christine A. Poon</w:t>
            </w:r>
          </w:p>
        </w:tc>
        <w:tc>
          <w:tcPr>
            <w:tcW w:w="1940" w:type="dxa"/>
            <w:vAlign w:val="bottom"/>
            <w:shd w:val="clear" w:color="auto" w:fill="E8ECF5"/>
          </w:tcPr>
          <w:p>
            <w:pPr>
              <w:jc w:val="right"/>
              <w:ind w:right="192"/>
              <w:spacing w:after="0" w:line="157" w:lineRule="exact"/>
              <w:rPr>
                <w:sz w:val="20"/>
                <w:szCs w:val="20"/>
                <w:color w:val="auto"/>
              </w:rPr>
            </w:pPr>
            <w:r>
              <w:rPr>
                <w:rFonts w:ascii="Arial" w:cs="Arial" w:eastAsia="Arial" w:hAnsi="Arial"/>
                <w:sz w:val="14"/>
                <w:szCs w:val="14"/>
                <w:color w:val="auto"/>
              </w:rPr>
              <w:t>148,022</w:t>
            </w:r>
          </w:p>
        </w:tc>
        <w:tc>
          <w:tcPr>
            <w:tcW w:w="940" w:type="dxa"/>
            <w:vAlign w:val="bottom"/>
            <w:shd w:val="clear" w:color="auto" w:fill="E8ECF5"/>
          </w:tcPr>
          <w:p>
            <w:pPr>
              <w:jc w:val="right"/>
              <w:ind w:right="133"/>
              <w:spacing w:after="0" w:line="157" w:lineRule="exact"/>
              <w:rPr>
                <w:sz w:val="20"/>
                <w:szCs w:val="20"/>
                <w:color w:val="auto"/>
              </w:rPr>
            </w:pPr>
            <w:r>
              <w:rPr>
                <w:rFonts w:ascii="Arial" w:cs="Arial" w:eastAsia="Arial" w:hAnsi="Arial"/>
                <w:sz w:val="14"/>
                <w:szCs w:val="14"/>
                <w:color w:val="auto"/>
              </w:rPr>
              <w:t>119,772</w:t>
            </w:r>
          </w:p>
        </w:tc>
        <w:tc>
          <w:tcPr>
            <w:tcW w:w="920" w:type="dxa"/>
            <w:vAlign w:val="bottom"/>
            <w:shd w:val="clear" w:color="auto" w:fill="E8ECF5"/>
          </w:tcPr>
          <w:p>
            <w:pPr>
              <w:jc w:val="right"/>
              <w:ind w:right="73"/>
              <w:spacing w:after="0" w:line="157" w:lineRule="exact"/>
              <w:rPr>
                <w:sz w:val="20"/>
                <w:szCs w:val="20"/>
                <w:color w:val="auto"/>
              </w:rPr>
            </w:pPr>
            <w:r>
              <w:rPr>
                <w:rFonts w:ascii="Arial" w:cs="Arial" w:eastAsia="Arial" w:hAnsi="Arial"/>
                <w:sz w:val="14"/>
                <w:szCs w:val="14"/>
                <w:color w:val="auto"/>
              </w:rPr>
              <w:t>480,215</w:t>
            </w:r>
          </w:p>
        </w:tc>
        <w:tc>
          <w:tcPr>
            <w:tcW w:w="1080" w:type="dxa"/>
            <w:vAlign w:val="bottom"/>
            <w:shd w:val="clear" w:color="auto" w:fill="E8ECF5"/>
          </w:tcPr>
          <w:p>
            <w:pPr>
              <w:jc w:val="right"/>
              <w:ind w:right="32"/>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E8ECF5"/>
          </w:tcPr>
          <w:p>
            <w:pPr>
              <w:jc w:val="right"/>
              <w:ind w:right="32"/>
              <w:spacing w:after="0" w:line="157" w:lineRule="exact"/>
              <w:rPr>
                <w:sz w:val="20"/>
                <w:szCs w:val="20"/>
                <w:color w:val="auto"/>
              </w:rPr>
            </w:pPr>
            <w:r>
              <w:rPr>
                <w:rFonts w:ascii="Arial" w:cs="Arial" w:eastAsia="Arial" w:hAnsi="Arial"/>
                <w:sz w:val="14"/>
                <w:szCs w:val="14"/>
                <w:color w:val="auto"/>
              </w:rPr>
              <w:t>—</w:t>
            </w:r>
          </w:p>
        </w:tc>
        <w:tc>
          <w:tcPr>
            <w:tcW w:w="1200" w:type="dxa"/>
            <w:vAlign w:val="bottom"/>
            <w:shd w:val="clear" w:color="auto" w:fill="E8ECF5"/>
          </w:tcPr>
          <w:p>
            <w:pPr>
              <w:jc w:val="right"/>
              <w:ind w:right="113"/>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E8ECF5"/>
          </w:tcPr>
          <w:p>
            <w:pPr>
              <w:jc w:val="right"/>
              <w:spacing w:after="0" w:line="157" w:lineRule="exact"/>
              <w:rPr>
                <w:sz w:val="20"/>
                <w:szCs w:val="20"/>
                <w:color w:val="auto"/>
              </w:rPr>
            </w:pPr>
            <w:r>
              <w:rPr>
                <w:rFonts w:ascii="Arial" w:cs="Arial" w:eastAsia="Arial" w:hAnsi="Arial"/>
                <w:sz w:val="14"/>
                <w:szCs w:val="14"/>
                <w:color w:val="auto"/>
              </w:rPr>
              <w:t>748,009</w:t>
            </w:r>
          </w:p>
        </w:tc>
        <w:tc>
          <w:tcPr>
            <w:tcW w:w="0" w:type="dxa"/>
            <w:vAlign w:val="bottom"/>
          </w:tcPr>
          <w:p>
            <w:pPr>
              <w:spacing w:after="0"/>
              <w:rPr>
                <w:sz w:val="1"/>
                <w:szCs w:val="1"/>
                <w:color w:val="auto"/>
              </w:rPr>
            </w:pPr>
          </w:p>
        </w:tc>
      </w:tr>
      <w:tr>
        <w:trPr>
          <w:trHeight w:val="191"/>
        </w:trPr>
        <w:tc>
          <w:tcPr>
            <w:tcW w:w="3300" w:type="dxa"/>
            <w:vAlign w:val="bottom"/>
          </w:tcPr>
          <w:p>
            <w:pPr>
              <w:ind w:left="40"/>
              <w:spacing w:after="0"/>
              <w:rPr>
                <w:sz w:val="20"/>
                <w:szCs w:val="20"/>
                <w:color w:val="auto"/>
              </w:rPr>
            </w:pPr>
            <w:r>
              <w:rPr>
                <w:rFonts w:ascii="Arial" w:cs="Arial" w:eastAsia="Arial" w:hAnsi="Arial"/>
                <w:sz w:val="14"/>
                <w:szCs w:val="14"/>
                <w:b w:val="1"/>
                <w:bCs w:val="1"/>
                <w:color w:val="215AA8"/>
              </w:rPr>
              <w:t>Arthur F. Ryan</w:t>
            </w:r>
          </w:p>
        </w:tc>
        <w:tc>
          <w:tcPr>
            <w:tcW w:w="1940" w:type="dxa"/>
            <w:vAlign w:val="bottom"/>
          </w:tcPr>
          <w:p>
            <w:pPr>
              <w:jc w:val="right"/>
              <w:ind w:right="192"/>
              <w:spacing w:after="0"/>
              <w:rPr>
                <w:sz w:val="20"/>
                <w:szCs w:val="20"/>
                <w:color w:val="auto"/>
              </w:rPr>
            </w:pPr>
            <w:r>
              <w:rPr>
                <w:rFonts w:ascii="Arial" w:cs="Arial" w:eastAsia="Arial" w:hAnsi="Arial"/>
                <w:sz w:val="14"/>
                <w:szCs w:val="14"/>
                <w:color w:val="auto"/>
              </w:rPr>
              <w:t>120,000</w:t>
            </w:r>
          </w:p>
        </w:tc>
        <w:tc>
          <w:tcPr>
            <w:tcW w:w="940" w:type="dxa"/>
            <w:vAlign w:val="bottom"/>
          </w:tcPr>
          <w:p>
            <w:pPr>
              <w:jc w:val="right"/>
              <w:ind w:right="133"/>
              <w:spacing w:after="0"/>
              <w:rPr>
                <w:sz w:val="20"/>
                <w:szCs w:val="20"/>
                <w:color w:val="auto"/>
              </w:rPr>
            </w:pPr>
            <w:r>
              <w:rPr>
                <w:rFonts w:ascii="Arial" w:cs="Arial" w:eastAsia="Arial" w:hAnsi="Arial"/>
                <w:sz w:val="14"/>
                <w:szCs w:val="14"/>
                <w:color w:val="auto"/>
              </w:rPr>
              <w:t>119,772</w:t>
            </w:r>
          </w:p>
        </w:tc>
        <w:tc>
          <w:tcPr>
            <w:tcW w:w="920" w:type="dxa"/>
            <w:vAlign w:val="bottom"/>
          </w:tcPr>
          <w:p>
            <w:pPr>
              <w:jc w:val="right"/>
              <w:ind w:right="73"/>
              <w:spacing w:after="0"/>
              <w:rPr>
                <w:sz w:val="20"/>
                <w:szCs w:val="20"/>
                <w:color w:val="auto"/>
              </w:rPr>
            </w:pPr>
            <w:r>
              <w:rPr>
                <w:rFonts w:ascii="Arial" w:cs="Arial" w:eastAsia="Arial" w:hAnsi="Arial"/>
                <w:sz w:val="14"/>
                <w:szCs w:val="14"/>
                <w:color w:val="auto"/>
              </w:rPr>
              <w:t>480,215</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3"/>
              <w:spacing w:after="0" w:line="191" w:lineRule="exact"/>
              <w:rPr>
                <w:sz w:val="20"/>
                <w:szCs w:val="20"/>
                <w:color w:val="auto"/>
              </w:rPr>
            </w:pPr>
            <w:r>
              <w:rPr>
                <w:rFonts w:ascii="Arial" w:cs="Arial" w:eastAsia="Arial" w:hAnsi="Arial"/>
                <w:sz w:val="14"/>
                <w:szCs w:val="14"/>
                <w:color w:val="auto"/>
              </w:rPr>
              <w:t>5,000</w:t>
            </w:r>
            <w:r>
              <w:rPr>
                <w:rFonts w:ascii="Arial" w:cs="Arial" w:eastAsia="Arial" w:hAnsi="Arial"/>
                <w:sz w:val="22"/>
                <w:szCs w:val="22"/>
                <w:color w:val="auto"/>
                <w:vertAlign w:val="superscript"/>
              </w:rPr>
              <w:t>4</w:t>
            </w:r>
          </w:p>
        </w:tc>
        <w:tc>
          <w:tcPr>
            <w:tcW w:w="820" w:type="dxa"/>
            <w:vAlign w:val="bottom"/>
          </w:tcPr>
          <w:p>
            <w:pPr>
              <w:jc w:val="right"/>
              <w:spacing w:after="0"/>
              <w:rPr>
                <w:sz w:val="20"/>
                <w:szCs w:val="20"/>
                <w:color w:val="auto"/>
              </w:rPr>
            </w:pPr>
            <w:r>
              <w:rPr>
                <w:rFonts w:ascii="Arial" w:cs="Arial" w:eastAsia="Arial" w:hAnsi="Arial"/>
                <w:sz w:val="14"/>
                <w:szCs w:val="14"/>
                <w:color w:val="auto"/>
              </w:rPr>
              <w:t>724,987</w:t>
            </w:r>
          </w:p>
        </w:tc>
        <w:tc>
          <w:tcPr>
            <w:tcW w:w="0" w:type="dxa"/>
            <w:vAlign w:val="bottom"/>
          </w:tcPr>
          <w:p>
            <w:pPr>
              <w:spacing w:after="0"/>
              <w:rPr>
                <w:sz w:val="1"/>
                <w:szCs w:val="1"/>
                <w:color w:val="auto"/>
              </w:rPr>
            </w:pPr>
          </w:p>
        </w:tc>
      </w:tr>
      <w:tr>
        <w:trPr>
          <w:trHeight w:val="191"/>
        </w:trPr>
        <w:tc>
          <w:tcPr>
            <w:tcW w:w="3300" w:type="dxa"/>
            <w:vAlign w:val="bottom"/>
            <w:shd w:val="clear" w:color="auto" w:fill="E8ECF5"/>
          </w:tcPr>
          <w:p>
            <w:pPr>
              <w:ind w:left="40"/>
              <w:spacing w:after="0" w:line="191" w:lineRule="exact"/>
              <w:rPr>
                <w:sz w:val="20"/>
                <w:szCs w:val="20"/>
                <w:color w:val="auto"/>
              </w:rPr>
            </w:pPr>
            <w:r>
              <w:rPr>
                <w:rFonts w:ascii="Arial" w:cs="Arial" w:eastAsia="Arial" w:hAnsi="Arial"/>
                <w:sz w:val="14"/>
                <w:szCs w:val="14"/>
                <w:b w:val="1"/>
                <w:bCs w:val="1"/>
                <w:color w:val="215AA8"/>
              </w:rPr>
              <w:t>David P. Schenkein, M.D.</w:t>
            </w:r>
            <w:r>
              <w:rPr>
                <w:rFonts w:ascii="Arial" w:cs="Arial" w:eastAsia="Arial" w:hAnsi="Arial"/>
                <w:sz w:val="22"/>
                <w:szCs w:val="22"/>
                <w:b w:val="1"/>
                <w:bCs w:val="1"/>
                <w:color w:val="215AA8"/>
                <w:vertAlign w:val="superscript"/>
              </w:rPr>
              <w:t>5</w:t>
            </w:r>
          </w:p>
        </w:tc>
        <w:tc>
          <w:tcPr>
            <w:tcW w:w="1940" w:type="dxa"/>
            <w:vAlign w:val="bottom"/>
            <w:shd w:val="clear" w:color="auto" w:fill="E8ECF5"/>
          </w:tcPr>
          <w:p>
            <w:pPr>
              <w:jc w:val="right"/>
              <w:ind w:right="192"/>
              <w:spacing w:after="0"/>
              <w:rPr>
                <w:sz w:val="20"/>
                <w:szCs w:val="20"/>
                <w:color w:val="auto"/>
              </w:rPr>
            </w:pPr>
            <w:r>
              <w:rPr>
                <w:rFonts w:ascii="Arial" w:cs="Arial" w:eastAsia="Arial" w:hAnsi="Arial"/>
                <w:sz w:val="14"/>
                <w:szCs w:val="14"/>
                <w:color w:val="auto"/>
              </w:rPr>
              <w:t>31,250</w:t>
            </w:r>
          </w:p>
        </w:tc>
        <w:tc>
          <w:tcPr>
            <w:tcW w:w="940" w:type="dxa"/>
            <w:vAlign w:val="bottom"/>
            <w:shd w:val="clear" w:color="auto" w:fill="E8ECF5"/>
          </w:tcPr>
          <w:p>
            <w:pPr>
              <w:jc w:val="right"/>
              <w:ind w:right="133"/>
              <w:spacing w:after="0"/>
              <w:rPr>
                <w:sz w:val="20"/>
                <w:szCs w:val="20"/>
                <w:color w:val="auto"/>
              </w:rPr>
            </w:pPr>
            <w:r>
              <w:rPr>
                <w:rFonts w:ascii="Arial" w:cs="Arial" w:eastAsia="Arial" w:hAnsi="Arial"/>
                <w:sz w:val="14"/>
                <w:szCs w:val="14"/>
                <w:color w:val="auto"/>
              </w:rPr>
              <w:t>199,975</w:t>
            </w:r>
          </w:p>
        </w:tc>
        <w:tc>
          <w:tcPr>
            <w:tcW w:w="920" w:type="dxa"/>
            <w:vAlign w:val="bottom"/>
            <w:shd w:val="clear" w:color="auto" w:fill="E8ECF5"/>
          </w:tcPr>
          <w:p>
            <w:pPr>
              <w:jc w:val="right"/>
              <w:ind w:right="73"/>
              <w:spacing w:after="0"/>
              <w:rPr>
                <w:sz w:val="20"/>
                <w:szCs w:val="20"/>
                <w:color w:val="auto"/>
              </w:rPr>
            </w:pPr>
            <w:r>
              <w:rPr>
                <w:rFonts w:ascii="Arial" w:cs="Arial" w:eastAsia="Arial" w:hAnsi="Arial"/>
                <w:sz w:val="14"/>
                <w:szCs w:val="14"/>
                <w:color w:val="auto"/>
              </w:rPr>
              <w:t>799,930</w:t>
            </w:r>
          </w:p>
        </w:tc>
        <w:tc>
          <w:tcPr>
            <w:tcW w:w="1080" w:type="dxa"/>
            <w:vAlign w:val="bottom"/>
            <w:shd w:val="clear" w:color="auto" w:fill="E8ECF5"/>
          </w:tcPr>
          <w:p>
            <w:pPr>
              <w:jc w:val="right"/>
              <w:ind w:right="32"/>
              <w:spacing w:after="0"/>
              <w:rPr>
                <w:sz w:val="20"/>
                <w:szCs w:val="20"/>
                <w:color w:val="auto"/>
              </w:rPr>
            </w:pPr>
            <w:r>
              <w:rPr>
                <w:rFonts w:ascii="Arial" w:cs="Arial" w:eastAsia="Arial" w:hAnsi="Arial"/>
                <w:sz w:val="14"/>
                <w:szCs w:val="14"/>
                <w:color w:val="auto"/>
              </w:rPr>
              <w:t>—</w:t>
            </w:r>
          </w:p>
        </w:tc>
        <w:tc>
          <w:tcPr>
            <w:tcW w:w="1060" w:type="dxa"/>
            <w:vAlign w:val="bottom"/>
            <w:shd w:val="clear" w:color="auto" w:fill="E8ECF5"/>
          </w:tcPr>
          <w:p>
            <w:pPr>
              <w:jc w:val="right"/>
              <w:ind w:right="32"/>
              <w:spacing w:after="0"/>
              <w:rPr>
                <w:sz w:val="20"/>
                <w:szCs w:val="20"/>
                <w:color w:val="auto"/>
              </w:rPr>
            </w:pPr>
            <w:r>
              <w:rPr>
                <w:rFonts w:ascii="Arial" w:cs="Arial" w:eastAsia="Arial" w:hAnsi="Arial"/>
                <w:sz w:val="14"/>
                <w:szCs w:val="14"/>
                <w:color w:val="auto"/>
              </w:rPr>
              <w:t>—</w:t>
            </w:r>
          </w:p>
        </w:tc>
        <w:tc>
          <w:tcPr>
            <w:tcW w:w="1200" w:type="dxa"/>
            <w:vAlign w:val="bottom"/>
            <w:shd w:val="clear" w:color="auto" w:fill="E8ECF5"/>
          </w:tcPr>
          <w:p>
            <w:pPr>
              <w:jc w:val="right"/>
              <w:ind w:right="113"/>
              <w:spacing w:after="0"/>
              <w:rPr>
                <w:sz w:val="20"/>
                <w:szCs w:val="20"/>
                <w:color w:val="auto"/>
              </w:rPr>
            </w:pPr>
            <w:r>
              <w:rPr>
                <w:rFonts w:ascii="Arial" w:cs="Arial" w:eastAsia="Arial" w:hAnsi="Arial"/>
                <w:sz w:val="14"/>
                <w:szCs w:val="14"/>
                <w:color w:val="auto"/>
              </w:rPr>
              <w:t>—</w:t>
            </w:r>
          </w:p>
        </w:tc>
        <w:tc>
          <w:tcPr>
            <w:tcW w:w="820" w:type="dxa"/>
            <w:vAlign w:val="bottom"/>
            <w:shd w:val="clear" w:color="auto" w:fill="E8ECF5"/>
          </w:tcPr>
          <w:p>
            <w:pPr>
              <w:jc w:val="right"/>
              <w:spacing w:after="0"/>
              <w:rPr>
                <w:sz w:val="20"/>
                <w:szCs w:val="20"/>
                <w:color w:val="auto"/>
              </w:rPr>
            </w:pPr>
            <w:r>
              <w:rPr>
                <w:rFonts w:ascii="Arial" w:cs="Arial" w:eastAsia="Arial" w:hAnsi="Arial"/>
                <w:sz w:val="14"/>
                <w:szCs w:val="14"/>
                <w:color w:val="auto"/>
              </w:rPr>
              <w:t>1,031,155</w:t>
            </w:r>
          </w:p>
        </w:tc>
        <w:tc>
          <w:tcPr>
            <w:tcW w:w="0" w:type="dxa"/>
            <w:vAlign w:val="bottom"/>
          </w:tcPr>
          <w:p>
            <w:pPr>
              <w:spacing w:after="0"/>
              <w:rPr>
                <w:sz w:val="1"/>
                <w:szCs w:val="1"/>
                <w:color w:val="auto"/>
              </w:rPr>
            </w:pPr>
          </w:p>
        </w:tc>
      </w:tr>
      <w:tr>
        <w:trPr>
          <w:trHeight w:val="191"/>
        </w:trPr>
        <w:tc>
          <w:tcPr>
            <w:tcW w:w="3300" w:type="dxa"/>
            <w:vAlign w:val="bottom"/>
          </w:tcPr>
          <w:p>
            <w:pPr>
              <w:ind w:left="40"/>
              <w:spacing w:after="0"/>
              <w:rPr>
                <w:sz w:val="20"/>
                <w:szCs w:val="20"/>
                <w:color w:val="auto"/>
              </w:rPr>
            </w:pPr>
            <w:r>
              <w:rPr>
                <w:rFonts w:ascii="Arial" w:cs="Arial" w:eastAsia="Arial" w:hAnsi="Arial"/>
                <w:sz w:val="14"/>
                <w:szCs w:val="14"/>
                <w:b w:val="1"/>
                <w:bCs w:val="1"/>
                <w:color w:val="215AA8"/>
              </w:rPr>
              <w:t>George L. Sing</w:t>
            </w:r>
          </w:p>
        </w:tc>
        <w:tc>
          <w:tcPr>
            <w:tcW w:w="1940" w:type="dxa"/>
            <w:vAlign w:val="bottom"/>
          </w:tcPr>
          <w:p>
            <w:pPr>
              <w:jc w:val="right"/>
              <w:ind w:right="192"/>
              <w:spacing w:after="0"/>
              <w:rPr>
                <w:sz w:val="20"/>
                <w:szCs w:val="20"/>
                <w:color w:val="auto"/>
              </w:rPr>
            </w:pPr>
            <w:r>
              <w:rPr>
                <w:rFonts w:ascii="Arial" w:cs="Arial" w:eastAsia="Arial" w:hAnsi="Arial"/>
                <w:sz w:val="14"/>
                <w:szCs w:val="14"/>
                <w:color w:val="auto"/>
              </w:rPr>
              <w:t>120,000</w:t>
            </w:r>
          </w:p>
        </w:tc>
        <w:tc>
          <w:tcPr>
            <w:tcW w:w="940" w:type="dxa"/>
            <w:vAlign w:val="bottom"/>
          </w:tcPr>
          <w:p>
            <w:pPr>
              <w:jc w:val="right"/>
              <w:ind w:right="133"/>
              <w:spacing w:after="0"/>
              <w:rPr>
                <w:sz w:val="20"/>
                <w:szCs w:val="20"/>
                <w:color w:val="auto"/>
              </w:rPr>
            </w:pPr>
            <w:r>
              <w:rPr>
                <w:rFonts w:ascii="Arial" w:cs="Arial" w:eastAsia="Arial" w:hAnsi="Arial"/>
                <w:sz w:val="14"/>
                <w:szCs w:val="14"/>
                <w:color w:val="auto"/>
              </w:rPr>
              <w:t>119,772</w:t>
            </w:r>
          </w:p>
        </w:tc>
        <w:tc>
          <w:tcPr>
            <w:tcW w:w="920" w:type="dxa"/>
            <w:vAlign w:val="bottom"/>
          </w:tcPr>
          <w:p>
            <w:pPr>
              <w:jc w:val="right"/>
              <w:ind w:right="73"/>
              <w:spacing w:after="0"/>
              <w:rPr>
                <w:sz w:val="20"/>
                <w:szCs w:val="20"/>
                <w:color w:val="auto"/>
              </w:rPr>
            </w:pPr>
            <w:r>
              <w:rPr>
                <w:rFonts w:ascii="Arial" w:cs="Arial" w:eastAsia="Arial" w:hAnsi="Arial"/>
                <w:sz w:val="14"/>
                <w:szCs w:val="14"/>
                <w:color w:val="auto"/>
              </w:rPr>
              <w:t>480,215</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3"/>
              <w:spacing w:after="0" w:line="191" w:lineRule="exact"/>
              <w:rPr>
                <w:sz w:val="20"/>
                <w:szCs w:val="20"/>
                <w:color w:val="auto"/>
              </w:rPr>
            </w:pPr>
            <w:r>
              <w:rPr>
                <w:rFonts w:ascii="Arial" w:cs="Arial" w:eastAsia="Arial" w:hAnsi="Arial"/>
                <w:sz w:val="14"/>
                <w:szCs w:val="14"/>
                <w:color w:val="auto"/>
              </w:rPr>
              <w:t>5,000</w:t>
            </w:r>
            <w:r>
              <w:rPr>
                <w:rFonts w:ascii="Arial" w:cs="Arial" w:eastAsia="Arial" w:hAnsi="Arial"/>
                <w:sz w:val="22"/>
                <w:szCs w:val="22"/>
                <w:color w:val="auto"/>
                <w:vertAlign w:val="superscript"/>
              </w:rPr>
              <w:t>4</w:t>
            </w:r>
          </w:p>
        </w:tc>
        <w:tc>
          <w:tcPr>
            <w:tcW w:w="820" w:type="dxa"/>
            <w:vAlign w:val="bottom"/>
          </w:tcPr>
          <w:p>
            <w:pPr>
              <w:jc w:val="right"/>
              <w:spacing w:after="0"/>
              <w:rPr>
                <w:sz w:val="20"/>
                <w:szCs w:val="20"/>
                <w:color w:val="auto"/>
              </w:rPr>
            </w:pPr>
            <w:r>
              <w:rPr>
                <w:rFonts w:ascii="Arial" w:cs="Arial" w:eastAsia="Arial" w:hAnsi="Arial"/>
                <w:sz w:val="14"/>
                <w:szCs w:val="14"/>
                <w:color w:val="auto"/>
              </w:rPr>
              <w:t>724,987</w:t>
            </w:r>
          </w:p>
        </w:tc>
        <w:tc>
          <w:tcPr>
            <w:tcW w:w="0" w:type="dxa"/>
            <w:vAlign w:val="bottom"/>
          </w:tcPr>
          <w:p>
            <w:pPr>
              <w:spacing w:after="0"/>
              <w:rPr>
                <w:sz w:val="1"/>
                <w:szCs w:val="1"/>
                <w:color w:val="auto"/>
              </w:rPr>
            </w:pPr>
          </w:p>
        </w:tc>
      </w:tr>
      <w:tr>
        <w:trPr>
          <w:trHeight w:val="158"/>
        </w:trPr>
        <w:tc>
          <w:tcPr>
            <w:tcW w:w="3300" w:type="dxa"/>
            <w:vAlign w:val="bottom"/>
            <w:shd w:val="clear" w:color="auto" w:fill="E8ECF5"/>
          </w:tcPr>
          <w:p>
            <w:pPr>
              <w:ind w:left="40"/>
              <w:spacing w:after="0" w:line="157" w:lineRule="exact"/>
              <w:rPr>
                <w:sz w:val="20"/>
                <w:szCs w:val="20"/>
                <w:color w:val="auto"/>
              </w:rPr>
            </w:pPr>
            <w:r>
              <w:rPr>
                <w:rFonts w:ascii="Arial" w:cs="Arial" w:eastAsia="Arial" w:hAnsi="Arial"/>
                <w:sz w:val="14"/>
                <w:szCs w:val="14"/>
                <w:b w:val="1"/>
                <w:bCs w:val="1"/>
                <w:color w:val="215AA8"/>
              </w:rPr>
              <w:t xml:space="preserve">Marc Tessier-Lavigne, Ph.D. </w:t>
            </w:r>
            <w:r>
              <w:rPr>
                <w:rFonts w:ascii="Arial" w:cs="Arial" w:eastAsia="Arial" w:hAnsi="Arial"/>
                <w:sz w:val="14"/>
                <w:szCs w:val="14"/>
                <w:b w:val="1"/>
                <w:bCs w:val="1"/>
                <w:i w:val="1"/>
                <w:iCs w:val="1"/>
                <w:color w:val="215AA8"/>
              </w:rPr>
              <w:t>(retired)</w:t>
            </w:r>
          </w:p>
        </w:tc>
        <w:tc>
          <w:tcPr>
            <w:tcW w:w="1940" w:type="dxa"/>
            <w:vAlign w:val="bottom"/>
            <w:shd w:val="clear" w:color="auto" w:fill="E8ECF5"/>
          </w:tcPr>
          <w:p>
            <w:pPr>
              <w:jc w:val="right"/>
              <w:ind w:right="192"/>
              <w:spacing w:after="0" w:line="157" w:lineRule="exact"/>
              <w:rPr>
                <w:sz w:val="20"/>
                <w:szCs w:val="20"/>
                <w:color w:val="auto"/>
              </w:rPr>
            </w:pPr>
            <w:r>
              <w:rPr>
                <w:rFonts w:ascii="Arial" w:cs="Arial" w:eastAsia="Arial" w:hAnsi="Arial"/>
                <w:sz w:val="14"/>
                <w:szCs w:val="14"/>
                <w:color w:val="auto"/>
              </w:rPr>
              <w:t>67,120</w:t>
            </w:r>
          </w:p>
        </w:tc>
        <w:tc>
          <w:tcPr>
            <w:tcW w:w="940" w:type="dxa"/>
            <w:vAlign w:val="bottom"/>
            <w:shd w:val="clear" w:color="auto" w:fill="E8ECF5"/>
          </w:tcPr>
          <w:p>
            <w:pPr>
              <w:jc w:val="right"/>
              <w:ind w:right="133"/>
              <w:spacing w:after="0" w:line="157" w:lineRule="exact"/>
              <w:rPr>
                <w:sz w:val="20"/>
                <w:szCs w:val="20"/>
                <w:color w:val="auto"/>
              </w:rPr>
            </w:pPr>
            <w:r>
              <w:rPr>
                <w:rFonts w:ascii="Arial" w:cs="Arial" w:eastAsia="Arial" w:hAnsi="Arial"/>
                <w:sz w:val="14"/>
                <w:szCs w:val="14"/>
                <w:color w:val="auto"/>
              </w:rPr>
              <w:t>119,772</w:t>
            </w:r>
          </w:p>
        </w:tc>
        <w:tc>
          <w:tcPr>
            <w:tcW w:w="920" w:type="dxa"/>
            <w:vAlign w:val="bottom"/>
            <w:shd w:val="clear" w:color="auto" w:fill="E8ECF5"/>
          </w:tcPr>
          <w:p>
            <w:pPr>
              <w:jc w:val="right"/>
              <w:ind w:right="73"/>
              <w:spacing w:after="0" w:line="157" w:lineRule="exact"/>
              <w:rPr>
                <w:sz w:val="20"/>
                <w:szCs w:val="20"/>
                <w:color w:val="auto"/>
              </w:rPr>
            </w:pPr>
            <w:r>
              <w:rPr>
                <w:rFonts w:ascii="Arial" w:cs="Arial" w:eastAsia="Arial" w:hAnsi="Arial"/>
                <w:sz w:val="14"/>
                <w:szCs w:val="14"/>
                <w:color w:val="auto"/>
              </w:rPr>
              <w:t>480,215</w:t>
            </w:r>
          </w:p>
        </w:tc>
        <w:tc>
          <w:tcPr>
            <w:tcW w:w="1080" w:type="dxa"/>
            <w:vAlign w:val="bottom"/>
            <w:shd w:val="clear" w:color="auto" w:fill="E8ECF5"/>
          </w:tcPr>
          <w:p>
            <w:pPr>
              <w:jc w:val="right"/>
              <w:ind w:right="32"/>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E8ECF5"/>
          </w:tcPr>
          <w:p>
            <w:pPr>
              <w:jc w:val="right"/>
              <w:ind w:right="32"/>
              <w:spacing w:after="0" w:line="157" w:lineRule="exact"/>
              <w:rPr>
                <w:sz w:val="20"/>
                <w:szCs w:val="20"/>
                <w:color w:val="auto"/>
              </w:rPr>
            </w:pPr>
            <w:r>
              <w:rPr>
                <w:rFonts w:ascii="Arial" w:cs="Arial" w:eastAsia="Arial" w:hAnsi="Arial"/>
                <w:sz w:val="14"/>
                <w:szCs w:val="14"/>
                <w:color w:val="auto"/>
              </w:rPr>
              <w:t>—</w:t>
            </w:r>
          </w:p>
        </w:tc>
        <w:tc>
          <w:tcPr>
            <w:tcW w:w="1200" w:type="dxa"/>
            <w:vAlign w:val="bottom"/>
            <w:shd w:val="clear" w:color="auto" w:fill="E8ECF5"/>
          </w:tcPr>
          <w:p>
            <w:pPr>
              <w:jc w:val="right"/>
              <w:ind w:right="113"/>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E8ECF5"/>
          </w:tcPr>
          <w:p>
            <w:pPr>
              <w:jc w:val="right"/>
              <w:spacing w:after="0" w:line="157" w:lineRule="exact"/>
              <w:rPr>
                <w:sz w:val="20"/>
                <w:szCs w:val="20"/>
                <w:color w:val="auto"/>
              </w:rPr>
            </w:pPr>
            <w:r>
              <w:rPr>
                <w:rFonts w:ascii="Arial" w:cs="Arial" w:eastAsia="Arial" w:hAnsi="Arial"/>
                <w:sz w:val="14"/>
                <w:szCs w:val="14"/>
                <w:color w:val="auto"/>
              </w:rPr>
              <w:t>667,107</w:t>
            </w:r>
          </w:p>
        </w:tc>
        <w:tc>
          <w:tcPr>
            <w:tcW w:w="0" w:type="dxa"/>
            <w:vAlign w:val="bottom"/>
          </w:tcPr>
          <w:p>
            <w:pPr>
              <w:spacing w:after="0"/>
              <w:rPr>
                <w:sz w:val="1"/>
                <w:szCs w:val="1"/>
                <w:color w:val="auto"/>
              </w:rPr>
            </w:pPr>
          </w:p>
        </w:tc>
      </w:tr>
      <w:tr>
        <w:trPr>
          <w:trHeight w:val="158"/>
        </w:trPr>
        <w:tc>
          <w:tcPr>
            <w:tcW w:w="3300" w:type="dxa"/>
            <w:vAlign w:val="bottom"/>
          </w:tcPr>
          <w:p>
            <w:pPr>
              <w:ind w:left="40"/>
              <w:spacing w:after="0" w:line="157" w:lineRule="exact"/>
              <w:rPr>
                <w:sz w:val="20"/>
                <w:szCs w:val="20"/>
                <w:color w:val="auto"/>
              </w:rPr>
            </w:pPr>
            <w:r>
              <w:rPr>
                <w:rFonts w:ascii="Arial" w:cs="Arial" w:eastAsia="Arial" w:hAnsi="Arial"/>
                <w:sz w:val="14"/>
                <w:szCs w:val="14"/>
                <w:b w:val="1"/>
                <w:bCs w:val="1"/>
                <w:color w:val="215AA8"/>
              </w:rPr>
              <w:t>Craig B. Thompson, M.D.</w:t>
            </w:r>
          </w:p>
        </w:tc>
        <w:tc>
          <w:tcPr>
            <w:tcW w:w="1940" w:type="dxa"/>
            <w:vAlign w:val="bottom"/>
          </w:tcPr>
          <w:p>
            <w:pPr>
              <w:jc w:val="right"/>
              <w:ind w:right="192"/>
              <w:spacing w:after="0" w:line="157" w:lineRule="exact"/>
              <w:rPr>
                <w:sz w:val="20"/>
                <w:szCs w:val="20"/>
                <w:color w:val="auto"/>
              </w:rPr>
            </w:pPr>
            <w:r>
              <w:rPr>
                <w:rFonts w:ascii="Arial" w:cs="Arial" w:eastAsia="Arial" w:hAnsi="Arial"/>
                <w:sz w:val="14"/>
                <w:szCs w:val="14"/>
                <w:color w:val="auto"/>
              </w:rPr>
              <w:t>100,000</w:t>
            </w:r>
          </w:p>
        </w:tc>
        <w:tc>
          <w:tcPr>
            <w:tcW w:w="940" w:type="dxa"/>
            <w:vAlign w:val="bottom"/>
          </w:tcPr>
          <w:p>
            <w:pPr>
              <w:jc w:val="right"/>
              <w:ind w:right="133"/>
              <w:spacing w:after="0" w:line="157" w:lineRule="exact"/>
              <w:rPr>
                <w:sz w:val="20"/>
                <w:szCs w:val="20"/>
                <w:color w:val="auto"/>
              </w:rPr>
            </w:pPr>
            <w:r>
              <w:rPr>
                <w:rFonts w:ascii="Arial" w:cs="Arial" w:eastAsia="Arial" w:hAnsi="Arial"/>
                <w:sz w:val="14"/>
                <w:szCs w:val="14"/>
                <w:color w:val="auto"/>
              </w:rPr>
              <w:t>29,036</w:t>
            </w:r>
          </w:p>
        </w:tc>
        <w:tc>
          <w:tcPr>
            <w:tcW w:w="920" w:type="dxa"/>
            <w:vAlign w:val="bottom"/>
          </w:tcPr>
          <w:p>
            <w:pPr>
              <w:jc w:val="right"/>
              <w:ind w:right="73"/>
              <w:spacing w:after="0" w:line="157" w:lineRule="exact"/>
              <w:rPr>
                <w:sz w:val="20"/>
                <w:szCs w:val="20"/>
                <w:color w:val="auto"/>
              </w:rPr>
            </w:pPr>
            <w:r>
              <w:rPr>
                <w:rFonts w:ascii="Arial" w:cs="Arial" w:eastAsia="Arial" w:hAnsi="Arial"/>
                <w:sz w:val="14"/>
                <w:szCs w:val="14"/>
                <w:color w:val="auto"/>
              </w:rPr>
              <w:t>118,750</w:t>
            </w:r>
          </w:p>
        </w:tc>
        <w:tc>
          <w:tcPr>
            <w:tcW w:w="1080" w:type="dxa"/>
            <w:vAlign w:val="bottom"/>
          </w:tcPr>
          <w:p>
            <w:pPr>
              <w:jc w:val="right"/>
              <w:ind w:right="32"/>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13"/>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247,785</w:t>
            </w:r>
          </w:p>
        </w:tc>
        <w:tc>
          <w:tcPr>
            <w:tcW w:w="0" w:type="dxa"/>
            <w:vAlign w:val="bottom"/>
          </w:tcPr>
          <w:p>
            <w:pPr>
              <w:spacing w:after="0"/>
              <w:rPr>
                <w:sz w:val="1"/>
                <w:szCs w:val="1"/>
                <w:color w:val="auto"/>
              </w:rPr>
            </w:pPr>
          </w:p>
        </w:tc>
      </w:tr>
      <w:tr>
        <w:trPr>
          <w:trHeight w:val="191"/>
        </w:trPr>
        <w:tc>
          <w:tcPr>
            <w:tcW w:w="3300" w:type="dxa"/>
            <w:vAlign w:val="bottom"/>
            <w:shd w:val="clear" w:color="auto" w:fill="E8ECF5"/>
          </w:tcPr>
          <w:p>
            <w:pPr>
              <w:ind w:left="40"/>
              <w:spacing w:after="0"/>
              <w:rPr>
                <w:sz w:val="20"/>
                <w:szCs w:val="20"/>
                <w:color w:val="auto"/>
              </w:rPr>
            </w:pPr>
            <w:r>
              <w:rPr>
                <w:rFonts w:ascii="Arial" w:cs="Arial" w:eastAsia="Arial" w:hAnsi="Arial"/>
                <w:sz w:val="14"/>
                <w:szCs w:val="14"/>
                <w:b w:val="1"/>
                <w:bCs w:val="1"/>
                <w:color w:val="215AA8"/>
              </w:rPr>
              <w:t xml:space="preserve">P. Roy Vagelos, M.D. </w:t>
            </w:r>
            <w:r>
              <w:rPr>
                <w:rFonts w:ascii="Arial" w:cs="Arial" w:eastAsia="Arial" w:hAnsi="Arial"/>
                <w:sz w:val="14"/>
                <w:szCs w:val="14"/>
                <w:b w:val="1"/>
                <w:bCs w:val="1"/>
                <w:i w:val="1"/>
                <w:iCs w:val="1"/>
                <w:color w:val="215AA8"/>
              </w:rPr>
              <w:t>(retired)</w:t>
            </w:r>
          </w:p>
        </w:tc>
        <w:tc>
          <w:tcPr>
            <w:tcW w:w="1940" w:type="dxa"/>
            <w:vAlign w:val="bottom"/>
            <w:shd w:val="clear" w:color="auto" w:fill="E8ECF5"/>
          </w:tcPr>
          <w:p>
            <w:pPr>
              <w:jc w:val="right"/>
              <w:ind w:right="192"/>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CF5"/>
          </w:tcPr>
          <w:p>
            <w:pPr>
              <w:jc w:val="right"/>
              <w:ind w:right="133"/>
              <w:spacing w:after="0"/>
              <w:rPr>
                <w:sz w:val="20"/>
                <w:szCs w:val="20"/>
                <w:color w:val="auto"/>
              </w:rPr>
            </w:pPr>
            <w:r>
              <w:rPr>
                <w:rFonts w:ascii="Arial" w:cs="Arial" w:eastAsia="Arial" w:hAnsi="Arial"/>
                <w:sz w:val="14"/>
                <w:szCs w:val="14"/>
                <w:color w:val="auto"/>
              </w:rPr>
              <w:t>—</w:t>
            </w:r>
          </w:p>
        </w:tc>
        <w:tc>
          <w:tcPr>
            <w:tcW w:w="920" w:type="dxa"/>
            <w:vAlign w:val="bottom"/>
            <w:shd w:val="clear" w:color="auto" w:fill="E8ECF5"/>
          </w:tcPr>
          <w:p>
            <w:pPr>
              <w:jc w:val="right"/>
              <w:ind w:right="73"/>
              <w:spacing w:after="0"/>
              <w:rPr>
                <w:sz w:val="20"/>
                <w:szCs w:val="20"/>
                <w:color w:val="auto"/>
              </w:rPr>
            </w:pPr>
            <w:r>
              <w:rPr>
                <w:rFonts w:ascii="Arial" w:cs="Arial" w:eastAsia="Arial" w:hAnsi="Arial"/>
                <w:sz w:val="14"/>
                <w:szCs w:val="14"/>
                <w:color w:val="auto"/>
              </w:rPr>
              <w:t>—</w:t>
            </w:r>
          </w:p>
        </w:tc>
        <w:tc>
          <w:tcPr>
            <w:tcW w:w="1080" w:type="dxa"/>
            <w:vAlign w:val="bottom"/>
            <w:shd w:val="clear" w:color="auto" w:fill="E8ECF5"/>
          </w:tcPr>
          <w:p>
            <w:pPr>
              <w:jc w:val="right"/>
              <w:ind w:right="32"/>
              <w:spacing w:after="0"/>
              <w:rPr>
                <w:sz w:val="20"/>
                <w:szCs w:val="20"/>
                <w:color w:val="auto"/>
              </w:rPr>
            </w:pPr>
            <w:r>
              <w:rPr>
                <w:rFonts w:ascii="Arial" w:cs="Arial" w:eastAsia="Arial" w:hAnsi="Arial"/>
                <w:sz w:val="14"/>
                <w:szCs w:val="14"/>
                <w:color w:val="auto"/>
              </w:rPr>
              <w:t>—</w:t>
            </w:r>
          </w:p>
        </w:tc>
        <w:tc>
          <w:tcPr>
            <w:tcW w:w="1060" w:type="dxa"/>
            <w:vAlign w:val="bottom"/>
            <w:shd w:val="clear" w:color="auto" w:fill="E8ECF5"/>
          </w:tcPr>
          <w:p>
            <w:pPr>
              <w:jc w:val="right"/>
              <w:ind w:right="32"/>
              <w:spacing w:after="0"/>
              <w:rPr>
                <w:sz w:val="20"/>
                <w:szCs w:val="20"/>
                <w:color w:val="auto"/>
              </w:rPr>
            </w:pPr>
            <w:r>
              <w:rPr>
                <w:rFonts w:ascii="Arial" w:cs="Arial" w:eastAsia="Arial" w:hAnsi="Arial"/>
                <w:sz w:val="14"/>
                <w:szCs w:val="14"/>
                <w:color w:val="auto"/>
              </w:rPr>
              <w:t>—</w:t>
            </w:r>
          </w:p>
        </w:tc>
        <w:tc>
          <w:tcPr>
            <w:tcW w:w="1200" w:type="dxa"/>
            <w:vAlign w:val="bottom"/>
            <w:shd w:val="clear" w:color="auto" w:fill="E8ECF5"/>
          </w:tcPr>
          <w:p>
            <w:pPr>
              <w:jc w:val="right"/>
              <w:ind w:right="113"/>
              <w:spacing w:after="0" w:line="191" w:lineRule="exact"/>
              <w:rPr>
                <w:sz w:val="20"/>
                <w:szCs w:val="20"/>
                <w:color w:val="auto"/>
              </w:rPr>
            </w:pPr>
            <w:r>
              <w:rPr>
                <w:rFonts w:ascii="Arial" w:cs="Arial" w:eastAsia="Arial" w:hAnsi="Arial"/>
                <w:sz w:val="14"/>
                <w:szCs w:val="14"/>
                <w:color w:val="auto"/>
              </w:rPr>
              <w:t>57,308</w:t>
            </w:r>
            <w:r>
              <w:rPr>
                <w:rFonts w:ascii="Arial" w:cs="Arial" w:eastAsia="Arial" w:hAnsi="Arial"/>
                <w:sz w:val="22"/>
                <w:szCs w:val="22"/>
                <w:color w:val="auto"/>
                <w:vertAlign w:val="superscript"/>
              </w:rPr>
              <w:t>6</w:t>
            </w:r>
          </w:p>
        </w:tc>
        <w:tc>
          <w:tcPr>
            <w:tcW w:w="820" w:type="dxa"/>
            <w:vAlign w:val="bottom"/>
            <w:shd w:val="clear" w:color="auto" w:fill="E8ECF5"/>
          </w:tcPr>
          <w:p>
            <w:pPr>
              <w:jc w:val="right"/>
              <w:spacing w:after="0"/>
              <w:rPr>
                <w:sz w:val="20"/>
                <w:szCs w:val="20"/>
                <w:color w:val="auto"/>
              </w:rPr>
            </w:pPr>
            <w:r>
              <w:rPr>
                <w:rFonts w:ascii="Arial" w:cs="Arial" w:eastAsia="Arial" w:hAnsi="Arial"/>
                <w:sz w:val="14"/>
                <w:szCs w:val="14"/>
                <w:color w:val="auto"/>
              </w:rPr>
              <w:t>57,308</w:t>
            </w:r>
          </w:p>
        </w:tc>
        <w:tc>
          <w:tcPr>
            <w:tcW w:w="0" w:type="dxa"/>
            <w:vAlign w:val="bottom"/>
          </w:tcPr>
          <w:p>
            <w:pPr>
              <w:spacing w:after="0"/>
              <w:rPr>
                <w:sz w:val="1"/>
                <w:szCs w:val="1"/>
                <w:color w:val="auto"/>
              </w:rPr>
            </w:pPr>
          </w:p>
        </w:tc>
      </w:tr>
      <w:tr>
        <w:trPr>
          <w:trHeight w:val="191"/>
        </w:trPr>
        <w:tc>
          <w:tcPr>
            <w:tcW w:w="3300" w:type="dxa"/>
            <w:vAlign w:val="bottom"/>
            <w:tcBorders>
              <w:bottom w:val="single" w:sz="8" w:color="215AA8"/>
            </w:tcBorders>
          </w:tcPr>
          <w:p>
            <w:pPr>
              <w:ind w:left="40"/>
              <w:spacing w:after="0"/>
              <w:rPr>
                <w:sz w:val="20"/>
                <w:szCs w:val="20"/>
                <w:color w:val="auto"/>
              </w:rPr>
            </w:pPr>
            <w:r>
              <w:rPr>
                <w:rFonts w:ascii="Arial" w:cs="Arial" w:eastAsia="Arial" w:hAnsi="Arial"/>
                <w:sz w:val="14"/>
                <w:szCs w:val="14"/>
                <w:b w:val="1"/>
                <w:bCs w:val="1"/>
                <w:color w:val="215AA8"/>
              </w:rPr>
              <w:t>Huda Y. Zoghbi, M.D.</w:t>
            </w:r>
          </w:p>
        </w:tc>
        <w:tc>
          <w:tcPr>
            <w:tcW w:w="1940" w:type="dxa"/>
            <w:vAlign w:val="bottom"/>
            <w:tcBorders>
              <w:bottom w:val="single" w:sz="8" w:color="215AA8"/>
            </w:tcBorders>
          </w:tcPr>
          <w:p>
            <w:pPr>
              <w:jc w:val="right"/>
              <w:ind w:right="192"/>
              <w:spacing w:after="0"/>
              <w:rPr>
                <w:sz w:val="20"/>
                <w:szCs w:val="20"/>
                <w:color w:val="auto"/>
              </w:rPr>
            </w:pPr>
            <w:r>
              <w:rPr>
                <w:rFonts w:ascii="Arial" w:cs="Arial" w:eastAsia="Arial" w:hAnsi="Arial"/>
                <w:sz w:val="14"/>
                <w:szCs w:val="14"/>
                <w:color w:val="auto"/>
              </w:rPr>
              <w:t>110,000</w:t>
            </w:r>
          </w:p>
        </w:tc>
        <w:tc>
          <w:tcPr>
            <w:tcW w:w="940" w:type="dxa"/>
            <w:vAlign w:val="bottom"/>
            <w:tcBorders>
              <w:bottom w:val="single" w:sz="8" w:color="215AA8"/>
            </w:tcBorders>
          </w:tcPr>
          <w:p>
            <w:pPr>
              <w:jc w:val="right"/>
              <w:ind w:right="133"/>
              <w:spacing w:after="0"/>
              <w:rPr>
                <w:sz w:val="20"/>
                <w:szCs w:val="20"/>
                <w:color w:val="auto"/>
              </w:rPr>
            </w:pPr>
            <w:r>
              <w:rPr>
                <w:rFonts w:ascii="Arial" w:cs="Arial" w:eastAsia="Arial" w:hAnsi="Arial"/>
                <w:sz w:val="14"/>
                <w:szCs w:val="14"/>
                <w:color w:val="auto"/>
              </w:rPr>
              <w:t>119,772</w:t>
            </w:r>
          </w:p>
        </w:tc>
        <w:tc>
          <w:tcPr>
            <w:tcW w:w="920" w:type="dxa"/>
            <w:vAlign w:val="bottom"/>
            <w:tcBorders>
              <w:bottom w:val="single" w:sz="8" w:color="215AA8"/>
            </w:tcBorders>
          </w:tcPr>
          <w:p>
            <w:pPr>
              <w:jc w:val="right"/>
              <w:ind w:right="73"/>
              <w:spacing w:after="0"/>
              <w:rPr>
                <w:sz w:val="20"/>
                <w:szCs w:val="20"/>
                <w:color w:val="auto"/>
              </w:rPr>
            </w:pPr>
            <w:r>
              <w:rPr>
                <w:rFonts w:ascii="Arial" w:cs="Arial" w:eastAsia="Arial" w:hAnsi="Arial"/>
                <w:sz w:val="14"/>
                <w:szCs w:val="14"/>
                <w:color w:val="auto"/>
              </w:rPr>
              <w:t>480,215</w:t>
            </w:r>
          </w:p>
        </w:tc>
        <w:tc>
          <w:tcPr>
            <w:tcW w:w="1080" w:type="dxa"/>
            <w:vAlign w:val="bottom"/>
            <w:tcBorders>
              <w:bottom w:val="single" w:sz="8" w:color="215AA8"/>
            </w:tcBorders>
          </w:tcPr>
          <w:p>
            <w:pPr>
              <w:jc w:val="right"/>
              <w:ind w:right="3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15AA8"/>
            </w:tcBorders>
          </w:tcPr>
          <w:p>
            <w:pPr>
              <w:jc w:val="right"/>
              <w:ind w:right="3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215AA8"/>
            </w:tcBorders>
          </w:tcPr>
          <w:p>
            <w:pPr>
              <w:jc w:val="right"/>
              <w:ind w:right="113"/>
              <w:spacing w:after="0" w:line="191" w:lineRule="exact"/>
              <w:rPr>
                <w:sz w:val="20"/>
                <w:szCs w:val="20"/>
                <w:color w:val="auto"/>
              </w:rPr>
            </w:pPr>
            <w:r>
              <w:rPr>
                <w:rFonts w:ascii="Arial" w:cs="Arial" w:eastAsia="Arial" w:hAnsi="Arial"/>
                <w:sz w:val="14"/>
                <w:szCs w:val="14"/>
                <w:color w:val="auto"/>
              </w:rPr>
              <w:t>5,000</w:t>
            </w:r>
            <w:r>
              <w:rPr>
                <w:rFonts w:ascii="Arial" w:cs="Arial" w:eastAsia="Arial" w:hAnsi="Arial"/>
                <w:sz w:val="22"/>
                <w:szCs w:val="22"/>
                <w:color w:val="auto"/>
                <w:vertAlign w:val="superscript"/>
              </w:rPr>
              <w:t>4</w:t>
            </w:r>
          </w:p>
        </w:tc>
        <w:tc>
          <w:tcPr>
            <w:tcW w:w="82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auto"/>
              </w:rPr>
              <w:t>714,987</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70" w:right="140" w:hanging="270"/>
        <w:spacing w:after="0" w:line="210" w:lineRule="auto"/>
        <w:tabs>
          <w:tab w:leader="none" w:pos="270" w:val="left"/>
        </w:tabs>
        <w:numPr>
          <w:ilvl w:val="0"/>
          <w:numId w:val="63"/>
        </w:numPr>
        <w:rPr>
          <w:rFonts w:ascii="Arial" w:cs="Arial" w:eastAsia="Arial" w:hAnsi="Arial"/>
          <w:sz w:val="20"/>
          <w:szCs w:val="20"/>
          <w:color w:val="auto"/>
          <w:vertAlign w:val="superscript"/>
        </w:rPr>
      </w:pPr>
      <w:r>
        <w:rPr>
          <w:rFonts w:ascii="Arial" w:cs="Arial" w:eastAsia="Arial" w:hAnsi="Arial"/>
          <w:sz w:val="12"/>
          <w:szCs w:val="12"/>
          <w:color w:val="auto"/>
        </w:rPr>
        <w:t>The amounts in columns C and D reflect the respective aggregate grant date fair values of RSUs and options awarded during the year ended December 31, 2023 pursuant to the Second Amended and Restated Regeneron Pharmaceuticals, Inc. 2014 Long-Term Incentive Plan. Valuation assumptions and methodologies used in the calculation of these amounts do not take into account expected forfeitures and are otherwise described in Note 13 to the Company’s audited financial statements for the fiscal year ended December 31, 2023 included in our Annual Report on Form 10-K for the fiscal year ended December 31, 2023 filed with the U.S. Securities and Exchange Commission (“SEC”) on February 5, 2024 (the “2023 Annual Report”).</w:t>
      </w:r>
    </w:p>
    <w:p>
      <w:pPr>
        <w:ind w:left="270" w:hanging="270"/>
        <w:spacing w:after="0" w:line="185" w:lineRule="auto"/>
        <w:tabs>
          <w:tab w:leader="none" w:pos="270" w:val="left"/>
        </w:tabs>
        <w:numPr>
          <w:ilvl w:val="0"/>
          <w:numId w:val="64"/>
        </w:numPr>
        <w:rPr>
          <w:rFonts w:ascii="Arial" w:cs="Arial" w:eastAsia="Arial" w:hAnsi="Arial"/>
          <w:sz w:val="19"/>
          <w:szCs w:val="19"/>
          <w:color w:val="auto"/>
          <w:vertAlign w:val="superscript"/>
        </w:rPr>
      </w:pPr>
      <w:r>
        <w:rPr>
          <w:rFonts w:ascii="Arial" w:cs="Arial" w:eastAsia="Arial" w:hAnsi="Arial"/>
          <w:sz w:val="11"/>
          <w:szCs w:val="11"/>
          <w:color w:val="auto"/>
        </w:rPr>
        <w:t>At December 31, 2023, the current and former non-employee directors listed in this table and Dr. Vagelos had the following aggregate number of stock option awards outstanding: Dr. Bassler: 20,975;</w:t>
      </w:r>
    </w:p>
    <w:p>
      <w:pPr>
        <w:ind w:left="270"/>
        <w:spacing w:after="0" w:line="234" w:lineRule="auto"/>
        <w:rPr>
          <w:rFonts w:ascii="Arial" w:cs="Arial" w:eastAsia="Arial" w:hAnsi="Arial"/>
          <w:sz w:val="19"/>
          <w:szCs w:val="19"/>
          <w:color w:val="auto"/>
          <w:vertAlign w:val="superscript"/>
        </w:rPr>
      </w:pPr>
      <w:r>
        <w:rPr>
          <w:rFonts w:ascii="Arial" w:cs="Arial" w:eastAsia="Arial" w:hAnsi="Arial"/>
          <w:sz w:val="12"/>
          <w:szCs w:val="12"/>
          <w:color w:val="auto"/>
        </w:rPr>
        <w:t>Dr. Brown: 5,883; Dr. Coles: 5,883; Dr. Goldstein: 5,883; Dr. Guarini: 2,979; Ms. Poon: 52,960; Mr. Ryan: 5,883; Dr. Schenkein: 2,979; Mr. Sing: 52,960; Dr. Tessier-Lavigne: 0; Dr. Thompson: 4,012;</w:t>
      </w:r>
    </w:p>
    <w:p>
      <w:pPr>
        <w:ind w:left="270"/>
        <w:spacing w:after="0" w:line="234" w:lineRule="auto"/>
        <w:rPr>
          <w:rFonts w:ascii="Arial" w:cs="Arial" w:eastAsia="Arial" w:hAnsi="Arial"/>
          <w:sz w:val="19"/>
          <w:szCs w:val="19"/>
          <w:color w:val="auto"/>
          <w:vertAlign w:val="superscript"/>
        </w:rPr>
      </w:pPr>
      <w:r>
        <w:rPr>
          <w:rFonts w:ascii="Arial" w:cs="Arial" w:eastAsia="Arial" w:hAnsi="Arial"/>
          <w:sz w:val="12"/>
          <w:szCs w:val="12"/>
          <w:color w:val="auto"/>
        </w:rPr>
        <w:t>Dr. Vagelos: 487,400; and Dr. Zoghbi: 28,635. At December 31, 2023, these individuals had the following aggregate number of RSU awards outstanding: Dr. Bassler: 1,247; Dr. Brown: 1,247; Dr. Coles:</w:t>
      </w:r>
    </w:p>
    <w:p>
      <w:pPr>
        <w:ind w:left="270"/>
        <w:spacing w:after="0"/>
        <w:rPr>
          <w:rFonts w:ascii="Arial" w:cs="Arial" w:eastAsia="Arial" w:hAnsi="Arial"/>
          <w:sz w:val="19"/>
          <w:szCs w:val="19"/>
          <w:color w:val="auto"/>
          <w:vertAlign w:val="superscript"/>
        </w:rPr>
      </w:pPr>
      <w:r>
        <w:rPr>
          <w:rFonts w:ascii="Arial" w:cs="Arial" w:eastAsia="Arial" w:hAnsi="Arial"/>
          <w:sz w:val="12"/>
          <w:szCs w:val="12"/>
          <w:color w:val="auto"/>
        </w:rPr>
        <w:t>1,247; Dr. Goldstein: 1,247; Dr. Guarini: 240; Ms. Poon: 1,247; Mr. Ryan: 1,247; Dr. Schenkein: 240; Mr. Sing: 1,247; Dr. Tessier-Lavigne: 0; Dr. Thompson: 319; Dr. Vagelos: 5,951; and Dr. Zoghbi: 1,247.</w:t>
      </w:r>
    </w:p>
    <w:p>
      <w:pPr>
        <w:spacing w:after="0" w:line="30" w:lineRule="exact"/>
        <w:rPr>
          <w:sz w:val="20"/>
          <w:szCs w:val="20"/>
          <w:color w:val="auto"/>
        </w:rPr>
      </w:pPr>
    </w:p>
    <w:p>
      <w:pPr>
        <w:ind w:left="270" w:right="760" w:hanging="270"/>
        <w:spacing w:after="0" w:line="191" w:lineRule="auto"/>
        <w:tabs>
          <w:tab w:leader="none" w:pos="270" w:val="left"/>
        </w:tabs>
        <w:numPr>
          <w:ilvl w:val="0"/>
          <w:numId w:val="65"/>
        </w:numPr>
        <w:rPr>
          <w:rFonts w:ascii="Arial" w:cs="Arial" w:eastAsia="Arial" w:hAnsi="Arial"/>
          <w:sz w:val="20"/>
          <w:szCs w:val="20"/>
          <w:color w:val="auto"/>
          <w:vertAlign w:val="superscript"/>
        </w:rPr>
      </w:pPr>
      <w:r>
        <w:rPr>
          <w:rFonts w:ascii="Arial" w:cs="Arial" w:eastAsia="Arial" w:hAnsi="Arial"/>
          <w:sz w:val="12"/>
          <w:szCs w:val="12"/>
          <w:color w:val="auto"/>
        </w:rPr>
        <w:t>See the subsection “Compensation-Related Matters - Compensation Dashboard - Additional Compensation Information – Perquisites and Personal Benefits” for information regarding director air transportation in accordance with guidelines approved by our board of directors.</w:t>
      </w:r>
    </w:p>
    <w:p>
      <w:pPr>
        <w:ind w:left="270" w:hanging="270"/>
        <w:spacing w:after="0" w:line="188" w:lineRule="auto"/>
        <w:tabs>
          <w:tab w:leader="none" w:pos="270" w:val="left"/>
        </w:tabs>
        <w:numPr>
          <w:ilvl w:val="0"/>
          <w:numId w:val="66"/>
        </w:numPr>
        <w:rPr>
          <w:rFonts w:ascii="Arial" w:cs="Arial" w:eastAsia="Arial" w:hAnsi="Arial"/>
          <w:sz w:val="20"/>
          <w:szCs w:val="20"/>
          <w:color w:val="auto"/>
          <w:vertAlign w:val="superscript"/>
        </w:rPr>
      </w:pPr>
      <w:r>
        <w:rPr>
          <w:rFonts w:ascii="Arial" w:cs="Arial" w:eastAsia="Arial" w:hAnsi="Arial"/>
          <w:sz w:val="12"/>
          <w:szCs w:val="12"/>
          <w:color w:val="auto"/>
        </w:rPr>
        <w:t>Consists of a Company contribution paid or payable on or before April 16, 2023 under the Regeneron Matching Gift Program in respect of charitable gifts made in 2023.</w:t>
      </w:r>
    </w:p>
    <w:p>
      <w:pPr>
        <w:spacing w:after="0" w:line="30" w:lineRule="exact"/>
        <w:rPr>
          <w:sz w:val="20"/>
          <w:szCs w:val="20"/>
          <w:color w:val="auto"/>
        </w:rPr>
      </w:pPr>
    </w:p>
    <w:p>
      <w:pPr>
        <w:ind w:left="270" w:right="280" w:hanging="270"/>
        <w:spacing w:after="0" w:line="186" w:lineRule="auto"/>
        <w:tabs>
          <w:tab w:leader="none" w:pos="270" w:val="left"/>
        </w:tabs>
        <w:numPr>
          <w:ilvl w:val="0"/>
          <w:numId w:val="67"/>
        </w:numPr>
        <w:rPr>
          <w:rFonts w:ascii="Arial" w:cs="Arial" w:eastAsia="Arial" w:hAnsi="Arial"/>
          <w:sz w:val="20"/>
          <w:szCs w:val="20"/>
          <w:color w:val="auto"/>
          <w:vertAlign w:val="superscript"/>
        </w:rPr>
      </w:pPr>
      <w:r>
        <w:rPr>
          <w:rFonts w:ascii="Arial" w:cs="Arial" w:eastAsia="Arial" w:hAnsi="Arial"/>
          <w:sz w:val="12"/>
          <w:szCs w:val="12"/>
          <w:color w:val="auto"/>
        </w:rPr>
        <w:t>Drs. Guarini and Schenkein were elected as members of the board of directors on September 8, 2023; accordingly, their fees were prorated based on their election date. The table also reflects their initial equity awards granted effective as of their September 8, 2023 election date.</w:t>
      </w:r>
    </w:p>
    <w:p>
      <w:pPr>
        <w:spacing w:after="0" w:line="22" w:lineRule="exact"/>
        <w:rPr>
          <w:sz w:val="20"/>
          <w:szCs w:val="20"/>
          <w:color w:val="auto"/>
        </w:rPr>
      </w:pPr>
    </w:p>
    <w:p>
      <w:pPr>
        <w:ind w:left="270" w:hanging="270"/>
        <w:spacing w:after="0" w:line="191" w:lineRule="auto"/>
        <w:tabs>
          <w:tab w:leader="none" w:pos="270" w:val="left"/>
        </w:tabs>
        <w:numPr>
          <w:ilvl w:val="0"/>
          <w:numId w:val="68"/>
        </w:numPr>
        <w:rPr>
          <w:rFonts w:ascii="Arial" w:cs="Arial" w:eastAsia="Arial" w:hAnsi="Arial"/>
          <w:sz w:val="20"/>
          <w:szCs w:val="20"/>
          <w:color w:val="auto"/>
          <w:vertAlign w:val="superscript"/>
        </w:rPr>
      </w:pPr>
      <w:r>
        <w:rPr>
          <w:rFonts w:ascii="Arial" w:cs="Arial" w:eastAsia="Arial" w:hAnsi="Arial"/>
          <w:sz w:val="12"/>
          <w:szCs w:val="12"/>
          <w:color w:val="auto"/>
        </w:rPr>
        <w:t>Consists of (i) $56,154 of salary (including an amount in lieu of accrued and unused vacation) paid pursuant to the terms of the employment agreement with Dr. Vagelos then in effect; and (ii) $1,154 for 401(k) Savings Plan matching contributions in respect of 2023.</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35</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Board of Directors</w:t>
            </w:r>
          </w:p>
        </w:tc>
        <w:tc>
          <w:tcPr>
            <w:tcW w:w="2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200" w:type="dxa"/>
            <w:vAlign w:val="bottom"/>
            <w:tcBorders>
              <w:bottom w:val="single" w:sz="8" w:color="D60058"/>
            </w:tcBorders>
            <w:vMerge w:val="continue"/>
          </w:tcPr>
          <w:p>
            <w:pPr>
              <w:spacing w:after="0"/>
              <w:rPr>
                <w:sz w:val="17"/>
                <w:szCs w:val="17"/>
                <w:color w:val="auto"/>
              </w:rPr>
            </w:pPr>
          </w:p>
        </w:tc>
        <w:tc>
          <w:tcPr>
            <w:tcW w:w="2620" w:type="dxa"/>
            <w:vAlign w:val="bottom"/>
          </w:tcPr>
          <w:p>
            <w:pPr>
              <w:ind w:left="1180"/>
              <w:spacing w:after="0"/>
              <w:rPr>
                <w:sz w:val="20"/>
                <w:szCs w:val="20"/>
                <w:color w:val="auto"/>
              </w:rPr>
            </w:pPr>
            <w:r>
              <w:rPr>
                <w:rFonts w:ascii="Arial" w:cs="Arial" w:eastAsia="Arial" w:hAnsi="Arial"/>
                <w:sz w:val="14"/>
                <w:szCs w:val="14"/>
                <w:color w:val="949599"/>
              </w:rPr>
              <w:t>The Company</w:t>
            </w:r>
          </w:p>
        </w:tc>
        <w:tc>
          <w:tcPr>
            <w:tcW w:w="198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221615</wp:posOffset>
            </wp:positionV>
            <wp:extent cx="1150620" cy="2432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50620" cy="243205"/>
                    </a:xfrm>
                    <a:prstGeom prst="rect">
                      <a:avLst/>
                    </a:prstGeom>
                    <a:noFill/>
                  </pic:spPr>
                </pic:pic>
              </a:graphicData>
            </a:graphic>
          </wp:anchor>
        </w:drawing>
      </w:r>
    </w:p>
    <w:p>
      <w:pPr>
        <w:spacing w:after="0" w:line="376"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7155180" cy="5645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5180" cy="564515"/>
                    </a:xfrm>
                    <a:prstGeom prst="rect">
                      <a:avLst/>
                    </a:prstGeom>
                    <a:noFill/>
                  </pic:spPr>
                </pic:pic>
              </a:graphicData>
            </a:graphic>
          </wp:anchor>
        </w:drawing>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215AA8"/>
        </w:rPr>
        <w:t>Election of Directors</w:t>
      </w:r>
    </w:p>
    <w:p>
      <w:pPr>
        <w:spacing w:after="0" w:line="28" w:lineRule="exact"/>
        <w:rPr>
          <w:sz w:val="20"/>
          <w:szCs w:val="20"/>
          <w:color w:val="auto"/>
        </w:rPr>
      </w:pPr>
    </w:p>
    <w:p>
      <w:pPr>
        <w:ind w:left="140" w:right="180"/>
        <w:spacing w:after="0" w:line="238" w:lineRule="auto"/>
        <w:rPr>
          <w:sz w:val="20"/>
          <w:szCs w:val="20"/>
          <w:color w:val="auto"/>
        </w:rPr>
      </w:pPr>
      <w:r>
        <w:rPr>
          <w:rFonts w:ascii="Arial" w:cs="Arial" w:eastAsia="Arial" w:hAnsi="Arial"/>
          <w:sz w:val="14"/>
          <w:szCs w:val="14"/>
          <w:color w:val="auto"/>
        </w:rPr>
        <w:t>The board of directors, upon the recommendation of the Corporate Governance and Compliance Committee, has nominated for election at the 2024 Annual Meeting N. Anthony Coles, M.D., Kathryn Guarini, Ph.D., Arthur F. Ryan, and George L. Sing as Class III Directors for a three-year term expiring at the 2027 Annual Meeting; and David P. Schenkein, M.D. as a Class II Director for a two-year term expiring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7155180" cy="1860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5180" cy="186055"/>
                    </a:xfrm>
                    <a:prstGeom prst="rect">
                      <a:avLst/>
                    </a:prstGeom>
                    <a:noFill/>
                  </pic:spPr>
                </pic:pic>
              </a:graphicData>
            </a:graphic>
          </wp:anchor>
        </w:drawing>
      </w:r>
    </w:p>
    <w:p>
      <w:pPr>
        <w:spacing w:after="0" w:line="95" w:lineRule="exact"/>
        <w:rPr>
          <w:sz w:val="20"/>
          <w:szCs w:val="20"/>
          <w:color w:val="auto"/>
        </w:rPr>
      </w:pPr>
    </w:p>
    <w:p>
      <w:pPr>
        <w:ind w:left="780"/>
        <w:spacing w:after="0"/>
        <w:rPr>
          <w:sz w:val="20"/>
          <w:szCs w:val="20"/>
          <w:color w:val="auto"/>
        </w:rPr>
      </w:pPr>
      <w:r>
        <w:rPr>
          <w:rFonts w:ascii="Arial" w:cs="Arial" w:eastAsia="Arial" w:hAnsi="Arial"/>
          <w:sz w:val="14"/>
          <w:szCs w:val="14"/>
          <w:color w:val="FFFFFF"/>
        </w:rPr>
        <w:t xml:space="preserve">The board of directors unanimously recommends a vote </w:t>
      </w:r>
      <w:r>
        <w:rPr>
          <w:rFonts w:ascii="Arial" w:cs="Arial" w:eastAsia="Arial" w:hAnsi="Arial"/>
          <w:sz w:val="14"/>
          <w:szCs w:val="14"/>
          <w:b w:val="1"/>
          <w:bCs w:val="1"/>
          <w:color w:val="FFFFFF"/>
        </w:rPr>
        <w:t>FOR</w:t>
      </w:r>
      <w:r>
        <w:rPr>
          <w:rFonts w:ascii="Arial" w:cs="Arial" w:eastAsia="Arial" w:hAnsi="Arial"/>
          <w:sz w:val="14"/>
          <w:szCs w:val="14"/>
          <w:color w:val="FFFFFF"/>
        </w:rPr>
        <w:t xml:space="preserve"> the election of each of these nominees.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36</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The Company</w:t>
            </w:r>
          </w:p>
        </w:tc>
        <w:tc>
          <w:tcPr>
            <w:tcW w:w="26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32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900" w:type="dxa"/>
            <w:vAlign w:val="bottom"/>
            <w:tcBorders>
              <w:bottom w:val="single" w:sz="8" w:color="D60058"/>
            </w:tcBorders>
            <w:vMerge w:val="continue"/>
          </w:tcPr>
          <w:p>
            <w:pPr>
              <w:spacing w:after="0"/>
              <w:rPr>
                <w:sz w:val="17"/>
                <w:szCs w:val="17"/>
                <w:color w:val="auto"/>
              </w:rPr>
            </w:pPr>
          </w:p>
        </w:tc>
        <w:tc>
          <w:tcPr>
            <w:tcW w:w="2600" w:type="dxa"/>
            <w:vAlign w:val="bottom"/>
          </w:tcPr>
          <w:p>
            <w:pPr>
              <w:ind w:left="11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42"/>
          <w:szCs w:val="42"/>
          <w:b w:val="1"/>
          <w:bCs w:val="1"/>
          <w:color w:val="215AA8"/>
        </w:rPr>
        <w:t>The Company</w:t>
      </w:r>
    </w:p>
    <w:p>
      <w:pPr>
        <w:spacing w:after="0" w:line="270" w:lineRule="exact"/>
        <w:rPr>
          <w:sz w:val="20"/>
          <w:szCs w:val="20"/>
          <w:color w:val="auto"/>
        </w:rPr>
      </w:pPr>
    </w:p>
    <w:p>
      <w:pPr>
        <w:spacing w:after="0"/>
        <w:rPr>
          <w:sz w:val="20"/>
          <w:szCs w:val="20"/>
          <w:color w:val="auto"/>
        </w:rPr>
      </w:pPr>
      <w:r>
        <w:rPr>
          <w:rFonts w:ascii="Arial" w:cs="Arial" w:eastAsia="Arial" w:hAnsi="Arial"/>
          <w:sz w:val="30"/>
          <w:szCs w:val="30"/>
          <w:b w:val="1"/>
          <w:bCs w:val="1"/>
          <w:color w:val="D60058"/>
        </w:rPr>
        <w:t>Executive Officers Of The Company</w:t>
      </w:r>
    </w:p>
    <w:p>
      <w:pPr>
        <w:spacing w:after="0" w:line="183"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Our leadership team possesses deep and diverse industry knowledge, a passion for science, and a shared commitment to help transform lives. All officers of the Company are appointed annually and serve at the pleasure of the board of directors. The names, positions, ages, and background of the Company’s executive officers as of April 16, 2024 are set forth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94615</wp:posOffset>
            </wp:positionV>
            <wp:extent cx="715518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85" w:lineRule="exact"/>
        <w:rPr>
          <w:sz w:val="20"/>
          <w:szCs w:val="20"/>
          <w:color w:val="auto"/>
        </w:rPr>
      </w:pPr>
    </w:p>
    <w:p>
      <w:pPr>
        <w:ind w:left="1780" w:right="220"/>
        <w:spacing w:after="0" w:line="241" w:lineRule="auto"/>
        <w:rPr>
          <w:sz w:val="20"/>
          <w:szCs w:val="20"/>
          <w:color w:val="auto"/>
        </w:rPr>
      </w:pPr>
      <w:r>
        <w:rPr>
          <w:rFonts w:ascii="Arial" w:cs="Arial" w:eastAsia="Arial" w:hAnsi="Arial"/>
          <w:sz w:val="14"/>
          <w:szCs w:val="14"/>
          <w:b w:val="1"/>
          <w:bCs w:val="1"/>
          <w:color w:val="D60058"/>
        </w:rPr>
        <w:t xml:space="preserve">Leonard S. Schleifer, M.D., Ph.D., </w:t>
      </w:r>
      <w:r>
        <w:rPr>
          <w:rFonts w:ascii="Arial" w:cs="Arial" w:eastAsia="Arial" w:hAnsi="Arial"/>
          <w:sz w:val="14"/>
          <w:szCs w:val="14"/>
          <w:color w:val="000000"/>
        </w:rPr>
        <w:t>71, founded the Company in 1988 and has been a director and its President and Chief Executive Officer since its</w:t>
      </w:r>
      <w:r>
        <w:rPr>
          <w:rFonts w:ascii="Arial" w:cs="Arial" w:eastAsia="Arial" w:hAnsi="Arial"/>
          <w:sz w:val="14"/>
          <w:szCs w:val="14"/>
          <w:b w:val="1"/>
          <w:bCs w:val="1"/>
          <w:color w:val="D60058"/>
        </w:rPr>
        <w:t xml:space="preserve"> </w:t>
      </w:r>
      <w:r>
        <w:rPr>
          <w:rFonts w:ascii="Arial" w:cs="Arial" w:eastAsia="Arial" w:hAnsi="Arial"/>
          <w:sz w:val="14"/>
          <w:szCs w:val="14"/>
          <w:color w:val="000000"/>
        </w:rPr>
        <w:t>inception. Dr. Schleifer has served as co-Chair of the Board since 2023 and previously served as Chair of the Board from 1990 through 1994. Dr. Schleifer, together with Regeneron’s founding scientist, Dr. Yancopoulos, built and has managed the Company over the past 36 years. Dr. Schleifer received his M.D. and Ph.D. in Pharmacology from the University of Virginia. Dr. Schleifer is a licensed physician and is certified in Neurology by the American Board of Psychiatry and Neurology.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545465</wp:posOffset>
            </wp:positionV>
            <wp:extent cx="715518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-504825</wp:posOffset>
            </wp:positionV>
            <wp:extent cx="950595" cy="9505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50595" cy="95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780" w:right="40"/>
        <w:spacing w:after="0" w:line="278" w:lineRule="auto"/>
        <w:rPr>
          <w:sz w:val="20"/>
          <w:szCs w:val="20"/>
          <w:color w:val="auto"/>
        </w:rPr>
      </w:pPr>
      <w:r>
        <w:rPr>
          <w:rFonts w:ascii="Arial" w:cs="Arial" w:eastAsia="Arial" w:hAnsi="Arial"/>
          <w:sz w:val="12"/>
          <w:szCs w:val="12"/>
          <w:b w:val="1"/>
          <w:bCs w:val="1"/>
          <w:color w:val="D60058"/>
        </w:rPr>
        <w:t xml:space="preserve">George D. Yancopoulos, M.D., Ph.D., </w:t>
      </w:r>
      <w:r>
        <w:rPr>
          <w:rFonts w:ascii="Arial" w:cs="Arial" w:eastAsia="Arial" w:hAnsi="Arial"/>
          <w:sz w:val="12"/>
          <w:szCs w:val="12"/>
          <w:color w:val="000000"/>
        </w:rPr>
        <w:t>64, joined Dr. Schleifer in 1989 as founding scientist of the Company, and together they built and have managed the</w:t>
      </w:r>
      <w:r>
        <w:rPr>
          <w:rFonts w:ascii="Arial" w:cs="Arial" w:eastAsia="Arial" w:hAnsi="Arial"/>
          <w:sz w:val="12"/>
          <w:szCs w:val="12"/>
          <w:b w:val="1"/>
          <w:bCs w:val="1"/>
          <w:color w:val="D60058"/>
        </w:rPr>
        <w:t xml:space="preserve"> </w:t>
      </w:r>
      <w:r>
        <w:rPr>
          <w:rFonts w:ascii="Arial" w:cs="Arial" w:eastAsia="Arial" w:hAnsi="Arial"/>
          <w:sz w:val="12"/>
          <w:szCs w:val="12"/>
          <w:color w:val="000000"/>
        </w:rPr>
        <w:t>Company since then. Dr. Yancopoulos is currently President and Chief Scientific Officer, and has served as a director since 2001 and as co-Chair of the Board since 2023.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11 FDA-approved drugs the Company has developed, EYLEA, EYLEA HD, Praluent, Dupixent, Kevzara, Libtayo, Evkeeza, Inmazeb,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-499110</wp:posOffset>
            </wp:positionV>
            <wp:extent cx="950595" cy="950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50595" cy="950595"/>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4"/>
          <w:szCs w:val="14"/>
          <w:color w:val="auto"/>
        </w:rPr>
        <w:t xml:space="preserve">Veopoz, ZALTRAP, and ARCALYST, as well as of its foundation technologies, including the TRAP technology, </w:t>
      </w:r>
      <w:r>
        <w:rPr>
          <w:rFonts w:ascii="Arial" w:cs="Arial" w:eastAsia="Arial" w:hAnsi="Arial"/>
          <w:sz w:val="14"/>
          <w:szCs w:val="14"/>
          <w:i w:val="1"/>
          <w:iCs w:val="1"/>
          <w:color w:val="auto"/>
        </w:rPr>
        <w:t>VelociGene</w:t>
      </w:r>
      <w:r>
        <w:rPr>
          <w:rFonts w:ascii="Arial" w:cs="Arial" w:eastAsia="Arial" w:hAnsi="Arial"/>
          <w:sz w:val="22"/>
          <w:szCs w:val="22"/>
          <w:color w:val="auto"/>
          <w:vertAlign w:val="superscript"/>
        </w:rPr>
        <w:t>®</w:t>
      </w:r>
      <w:r>
        <w:rPr>
          <w:rFonts w:ascii="Arial" w:cs="Arial" w:eastAsia="Arial" w:hAnsi="Arial"/>
          <w:sz w:val="14"/>
          <w:szCs w:val="14"/>
          <w:color w:val="auto"/>
        </w:rPr>
        <w:t xml:space="preserve">, and </w:t>
      </w:r>
      <w:r>
        <w:rPr>
          <w:rFonts w:ascii="Arial" w:cs="Arial" w:eastAsia="Arial" w:hAnsi="Arial"/>
          <w:sz w:val="14"/>
          <w:szCs w:val="14"/>
          <w:i w:val="1"/>
          <w:iCs w:val="1"/>
          <w:color w:val="auto"/>
        </w:rPr>
        <w:t>VelocImmune</w:t>
      </w:r>
      <w:r>
        <w:rPr>
          <w:rFonts w:ascii="Arial" w:cs="Arial" w:eastAsia="Arial" w:hAnsi="Arial"/>
          <w:sz w:val="22"/>
          <w:szCs w:val="22"/>
          <w:color w:val="auto"/>
          <w:vertAlign w:val="superscript"/>
        </w:rPr>
        <w: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5518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780" w:right="20"/>
        <w:spacing w:after="0" w:line="239" w:lineRule="auto"/>
        <w:rPr>
          <w:sz w:val="20"/>
          <w:szCs w:val="20"/>
          <w:color w:val="auto"/>
        </w:rPr>
      </w:pPr>
      <w:r>
        <w:rPr>
          <w:rFonts w:ascii="Arial" w:cs="Arial" w:eastAsia="Arial" w:hAnsi="Arial"/>
          <w:sz w:val="14"/>
          <w:szCs w:val="14"/>
          <w:b w:val="1"/>
          <w:bCs w:val="1"/>
          <w:color w:val="D60058"/>
        </w:rPr>
        <w:t xml:space="preserve">Christopher Fenimore, </w:t>
      </w:r>
      <w:r>
        <w:rPr>
          <w:rFonts w:ascii="Arial" w:cs="Arial" w:eastAsia="Arial" w:hAnsi="Arial"/>
          <w:sz w:val="14"/>
          <w:szCs w:val="14"/>
          <w:color w:val="000000"/>
        </w:rPr>
        <w:t>53, has been Senior Vice President, Finance and Chief Financial Officer since February 2024. He previously served as Senior Vice</w:t>
      </w:r>
      <w:r>
        <w:rPr>
          <w:rFonts w:ascii="Arial" w:cs="Arial" w:eastAsia="Arial" w:hAnsi="Arial"/>
          <w:sz w:val="14"/>
          <w:szCs w:val="14"/>
          <w:b w:val="1"/>
          <w:bCs w:val="1"/>
          <w:color w:val="D60058"/>
        </w:rPr>
        <w:t xml:space="preserve"> </w:t>
      </w:r>
      <w:r>
        <w:rPr>
          <w:rFonts w:ascii="Arial" w:cs="Arial" w:eastAsia="Arial" w:hAnsi="Arial"/>
          <w:sz w:val="14"/>
          <w:szCs w:val="14"/>
          <w:color w:val="000000"/>
        </w:rPr>
        <w:t>President, Controller from January 2021 to February 2024, as Vice President, Controller from March 2017 to December 2020, as Vice President, Deputy Controller from January 2017 to March 2017, and as Vice President, Financial Planning from January 2012 to December 2016. Prior to joining the Company in 2003, he was Vice President, Finance for a biotechnology start-up and worked in other healthcare industry-focused venture capital and investment banking roles. Mr. Fenimore started his career as an auditor at KPMG and is a Certified Public Accountant in the State of New York. Mr. Fenimore holds an M.A. in Biotechnology from Columbia University, an M.B.A. in Professional Accounting from Rutgers Business School, and a B.A. in Economics from Rutgers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346075</wp:posOffset>
            </wp:positionV>
            <wp:extent cx="715518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-704215</wp:posOffset>
            </wp:positionV>
            <wp:extent cx="950595" cy="950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50595" cy="95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37</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The Company</w:t>
            </w:r>
          </w:p>
        </w:tc>
        <w:tc>
          <w:tcPr>
            <w:tcW w:w="26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32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900" w:type="dxa"/>
            <w:vAlign w:val="bottom"/>
            <w:tcBorders>
              <w:bottom w:val="single" w:sz="8" w:color="D60058"/>
            </w:tcBorders>
            <w:vMerge w:val="continue"/>
          </w:tcPr>
          <w:p>
            <w:pPr>
              <w:spacing w:after="0"/>
              <w:rPr>
                <w:sz w:val="17"/>
                <w:szCs w:val="17"/>
                <w:color w:val="auto"/>
              </w:rPr>
            </w:pPr>
          </w:p>
        </w:tc>
        <w:tc>
          <w:tcPr>
            <w:tcW w:w="2600" w:type="dxa"/>
            <w:vAlign w:val="bottom"/>
          </w:tcPr>
          <w:p>
            <w:pPr>
              <w:ind w:left="11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221615</wp:posOffset>
            </wp:positionV>
            <wp:extent cx="715518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780" w:right="20"/>
        <w:spacing w:after="0" w:line="241" w:lineRule="auto"/>
        <w:rPr>
          <w:sz w:val="20"/>
          <w:szCs w:val="20"/>
          <w:color w:val="auto"/>
        </w:rPr>
      </w:pPr>
      <w:r>
        <w:rPr>
          <w:rFonts w:ascii="Arial" w:cs="Arial" w:eastAsia="Arial" w:hAnsi="Arial"/>
          <w:sz w:val="14"/>
          <w:szCs w:val="14"/>
          <w:b w:val="1"/>
          <w:bCs w:val="1"/>
          <w:color w:val="D60058"/>
        </w:rPr>
        <w:t xml:space="preserve">Joseph J. LaRosa, </w:t>
      </w:r>
      <w:r>
        <w:rPr>
          <w:rFonts w:ascii="Arial" w:cs="Arial" w:eastAsia="Arial" w:hAnsi="Arial"/>
          <w:sz w:val="14"/>
          <w:szCs w:val="14"/>
          <w:color w:val="000000"/>
        </w:rPr>
        <w:t>65, has been Executive Vice President, General Counsel and Secretary since January 2019. From September 2011 to December 2018,</w:t>
      </w:r>
      <w:r>
        <w:rPr>
          <w:rFonts w:ascii="Arial" w:cs="Arial" w:eastAsia="Arial" w:hAnsi="Arial"/>
          <w:sz w:val="14"/>
          <w:szCs w:val="14"/>
          <w:b w:val="1"/>
          <w:bCs w:val="1"/>
          <w:color w:val="D60058"/>
        </w:rPr>
        <w:t xml:space="preserve"> </w:t>
      </w:r>
      <w:r>
        <w:rPr>
          <w:rFonts w:ascii="Arial" w:cs="Arial" w:eastAsia="Arial" w:hAnsi="Arial"/>
          <w:sz w:val="14"/>
          <w:szCs w:val="14"/>
          <w:color w:val="000000"/>
        </w:rPr>
        <w:t>he served as Senior Vice President, General Counsel and Secretary. Before joining Regeneron, Mr. LaRosa was Senior Vice President, General Counsel, and Secretary at Nycomed US Inc. Mr. LaRosa’s prior experience includes working in a number of senior legal positions at Schering-Plough Corporation from 1993 to 2009, where he was a corporate officer and served most recently as Vice President, Legal Affairs, and a member of the Operations Management Team. Mr. LaRosa received his J.D. from New York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545465</wp:posOffset>
            </wp:positionV>
            <wp:extent cx="715518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-504825</wp:posOffset>
            </wp:positionV>
            <wp:extent cx="950595" cy="950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50595" cy="95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780" w:right="40"/>
        <w:spacing w:after="0" w:line="282" w:lineRule="auto"/>
        <w:rPr>
          <w:sz w:val="20"/>
          <w:szCs w:val="20"/>
          <w:color w:val="auto"/>
        </w:rPr>
      </w:pPr>
      <w:r>
        <w:rPr>
          <w:rFonts w:ascii="Arial" w:cs="Arial" w:eastAsia="Arial" w:hAnsi="Arial"/>
          <w:sz w:val="12"/>
          <w:szCs w:val="12"/>
          <w:b w:val="1"/>
          <w:bCs w:val="1"/>
          <w:color w:val="D60058"/>
        </w:rPr>
        <w:t xml:space="preserve">Marion McCourt, </w:t>
      </w:r>
      <w:r>
        <w:rPr>
          <w:rFonts w:ascii="Arial" w:cs="Arial" w:eastAsia="Arial" w:hAnsi="Arial"/>
          <w:sz w:val="12"/>
          <w:szCs w:val="12"/>
          <w:color w:val="000000"/>
        </w:rPr>
        <w:t>64, has been Executive Vice President, Commercial since January 2021. She previously served as Senior Vice President, Commercial from</w:t>
      </w:r>
      <w:r>
        <w:rPr>
          <w:rFonts w:ascii="Arial" w:cs="Arial" w:eastAsia="Arial" w:hAnsi="Arial"/>
          <w:sz w:val="12"/>
          <w:szCs w:val="12"/>
          <w:b w:val="1"/>
          <w:bCs w:val="1"/>
          <w:color w:val="D60058"/>
        </w:rPr>
        <w:t xml:space="preserve"> </w:t>
      </w:r>
      <w:r>
        <w:rPr>
          <w:rFonts w:ascii="Arial" w:cs="Arial" w:eastAsia="Arial" w:hAnsi="Arial"/>
          <w:sz w:val="12"/>
          <w:szCs w:val="12"/>
          <w:color w:val="000000"/>
        </w:rPr>
        <w:t>February 2018 to December 2020. From April 2017 until joining the Company, Ms. McCourt served as the Principal Operating Officer and the Chief Operating Officer and President of Axovant Sciences, Inc. Ms. McCourt previously served as chief operating officer of Medivation, Inc. from February 2016 until its acquisition by Pfizer Inc. in September 2016. Previously, Ms. McCourt worked at Amgen Inc., where she most recently served as a Vice President in U.S. Commercial Operations from February 2014 to January 2016. From May 2013 to January 2014, Ms. McCourt served as Vice President and General Manager at Amgen where she was responsible for the bone health and primary care business unit. From 2012 to 2013, she was Chief Operating Officer for AstraZeneca U.S., a division of AstraZeneca plc. Her responsibilities included oversight and leadership of all U.S. commercial functions, including medical affairs, business development, finance, human resources, legal, operations, and corporate affairs. During her 12-year tenure at AstraZeneca, Ms. McCourt was President and Chief Executive Officer of AstraZeneca Canada Inc. from 2011 to 2012 and also held various other roles at AstraZeneca Pharmaceuticals LP, a subsidiary of AstraZeneca plc. Ms. McCourt received her B.S. in Biology from Lafayette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182245</wp:posOffset>
            </wp:positionV>
            <wp:extent cx="715518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-918210</wp:posOffset>
            </wp:positionV>
            <wp:extent cx="950595" cy="950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50595" cy="95059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780" w:right="100"/>
        <w:spacing w:after="0" w:line="280" w:lineRule="auto"/>
        <w:rPr>
          <w:sz w:val="20"/>
          <w:szCs w:val="20"/>
          <w:color w:val="auto"/>
        </w:rPr>
      </w:pPr>
      <w:r>
        <w:rPr>
          <w:rFonts w:ascii="Arial" w:cs="Arial" w:eastAsia="Arial" w:hAnsi="Arial"/>
          <w:sz w:val="12"/>
          <w:szCs w:val="12"/>
          <w:b w:val="1"/>
          <w:bCs w:val="1"/>
          <w:color w:val="D60058"/>
        </w:rPr>
        <w:t xml:space="preserve">Andrew J. Murphy, Ph.D., </w:t>
      </w:r>
      <w:r>
        <w:rPr>
          <w:rFonts w:ascii="Arial" w:cs="Arial" w:eastAsia="Arial" w:hAnsi="Arial"/>
          <w:sz w:val="12"/>
          <w:szCs w:val="12"/>
          <w:color w:val="000000"/>
        </w:rPr>
        <w:t>66, has been Executive Vice President, Research since January 2019. He previously served as Senior Vice President, Research,</w:t>
      </w:r>
      <w:r>
        <w:rPr>
          <w:rFonts w:ascii="Arial" w:cs="Arial" w:eastAsia="Arial" w:hAnsi="Arial"/>
          <w:sz w:val="12"/>
          <w:szCs w:val="12"/>
          <w:b w:val="1"/>
          <w:bCs w:val="1"/>
          <w:color w:val="D60058"/>
        </w:rPr>
        <w:t xml:space="preserve"> </w:t>
      </w:r>
      <w:r>
        <w:rPr>
          <w:rFonts w:ascii="Arial" w:cs="Arial" w:eastAsia="Arial" w:hAnsi="Arial"/>
          <w:sz w:val="12"/>
          <w:szCs w:val="12"/>
          <w:color w:val="000000"/>
        </w:rPr>
        <w:t>Regeneron Laboratories from January 2013 to December 2018, as Vice President, Target Discovery from May 2005 to December 2012, as Vice President, Gene Discovery and Bioinformatics from January 2001 to May 2005, and as Director of Genomics and Bioinformatics from May 1999 to December 2000.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-298450</wp:posOffset>
            </wp:positionV>
            <wp:extent cx="943610" cy="950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43610" cy="950595"/>
                    </a:xfrm>
                    <a:prstGeom prst="rect">
                      <a:avLst/>
                    </a:prstGeom>
                    <a:noFill/>
                  </pic:spPr>
                </pic:pic>
              </a:graphicData>
            </a:graphic>
          </wp:anchor>
        </w:drawing>
      </w:r>
    </w:p>
    <w:p>
      <w:pPr>
        <w:ind w:left="1780" w:right="160"/>
        <w:spacing w:after="0" w:line="215" w:lineRule="auto"/>
        <w:rPr>
          <w:sz w:val="20"/>
          <w:szCs w:val="20"/>
          <w:color w:val="auto"/>
        </w:rPr>
      </w:pPr>
      <w:r>
        <w:rPr>
          <w:rFonts w:ascii="Arial" w:cs="Arial" w:eastAsia="Arial" w:hAnsi="Arial"/>
          <w:sz w:val="14"/>
          <w:szCs w:val="14"/>
          <w:color w:val="auto"/>
        </w:rPr>
        <w:t xml:space="preserve">Murphy is a co-inventor of several of the Company’s key technologies, including </w:t>
      </w:r>
      <w:r>
        <w:rPr>
          <w:rFonts w:ascii="Arial" w:cs="Arial" w:eastAsia="Arial" w:hAnsi="Arial"/>
          <w:sz w:val="14"/>
          <w:szCs w:val="14"/>
          <w:i w:val="1"/>
          <w:iCs w:val="1"/>
          <w:color w:val="auto"/>
        </w:rPr>
        <w:t>VelociGene</w:t>
      </w:r>
      <w:r>
        <w:rPr>
          <w:rFonts w:ascii="Arial" w:cs="Arial" w:eastAsia="Arial" w:hAnsi="Arial"/>
          <w:sz w:val="22"/>
          <w:szCs w:val="22"/>
          <w:color w:val="auto"/>
          <w:vertAlign w:val="superscript"/>
        </w:rPr>
        <w:t>®</w:t>
      </w:r>
      <w:r>
        <w:rPr>
          <w:rFonts w:ascii="Arial" w:cs="Arial" w:eastAsia="Arial" w:hAnsi="Arial"/>
          <w:sz w:val="14"/>
          <w:szCs w:val="14"/>
          <w:color w:val="auto"/>
        </w:rPr>
        <w:t xml:space="preserve"> and </w:t>
      </w:r>
      <w:r>
        <w:rPr>
          <w:rFonts w:ascii="Arial" w:cs="Arial" w:eastAsia="Arial" w:hAnsi="Arial"/>
          <w:sz w:val="14"/>
          <w:szCs w:val="14"/>
          <w:i w:val="1"/>
          <w:iCs w:val="1"/>
          <w:color w:val="auto"/>
        </w:rPr>
        <w:t>VelocImmune</w:t>
      </w:r>
      <w:r>
        <w:rPr>
          <w:rFonts w:ascii="Arial" w:cs="Arial" w:eastAsia="Arial" w:hAnsi="Arial"/>
          <w:sz w:val="22"/>
          <w:szCs w:val="22"/>
          <w:color w:val="auto"/>
          <w:vertAlign w:val="superscript"/>
        </w:rPr>
        <w:t>®</w:t>
      </w:r>
      <w:r>
        <w:rPr>
          <w:rFonts w:ascii="Arial" w:cs="Arial" w:eastAsia="Arial" w:hAnsi="Arial"/>
          <w:sz w:val="14"/>
          <w:szCs w:val="14"/>
          <w:color w:val="auto"/>
        </w:rPr>
        <w:t>, and continues to lead several technology centers and therapeutic focus areas. He received his B.S. in Molecular Biology at the University of Wisconsin, and his Ph.D. in Human Genetics from Columbia University, College of Physicians and Surgeons.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423545</wp:posOffset>
            </wp:positionV>
            <wp:extent cx="715518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38</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The Company</w:t>
            </w:r>
          </w:p>
        </w:tc>
        <w:tc>
          <w:tcPr>
            <w:tcW w:w="26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32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900" w:type="dxa"/>
            <w:vAlign w:val="bottom"/>
            <w:tcBorders>
              <w:bottom w:val="single" w:sz="8" w:color="D60058"/>
            </w:tcBorders>
            <w:vMerge w:val="continue"/>
          </w:tcPr>
          <w:p>
            <w:pPr>
              <w:spacing w:after="0"/>
              <w:rPr>
                <w:sz w:val="17"/>
                <w:szCs w:val="17"/>
                <w:color w:val="auto"/>
              </w:rPr>
            </w:pPr>
          </w:p>
        </w:tc>
        <w:tc>
          <w:tcPr>
            <w:tcW w:w="2600" w:type="dxa"/>
            <w:vAlign w:val="bottom"/>
          </w:tcPr>
          <w:p>
            <w:pPr>
              <w:ind w:left="11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221615</wp:posOffset>
            </wp:positionV>
            <wp:extent cx="715518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780" w:right="180"/>
        <w:spacing w:after="0" w:line="241" w:lineRule="auto"/>
        <w:rPr>
          <w:sz w:val="20"/>
          <w:szCs w:val="20"/>
          <w:color w:val="auto"/>
        </w:rPr>
      </w:pPr>
      <w:r>
        <w:rPr>
          <w:rFonts w:ascii="Arial" w:cs="Arial" w:eastAsia="Arial" w:hAnsi="Arial"/>
          <w:sz w:val="14"/>
          <w:szCs w:val="14"/>
          <w:b w:val="1"/>
          <w:bCs w:val="1"/>
          <w:color w:val="D60058"/>
        </w:rPr>
        <w:t xml:space="preserve">Jason Pitofsky, </w:t>
      </w:r>
      <w:r>
        <w:rPr>
          <w:rFonts w:ascii="Arial" w:cs="Arial" w:eastAsia="Arial" w:hAnsi="Arial"/>
          <w:sz w:val="14"/>
          <w:szCs w:val="14"/>
          <w:color w:val="000000"/>
        </w:rPr>
        <w:t>47, has been Vice President, Controller since February 2024. He previously served as Vice President, Accounting and Financial Reporting</w:t>
      </w:r>
      <w:r>
        <w:rPr>
          <w:rFonts w:ascii="Arial" w:cs="Arial" w:eastAsia="Arial" w:hAnsi="Arial"/>
          <w:sz w:val="14"/>
          <w:szCs w:val="14"/>
          <w:b w:val="1"/>
          <w:bCs w:val="1"/>
          <w:color w:val="D60058"/>
        </w:rPr>
        <w:t xml:space="preserve"> </w:t>
      </w:r>
      <w:r>
        <w:rPr>
          <w:rFonts w:ascii="Arial" w:cs="Arial" w:eastAsia="Arial" w:hAnsi="Arial"/>
          <w:sz w:val="14"/>
          <w:szCs w:val="14"/>
          <w:color w:val="000000"/>
        </w:rPr>
        <w:t>from January 2021 to February 2024 and as Executive Director, Accounting and Financial Reporting from January 2017 to December 2020. Between 2011 and 2017, Mr. Pitofsky held positions of increasing responsibility in the Company’s accounting department. Prior to joining the Company in 2011, he was a Senior Manager at PricewaterhouseCoopers. Mr. Pitofsky holds a B.S. in Accounting from Binghamton University and is a Certified Public Accountant in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545465</wp:posOffset>
            </wp:positionV>
            <wp:extent cx="715518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-504825</wp:posOffset>
            </wp:positionV>
            <wp:extent cx="950595" cy="950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50595" cy="95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1780" w:right="80"/>
        <w:spacing w:after="0" w:line="241" w:lineRule="auto"/>
        <w:rPr>
          <w:sz w:val="20"/>
          <w:szCs w:val="20"/>
          <w:color w:val="auto"/>
        </w:rPr>
      </w:pPr>
      <w:r>
        <w:rPr>
          <w:rFonts w:ascii="Arial" w:cs="Arial" w:eastAsia="Arial" w:hAnsi="Arial"/>
          <w:sz w:val="14"/>
          <w:szCs w:val="14"/>
          <w:b w:val="1"/>
          <w:bCs w:val="1"/>
          <w:color w:val="D60058"/>
        </w:rPr>
        <w:t xml:space="preserve">Neil Stahl, Ph.D., </w:t>
      </w:r>
      <w:r>
        <w:rPr>
          <w:rFonts w:ascii="Arial" w:cs="Arial" w:eastAsia="Arial" w:hAnsi="Arial"/>
          <w:sz w:val="14"/>
          <w:szCs w:val="14"/>
          <w:color w:val="000000"/>
        </w:rPr>
        <w:t>67, has been Executive Vice President, Research and Development since January 2015. He previously served as Senior Vice President,</w:t>
      </w:r>
      <w:r>
        <w:rPr>
          <w:rFonts w:ascii="Arial" w:cs="Arial" w:eastAsia="Arial" w:hAnsi="Arial"/>
          <w:sz w:val="14"/>
          <w:szCs w:val="14"/>
          <w:b w:val="1"/>
          <w:bCs w:val="1"/>
          <w:color w:val="D60058"/>
        </w:rPr>
        <w:t xml:space="preserve"> </w:t>
      </w:r>
      <w:r>
        <w:rPr>
          <w:rFonts w:ascii="Arial" w:cs="Arial" w:eastAsia="Arial" w:hAnsi="Arial"/>
          <w:sz w:val="14"/>
          <w:szCs w:val="14"/>
          <w:color w:val="000000"/>
        </w:rPr>
        <w:t>Research and Development Sciences from January 2007 to December 2014, as Senior Vice President, Preclinical Development and Biomolecular Sciences from December 2000 to December 2007, and as Vice President, Preclinical Development and Biomolecular Sciences from January 2000 to December 2000. He joined the Company in 1991. Before becoming Vice President, Biomolecular Sciences in 1997, Dr. Stahl was Director, Cytokines and Signal Transduction. Dr. Stahl received his Ph.D. in Biochemistry from Brandeis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538480</wp:posOffset>
            </wp:positionV>
            <wp:extent cx="715518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-504825</wp:posOffset>
            </wp:positionV>
            <wp:extent cx="950595" cy="9436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5059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780" w:right="20"/>
        <w:spacing w:after="0" w:line="238" w:lineRule="auto"/>
        <w:rPr>
          <w:sz w:val="20"/>
          <w:szCs w:val="20"/>
          <w:color w:val="auto"/>
        </w:rPr>
      </w:pPr>
      <w:r>
        <w:rPr>
          <w:rFonts w:ascii="Arial" w:cs="Arial" w:eastAsia="Arial" w:hAnsi="Arial"/>
          <w:sz w:val="14"/>
          <w:szCs w:val="14"/>
          <w:b w:val="1"/>
          <w:bCs w:val="1"/>
          <w:color w:val="D60058"/>
        </w:rPr>
        <w:t xml:space="preserve">Daniel P. Van Plew, </w:t>
      </w:r>
      <w:r>
        <w:rPr>
          <w:rFonts w:ascii="Arial" w:cs="Arial" w:eastAsia="Arial" w:hAnsi="Arial"/>
          <w:sz w:val="14"/>
          <w:szCs w:val="14"/>
          <w:color w:val="000000"/>
        </w:rPr>
        <w:t>51, has been Executive Vice President and General Manager, Industrial Operations and Product Supply since January 2016. From April</w:t>
      </w:r>
      <w:r>
        <w:rPr>
          <w:rFonts w:ascii="Arial" w:cs="Arial" w:eastAsia="Arial" w:hAnsi="Arial"/>
          <w:sz w:val="14"/>
          <w:szCs w:val="14"/>
          <w:b w:val="1"/>
          <w:bCs w:val="1"/>
          <w:color w:val="D60058"/>
        </w:rPr>
        <w:t xml:space="preserve"> </w:t>
      </w:r>
      <w:r>
        <w:rPr>
          <w:rFonts w:ascii="Arial" w:cs="Arial" w:eastAsia="Arial" w:hAnsi="Arial"/>
          <w:sz w:val="14"/>
          <w:szCs w:val="14"/>
          <w:color w:val="000000"/>
        </w:rPr>
        <w:t>2008 to December 2015, Mr. Van Plew served as Senior Vice President and General Manager, Industrial Operations and Product Supply.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r>
        <w:rPr>
          <w:rFonts w:ascii="Arial" w:cs="Arial" w:eastAsia="Arial" w:hAnsi="Arial"/>
          <w:sz w:val="14"/>
          <w:szCs w:val="14"/>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247650</wp:posOffset>
            </wp:positionV>
            <wp:extent cx="715518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-802640</wp:posOffset>
            </wp:positionV>
            <wp:extent cx="950595" cy="950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50595" cy="95059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39</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The Company</w:t>
            </w:r>
          </w:p>
        </w:tc>
        <w:tc>
          <w:tcPr>
            <w:tcW w:w="26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32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900" w:type="dxa"/>
            <w:vAlign w:val="bottom"/>
            <w:tcBorders>
              <w:bottom w:val="single" w:sz="8" w:color="D60058"/>
            </w:tcBorders>
            <w:vMerge w:val="continue"/>
          </w:tcPr>
          <w:p>
            <w:pPr>
              <w:spacing w:after="0"/>
              <w:rPr>
                <w:sz w:val="17"/>
                <w:szCs w:val="17"/>
                <w:color w:val="auto"/>
              </w:rPr>
            </w:pPr>
          </w:p>
        </w:tc>
        <w:tc>
          <w:tcPr>
            <w:tcW w:w="2600" w:type="dxa"/>
            <w:vAlign w:val="bottom"/>
          </w:tcPr>
          <w:p>
            <w:pPr>
              <w:ind w:left="11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30"/>
          <w:szCs w:val="30"/>
          <w:b w:val="1"/>
          <w:bCs w:val="1"/>
          <w:color w:val="D60058"/>
        </w:rPr>
        <w:t>Corporate Governance</w:t>
      </w:r>
    </w:p>
    <w:p>
      <w:pPr>
        <w:spacing w:after="0" w:line="267"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Overview</w:t>
      </w:r>
    </w:p>
    <w:p>
      <w:pPr>
        <w:spacing w:after="0" w:line="180" w:lineRule="exact"/>
        <w:rPr>
          <w:sz w:val="20"/>
          <w:szCs w:val="20"/>
          <w:color w:val="auto"/>
        </w:rPr>
      </w:pPr>
    </w:p>
    <w:p>
      <w:pPr>
        <w:ind w:right="340"/>
        <w:spacing w:after="0" w:line="257" w:lineRule="auto"/>
        <w:rPr>
          <w:sz w:val="20"/>
          <w:szCs w:val="20"/>
          <w:color w:val="auto"/>
        </w:rPr>
      </w:pPr>
      <w:r>
        <w:rPr>
          <w:rFonts w:ascii="Arial" w:cs="Arial" w:eastAsia="Arial" w:hAnsi="Arial"/>
          <w:sz w:val="14"/>
          <w:szCs w:val="14"/>
          <w:color w:val="auto"/>
        </w:rPr>
        <w:t>Regeneron is committed to good corporate governance, which we believe promotes the long-term interests of shareholders, strengthens the accountability of the board of directors and management, and helps build trust in the Company. The following chart summarizes key information regarding our corporate governance.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tcBorders>
              <w:bottom w:val="single" w:sz="8" w:color="215AA8"/>
            </w:tcBorders>
          </w:tcPr>
          <w:p>
            <w:pPr>
              <w:ind w:left="40"/>
              <w:spacing w:after="0"/>
              <w:rPr>
                <w:sz w:val="20"/>
                <w:szCs w:val="20"/>
                <w:color w:val="auto"/>
              </w:rPr>
            </w:pPr>
            <w:r>
              <w:rPr>
                <w:rFonts w:ascii="Arial" w:cs="Arial" w:eastAsia="Arial" w:hAnsi="Arial"/>
                <w:sz w:val="14"/>
                <w:szCs w:val="14"/>
                <w:b w:val="1"/>
                <w:bCs w:val="1"/>
                <w:color w:val="215AA8"/>
              </w:rPr>
              <w:t>Board and Other Governance Information</w:t>
            </w:r>
          </w:p>
        </w:tc>
        <w:tc>
          <w:tcPr>
            <w:tcW w:w="3580" w:type="dxa"/>
            <w:vAlign w:val="bottom"/>
            <w:tcBorders>
              <w:bottom w:val="single" w:sz="8" w:color="215AA8"/>
            </w:tcBorders>
          </w:tcPr>
          <w:p>
            <w:pPr>
              <w:jc w:val="right"/>
              <w:spacing w:after="0"/>
              <w:rPr>
                <w:sz w:val="20"/>
                <w:szCs w:val="20"/>
                <w:color w:val="auto"/>
              </w:rPr>
            </w:pPr>
            <w:r>
              <w:rPr>
                <w:rFonts w:ascii="Arial" w:cs="Arial" w:eastAsia="Arial" w:hAnsi="Arial"/>
                <w:sz w:val="14"/>
                <w:szCs w:val="14"/>
                <w:b w:val="1"/>
                <w:bCs w:val="1"/>
                <w:color w:val="215AA8"/>
              </w:rPr>
              <w:t>2024*</w:t>
            </w:r>
          </w:p>
        </w:tc>
      </w:tr>
      <w:tr>
        <w:trPr>
          <w:trHeight w:val="211"/>
        </w:trPr>
        <w:tc>
          <w:tcPr>
            <w:tcW w:w="7680" w:type="dxa"/>
            <w:vAlign w:val="bottom"/>
          </w:tcPr>
          <w:p>
            <w:pPr>
              <w:ind w:left="40"/>
              <w:spacing w:after="0"/>
              <w:rPr>
                <w:sz w:val="20"/>
                <w:szCs w:val="20"/>
                <w:color w:val="auto"/>
              </w:rPr>
            </w:pPr>
            <w:r>
              <w:rPr>
                <w:rFonts w:ascii="Arial" w:cs="Arial" w:eastAsia="Arial" w:hAnsi="Arial"/>
                <w:sz w:val="14"/>
                <w:szCs w:val="14"/>
                <w:color w:val="auto"/>
              </w:rPr>
              <w:t>Size of Board</w:t>
            </w:r>
          </w:p>
        </w:tc>
        <w:tc>
          <w:tcPr>
            <w:tcW w:w="35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37"/>
        </w:trPr>
        <w:tc>
          <w:tcPr>
            <w:tcW w:w="7680" w:type="dxa"/>
            <w:vAlign w:val="bottom"/>
            <w:tcBorders>
              <w:bottom w:val="single" w:sz="8" w:color="949599"/>
            </w:tcBorders>
          </w:tcPr>
          <w:p>
            <w:pPr>
              <w:spacing w:after="0"/>
              <w:rPr>
                <w:sz w:val="3"/>
                <w:szCs w:val="3"/>
                <w:color w:val="auto"/>
              </w:rPr>
            </w:pPr>
          </w:p>
        </w:tc>
        <w:tc>
          <w:tcPr>
            <w:tcW w:w="3580" w:type="dxa"/>
            <w:vAlign w:val="bottom"/>
            <w:tcBorders>
              <w:bottom w:val="single" w:sz="8" w:color="949599"/>
            </w:tcBorders>
          </w:tcPr>
          <w:p>
            <w:pPr>
              <w:spacing w:after="0"/>
              <w:rPr>
                <w:sz w:val="3"/>
                <w:szCs w:val="3"/>
                <w:color w:val="auto"/>
              </w:rPr>
            </w:pPr>
          </w:p>
        </w:tc>
      </w:tr>
      <w:tr>
        <w:trPr>
          <w:trHeight w:val="244"/>
        </w:trPr>
        <w:tc>
          <w:tcPr>
            <w:tcW w:w="7680" w:type="dxa"/>
            <w:vAlign w:val="bottom"/>
            <w:tcBorders>
              <w:bottom w:val="single" w:sz="8" w:color="E8ECF5"/>
            </w:tcBorders>
            <w:shd w:val="clear" w:color="auto" w:fill="E8ECF5"/>
          </w:tcPr>
          <w:p>
            <w:pPr>
              <w:ind w:left="40"/>
              <w:spacing w:after="0"/>
              <w:rPr>
                <w:sz w:val="20"/>
                <w:szCs w:val="20"/>
                <w:color w:val="auto"/>
              </w:rPr>
            </w:pPr>
            <w:r>
              <w:rPr>
                <w:rFonts w:ascii="Arial" w:cs="Arial" w:eastAsia="Arial" w:hAnsi="Arial"/>
                <w:sz w:val="14"/>
                <w:szCs w:val="14"/>
                <w:color w:val="auto"/>
              </w:rPr>
              <w:t>Number of Independent Directors</w:t>
            </w:r>
          </w:p>
        </w:tc>
        <w:tc>
          <w:tcPr>
            <w:tcW w:w="3580" w:type="dxa"/>
            <w:vAlign w:val="bottom"/>
            <w:tcBorders>
              <w:bottom w:val="single" w:sz="8" w:color="E8ECF5"/>
            </w:tcBorders>
            <w:shd w:val="clear" w:color="auto" w:fill="E8ECF5"/>
          </w:tcPr>
          <w:p>
            <w:pPr>
              <w:jc w:val="right"/>
              <w:spacing w:after="0"/>
              <w:rPr>
                <w:sz w:val="20"/>
                <w:szCs w:val="20"/>
                <w:color w:val="auto"/>
              </w:rPr>
            </w:pPr>
            <w:r>
              <w:rPr>
                <w:rFonts w:ascii="Arial" w:cs="Arial" w:eastAsia="Arial" w:hAnsi="Arial"/>
                <w:sz w:val="14"/>
                <w:szCs w:val="14"/>
                <w:color w:val="auto"/>
              </w:rPr>
              <w:t>10</w:t>
            </w:r>
          </w:p>
        </w:tc>
      </w:tr>
      <w:tr>
        <w:trPr>
          <w:trHeight w:val="202"/>
        </w:trPr>
        <w:tc>
          <w:tcPr>
            <w:tcW w:w="7680" w:type="dxa"/>
            <w:vAlign w:val="bottom"/>
            <w:tcBorders>
              <w:top w:val="single" w:sz="8" w:color="949599"/>
            </w:tcBorders>
          </w:tcPr>
          <w:p>
            <w:pPr>
              <w:ind w:left="40"/>
              <w:spacing w:after="0"/>
              <w:rPr>
                <w:sz w:val="20"/>
                <w:szCs w:val="20"/>
                <w:color w:val="auto"/>
              </w:rPr>
            </w:pPr>
            <w:r>
              <w:rPr>
                <w:rFonts w:ascii="Arial" w:cs="Arial" w:eastAsia="Arial" w:hAnsi="Arial"/>
                <w:sz w:val="14"/>
                <w:szCs w:val="14"/>
                <w:color w:val="auto"/>
              </w:rPr>
              <w:t>Number of Female Directors</w:t>
            </w:r>
          </w:p>
        </w:tc>
        <w:tc>
          <w:tcPr>
            <w:tcW w:w="3580" w:type="dxa"/>
            <w:vAlign w:val="bottom"/>
            <w:tcBorders>
              <w:top w:val="single" w:sz="8" w:color="949599"/>
            </w:tcBorders>
          </w:tcPr>
          <w:p>
            <w:pPr>
              <w:jc w:val="right"/>
              <w:spacing w:after="0"/>
              <w:rPr>
                <w:sz w:val="20"/>
                <w:szCs w:val="20"/>
                <w:color w:val="auto"/>
              </w:rPr>
            </w:pPr>
            <w:r>
              <w:rPr>
                <w:rFonts w:ascii="Arial" w:cs="Arial" w:eastAsia="Arial" w:hAnsi="Arial"/>
                <w:sz w:val="14"/>
                <w:szCs w:val="14"/>
                <w:color w:val="auto"/>
              </w:rPr>
              <w:t>4</w:t>
            </w:r>
          </w:p>
        </w:tc>
      </w:tr>
      <w:tr>
        <w:trPr>
          <w:trHeight w:val="37"/>
        </w:trPr>
        <w:tc>
          <w:tcPr>
            <w:tcW w:w="7680" w:type="dxa"/>
            <w:vAlign w:val="bottom"/>
            <w:tcBorders>
              <w:bottom w:val="single" w:sz="8" w:color="949599"/>
            </w:tcBorders>
          </w:tcPr>
          <w:p>
            <w:pPr>
              <w:spacing w:after="0"/>
              <w:rPr>
                <w:sz w:val="3"/>
                <w:szCs w:val="3"/>
                <w:color w:val="auto"/>
              </w:rPr>
            </w:pPr>
          </w:p>
        </w:tc>
        <w:tc>
          <w:tcPr>
            <w:tcW w:w="3580" w:type="dxa"/>
            <w:vAlign w:val="bottom"/>
            <w:tcBorders>
              <w:bottom w:val="single" w:sz="8" w:color="949599"/>
            </w:tcBorders>
          </w:tcPr>
          <w:p>
            <w:pPr>
              <w:spacing w:after="0"/>
              <w:rPr>
                <w:sz w:val="3"/>
                <w:szCs w:val="3"/>
                <w:color w:val="auto"/>
              </w:rPr>
            </w:pPr>
          </w:p>
        </w:tc>
      </w:tr>
      <w:tr>
        <w:trPr>
          <w:trHeight w:val="244"/>
        </w:trPr>
        <w:tc>
          <w:tcPr>
            <w:tcW w:w="7680" w:type="dxa"/>
            <w:vAlign w:val="bottom"/>
            <w:tcBorders>
              <w:bottom w:val="single" w:sz="8" w:color="E8ECF5"/>
            </w:tcBorders>
            <w:shd w:val="clear" w:color="auto" w:fill="E8ECF5"/>
          </w:tcPr>
          <w:p>
            <w:pPr>
              <w:ind w:left="40"/>
              <w:spacing w:after="0"/>
              <w:rPr>
                <w:sz w:val="20"/>
                <w:szCs w:val="20"/>
                <w:color w:val="auto"/>
              </w:rPr>
            </w:pPr>
            <w:r>
              <w:rPr>
                <w:rFonts w:ascii="Arial" w:cs="Arial" w:eastAsia="Arial" w:hAnsi="Arial"/>
                <w:sz w:val="14"/>
                <w:szCs w:val="14"/>
                <w:color w:val="auto"/>
              </w:rPr>
              <w:t>Number of Directors Diverse by Race or Ethnicity</w:t>
            </w:r>
          </w:p>
        </w:tc>
        <w:tc>
          <w:tcPr>
            <w:tcW w:w="3580" w:type="dxa"/>
            <w:vAlign w:val="bottom"/>
            <w:tcBorders>
              <w:bottom w:val="single" w:sz="8" w:color="E8ECF5"/>
            </w:tcBorders>
            <w:shd w:val="clear" w:color="auto" w:fill="E8ECF5"/>
          </w:tcPr>
          <w:p>
            <w:pPr>
              <w:jc w:val="right"/>
              <w:spacing w:after="0"/>
              <w:rPr>
                <w:sz w:val="20"/>
                <w:szCs w:val="20"/>
                <w:color w:val="auto"/>
              </w:rPr>
            </w:pPr>
            <w:r>
              <w:rPr>
                <w:rFonts w:ascii="Arial" w:cs="Arial" w:eastAsia="Arial" w:hAnsi="Arial"/>
                <w:sz w:val="14"/>
                <w:szCs w:val="14"/>
                <w:color w:val="auto"/>
              </w:rPr>
              <w:t>4</w:t>
            </w:r>
          </w:p>
        </w:tc>
      </w:tr>
      <w:tr>
        <w:trPr>
          <w:trHeight w:val="202"/>
        </w:trPr>
        <w:tc>
          <w:tcPr>
            <w:tcW w:w="7680" w:type="dxa"/>
            <w:vAlign w:val="bottom"/>
            <w:tcBorders>
              <w:top w:val="single" w:sz="8" w:color="949599"/>
            </w:tcBorders>
          </w:tcPr>
          <w:p>
            <w:pPr>
              <w:ind w:left="40"/>
              <w:spacing w:after="0"/>
              <w:rPr>
                <w:sz w:val="20"/>
                <w:szCs w:val="20"/>
                <w:color w:val="auto"/>
              </w:rPr>
            </w:pPr>
            <w:r>
              <w:rPr>
                <w:rFonts w:ascii="Arial" w:cs="Arial" w:eastAsia="Arial" w:hAnsi="Arial"/>
                <w:sz w:val="14"/>
                <w:szCs w:val="14"/>
                <w:color w:val="auto"/>
              </w:rPr>
              <w:t>Lead Independent Director</w:t>
            </w:r>
          </w:p>
        </w:tc>
        <w:tc>
          <w:tcPr>
            <w:tcW w:w="3580" w:type="dxa"/>
            <w:vAlign w:val="bottom"/>
            <w:tcBorders>
              <w:top w:val="single" w:sz="8" w:color="949599"/>
            </w:tcBorders>
          </w:tcPr>
          <w:p>
            <w:pPr>
              <w:spacing w:after="0"/>
              <w:rPr>
                <w:sz w:val="17"/>
                <w:szCs w:val="17"/>
                <w:color w:val="auto"/>
              </w:rPr>
            </w:pPr>
          </w:p>
        </w:tc>
      </w:tr>
      <w:tr>
        <w:trPr>
          <w:trHeight w:val="37"/>
        </w:trPr>
        <w:tc>
          <w:tcPr>
            <w:tcW w:w="7680" w:type="dxa"/>
            <w:vAlign w:val="bottom"/>
            <w:tcBorders>
              <w:bottom w:val="single" w:sz="8" w:color="949599"/>
            </w:tcBorders>
          </w:tcPr>
          <w:p>
            <w:pPr>
              <w:spacing w:after="0"/>
              <w:rPr>
                <w:sz w:val="3"/>
                <w:szCs w:val="3"/>
                <w:color w:val="auto"/>
              </w:rPr>
            </w:pPr>
          </w:p>
        </w:tc>
        <w:tc>
          <w:tcPr>
            <w:tcW w:w="3580" w:type="dxa"/>
            <w:vAlign w:val="bottom"/>
            <w:tcBorders>
              <w:bottom w:val="single" w:sz="8" w:color="949599"/>
            </w:tcBorders>
          </w:tcPr>
          <w:p>
            <w:pPr>
              <w:spacing w:after="0"/>
              <w:rPr>
                <w:sz w:val="3"/>
                <w:szCs w:val="3"/>
                <w:color w:val="auto"/>
              </w:rPr>
            </w:pPr>
          </w:p>
        </w:tc>
      </w:tr>
      <w:tr>
        <w:trPr>
          <w:trHeight w:val="244"/>
        </w:trPr>
        <w:tc>
          <w:tcPr>
            <w:tcW w:w="7680" w:type="dxa"/>
            <w:vAlign w:val="bottom"/>
            <w:tcBorders>
              <w:bottom w:val="single" w:sz="8" w:color="E8ECF5"/>
            </w:tcBorders>
            <w:shd w:val="clear" w:color="auto" w:fill="E8ECF5"/>
          </w:tcPr>
          <w:p>
            <w:pPr>
              <w:ind w:left="40"/>
              <w:spacing w:after="0"/>
              <w:rPr>
                <w:sz w:val="20"/>
                <w:szCs w:val="20"/>
                <w:color w:val="auto"/>
              </w:rPr>
            </w:pPr>
            <w:r>
              <w:rPr>
                <w:rFonts w:ascii="Arial" w:cs="Arial" w:eastAsia="Arial" w:hAnsi="Arial"/>
                <w:sz w:val="14"/>
                <w:szCs w:val="14"/>
                <w:color w:val="auto"/>
              </w:rPr>
              <w:t>Majority Voting in the Election of Directors</w:t>
            </w:r>
          </w:p>
        </w:tc>
        <w:tc>
          <w:tcPr>
            <w:tcW w:w="3580" w:type="dxa"/>
            <w:vAlign w:val="bottom"/>
            <w:tcBorders>
              <w:bottom w:val="single" w:sz="8" w:color="E8ECF5"/>
            </w:tcBorders>
            <w:shd w:val="clear" w:color="auto" w:fill="E8ECF5"/>
          </w:tcPr>
          <w:p>
            <w:pPr>
              <w:spacing w:after="0"/>
              <w:rPr>
                <w:sz w:val="20"/>
                <w:szCs w:val="20"/>
                <w:color w:val="auto"/>
              </w:rPr>
            </w:pPr>
          </w:p>
        </w:tc>
      </w:tr>
      <w:tr>
        <w:trPr>
          <w:trHeight w:val="202"/>
        </w:trPr>
        <w:tc>
          <w:tcPr>
            <w:tcW w:w="7680" w:type="dxa"/>
            <w:vAlign w:val="bottom"/>
            <w:tcBorders>
              <w:top w:val="single" w:sz="8" w:color="949599"/>
            </w:tcBorders>
          </w:tcPr>
          <w:p>
            <w:pPr>
              <w:ind w:left="40"/>
              <w:spacing w:after="0"/>
              <w:rPr>
                <w:sz w:val="20"/>
                <w:szCs w:val="20"/>
                <w:color w:val="auto"/>
              </w:rPr>
            </w:pPr>
            <w:r>
              <w:rPr>
                <w:rFonts w:ascii="Arial" w:cs="Arial" w:eastAsia="Arial" w:hAnsi="Arial"/>
                <w:sz w:val="14"/>
                <w:szCs w:val="14"/>
                <w:color w:val="auto"/>
              </w:rPr>
              <w:t>Director Resignation Policy</w:t>
            </w:r>
          </w:p>
        </w:tc>
        <w:tc>
          <w:tcPr>
            <w:tcW w:w="3580" w:type="dxa"/>
            <w:vAlign w:val="bottom"/>
            <w:tcBorders>
              <w:top w:val="single" w:sz="8" w:color="949599"/>
            </w:tcBorders>
          </w:tcPr>
          <w:p>
            <w:pPr>
              <w:spacing w:after="0"/>
              <w:rPr>
                <w:sz w:val="17"/>
                <w:szCs w:val="17"/>
                <w:color w:val="auto"/>
              </w:rPr>
            </w:pPr>
          </w:p>
        </w:tc>
      </w:tr>
      <w:tr>
        <w:trPr>
          <w:trHeight w:val="37"/>
        </w:trPr>
        <w:tc>
          <w:tcPr>
            <w:tcW w:w="7680" w:type="dxa"/>
            <w:vAlign w:val="bottom"/>
            <w:tcBorders>
              <w:bottom w:val="single" w:sz="8" w:color="949599"/>
            </w:tcBorders>
          </w:tcPr>
          <w:p>
            <w:pPr>
              <w:spacing w:after="0"/>
              <w:rPr>
                <w:sz w:val="3"/>
                <w:szCs w:val="3"/>
                <w:color w:val="auto"/>
              </w:rPr>
            </w:pPr>
          </w:p>
        </w:tc>
        <w:tc>
          <w:tcPr>
            <w:tcW w:w="3580" w:type="dxa"/>
            <w:vAlign w:val="bottom"/>
            <w:tcBorders>
              <w:bottom w:val="single" w:sz="8" w:color="949599"/>
            </w:tcBorders>
          </w:tcPr>
          <w:p>
            <w:pPr>
              <w:spacing w:after="0"/>
              <w:rPr>
                <w:sz w:val="3"/>
                <w:szCs w:val="3"/>
                <w:color w:val="auto"/>
              </w:rPr>
            </w:pPr>
          </w:p>
        </w:tc>
      </w:tr>
      <w:tr>
        <w:trPr>
          <w:trHeight w:val="244"/>
        </w:trPr>
        <w:tc>
          <w:tcPr>
            <w:tcW w:w="7680" w:type="dxa"/>
            <w:vAlign w:val="bottom"/>
            <w:tcBorders>
              <w:bottom w:val="single" w:sz="8" w:color="E8ECF5"/>
            </w:tcBorders>
            <w:shd w:val="clear" w:color="auto" w:fill="E8ECF5"/>
          </w:tcPr>
          <w:p>
            <w:pPr>
              <w:ind w:left="40"/>
              <w:spacing w:after="0"/>
              <w:rPr>
                <w:sz w:val="20"/>
                <w:szCs w:val="20"/>
                <w:color w:val="auto"/>
              </w:rPr>
            </w:pPr>
            <w:r>
              <w:rPr>
                <w:rFonts w:ascii="Arial" w:cs="Arial" w:eastAsia="Arial" w:hAnsi="Arial"/>
                <w:sz w:val="14"/>
                <w:szCs w:val="14"/>
                <w:color w:val="auto"/>
              </w:rPr>
              <w:t>Director Time Commitment Policy</w:t>
            </w:r>
          </w:p>
        </w:tc>
        <w:tc>
          <w:tcPr>
            <w:tcW w:w="3580" w:type="dxa"/>
            <w:vAlign w:val="bottom"/>
            <w:tcBorders>
              <w:bottom w:val="single" w:sz="8" w:color="E8ECF5"/>
            </w:tcBorders>
            <w:shd w:val="clear" w:color="auto" w:fill="E8ECF5"/>
          </w:tcPr>
          <w:p>
            <w:pPr>
              <w:spacing w:after="0"/>
              <w:rPr>
                <w:sz w:val="20"/>
                <w:szCs w:val="20"/>
                <w:color w:val="auto"/>
              </w:rPr>
            </w:pPr>
          </w:p>
        </w:tc>
      </w:tr>
      <w:tr>
        <w:trPr>
          <w:trHeight w:val="202"/>
        </w:trPr>
        <w:tc>
          <w:tcPr>
            <w:tcW w:w="7680" w:type="dxa"/>
            <w:vAlign w:val="bottom"/>
            <w:tcBorders>
              <w:top w:val="single" w:sz="8" w:color="949599"/>
            </w:tcBorders>
          </w:tcPr>
          <w:p>
            <w:pPr>
              <w:ind w:left="40"/>
              <w:spacing w:after="0"/>
              <w:rPr>
                <w:sz w:val="20"/>
                <w:szCs w:val="20"/>
                <w:color w:val="auto"/>
              </w:rPr>
            </w:pPr>
            <w:r>
              <w:rPr>
                <w:rFonts w:ascii="Arial" w:cs="Arial" w:eastAsia="Arial" w:hAnsi="Arial"/>
                <w:sz w:val="14"/>
                <w:szCs w:val="14"/>
                <w:color w:val="auto"/>
              </w:rPr>
              <w:t>Number of Meetings of the Board of Directors Held in 2023</w:t>
            </w:r>
          </w:p>
        </w:tc>
        <w:tc>
          <w:tcPr>
            <w:tcW w:w="3580" w:type="dxa"/>
            <w:vAlign w:val="bottom"/>
            <w:tcBorders>
              <w:top w:val="single" w:sz="8" w:color="949599"/>
            </w:tcBorders>
          </w:tcPr>
          <w:p>
            <w:pPr>
              <w:jc w:val="right"/>
              <w:spacing w:after="0"/>
              <w:rPr>
                <w:sz w:val="20"/>
                <w:szCs w:val="20"/>
                <w:color w:val="auto"/>
              </w:rPr>
            </w:pPr>
            <w:r>
              <w:rPr>
                <w:rFonts w:ascii="Arial" w:cs="Arial" w:eastAsia="Arial" w:hAnsi="Arial"/>
                <w:sz w:val="14"/>
                <w:szCs w:val="14"/>
                <w:color w:val="auto"/>
              </w:rPr>
              <w:t>6</w:t>
            </w:r>
          </w:p>
        </w:tc>
      </w:tr>
      <w:tr>
        <w:trPr>
          <w:trHeight w:val="37"/>
        </w:trPr>
        <w:tc>
          <w:tcPr>
            <w:tcW w:w="7680" w:type="dxa"/>
            <w:vAlign w:val="bottom"/>
            <w:tcBorders>
              <w:bottom w:val="single" w:sz="8" w:color="949599"/>
            </w:tcBorders>
          </w:tcPr>
          <w:p>
            <w:pPr>
              <w:spacing w:after="0"/>
              <w:rPr>
                <w:sz w:val="3"/>
                <w:szCs w:val="3"/>
                <w:color w:val="auto"/>
              </w:rPr>
            </w:pPr>
          </w:p>
        </w:tc>
        <w:tc>
          <w:tcPr>
            <w:tcW w:w="3580" w:type="dxa"/>
            <w:vAlign w:val="bottom"/>
            <w:tcBorders>
              <w:bottom w:val="single" w:sz="8" w:color="949599"/>
            </w:tcBorders>
          </w:tcPr>
          <w:p>
            <w:pPr>
              <w:spacing w:after="0"/>
              <w:rPr>
                <w:sz w:val="3"/>
                <w:szCs w:val="3"/>
                <w:color w:val="auto"/>
              </w:rPr>
            </w:pPr>
          </w:p>
        </w:tc>
      </w:tr>
      <w:tr>
        <w:trPr>
          <w:trHeight w:val="219"/>
        </w:trPr>
        <w:tc>
          <w:tcPr>
            <w:tcW w:w="7680" w:type="dxa"/>
            <w:vAlign w:val="bottom"/>
            <w:tcBorders>
              <w:bottom w:val="single" w:sz="8" w:color="E8ECF5"/>
            </w:tcBorders>
            <w:shd w:val="clear" w:color="auto" w:fill="E8ECF5"/>
          </w:tcPr>
          <w:p>
            <w:pPr>
              <w:ind w:left="40"/>
              <w:spacing w:after="0"/>
              <w:rPr>
                <w:sz w:val="20"/>
                <w:szCs w:val="20"/>
                <w:color w:val="auto"/>
              </w:rPr>
            </w:pPr>
            <w:r>
              <w:rPr>
                <w:rFonts w:ascii="Arial" w:cs="Arial" w:eastAsia="Arial" w:hAnsi="Arial"/>
                <w:sz w:val="14"/>
                <w:szCs w:val="14"/>
                <w:color w:val="auto"/>
              </w:rPr>
              <w:t>Executive Sessions of Independent Directors without Management Present</w:t>
            </w:r>
          </w:p>
        </w:tc>
        <w:tc>
          <w:tcPr>
            <w:tcW w:w="3580" w:type="dxa"/>
            <w:vAlign w:val="bottom"/>
            <w:tcBorders>
              <w:bottom w:val="single" w:sz="8" w:color="E8ECF5"/>
            </w:tcBorders>
            <w:shd w:val="clear" w:color="auto" w:fill="E8ECF5"/>
          </w:tcPr>
          <w:p>
            <w:pPr>
              <w:spacing w:after="0"/>
              <w:rPr>
                <w:sz w:val="19"/>
                <w:szCs w:val="19"/>
                <w:color w:val="auto"/>
              </w:rPr>
            </w:pPr>
          </w:p>
        </w:tc>
      </w:tr>
      <w:tr>
        <w:trPr>
          <w:trHeight w:val="20"/>
        </w:trPr>
        <w:tc>
          <w:tcPr>
            <w:tcW w:w="7680" w:type="dxa"/>
            <w:vAlign w:val="bottom"/>
            <w:shd w:val="clear" w:color="auto" w:fill="949599"/>
          </w:tcPr>
          <w:p>
            <w:pPr>
              <w:spacing w:after="0" w:line="20" w:lineRule="exact"/>
              <w:rPr>
                <w:sz w:val="1"/>
                <w:szCs w:val="1"/>
                <w:color w:val="auto"/>
              </w:rPr>
            </w:pPr>
          </w:p>
        </w:tc>
        <w:tc>
          <w:tcPr>
            <w:tcW w:w="3580" w:type="dxa"/>
            <w:vAlign w:val="bottom"/>
            <w:shd w:val="clear" w:color="auto" w:fill="94959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7048500</wp:posOffset>
            </wp:positionH>
            <wp:positionV relativeFrom="paragraph">
              <wp:posOffset>-942975</wp:posOffset>
            </wp:positionV>
            <wp:extent cx="71755" cy="641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55" cy="64135"/>
                    </a:xfrm>
                    <a:prstGeom prst="rect">
                      <a:avLst/>
                    </a:prstGeom>
                    <a:noFill/>
                  </pic:spPr>
                </pic:pic>
              </a:graphicData>
            </a:graphic>
          </wp:anchor>
        </w:drawing>
        <w:drawing>
          <wp:anchor simplePos="0" relativeHeight="251657728" behindDoc="1" locked="0" layoutInCell="0" allowOverlap="1">
            <wp:simplePos x="0" y="0"/>
            <wp:positionH relativeFrom="column">
              <wp:posOffset>7048500</wp:posOffset>
            </wp:positionH>
            <wp:positionV relativeFrom="paragraph">
              <wp:posOffset>-778510</wp:posOffset>
            </wp:positionV>
            <wp:extent cx="71755" cy="641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55" cy="64135"/>
                    </a:xfrm>
                    <a:prstGeom prst="rect">
                      <a:avLst/>
                    </a:prstGeom>
                    <a:noFill/>
                  </pic:spPr>
                </pic:pic>
              </a:graphicData>
            </a:graphic>
          </wp:anchor>
        </w:drawing>
        <w:drawing>
          <wp:anchor simplePos="0" relativeHeight="251657728" behindDoc="1" locked="0" layoutInCell="0" allowOverlap="1">
            <wp:simplePos x="0" y="0"/>
            <wp:positionH relativeFrom="column">
              <wp:posOffset>7048500</wp:posOffset>
            </wp:positionH>
            <wp:positionV relativeFrom="paragraph">
              <wp:posOffset>-614045</wp:posOffset>
            </wp:positionV>
            <wp:extent cx="71755" cy="641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55" cy="64135"/>
                    </a:xfrm>
                    <a:prstGeom prst="rect">
                      <a:avLst/>
                    </a:prstGeom>
                    <a:noFill/>
                  </pic:spPr>
                </pic:pic>
              </a:graphicData>
            </a:graphic>
          </wp:anchor>
        </w:drawing>
        <w:drawing>
          <wp:anchor simplePos="0" relativeHeight="251657728" behindDoc="1" locked="0" layoutInCell="0" allowOverlap="1">
            <wp:simplePos x="0" y="0"/>
            <wp:positionH relativeFrom="column">
              <wp:posOffset>7048500</wp:posOffset>
            </wp:positionH>
            <wp:positionV relativeFrom="paragraph">
              <wp:posOffset>-449580</wp:posOffset>
            </wp:positionV>
            <wp:extent cx="71755" cy="641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55" cy="64135"/>
                    </a:xfrm>
                    <a:prstGeom prst="rect">
                      <a:avLst/>
                    </a:prstGeom>
                    <a:noFill/>
                  </pic:spPr>
                </pic:pic>
              </a:graphicData>
            </a:graphic>
          </wp:anchor>
        </w:drawing>
        <w:drawing>
          <wp:anchor simplePos="0" relativeHeight="251657728" behindDoc="1" locked="0" layoutInCell="0" allowOverlap="1">
            <wp:simplePos x="0" y="0"/>
            <wp:positionH relativeFrom="column">
              <wp:posOffset>7048500</wp:posOffset>
            </wp:positionH>
            <wp:positionV relativeFrom="paragraph">
              <wp:posOffset>-120650</wp:posOffset>
            </wp:positionV>
            <wp:extent cx="71755" cy="641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55" cy="6413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Code of Business Conduct and Ethics Applicable to All Employees,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7048500</wp:posOffset>
            </wp:positionH>
            <wp:positionV relativeFrom="paragraph">
              <wp:posOffset>-80645</wp:posOffset>
            </wp:positionV>
            <wp:extent cx="71755" cy="641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55" cy="641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33020</wp:posOffset>
            </wp:positionV>
            <wp:extent cx="7155180" cy="164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5180" cy="164465"/>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Annual Board and Committee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15518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Ownership Guidelines for Directors and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7048500</wp:posOffset>
            </wp:positionH>
            <wp:positionV relativeFrom="paragraph">
              <wp:posOffset>-80645</wp:posOffset>
            </wp:positionV>
            <wp:extent cx="71755" cy="641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55" cy="641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33020</wp:posOffset>
            </wp:positionV>
            <wp:extent cx="7155180" cy="164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5180" cy="164465"/>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Annual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15518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Active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7048500</wp:posOffset>
            </wp:positionH>
            <wp:positionV relativeFrom="paragraph">
              <wp:posOffset>-80645</wp:posOffset>
            </wp:positionV>
            <wp:extent cx="71755" cy="641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55" cy="641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33020</wp:posOffset>
            </wp:positionV>
            <wp:extent cx="7155180" cy="1784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5180" cy="178435"/>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Shareholder Right to Call Special Shareholder Meeting</w:t>
      </w:r>
    </w:p>
    <w:p>
      <w:pPr>
        <w:spacing w:after="0" w:line="112" w:lineRule="exact"/>
        <w:rPr>
          <w:sz w:val="20"/>
          <w:szCs w:val="20"/>
          <w:color w:val="auto"/>
        </w:rPr>
      </w:pPr>
    </w:p>
    <w:p>
      <w:pPr>
        <w:spacing w:after="0"/>
        <w:tabs>
          <w:tab w:leader="none" w:pos="12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As of April 16, 2024.</w:t>
      </w:r>
    </w:p>
    <w:p>
      <w:pPr>
        <w:spacing w:after="0" w:line="152" w:lineRule="exact"/>
        <w:rPr>
          <w:sz w:val="20"/>
          <w:szCs w:val="20"/>
          <w:color w:val="auto"/>
        </w:rPr>
      </w:pPr>
    </w:p>
    <w:p>
      <w:pPr>
        <w:ind w:right="660"/>
        <w:spacing w:after="0" w:line="340" w:lineRule="auto"/>
        <w:rPr>
          <w:sz w:val="20"/>
          <w:szCs w:val="20"/>
          <w:color w:val="auto"/>
        </w:rPr>
      </w:pPr>
      <w:r>
        <w:rPr>
          <w:rFonts w:ascii="Arial" w:cs="Arial" w:eastAsia="Arial" w:hAnsi="Arial"/>
          <w:sz w:val="12"/>
          <w:szCs w:val="12"/>
          <w:color w:val="auto"/>
        </w:rPr>
        <w:t>Our corporate governance has been enhanced based on shareholder feedback over the last decade, including by adopting the corporate governance practices shown below. See “Compensation Discussion and Analysis – Compensation Processes – Shareholder Input and Outreach and the 2023 Say-on-Pay Vote Result”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58420</wp:posOffset>
            </wp:positionV>
            <wp:extent cx="4288790" cy="15436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28879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40</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The Company</w:t>
            </w:r>
          </w:p>
        </w:tc>
        <w:tc>
          <w:tcPr>
            <w:tcW w:w="26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32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900" w:type="dxa"/>
            <w:vAlign w:val="bottom"/>
            <w:tcBorders>
              <w:bottom w:val="single" w:sz="8" w:color="D60058"/>
            </w:tcBorders>
            <w:vMerge w:val="continue"/>
          </w:tcPr>
          <w:p>
            <w:pPr>
              <w:spacing w:after="0"/>
              <w:rPr>
                <w:sz w:val="17"/>
                <w:szCs w:val="17"/>
                <w:color w:val="auto"/>
              </w:rPr>
            </w:pPr>
          </w:p>
        </w:tc>
        <w:tc>
          <w:tcPr>
            <w:tcW w:w="2600" w:type="dxa"/>
            <w:vAlign w:val="bottom"/>
          </w:tcPr>
          <w:p>
            <w:pPr>
              <w:ind w:left="11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Capital Structure</w:t>
      </w:r>
    </w:p>
    <w:p>
      <w:pPr>
        <w:spacing w:after="0" w:line="180" w:lineRule="exact"/>
        <w:rPr>
          <w:sz w:val="20"/>
          <w:szCs w:val="20"/>
          <w:color w:val="auto"/>
        </w:rPr>
      </w:pPr>
    </w:p>
    <w:p>
      <w:pPr>
        <w:ind w:right="280"/>
        <w:spacing w:after="0" w:line="246" w:lineRule="auto"/>
        <w:rPr>
          <w:sz w:val="20"/>
          <w:szCs w:val="20"/>
          <w:color w:val="auto"/>
        </w:rPr>
      </w:pPr>
      <w:r>
        <w:rPr>
          <w:rFonts w:ascii="Arial" w:cs="Arial" w:eastAsia="Arial" w:hAnsi="Arial"/>
          <w:sz w:val="14"/>
          <w:szCs w:val="14"/>
          <w:color w:val="auto"/>
        </w:rPr>
        <w:t>Regeneron currently has two classes of stock outstanding – Class A stock, par value $0.001 per share (“Class A stock”), which is entitled to ten votes per share; and common stock, par value $0.001 per share (“common stock”), which is entitled to one vote per share. While multi-class capital structures of some companies enable the holders of the high-vote shares to outvote all other shareholders, this is not the case for Regeneron’s dual-class voting structure.</w:t>
      </w:r>
    </w:p>
    <w:p>
      <w:pPr>
        <w:spacing w:after="0" w:line="135"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The number of shares of Class A stock outstanding, which comprised ~95% of total shareholder votes at the time of our 1991 IPO, has been steadily decreasing ever since, effectively giving greater weight to the voting rights of the holders of common stock as the Company matures. As of the record date of the 2024 Annual Meeting, the Class A stock comprised only ~14% of total shareholder votes. No new Class A stock has been issued since the IPO. As of the record date of the 2024 Annual Meeting, there were 1,818,146 and 108,367,357 shares of Class A stock and common stock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94615</wp:posOffset>
            </wp:positionV>
            <wp:extent cx="4860925" cy="1043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860925" cy="104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We believe this capital structure is aligned with the Company’s long-term focus in an industry in which the development of a single product can take more than a decade and requires significant investments. We also believe it helps protect long-term, sustainable value creation by modestly amplifying the voting input of the Class A holders – primarily our co-founders, who still lead the Company. Regeneron’s governance, including its capital structure, is reviewed by the board on a periodic basis.</w:t>
      </w:r>
    </w:p>
    <w:p>
      <w:pPr>
        <w:spacing w:after="0" w:line="135" w:lineRule="exact"/>
        <w:rPr>
          <w:sz w:val="20"/>
          <w:szCs w:val="20"/>
          <w:color w:val="auto"/>
        </w:rPr>
      </w:pPr>
    </w:p>
    <w:p>
      <w:pPr>
        <w:ind w:right="20"/>
        <w:spacing w:after="0"/>
        <w:rPr>
          <w:sz w:val="20"/>
          <w:szCs w:val="20"/>
          <w:color w:val="auto"/>
        </w:rPr>
      </w:pPr>
      <w:r>
        <w:rPr>
          <w:rFonts w:ascii="Arial" w:cs="Arial" w:eastAsia="Arial" w:hAnsi="Arial"/>
          <w:sz w:val="14"/>
          <w:szCs w:val="14"/>
          <w:color w:val="auto"/>
        </w:rPr>
        <w:t>In addition, the rights of the holders of common stock are protected not only by their collective voting power of approximately 86%, but also by other features by Regeneron’s corporate governance, including the enhancements adopted by Regeneron based on shareholder input over the last decade. Such features include majority voting in the election of directors, shareholders’ right to call a special shareholder meeting upon the written request of at least 25% of the total number of votes entitled to be cast, and our active, extensive shareholder engagement efforts. As a matter of corporate law and Regeneron’s charter, the voting rights granted holders of Class A stock cannot be unilaterally changed by Regeneron’s board or a vote of the holders of common stock; such rights may be amended only with the affirmative vote of holders of the majority of the shares of Class A stock.</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Code of Ethics</w:t>
      </w:r>
    </w:p>
    <w:p>
      <w:pPr>
        <w:spacing w:after="0" w:line="180"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4"/>
          <w:szCs w:val="14"/>
          <w:b w:val="1"/>
          <w:bCs w:val="1"/>
          <w:color w:val="215AA8"/>
        </w:rPr>
        <w:t xml:space="preserve">www.regeneron.com </w:t>
      </w:r>
      <w:r>
        <w:rPr>
          <w:rFonts w:ascii="Arial" w:cs="Arial" w:eastAsia="Arial" w:hAnsi="Arial"/>
          <w:sz w:val="14"/>
          <w:szCs w:val="14"/>
          <w:color w:val="000000"/>
        </w:rPr>
        <w:t>under the “Corporate Governance” heading on the “Investors &amp; Media” page. We may satisfy the disclosure requirement under Item 5.05 of Form 8-K regarding an</w:t>
      </w:r>
      <w:r>
        <w:rPr>
          <w:rFonts w:ascii="Arial" w:cs="Arial" w:eastAsia="Arial" w:hAnsi="Arial"/>
          <w:sz w:val="14"/>
          <w:szCs w:val="14"/>
          <w:b w:val="1"/>
          <w:bCs w:val="1"/>
          <w:color w:val="215AA8"/>
        </w:rPr>
        <w:t xml:space="preserve"> </w:t>
      </w:r>
      <w:r>
        <w:rPr>
          <w:rFonts w:ascii="Arial" w:cs="Arial" w:eastAsia="Arial" w:hAnsi="Arial"/>
          <w:sz w:val="14"/>
          <w:szCs w:val="14"/>
          <w:color w:val="000000"/>
        </w:rPr>
        <w:t>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41</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The Company</w:t>
            </w:r>
          </w:p>
        </w:tc>
        <w:tc>
          <w:tcPr>
            <w:tcW w:w="26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32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900" w:type="dxa"/>
            <w:vAlign w:val="bottom"/>
            <w:tcBorders>
              <w:bottom w:val="single" w:sz="8" w:color="D60058"/>
            </w:tcBorders>
            <w:vMerge w:val="continue"/>
          </w:tcPr>
          <w:p>
            <w:pPr>
              <w:spacing w:after="0"/>
              <w:rPr>
                <w:sz w:val="17"/>
                <w:szCs w:val="17"/>
                <w:color w:val="auto"/>
              </w:rPr>
            </w:pPr>
          </w:p>
        </w:tc>
        <w:tc>
          <w:tcPr>
            <w:tcW w:w="2600" w:type="dxa"/>
            <w:vAlign w:val="bottom"/>
          </w:tcPr>
          <w:p>
            <w:pPr>
              <w:ind w:left="11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Succession Planning and Talent Development Process</w:t>
      </w:r>
    </w:p>
    <w:p>
      <w:pPr>
        <w:spacing w:after="0" w:line="180" w:lineRule="exact"/>
        <w:rPr>
          <w:sz w:val="20"/>
          <w:szCs w:val="20"/>
          <w:color w:val="auto"/>
        </w:rPr>
      </w:pPr>
    </w:p>
    <w:p>
      <w:pPr>
        <w:ind w:left="10" w:right="180"/>
        <w:spacing w:after="0" w:line="238" w:lineRule="auto"/>
        <w:rPr>
          <w:sz w:val="20"/>
          <w:szCs w:val="20"/>
          <w:color w:val="auto"/>
        </w:rPr>
      </w:pPr>
      <w:r>
        <w:rPr>
          <w:rFonts w:ascii="Arial" w:cs="Arial" w:eastAsia="Arial" w:hAnsi="Arial"/>
          <w:sz w:val="14"/>
          <w:szCs w:val="14"/>
          <w:color w:val="auto"/>
        </w:rPr>
        <w:t>Under our Corporate Governance Guidelines, the board of directors is required to periodically review with our CEO Regeneron’s plan for succession to the offices of the CEO and other senior executive positions. In recent years, the board and its committees conducted a multi-year formal succession planning and talent review, which included succession planning for the CEO and other senior management positions and incorporated diversity considerations as a strategic priority. The applicable committees of the board of directors advanced this formal review by focusing on certain assigned functions and roles within the Company. As part of this process, the Audit Committee reviewed functions and roles within the Company’s finance, information technology, and real estate &amp; facilities management organizations, while the Compensation Committee and the Technology Committee reviewed functions and roles within the Company’s commercial and certain other general and administrative organizations and the Company’s research &amp; development and global development organizations, respectively. Succession planning and talent review efforts overseen by the board and/or its committees continued in 2023 and 2024 to date.</w:t>
      </w:r>
    </w:p>
    <w:p>
      <w:pPr>
        <w:spacing w:after="0" w:line="143" w:lineRule="exact"/>
        <w:rPr>
          <w:sz w:val="20"/>
          <w:szCs w:val="20"/>
          <w:color w:val="auto"/>
        </w:rPr>
      </w:pPr>
    </w:p>
    <w:p>
      <w:pPr>
        <w:ind w:left="10" w:right="140"/>
        <w:spacing w:after="0" w:line="242" w:lineRule="auto"/>
        <w:rPr>
          <w:sz w:val="20"/>
          <w:szCs w:val="20"/>
          <w:color w:val="auto"/>
        </w:rPr>
      </w:pPr>
      <w:r>
        <w:rPr>
          <w:rFonts w:ascii="Arial" w:cs="Arial" w:eastAsia="Arial" w:hAnsi="Arial"/>
          <w:sz w:val="14"/>
          <w:szCs w:val="14"/>
          <w:color w:val="auto"/>
        </w:rPr>
        <w:t>An example of our succession planning and talent review program in action was the recently completed Chief Financial Officer transition. Effective February 2024, the board appointed Christopher Fenimore to succeed Robert E. Landry as the Company’s Chief Financial Officer upon Mr. Landry’s retirement. Mr. Fenimore, who joined the Company in 2003 and had been the Company’s Controller since March 2017, was identified and developed over several years as an internal candidate for the office of the CFO, which enabled his seamless transition into this role earlier this year.</w:t>
      </w:r>
    </w:p>
    <w:p>
      <w:pPr>
        <w:spacing w:after="0" w:line="139" w:lineRule="exact"/>
        <w:rPr>
          <w:sz w:val="20"/>
          <w:szCs w:val="20"/>
          <w:color w:val="auto"/>
        </w:rPr>
      </w:pPr>
    </w:p>
    <w:p>
      <w:pPr>
        <w:ind w:left="10" w:right="560"/>
        <w:spacing w:after="0" w:line="257" w:lineRule="auto"/>
        <w:rPr>
          <w:sz w:val="20"/>
          <w:szCs w:val="20"/>
          <w:color w:val="auto"/>
        </w:rPr>
      </w:pPr>
      <w:r>
        <w:rPr>
          <w:rFonts w:ascii="Arial" w:cs="Arial" w:eastAsia="Arial" w:hAnsi="Arial"/>
          <w:sz w:val="14"/>
          <w:szCs w:val="14"/>
          <w:color w:val="auto"/>
        </w:rPr>
        <w:t>In addition to formal succession planning, directors also have exposure to Regeneron leaders through board and committee presentations and discussions and informal events and interactions with key talent throughout the year, both in small-group and one-on-one settings.</w:t>
      </w:r>
    </w:p>
    <w:p>
      <w:pPr>
        <w:spacing w:after="0" w:line="212"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Corporate Responsibility</w:t>
      </w:r>
    </w:p>
    <w:p>
      <w:pPr>
        <w:spacing w:after="0" w:line="180" w:lineRule="exact"/>
        <w:rPr>
          <w:sz w:val="20"/>
          <w:szCs w:val="20"/>
          <w:color w:val="auto"/>
        </w:rPr>
      </w:pPr>
    </w:p>
    <w:p>
      <w:pPr>
        <w:ind w:left="10" w:right="40"/>
        <w:spacing w:after="0" w:line="246" w:lineRule="auto"/>
        <w:rPr>
          <w:sz w:val="20"/>
          <w:szCs w:val="20"/>
          <w:color w:val="auto"/>
        </w:rPr>
      </w:pPr>
      <w:r>
        <w:rPr>
          <w:rFonts w:ascii="Arial" w:cs="Arial" w:eastAsia="Arial" w:hAnsi="Arial"/>
          <w:sz w:val="14"/>
          <w:szCs w:val="14"/>
          <w:color w:val="auto"/>
        </w:rPr>
        <w:t>Regeneron’s mission is to use the power of science to repeatedly bring life-changing medicines to patients. We are committed to operating responsibly, communicating transparently about our impacts, and engaging stakeholders in our mission. We strive to “Do Well by Doing Good,” which guides our approach to corporate responsibility. We disclose detailed information about significant corporate responsibility matters in our annual responsibility reports.</w:t>
      </w:r>
    </w:p>
    <w:p>
      <w:pPr>
        <w:spacing w:after="0" w:line="135" w:lineRule="exact"/>
        <w:rPr>
          <w:sz w:val="20"/>
          <w:szCs w:val="20"/>
          <w:color w:val="auto"/>
        </w:rPr>
      </w:pPr>
    </w:p>
    <w:p>
      <w:pPr>
        <w:ind w:left="10" w:right="20"/>
        <w:spacing w:after="0" w:line="238" w:lineRule="auto"/>
        <w:rPr>
          <w:sz w:val="20"/>
          <w:szCs w:val="20"/>
          <w:color w:val="auto"/>
        </w:rPr>
      </w:pPr>
      <w:r>
        <w:rPr>
          <w:rFonts w:ascii="Arial" w:cs="Arial" w:eastAsia="Arial" w:hAnsi="Arial"/>
          <w:sz w:val="14"/>
          <w:szCs w:val="14"/>
          <w:color w:val="auto"/>
        </w:rPr>
        <w:t>Our board of directors and management team recognize the importance of corporate responsibility matters. The Company’s policy is to take into consideration the long-term interests of the Company, its shareholders, and other stakeholders, including patients, employees, the healthcare community, regulators, collaborators, suppliers, and local communities. While the full board has retained oversight of the Company’s strategies and policies related to diversity, equity, and inclusion, the board’s Corporate Governance and Compliance Committee has been tasked with oversight of corporate responsibility as set forth in its charter. Under our Corporate Governance Guidelines, the Corporate Governance and Compliance Committee is responsible for conducting a periodic review of ESG matters and overseeing the Company’s key corporate responsibility initiatives, including those expected to have a significant impact on the Company’s ability to deliver sustained growth. Management, who has the responsibility for formulating and implementing such initiatives and matters, has established for these purposes a Responsibility Committee comprised of cross-functional business leaders.</w:t>
      </w:r>
    </w:p>
    <w:p>
      <w:pPr>
        <w:spacing w:after="0" w:line="143" w:lineRule="exact"/>
        <w:rPr>
          <w:sz w:val="20"/>
          <w:szCs w:val="20"/>
          <w:color w:val="auto"/>
        </w:rPr>
      </w:pPr>
    </w:p>
    <w:p>
      <w:pPr>
        <w:ind w:left="10"/>
        <w:spacing w:after="0"/>
        <w:rPr>
          <w:sz w:val="20"/>
          <w:szCs w:val="20"/>
          <w:color w:val="auto"/>
        </w:rPr>
      </w:pPr>
      <w:r>
        <w:rPr>
          <w:rFonts w:ascii="Arial" w:cs="Arial" w:eastAsia="Arial" w:hAnsi="Arial"/>
          <w:sz w:val="14"/>
          <w:szCs w:val="14"/>
          <w:color w:val="auto"/>
        </w:rPr>
        <w:t>Our responsibility strategy centers on three focus areas:</w:t>
      </w:r>
    </w:p>
    <w:p>
      <w:pPr>
        <w:spacing w:after="0" w:line="154" w:lineRule="exact"/>
        <w:rPr>
          <w:sz w:val="20"/>
          <w:szCs w:val="20"/>
          <w:color w:val="auto"/>
        </w:rPr>
      </w:pPr>
    </w:p>
    <w:p>
      <w:pPr>
        <w:ind w:left="150" w:hanging="150"/>
        <w:spacing w:after="0"/>
        <w:tabs>
          <w:tab w:leader="none" w:pos="150" w:val="left"/>
        </w:tabs>
        <w:numPr>
          <w:ilvl w:val="0"/>
          <w:numId w:val="69"/>
        </w:numPr>
        <w:rPr>
          <w:rFonts w:ascii="Arial" w:cs="Arial" w:eastAsia="Arial" w:hAnsi="Arial"/>
          <w:sz w:val="14"/>
          <w:szCs w:val="14"/>
          <w:b w:val="1"/>
          <w:bCs w:val="1"/>
          <w:color w:val="215AA8"/>
        </w:rPr>
      </w:pPr>
      <w:r>
        <w:rPr>
          <w:rFonts w:ascii="Arial" w:cs="Arial" w:eastAsia="Arial" w:hAnsi="Arial"/>
          <w:sz w:val="14"/>
          <w:szCs w:val="14"/>
          <w:color w:val="auto"/>
        </w:rPr>
        <w:t>Improve the lives of people with serious diseases</w:t>
      </w:r>
    </w:p>
    <w:p>
      <w:pPr>
        <w:spacing w:after="0" w:line="64" w:lineRule="exact"/>
        <w:rPr>
          <w:rFonts w:ascii="Arial" w:cs="Arial" w:eastAsia="Arial" w:hAnsi="Arial"/>
          <w:sz w:val="14"/>
          <w:szCs w:val="14"/>
          <w:b w:val="1"/>
          <w:bCs w:val="1"/>
          <w:color w:val="215AA8"/>
        </w:rPr>
      </w:pPr>
    </w:p>
    <w:p>
      <w:pPr>
        <w:ind w:left="150" w:hanging="150"/>
        <w:spacing w:after="0"/>
        <w:tabs>
          <w:tab w:leader="none" w:pos="150" w:val="left"/>
        </w:tabs>
        <w:numPr>
          <w:ilvl w:val="0"/>
          <w:numId w:val="69"/>
        </w:numPr>
        <w:rPr>
          <w:rFonts w:ascii="Arial" w:cs="Arial" w:eastAsia="Arial" w:hAnsi="Arial"/>
          <w:sz w:val="14"/>
          <w:szCs w:val="14"/>
          <w:b w:val="1"/>
          <w:bCs w:val="1"/>
          <w:color w:val="215AA8"/>
        </w:rPr>
      </w:pPr>
      <w:r>
        <w:rPr>
          <w:rFonts w:ascii="Arial" w:cs="Arial" w:eastAsia="Arial" w:hAnsi="Arial"/>
          <w:sz w:val="14"/>
          <w:szCs w:val="14"/>
          <w:color w:val="auto"/>
        </w:rPr>
        <w:t>Foster a culture of integrity and excellence</w:t>
      </w:r>
    </w:p>
    <w:p>
      <w:pPr>
        <w:spacing w:after="0" w:line="64" w:lineRule="exact"/>
        <w:rPr>
          <w:rFonts w:ascii="Arial" w:cs="Arial" w:eastAsia="Arial" w:hAnsi="Arial"/>
          <w:sz w:val="14"/>
          <w:szCs w:val="14"/>
          <w:b w:val="1"/>
          <w:bCs w:val="1"/>
          <w:color w:val="215AA8"/>
        </w:rPr>
      </w:pPr>
    </w:p>
    <w:p>
      <w:pPr>
        <w:ind w:left="150" w:hanging="150"/>
        <w:spacing w:after="0"/>
        <w:tabs>
          <w:tab w:leader="none" w:pos="150" w:val="left"/>
        </w:tabs>
        <w:numPr>
          <w:ilvl w:val="0"/>
          <w:numId w:val="69"/>
        </w:numPr>
        <w:rPr>
          <w:rFonts w:ascii="Arial" w:cs="Arial" w:eastAsia="Arial" w:hAnsi="Arial"/>
          <w:sz w:val="14"/>
          <w:szCs w:val="14"/>
          <w:b w:val="1"/>
          <w:bCs w:val="1"/>
          <w:color w:val="215AA8"/>
        </w:rPr>
      </w:pPr>
      <w:r>
        <w:rPr>
          <w:rFonts w:ascii="Arial" w:cs="Arial" w:eastAsia="Arial" w:hAnsi="Arial"/>
          <w:sz w:val="14"/>
          <w:szCs w:val="14"/>
          <w:color w:val="auto"/>
        </w:rPr>
        <w:t>Build sustainable communities</w:t>
      </w:r>
    </w:p>
    <w:p>
      <w:pPr>
        <w:spacing w:after="0" w:line="154" w:lineRule="exact"/>
        <w:rPr>
          <w:sz w:val="20"/>
          <w:szCs w:val="20"/>
          <w:color w:val="auto"/>
        </w:rPr>
      </w:pPr>
    </w:p>
    <w:p>
      <w:pPr>
        <w:ind w:left="10" w:right="360"/>
        <w:spacing w:after="0" w:line="257" w:lineRule="auto"/>
        <w:rPr>
          <w:sz w:val="20"/>
          <w:szCs w:val="20"/>
          <w:color w:val="auto"/>
        </w:rPr>
      </w:pPr>
      <w:r>
        <w:rPr>
          <w:rFonts w:ascii="Arial" w:cs="Arial" w:eastAsia="Arial" w:hAnsi="Arial"/>
          <w:sz w:val="14"/>
          <w:szCs w:val="14"/>
          <w:color w:val="auto"/>
        </w:rPr>
        <w:t>As shown below, our 2025 responsibility goals span across these three areas, focusing on the environmental and social issues that we believe are most significant to our business and stakeholders.</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42</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The Company</w:t>
            </w:r>
          </w:p>
        </w:tc>
        <w:tc>
          <w:tcPr>
            <w:tcW w:w="26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32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900" w:type="dxa"/>
            <w:vAlign w:val="bottom"/>
            <w:tcBorders>
              <w:bottom w:val="single" w:sz="8" w:color="D60058"/>
            </w:tcBorders>
            <w:vMerge w:val="continue"/>
          </w:tcPr>
          <w:p>
            <w:pPr>
              <w:spacing w:after="0"/>
              <w:rPr>
                <w:sz w:val="17"/>
                <w:szCs w:val="17"/>
                <w:color w:val="auto"/>
              </w:rPr>
            </w:pPr>
          </w:p>
        </w:tc>
        <w:tc>
          <w:tcPr>
            <w:tcW w:w="2600" w:type="dxa"/>
            <w:vAlign w:val="bottom"/>
          </w:tcPr>
          <w:p>
            <w:pPr>
              <w:ind w:left="11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2025 Global Responsibility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112395</wp:posOffset>
            </wp:positionV>
            <wp:extent cx="5718175" cy="44176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18175" cy="441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2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Our accompanying set of environmental targets are outlined in detail in our 2023 Responsibility Report.</w:t>
      </w:r>
    </w:p>
    <w:p>
      <w:pPr>
        <w:spacing w:after="0" w:line="152"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In 2023, we made significant progress toward achieving many of these responsibility goals. Select highlights within each focus area are summarized below, and a detailed discussion of our progress is included in our 2023 Responsibility Report.</w:t>
      </w:r>
    </w:p>
    <w:p>
      <w:pPr>
        <w:spacing w:after="0" w:line="128" w:lineRule="exact"/>
        <w:rPr>
          <w:sz w:val="20"/>
          <w:szCs w:val="20"/>
          <w:color w:val="auto"/>
        </w:rPr>
      </w:pPr>
    </w:p>
    <w:p>
      <w:pPr>
        <w:ind w:right="180"/>
        <w:spacing w:after="0" w:line="246" w:lineRule="auto"/>
        <w:rPr>
          <w:sz w:val="20"/>
          <w:szCs w:val="20"/>
          <w:color w:val="auto"/>
        </w:rPr>
      </w:pPr>
      <w:r>
        <w:rPr>
          <w:rFonts w:ascii="Arial" w:cs="Arial" w:eastAsia="Arial" w:hAnsi="Arial"/>
          <w:sz w:val="14"/>
          <w:szCs w:val="14"/>
          <w:color w:val="auto"/>
        </w:rPr>
        <w:t>Our responsibility efforts and progress across these focus areas have garnered recognitions. For example, as of the end of 2023, we were ranked in the top 10% of our industry in three leading ESG ratings: S&amp;P Global, Sustainalytics, and ISS-ESG. Additionally, in 2023, we were included in the Dow Jones Sustainability World Index for the fifth year in a row and the Dow Jones Sustainability North America Index for the fourth year in a row. These global and regional indices are comprised of corporate leaders in ESG practices.</w:t>
      </w:r>
    </w:p>
    <w:p>
      <w:pPr>
        <w:spacing w:after="0" w:line="135" w:lineRule="exact"/>
        <w:rPr>
          <w:sz w:val="20"/>
          <w:szCs w:val="20"/>
          <w:color w:val="auto"/>
        </w:rPr>
      </w:pPr>
    </w:p>
    <w:p>
      <w:pPr>
        <w:ind w:right="120"/>
        <w:spacing w:after="0" w:line="307" w:lineRule="auto"/>
        <w:rPr>
          <w:sz w:val="20"/>
          <w:szCs w:val="20"/>
          <w:color w:val="auto"/>
        </w:rPr>
      </w:pPr>
      <w:r>
        <w:rPr>
          <w:rFonts w:ascii="Arial" w:cs="Arial" w:eastAsia="Arial" w:hAnsi="Arial"/>
          <w:sz w:val="12"/>
          <w:szCs w:val="12"/>
          <w:color w:val="auto"/>
        </w:rPr>
        <w:t>We have also continued to enhance our responsibility reporting. Our 2023 Responsibility Report continues to align with the Sustainability Accounting Standards Board (“SASB”) framework and with the Global Reporting Initiative Universal Standards. In 2024, we also published on our website our fourth annual Task Force for Climate-related Financial Disclosures (“TCFD”) report on Regeneron’s climate-related risks and opportunities and, as discussed below, our second annual Better Workplace. Better Science. Better World. Impact Report.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43</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The Company</w:t>
            </w:r>
          </w:p>
        </w:tc>
        <w:tc>
          <w:tcPr>
            <w:tcW w:w="26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32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900" w:type="dxa"/>
            <w:vAlign w:val="bottom"/>
            <w:tcBorders>
              <w:bottom w:val="single" w:sz="8" w:color="D60058"/>
            </w:tcBorders>
            <w:vMerge w:val="continue"/>
          </w:tcPr>
          <w:p>
            <w:pPr>
              <w:spacing w:after="0"/>
              <w:rPr>
                <w:sz w:val="17"/>
                <w:szCs w:val="17"/>
                <w:color w:val="auto"/>
              </w:rPr>
            </w:pPr>
          </w:p>
        </w:tc>
        <w:tc>
          <w:tcPr>
            <w:tcW w:w="2600" w:type="dxa"/>
            <w:vAlign w:val="bottom"/>
          </w:tcPr>
          <w:p>
            <w:pPr>
              <w:ind w:left="11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spacing w:after="0" w:line="285" w:lineRule="auto"/>
        <w:rPr>
          <w:sz w:val="20"/>
          <w:szCs w:val="20"/>
          <w:color w:val="auto"/>
        </w:rPr>
      </w:pPr>
      <w:r>
        <w:rPr>
          <w:rFonts w:ascii="Arial" w:cs="Arial" w:eastAsia="Arial" w:hAnsi="Arial"/>
          <w:sz w:val="12"/>
          <w:szCs w:val="12"/>
          <w:b w:val="1"/>
          <w:bCs w:val="1"/>
          <w:color w:val="auto"/>
        </w:rPr>
        <w:t xml:space="preserve">Improve the lives of people with serious diseases. </w:t>
      </w:r>
      <w:r>
        <w:rPr>
          <w:rFonts w:ascii="Arial" w:cs="Arial" w:eastAsia="Arial" w:hAnsi="Arial"/>
          <w:sz w:val="12"/>
          <w:szCs w:val="12"/>
          <w:color w:val="auto"/>
        </w:rPr>
        <w:t>As a science-focused company, we operate Regeneron with the long-term outlook required to turn rigorous scientific research into</w:t>
      </w:r>
      <w:r>
        <w:rPr>
          <w:rFonts w:ascii="Arial" w:cs="Arial" w:eastAsia="Arial" w:hAnsi="Arial"/>
          <w:sz w:val="12"/>
          <w:szCs w:val="12"/>
          <w:b w:val="1"/>
          <w:bCs w:val="1"/>
          <w:color w:val="auto"/>
        </w:rPr>
        <w:t xml:space="preserve"> </w:t>
      </w:r>
      <w:r>
        <w:rPr>
          <w:rFonts w:ascii="Arial" w:cs="Arial" w:eastAsia="Arial" w:hAnsi="Arial"/>
          <w:sz w:val="12"/>
          <w:szCs w:val="12"/>
          <w:color w:val="auto"/>
        </w:rPr>
        <w:t>important new medicines. All 11 of our medicines approved by the U.S. Food and Drug Administration (“FDA”) and almost all of the product candidates in our clinical pipeline are homegrown – discovered in Regeneron’s labs using our industry-leading, proprietary technologies. Our support for patients extends beyond the labs to disease education and awareness efforts, patient assistance programs, and our commitment to access to medicine and responsible pricing. We strive to make thoughtful and well-informed pricing decisions with fairness and affordability in mind and are guided in this endeavor by our board of directors, which is closely involved in and provides oversight of all key pricing determinations. We believe we have the appropriate governance mechanisms and internal processes in place to ensure that pricing decisions are thoroughly and appropriately vetted prior to implementation and are made in line with our values and commitments. This includes routine presentations to our board of directors and/or the appropriate committees thereof on drug pricing strategies, practices, and trends.</w:t>
      </w:r>
    </w:p>
    <w:p>
      <w:pPr>
        <w:spacing w:after="0" w:line="116"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In 2023, our commitment to improving lives was highlighted by securing FDA approvals for Veopoz and EYLEA HD, our 10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and 11</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FDA-approved medicines, as well as regulatory approvals for several new indications for existing products; and making significant progress in our product pipeline of approximately 35 product candidates as of the date of our 2023 Annual Report, including potential new treatments for ultra-rare and rare diseases. We are proud of these scientific accomplishments and the potentially life-changing benefits they can deliver to patients. As the first and only treatment indicated specifically for CHAPLE, an ultra-rare hereditary disease, Veopoz is a testament to our commitment to uncovering genetic insights and applying them to the development of effective treatments for patients in need – regardless of the prevalence of their disease.</w:t>
      </w:r>
    </w:p>
    <w:p>
      <w:pPr>
        <w:spacing w:after="0" w:line="142" w:lineRule="exact"/>
        <w:rPr>
          <w:sz w:val="20"/>
          <w:szCs w:val="20"/>
          <w:color w:val="auto"/>
        </w:rPr>
      </w:pPr>
    </w:p>
    <w:p>
      <w:pPr>
        <w:ind w:right="260"/>
        <w:spacing w:after="0" w:line="290" w:lineRule="auto"/>
        <w:rPr>
          <w:sz w:val="20"/>
          <w:szCs w:val="20"/>
          <w:color w:val="auto"/>
        </w:rPr>
      </w:pPr>
      <w:r>
        <w:rPr>
          <w:rFonts w:ascii="Arial" w:cs="Arial" w:eastAsia="Arial" w:hAnsi="Arial"/>
          <w:sz w:val="12"/>
          <w:szCs w:val="12"/>
          <w:color w:val="auto"/>
        </w:rPr>
        <w:t xml:space="preserve">We are dedicated to making sure our medicines are available to everyone who needs them, including those in low- and middle-income countries (“LMICs”). For example, since 2018, we have worked with the World Health Organization (“WHO”), FDA, and other global organizations to offer Inmazeb, our treatment for the infection caused by </w:t>
      </w:r>
      <w:r>
        <w:rPr>
          <w:rFonts w:ascii="Arial" w:cs="Arial" w:eastAsia="Arial" w:hAnsi="Arial"/>
          <w:sz w:val="12"/>
          <w:szCs w:val="12"/>
          <w:i w:val="1"/>
          <w:iCs w:val="1"/>
          <w:color w:val="auto"/>
        </w:rPr>
        <w:t>Zaire ebolavirus</w:t>
      </w:r>
      <w:r>
        <w:rPr>
          <w:rFonts w:ascii="Arial" w:cs="Arial" w:eastAsia="Arial" w:hAnsi="Arial"/>
          <w:sz w:val="12"/>
          <w:szCs w:val="12"/>
          <w:color w:val="auto"/>
        </w:rPr>
        <w:t xml:space="preserve">, under a compassionate use protocol in response to Ebola outbreaks in affected African countries. We have an executive-sponsored Inmazeb access working group and we proactively engage public health agencies, non-governmental agencies, and others in our industry to ensure continued access to Inmazeb in LMICs. In November 2023, Inmazeb became the first </w:t>
      </w:r>
      <w:r>
        <w:rPr>
          <w:rFonts w:ascii="Arial" w:cs="Arial" w:eastAsia="Arial" w:hAnsi="Arial"/>
          <w:sz w:val="12"/>
          <w:szCs w:val="12"/>
          <w:i w:val="1"/>
          <w:iCs w:val="1"/>
          <w:color w:val="auto"/>
        </w:rPr>
        <w:t>Zaire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ebolavirus </w:t>
      </w:r>
      <w:r>
        <w:rPr>
          <w:rFonts w:ascii="Arial" w:cs="Arial" w:eastAsia="Arial" w:hAnsi="Arial"/>
          <w:sz w:val="12"/>
          <w:szCs w:val="12"/>
          <w:color w:val="auto"/>
        </w:rPr>
        <w:t>treatment to be prequalified by the WHO, marking an important step toward greater access to Inmazeb in LMICs most at risk for Ebola outbreaks.</w:t>
      </w:r>
    </w:p>
    <w:p>
      <w:pPr>
        <w:spacing w:after="0" w:line="110" w:lineRule="exact"/>
        <w:rPr>
          <w:sz w:val="20"/>
          <w:szCs w:val="20"/>
          <w:color w:val="auto"/>
        </w:rPr>
      </w:pPr>
    </w:p>
    <w:p>
      <w:pPr>
        <w:ind w:right="300"/>
        <w:spacing w:after="0" w:line="243" w:lineRule="auto"/>
        <w:rPr>
          <w:sz w:val="20"/>
          <w:szCs w:val="20"/>
          <w:color w:val="auto"/>
        </w:rPr>
      </w:pPr>
      <w:r>
        <w:rPr>
          <w:rFonts w:ascii="Arial" w:cs="Arial" w:eastAsia="Arial" w:hAnsi="Arial"/>
          <w:sz w:val="14"/>
          <w:szCs w:val="14"/>
          <w:b w:val="1"/>
          <w:bCs w:val="1"/>
          <w:color w:val="auto"/>
        </w:rPr>
        <w:t xml:space="preserve">Foster a culture of integrity and excellence. </w:t>
      </w:r>
      <w:r>
        <w:rPr>
          <w:rFonts w:ascii="Arial" w:cs="Arial" w:eastAsia="Arial" w:hAnsi="Arial"/>
          <w:sz w:val="14"/>
          <w:szCs w:val="14"/>
          <w:color w:val="auto"/>
        </w:rPr>
        <w:t>Regeneron’s unique culture makes us who we are. Our culture includes our science-led mindset, our high ethical standards, and our</w:t>
      </w:r>
      <w:r>
        <w:rPr>
          <w:rFonts w:ascii="Arial" w:cs="Arial" w:eastAsia="Arial" w:hAnsi="Arial"/>
          <w:sz w:val="14"/>
          <w:szCs w:val="14"/>
          <w:b w:val="1"/>
          <w:bCs w:val="1"/>
          <w:color w:val="auto"/>
        </w:rPr>
        <w:t xml:space="preserve"> </w:t>
      </w:r>
      <w:r>
        <w:rPr>
          <w:rFonts w:ascii="Arial" w:cs="Arial" w:eastAsia="Arial" w:hAnsi="Arial"/>
          <w:sz w:val="14"/>
          <w:szCs w:val="14"/>
          <w:color w:val="auto"/>
        </w:rPr>
        <w:t>unwavering focus on solving big, complex problems. We are equally committed to conducting our business responsibly and ethically. This is demonstrated through the range of policies, practices, and initiatives we have implemented, encompassing areas such as ethics and compliance, responsible sales and marketing, ethical clinical trials, responsible supply chain, occupational health and safety, and product quality and patient safety.</w:t>
      </w:r>
    </w:p>
    <w:p>
      <w:pPr>
        <w:spacing w:after="0" w:line="138" w:lineRule="exact"/>
        <w:rPr>
          <w:sz w:val="20"/>
          <w:szCs w:val="20"/>
          <w:color w:val="auto"/>
        </w:rPr>
      </w:pPr>
    </w:p>
    <w:p>
      <w:pPr>
        <w:ind w:right="100"/>
        <w:spacing w:after="0" w:line="290" w:lineRule="auto"/>
        <w:rPr>
          <w:sz w:val="20"/>
          <w:szCs w:val="20"/>
          <w:color w:val="auto"/>
        </w:rPr>
      </w:pPr>
      <w:r>
        <w:rPr>
          <w:rFonts w:ascii="Arial" w:cs="Arial" w:eastAsia="Arial" w:hAnsi="Arial"/>
          <w:sz w:val="12"/>
          <w:szCs w:val="12"/>
          <w:color w:val="auto"/>
        </w:rPr>
        <w:t>As we grow, we remain committed to making significant investments to attract and retain top talent and advance our culture of valuing diversity. We believe our commitment to these principles allows us to better drive innovation and achieve our mission to bring important new medicines to patients. In 2023, we continued to advance our diversity strategy focused on creating a better workplace, better science, and better world. For example, we expanded our mentoring program and inclusive leadership workshops for senior leaders and new managers, focusing on our diverse talent base to increase leadership skills, connection, and visibility of underrepresented talent. We have also continued to take steps to further integrate diversity considerations into the design and selection of sites for our clinical trials to make sure they reflect the diversity of patients with the diseases under investigation.</w:t>
      </w:r>
    </w:p>
    <w:p>
      <w:pPr>
        <w:spacing w:after="0" w:line="112" w:lineRule="exact"/>
        <w:rPr>
          <w:sz w:val="20"/>
          <w:szCs w:val="20"/>
          <w:color w:val="auto"/>
        </w:rPr>
      </w:pPr>
    </w:p>
    <w:p>
      <w:pPr>
        <w:ind w:right="420"/>
        <w:spacing w:after="0" w:line="246" w:lineRule="auto"/>
        <w:rPr>
          <w:sz w:val="20"/>
          <w:szCs w:val="20"/>
          <w:color w:val="auto"/>
        </w:rPr>
      </w:pPr>
      <w:r>
        <w:rPr>
          <w:rFonts w:ascii="Arial" w:cs="Arial" w:eastAsia="Arial" w:hAnsi="Arial"/>
          <w:sz w:val="14"/>
          <w:szCs w:val="14"/>
          <w:color w:val="auto"/>
        </w:rPr>
        <w:t>In 2024, we published on our website our second annual Better Workplace. Better Science. Better World. Impact Report, which includes a detailed discussion of our diversity strategic framework, governance model, goals, and initiatives. We have also continued to share our progress in these areas and related metrics in our 2023 Responsibility Report and publish consolidated EEO-1 data (data from annual reports submitted to the U.S. Equal Employment Opportunity Commission) on our website.</w:t>
      </w:r>
    </w:p>
    <w:p>
      <w:pPr>
        <w:spacing w:after="0" w:line="133"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b w:val="1"/>
          <w:bCs w:val="1"/>
          <w:color w:val="auto"/>
        </w:rPr>
        <w:t xml:space="preserve">Build sustainable communities. </w:t>
      </w:r>
      <w:r>
        <w:rPr>
          <w:rFonts w:ascii="Arial" w:cs="Arial" w:eastAsia="Arial" w:hAnsi="Arial"/>
          <w:sz w:val="14"/>
          <w:szCs w:val="14"/>
          <w:color w:val="auto"/>
        </w:rPr>
        <w:t>While we operate globally, we remain closely connected to our local communities. We want them to be environmentally, culturally, and economically</w:t>
      </w:r>
      <w:r>
        <w:rPr>
          <w:rFonts w:ascii="Arial" w:cs="Arial" w:eastAsia="Arial" w:hAnsi="Arial"/>
          <w:sz w:val="14"/>
          <w:szCs w:val="14"/>
          <w:b w:val="1"/>
          <w:bCs w:val="1"/>
          <w:color w:val="auto"/>
        </w:rPr>
        <w:t xml:space="preserve"> </w:t>
      </w:r>
      <w:r>
        <w:rPr>
          <w:rFonts w:ascii="Arial" w:cs="Arial" w:eastAsia="Arial" w:hAnsi="Arial"/>
          <w:sz w:val="14"/>
          <w:szCs w:val="14"/>
          <w:color w:val="auto"/>
        </w:rPr>
        <w:t>resilient. We recognize the ways environmental stresses can impact human health and are committed to doing our part to protect and restore the health of the planet in line with our mission to improve lives. As part of our 2025 responsibility goals, we set ambitious medium- and longer-term environmental sustainability targets. We report on our continued progress toward these goals and targets in our responsibility reports.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44</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The Company</w:t>
            </w:r>
          </w:p>
        </w:tc>
        <w:tc>
          <w:tcPr>
            <w:tcW w:w="26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32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900" w:type="dxa"/>
            <w:vAlign w:val="bottom"/>
            <w:tcBorders>
              <w:bottom w:val="single" w:sz="8" w:color="D60058"/>
            </w:tcBorders>
            <w:vMerge w:val="continue"/>
          </w:tcPr>
          <w:p>
            <w:pPr>
              <w:spacing w:after="0"/>
              <w:rPr>
                <w:sz w:val="17"/>
                <w:szCs w:val="17"/>
                <w:color w:val="auto"/>
              </w:rPr>
            </w:pPr>
          </w:p>
        </w:tc>
        <w:tc>
          <w:tcPr>
            <w:tcW w:w="2600" w:type="dxa"/>
            <w:vAlign w:val="bottom"/>
          </w:tcPr>
          <w:p>
            <w:pPr>
              <w:ind w:left="11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10" w:right="20"/>
        <w:spacing w:after="0" w:line="239" w:lineRule="auto"/>
        <w:rPr>
          <w:sz w:val="20"/>
          <w:szCs w:val="20"/>
          <w:color w:val="auto"/>
        </w:rPr>
      </w:pPr>
      <w:r>
        <w:rPr>
          <w:rFonts w:ascii="Arial" w:cs="Arial" w:eastAsia="Arial" w:hAnsi="Arial"/>
          <w:sz w:val="14"/>
          <w:szCs w:val="14"/>
          <w:color w:val="auto"/>
        </w:rPr>
        <w:t>We also strengthen our communities through strategic philanthropic investments, product donations, and the power of our colleagues’ talents and time. We are a long-standing supporter of science, technology, engineering, and math (“STEM”) education, and make major philanthropic investments to inspire and celebrate future scientific innovators, including our ten-year, $100-million commitment to the Regeneron Science Talent Search, the United States’ most prestigious pre-college science and mathematics competition. We have also been the title sponsor of the Regeneron International Science and Engineering Fair, the world’s largest pre-college science and engineering competition, since 2019 and announced in 2023 an additional $34 million, 5-year commitment. Over the past four years, we have provided STEM experiences to approximately 2.4 million students, putting us on track to outperform our goal of reaching 2.5 million STEM students by 2025.</w:t>
      </w:r>
    </w:p>
    <w:p>
      <w:pPr>
        <w:spacing w:after="0" w:line="141" w:lineRule="exact"/>
        <w:rPr>
          <w:sz w:val="20"/>
          <w:szCs w:val="20"/>
          <w:color w:val="auto"/>
        </w:rPr>
      </w:pPr>
    </w:p>
    <w:p>
      <w:pPr>
        <w:ind w:left="10" w:right="220"/>
        <w:spacing w:after="0" w:line="246" w:lineRule="auto"/>
        <w:rPr>
          <w:sz w:val="20"/>
          <w:szCs w:val="20"/>
          <w:color w:val="auto"/>
        </w:rPr>
      </w:pPr>
      <w:r>
        <w:rPr>
          <w:rFonts w:ascii="Arial" w:cs="Arial" w:eastAsia="Arial" w:hAnsi="Arial"/>
          <w:sz w:val="14"/>
          <w:szCs w:val="14"/>
          <w:color w:val="auto"/>
        </w:rPr>
        <w:t xml:space="preserve">We continue to foster employee volunteerism to reach our 2025 global responsibility goal of driving employee volunteer levels above national standards. In 2023, over 7,300 employees volunteered approximately 39,600 hours, including approximately 51% of our employees who volunteered nearly 23,600 hours to approximately 230 nonprofits during our seventh annual company-wide service event, </w:t>
      </w:r>
      <w:r>
        <w:rPr>
          <w:rFonts w:ascii="Arial" w:cs="Arial" w:eastAsia="Arial" w:hAnsi="Arial"/>
          <w:sz w:val="14"/>
          <w:szCs w:val="14"/>
          <w:i w:val="1"/>
          <w:iCs w:val="1"/>
          <w:color w:val="auto"/>
        </w:rPr>
        <w:t>Day for Doing Good</w:t>
      </w:r>
      <w:r>
        <w:rPr>
          <w:rFonts w:ascii="Arial" w:cs="Arial" w:eastAsia="Arial" w:hAnsi="Arial"/>
          <w:sz w:val="14"/>
          <w:szCs w:val="14"/>
          <w:color w:val="auto"/>
        </w:rPr>
        <w:t>.</w:t>
      </w:r>
    </w:p>
    <w:p>
      <w:pPr>
        <w:spacing w:after="0" w:line="135" w:lineRule="exact"/>
        <w:rPr>
          <w:sz w:val="20"/>
          <w:szCs w:val="20"/>
          <w:color w:val="auto"/>
        </w:rPr>
      </w:pPr>
    </w:p>
    <w:p>
      <w:pPr>
        <w:ind w:left="10"/>
        <w:spacing w:after="0"/>
        <w:rPr>
          <w:sz w:val="20"/>
          <w:szCs w:val="20"/>
          <w:color w:val="auto"/>
        </w:rPr>
      </w:pPr>
      <w:r>
        <w:rPr>
          <w:rFonts w:ascii="Arial" w:cs="Arial" w:eastAsia="Arial" w:hAnsi="Arial"/>
          <w:sz w:val="14"/>
          <w:szCs w:val="14"/>
          <w:color w:val="auto"/>
        </w:rPr>
        <w:t>We are proud to have been named to the Civic 50 for the seventh consecutive year. The Civic 50 recognizes the most community-minded companies in the United States.</w:t>
      </w:r>
    </w:p>
    <w:p>
      <w:pPr>
        <w:spacing w:after="0" w:line="154" w:lineRule="exact"/>
        <w:rPr>
          <w:sz w:val="20"/>
          <w:szCs w:val="20"/>
          <w:color w:val="auto"/>
        </w:rPr>
      </w:pPr>
    </w:p>
    <w:p>
      <w:pPr>
        <w:ind w:left="10"/>
        <w:spacing w:after="0"/>
        <w:rPr>
          <w:sz w:val="20"/>
          <w:szCs w:val="20"/>
          <w:color w:val="auto"/>
        </w:rPr>
      </w:pPr>
      <w:r>
        <w:rPr>
          <w:rFonts w:ascii="Arial" w:cs="Arial" w:eastAsia="Arial" w:hAnsi="Arial"/>
          <w:sz w:val="14"/>
          <w:szCs w:val="14"/>
          <w:color w:val="auto"/>
        </w:rPr>
        <w:t>For more information about our responsibility efforts and results, please refer to the 2023 Responsibility Report available on our website.</w:t>
      </w:r>
    </w:p>
    <w:p>
      <w:pPr>
        <w:spacing w:after="0" w:line="239"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Public Policy Engagement</w:t>
      </w:r>
    </w:p>
    <w:p>
      <w:pPr>
        <w:spacing w:after="0" w:line="180" w:lineRule="exact"/>
        <w:rPr>
          <w:sz w:val="20"/>
          <w:szCs w:val="20"/>
          <w:color w:val="auto"/>
        </w:rPr>
      </w:pPr>
    </w:p>
    <w:p>
      <w:pPr>
        <w:ind w:left="10" w:right="80"/>
        <w:spacing w:after="0" w:line="242" w:lineRule="auto"/>
        <w:rPr>
          <w:sz w:val="20"/>
          <w:szCs w:val="20"/>
          <w:color w:val="auto"/>
        </w:rPr>
      </w:pPr>
      <w:r>
        <w:rPr>
          <w:rFonts w:ascii="Arial" w:cs="Arial" w:eastAsia="Arial" w:hAnsi="Arial"/>
          <w:sz w:val="14"/>
          <w:szCs w:val="14"/>
          <w:color w:val="auto"/>
        </w:rPr>
        <w:t xml:space="preserve">We are committed to adhering to the highest ethical standards when engaging in any political activities. Reflecting this commitment, the board of directors (upon the recommendation of the Corporate Governance and Compliance Committee) has adopted the Company’s Corporate Political Contributions Policy, a formal written policy that, together with our code of business conduct and ethics, sets forth our policies and procedures on political contributions and political activity. The policy is available on our website at </w:t>
      </w:r>
      <w:r>
        <w:rPr>
          <w:rFonts w:ascii="Arial" w:cs="Arial" w:eastAsia="Arial" w:hAnsi="Arial"/>
          <w:sz w:val="14"/>
          <w:szCs w:val="14"/>
          <w:b w:val="1"/>
          <w:bCs w:val="1"/>
          <w:color w:val="215AA8"/>
        </w:rPr>
        <w:t>www.regeneron.com</w:t>
      </w:r>
      <w:r>
        <w:rPr>
          <w:rFonts w:ascii="Arial" w:cs="Arial" w:eastAsia="Arial" w:hAnsi="Arial"/>
          <w:sz w:val="14"/>
          <w:szCs w:val="14"/>
          <w:color w:val="auto"/>
        </w:rPr>
        <w:t xml:space="preserve"> under the “Transparency &amp; Policies” heading on the “Responsibility” page.</w:t>
      </w:r>
    </w:p>
    <w:p>
      <w:pPr>
        <w:spacing w:after="0" w:line="223"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Stock Ownership Guidelines</w:t>
      </w:r>
    </w:p>
    <w:p>
      <w:pPr>
        <w:spacing w:after="0" w:line="180" w:lineRule="exact"/>
        <w:rPr>
          <w:sz w:val="20"/>
          <w:szCs w:val="20"/>
          <w:color w:val="auto"/>
        </w:rPr>
      </w:pPr>
    </w:p>
    <w:p>
      <w:pPr>
        <w:ind w:left="10"/>
        <w:spacing w:after="0"/>
        <w:rPr>
          <w:sz w:val="20"/>
          <w:szCs w:val="20"/>
          <w:color w:val="auto"/>
        </w:rPr>
      </w:pPr>
      <w:r>
        <w:rPr>
          <w:rFonts w:ascii="Arial" w:cs="Arial" w:eastAsia="Arial" w:hAnsi="Arial"/>
          <w:sz w:val="14"/>
          <w:szCs w:val="14"/>
          <w:color w:val="auto"/>
        </w:rPr>
        <w:t>We maintain robust stock ownership guidelines for our directors, executive officers, and other senior executives,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65975" cy="6616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5975" cy="661670"/>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p>
      <w:pPr>
        <w:spacing w:after="0" w:line="337" w:lineRule="exact"/>
        <w:rPr>
          <w:sz w:val="20"/>
          <w:szCs w:val="20"/>
          <w:color w:val="auto"/>
        </w:rPr>
      </w:pPr>
    </w:p>
    <w:p>
      <w:pPr>
        <w:ind w:left="170"/>
        <w:spacing w:after="0"/>
        <w:rPr>
          <w:sz w:val="20"/>
          <w:szCs w:val="20"/>
          <w:color w:val="auto"/>
        </w:rPr>
      </w:pPr>
      <w:r>
        <w:rPr>
          <w:rFonts w:ascii="Arial" w:cs="Arial" w:eastAsia="Arial" w:hAnsi="Arial"/>
          <w:sz w:val="12"/>
          <w:szCs w:val="12"/>
          <w:b w:val="1"/>
          <w:bCs w:val="1"/>
          <w:color w:val="215AA8"/>
        </w:rPr>
        <w:t>Non-Employee Directors</w:t>
      </w:r>
    </w:p>
    <w:p>
      <w:pPr>
        <w:spacing w:after="0" w:line="73" w:lineRule="exact"/>
        <w:rPr>
          <w:sz w:val="20"/>
          <w:szCs w:val="20"/>
          <w:color w:val="auto"/>
        </w:rPr>
      </w:pPr>
    </w:p>
    <w:p>
      <w:pPr>
        <w:ind w:left="170"/>
        <w:spacing w:after="0" w:line="257" w:lineRule="auto"/>
        <w:rPr>
          <w:sz w:val="20"/>
          <w:szCs w:val="20"/>
          <w:color w:val="auto"/>
        </w:rPr>
      </w:pPr>
      <w:r>
        <w:rPr>
          <w:rFonts w:ascii="Arial" w:cs="Arial" w:eastAsia="Arial" w:hAnsi="Arial"/>
          <w:sz w:val="14"/>
          <w:szCs w:val="14"/>
          <w:color w:val="auto"/>
        </w:rPr>
        <w:t>Must own* shares with a value at least 3x their annual retainers.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b w:val="1"/>
          <w:bCs w:val="1"/>
          <w:color w:val="215AA8"/>
        </w:rPr>
        <w:t>CEO and CSO</w:t>
      </w:r>
    </w:p>
    <w:p>
      <w:pPr>
        <w:spacing w:after="0" w:line="73" w:lineRule="exact"/>
        <w:rPr>
          <w:sz w:val="20"/>
          <w:szCs w:val="20"/>
          <w:color w:val="auto"/>
        </w:rPr>
      </w:pPr>
    </w:p>
    <w:p>
      <w:pPr>
        <w:ind w:right="320"/>
        <w:spacing w:after="0" w:line="257" w:lineRule="auto"/>
        <w:rPr>
          <w:sz w:val="20"/>
          <w:szCs w:val="20"/>
          <w:color w:val="auto"/>
        </w:rPr>
      </w:pPr>
      <w:r>
        <w:rPr>
          <w:rFonts w:ascii="Arial" w:cs="Arial" w:eastAsia="Arial" w:hAnsi="Arial"/>
          <w:sz w:val="14"/>
          <w:szCs w:val="14"/>
          <w:color w:val="auto"/>
        </w:rPr>
        <w:t>Must own* shares with a value at least 6x their applicable base salaries.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b w:val="1"/>
          <w:bCs w:val="1"/>
          <w:color w:val="215AA8"/>
        </w:rPr>
        <w:t>Other Executive Officers and Senior Executives</w:t>
      </w:r>
    </w:p>
    <w:p>
      <w:pPr>
        <w:spacing w:after="0" w:line="73" w:lineRule="exact"/>
        <w:rPr>
          <w:sz w:val="20"/>
          <w:szCs w:val="20"/>
          <w:color w:val="auto"/>
        </w:rPr>
      </w:pPr>
    </w:p>
    <w:p>
      <w:pPr>
        <w:ind w:right="660"/>
        <w:spacing w:after="0" w:line="274" w:lineRule="auto"/>
        <w:rPr>
          <w:sz w:val="20"/>
          <w:szCs w:val="20"/>
          <w:color w:val="auto"/>
        </w:rPr>
      </w:pPr>
      <w:r>
        <w:rPr>
          <w:rFonts w:ascii="Arial" w:cs="Arial" w:eastAsia="Arial" w:hAnsi="Arial"/>
          <w:sz w:val="14"/>
          <w:szCs w:val="14"/>
          <w:color w:val="auto"/>
        </w:rPr>
        <w:t>Must own* shares with a value at least 2x their applicable base salaries.</w:t>
      </w:r>
    </w:p>
    <w:p>
      <w:pPr>
        <w:spacing w:after="0" w:line="200" w:lineRule="exact"/>
        <w:rPr>
          <w:sz w:val="20"/>
          <w:szCs w:val="20"/>
          <w:color w:val="auto"/>
        </w:rPr>
      </w:pPr>
    </w:p>
    <w:p>
      <w:pPr>
        <w:sectPr>
          <w:pgSz w:w="11900" w:h="16838" w:orient="portrait"/>
          <w:cols w:equalWidth="0" w:num="3">
            <w:col w:w="3390" w:space="620"/>
            <w:col w:w="3100" w:space="720"/>
            <w:col w:w="3440"/>
          </w:cols>
          <w:pgMar w:left="310" w:top="215" w:right="319" w:bottom="1440" w:gutter="0" w:footer="0" w:header="0"/>
          <w:type w:val="continuous"/>
        </w:sectPr>
      </w:pPr>
    </w:p>
    <w:p>
      <w:pPr>
        <w:spacing w:after="0" w:line="189" w:lineRule="exact"/>
        <w:rPr>
          <w:sz w:val="20"/>
          <w:szCs w:val="20"/>
          <w:color w:val="auto"/>
        </w:rPr>
      </w:pPr>
    </w:p>
    <w:p>
      <w:pPr>
        <w:ind w:left="150" w:hanging="150"/>
        <w:spacing w:after="0" w:line="270" w:lineRule="auto"/>
        <w:tabs>
          <w:tab w:leader="none" w:pos="150" w:val="left"/>
        </w:tabs>
        <w:numPr>
          <w:ilvl w:val="0"/>
          <w:numId w:val="70"/>
        </w:numPr>
        <w:rPr>
          <w:rFonts w:ascii="Arial" w:cs="Arial" w:eastAsia="Arial" w:hAnsi="Arial"/>
          <w:sz w:val="12"/>
          <w:szCs w:val="12"/>
          <w:color w:val="auto"/>
        </w:rPr>
      </w:pPr>
      <w:r>
        <w:rPr>
          <w:rFonts w:ascii="Arial" w:cs="Arial" w:eastAsia="Arial" w:hAnsi="Arial"/>
          <w:sz w:val="12"/>
          <w:szCs w:val="12"/>
          <w:color w:val="auto"/>
        </w:rPr>
        <w:t>For purposes of our stock ownership guidelines, “owned” shares include shares of the Company’s Class A stock and common stock as well as shares subject to outstanding time-based restricted stock and time-based restricted stock unit awards. Shares subject to unexercised stock options or unvested performance-based restricted stock unit awards are not considered “owned” for purposes of these guidelines.</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45</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The Company</w:t>
            </w:r>
          </w:p>
        </w:tc>
        <w:tc>
          <w:tcPr>
            <w:tcW w:w="26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32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900" w:type="dxa"/>
            <w:vAlign w:val="bottom"/>
            <w:tcBorders>
              <w:bottom w:val="single" w:sz="8" w:color="D60058"/>
            </w:tcBorders>
            <w:vMerge w:val="continue"/>
          </w:tcPr>
          <w:p>
            <w:pPr>
              <w:spacing w:after="0"/>
              <w:rPr>
                <w:sz w:val="17"/>
                <w:szCs w:val="17"/>
                <w:color w:val="auto"/>
              </w:rPr>
            </w:pPr>
          </w:p>
        </w:tc>
        <w:tc>
          <w:tcPr>
            <w:tcW w:w="2600" w:type="dxa"/>
            <w:vAlign w:val="bottom"/>
          </w:tcPr>
          <w:p>
            <w:pPr>
              <w:ind w:left="11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30"/>
          <w:szCs w:val="30"/>
          <w:b w:val="1"/>
          <w:bCs w:val="1"/>
          <w:color w:val="D60058"/>
        </w:rPr>
        <w:t>Certain Relationships and Related Transactions</w:t>
      </w:r>
    </w:p>
    <w:p>
      <w:pPr>
        <w:spacing w:after="0" w:line="267"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Review, Approval, or Ratification of Transactions with Related Persons</w:t>
      </w:r>
    </w:p>
    <w:p>
      <w:pPr>
        <w:spacing w:after="0" w:line="180"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The board of directors has adopted a written policy for the review, approval, or ratification of related person transactions. The Company considers transactions (or a series of related transactions) in which the Company is a participant, the amount involved exceeds $10,000 in any calendar year, and a director, officer, more than 5% holder of our voting securities, any immediate family member of any of the foregoing, or any related entity of any of the foregoing has a direct or indirect material interest to constitute related person transactions. The policy provides for a standing pre-approval of transactions with any passive institutional shareholder who holds more than 5% of our voting securities and transactions where all shareholders receive proportional benefits. With respect to any new transaction that is deemed pre-approved, the Audit Committee receives a summary of each such transaction and retains the ability to require that one or more of such transactions be subject to the standard approval procedures. The policy also requires that the arrangements relating to a permanent, full-time employment of an immediate family member of a director or executive officer hired by the Company be approved in accordance with the policy. In addition, in the event a person is or becomes a director or executive officer of the Company and an immediate family member of such person is a permanent, full-time employee of the Company, no material, outside-of-the-ordinary-course-of-business change in the terms of employment, including compensation, is permitted to be made without the prior approval of the Audit Committee (except, if the immediate family member is himself or herself an executive officer of the Company, any proposed change in the terms of employment is reviewed and approved in the same manner as compensatory arrangements of other executive officers).</w:t>
      </w:r>
    </w:p>
    <w:p>
      <w:pPr>
        <w:spacing w:after="0" w:line="142" w:lineRule="exact"/>
        <w:rPr>
          <w:sz w:val="20"/>
          <w:szCs w:val="20"/>
          <w:color w:val="auto"/>
        </w:rPr>
      </w:pPr>
    </w:p>
    <w:p>
      <w:pPr>
        <w:ind w:right="180"/>
        <w:spacing w:after="0" w:line="242" w:lineRule="auto"/>
        <w:rPr>
          <w:sz w:val="20"/>
          <w:szCs w:val="20"/>
          <w:color w:val="auto"/>
        </w:rPr>
      </w:pPr>
      <w:r>
        <w:rPr>
          <w:rFonts w:ascii="Arial" w:cs="Arial" w:eastAsia="Arial" w:hAnsi="Arial"/>
          <w:sz w:val="14"/>
          <w:szCs w:val="14"/>
          <w:color w:val="auto"/>
        </w:rPr>
        <w:t>The board of directors has determined that the members of the Audit Committee are best suited to review and approve related person transactions. Accordingly, each related person transaction (other than a transaction that is deemed pre-approved as described above) must be reviewed and approved or ratified by the members of the Audit Committee, other than any member of the Audit Committee that has an interest in the transaction. Under the policy, the Chair of the Audit Committee is delegated the authority to approve certain related person transactions that require urgent review and approval.</w:t>
      </w:r>
    </w:p>
    <w:p>
      <w:pPr>
        <w:spacing w:after="0" w:line="139" w:lineRule="exact"/>
        <w:rPr>
          <w:sz w:val="20"/>
          <w:szCs w:val="20"/>
          <w:color w:val="auto"/>
        </w:rPr>
      </w:pPr>
    </w:p>
    <w:p>
      <w:pPr>
        <w:ind w:right="320"/>
        <w:spacing w:after="0" w:line="242" w:lineRule="auto"/>
        <w:rPr>
          <w:sz w:val="20"/>
          <w:szCs w:val="20"/>
          <w:color w:val="auto"/>
        </w:rPr>
      </w:pPr>
      <w:r>
        <w:rPr>
          <w:rFonts w:ascii="Arial" w:cs="Arial" w:eastAsia="Arial" w:hAnsi="Arial"/>
          <w:sz w:val="14"/>
          <w:szCs w:val="14"/>
          <w:color w:val="auto"/>
        </w:rPr>
        <w:t>When reviewing, approving, or ratifying a related person transaction, the Audit Committee will consider several factors, including the benefits to the Company, the impact on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 of the Audit Committee pursuant to delegated authority in the circumstances noted above) determines that they are in, or are not inconsistent with, the best interests of the Company and our shareholders.</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Transactions with Related Persons</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Stanford University</w:t>
      </w:r>
    </w:p>
    <w:p>
      <w:pPr>
        <w:spacing w:after="0" w:line="174" w:lineRule="exact"/>
        <w:rPr>
          <w:sz w:val="20"/>
          <w:szCs w:val="20"/>
          <w:color w:val="auto"/>
        </w:rPr>
      </w:pPr>
    </w:p>
    <w:p>
      <w:pPr>
        <w:ind w:right="60"/>
        <w:spacing w:after="0"/>
        <w:rPr>
          <w:sz w:val="20"/>
          <w:szCs w:val="20"/>
          <w:color w:val="auto"/>
        </w:rPr>
      </w:pPr>
      <w:r>
        <w:rPr>
          <w:rFonts w:ascii="Arial" w:cs="Arial" w:eastAsia="Arial" w:hAnsi="Arial"/>
          <w:sz w:val="14"/>
          <w:szCs w:val="14"/>
          <w:color w:val="auto"/>
        </w:rPr>
        <w:t>Dr. Marc Tessier-Lavigne, who retired from the board of directors in September 2023, served as the President of Stanford University until August 2023. In 2023, we made payments to Stanford University of approximately $882,000 in the aggregate consisting of payments for services provided in connection with clinical trials entered into in the ordinary course of business, a medical education fellowship grant, the sponsorship of medical education conferences or other related events at Stanford, membership fees for an education affiliate program, and certain contractual royalty and licensing payments. In 2024 through the end of the first quarter, we made payments to Stanford of $10,000 in the aggregate relating to a contractual royalty payment and the sponsorship of a medical education conference.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46</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The Company</w:t>
            </w:r>
          </w:p>
        </w:tc>
        <w:tc>
          <w:tcPr>
            <w:tcW w:w="26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32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900" w:type="dxa"/>
            <w:vAlign w:val="bottom"/>
            <w:tcBorders>
              <w:bottom w:val="single" w:sz="8" w:color="D60058"/>
            </w:tcBorders>
            <w:vMerge w:val="continue"/>
          </w:tcPr>
          <w:p>
            <w:pPr>
              <w:spacing w:after="0"/>
              <w:rPr>
                <w:sz w:val="17"/>
                <w:szCs w:val="17"/>
                <w:color w:val="auto"/>
              </w:rPr>
            </w:pPr>
          </w:p>
        </w:tc>
        <w:tc>
          <w:tcPr>
            <w:tcW w:w="2600" w:type="dxa"/>
            <w:vAlign w:val="bottom"/>
          </w:tcPr>
          <w:p>
            <w:pPr>
              <w:ind w:left="11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Other</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Indemnification of Directors and Officers</w:t>
      </w:r>
    </w:p>
    <w:p>
      <w:pPr>
        <w:spacing w:after="0" w:line="174"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Our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 In addition, our By-Laws provide that we shall indemnify our directors and certain of our other personnel against expenses (including attorneys’ fees) and certain other liabilities, including judgments, fines, and amounts paid in settlement, arising out of or incurred as a result of legal actions brought or threatened against them by reason of their position in our Company, subject to certain qualifications and provided that each such person acted in good faith, in a manner that they reasonably believed was in the Company’s best interest, and, where applicable, not unlawful. Subject to the provisions of our Certificate of Incorporation, our By-Laws, and the New York Business Corporation Law, we may also advance expenses of the individuals entitled to indemnification.</w:t>
      </w:r>
    </w:p>
    <w:p>
      <w:pPr>
        <w:spacing w:after="0" w:line="222" w:lineRule="exact"/>
        <w:rPr>
          <w:sz w:val="20"/>
          <w:szCs w:val="20"/>
          <w:color w:val="auto"/>
        </w:rPr>
      </w:pPr>
    </w:p>
    <w:p>
      <w:pPr>
        <w:spacing w:after="0"/>
        <w:rPr>
          <w:sz w:val="20"/>
          <w:szCs w:val="20"/>
          <w:color w:val="auto"/>
        </w:rPr>
      </w:pPr>
      <w:r>
        <w:rPr>
          <w:rFonts w:ascii="Arial" w:cs="Arial" w:eastAsia="Arial" w:hAnsi="Arial"/>
          <w:sz w:val="30"/>
          <w:szCs w:val="30"/>
          <w:b w:val="1"/>
          <w:bCs w:val="1"/>
          <w:color w:val="D60058"/>
        </w:rPr>
        <w:t>Audit Matters</w:t>
      </w:r>
    </w:p>
    <w:p>
      <w:pPr>
        <w:spacing w:after="0" w:line="267"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Introduction</w:t>
      </w:r>
    </w:p>
    <w:p>
      <w:pPr>
        <w:spacing w:after="0" w:line="180"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The Audit Committee has appointed PricewaterhouseCoopers LLP as the Company’s independent registered public accounting firm for the fiscal year ending December 31, 2024. PricewaterhouseCoopers LLP (or its predecessor) has audited the Company’s financial statements for the past 35 years. The Audit Committee believes that the continued engagement of one independent registered public accounting firm contributes to higher quality audit work and greater operational efficiencies by leveraging PricewaterhouseCoopers LLP’s deep institutional knowledge of our operations and business, accounting policies and practices, and internal controls. SEC rules and PricewaterhouseCoopers LLP policies require the lead audit partner to be rotated at least every five years. The Audit Committee and its Chair are involved in the selection of PricewaterhouseCoopers LLP’s lead audit partner pursuant to this rotation. A new lead audit partner was selected beginning with the fiscal year 2022 audit. Additionally, in order to ensure continuing auditor independence, the Audit Committee periodically considers whether there should be a regular rotation of the Company’s independent registered public accounting firm.</w:t>
      </w:r>
    </w:p>
    <w:p>
      <w:pPr>
        <w:spacing w:after="0" w:line="143" w:lineRule="exact"/>
        <w:rPr>
          <w:sz w:val="20"/>
          <w:szCs w:val="20"/>
          <w:color w:val="auto"/>
        </w:rPr>
      </w:pPr>
    </w:p>
    <w:p>
      <w:pPr>
        <w:ind w:right="160"/>
        <w:spacing w:after="0" w:line="257" w:lineRule="auto"/>
        <w:rPr>
          <w:sz w:val="20"/>
          <w:szCs w:val="20"/>
          <w:color w:val="auto"/>
        </w:rPr>
      </w:pPr>
      <w:r>
        <w:rPr>
          <w:rFonts w:ascii="Arial" w:cs="Arial" w:eastAsia="Arial" w:hAnsi="Arial"/>
          <w:sz w:val="14"/>
          <w:szCs w:val="14"/>
          <w:color w:val="auto"/>
        </w:rPr>
        <w:t>The Audit Committee and the board of directors believe that the continued retention of PricewaterhouseCoopers LLP to serve as the Company’s independent registered public accounting firm is in the best interests of the Company and its shareholders.</w:t>
      </w:r>
    </w:p>
    <w:p>
      <w:pPr>
        <w:spacing w:after="0" w:line="128"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The board of directors has directed that the appointment of PricewaterhouseCoopers LLP as the Company’s independent registered public accounting firm for fiscal year 2024 be submitted for ratification by the shareholders at the 2024 Annual Meeting. Shareholder ratification of the appointment of PricewaterhouseCoopers LLP as the Company’s independent registered public accounting firm for fiscal year 2024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2024, the board of directors will consider the matter at its next meeting. Even if the selection is ratified, the Audit Committee may in its discretion select a different independent registered public accounting firm at any time during the year if it determines that such a change would be in the best interests of the Company and its shareholders.</w:t>
      </w:r>
    </w:p>
    <w:p>
      <w:pPr>
        <w:spacing w:after="0" w:line="141" w:lineRule="exact"/>
        <w:rPr>
          <w:sz w:val="20"/>
          <w:szCs w:val="20"/>
          <w:color w:val="auto"/>
        </w:rPr>
      </w:pPr>
    </w:p>
    <w:p>
      <w:pPr>
        <w:ind w:right="660"/>
        <w:spacing w:after="0" w:line="257" w:lineRule="auto"/>
        <w:rPr>
          <w:sz w:val="20"/>
          <w:szCs w:val="20"/>
          <w:color w:val="auto"/>
        </w:rPr>
      </w:pPr>
      <w:r>
        <w:rPr>
          <w:rFonts w:ascii="Arial" w:cs="Arial" w:eastAsia="Arial" w:hAnsi="Arial"/>
          <w:sz w:val="14"/>
          <w:szCs w:val="14"/>
          <w:color w:val="auto"/>
        </w:rPr>
        <w:t>PricewaterhouseCoopers LLP has advised the Company that it will have in attendance at the 2024 Annual Meeting a representative who will be afforded an opportunity to make a statement, if such representative desires to do so, and will respond to appropriate questions presented at the 2024 Annual Meeting.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47</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The Company</w:t>
            </w:r>
          </w:p>
        </w:tc>
        <w:tc>
          <w:tcPr>
            <w:tcW w:w="26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32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900" w:type="dxa"/>
            <w:vAlign w:val="bottom"/>
            <w:tcBorders>
              <w:bottom w:val="single" w:sz="8" w:color="D60058"/>
            </w:tcBorders>
            <w:vMerge w:val="continue"/>
          </w:tcPr>
          <w:p>
            <w:pPr>
              <w:spacing w:after="0"/>
              <w:rPr>
                <w:sz w:val="17"/>
                <w:szCs w:val="17"/>
                <w:color w:val="auto"/>
              </w:rPr>
            </w:pPr>
          </w:p>
        </w:tc>
        <w:tc>
          <w:tcPr>
            <w:tcW w:w="2600" w:type="dxa"/>
            <w:vAlign w:val="bottom"/>
          </w:tcPr>
          <w:p>
            <w:pPr>
              <w:ind w:left="11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Information about Fees Paid to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Aggregate fees incurred related to services provided to the Company by PricewaterhouseCoopers LLP for the years ended December 31, 2023 and 2022 were: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Borders>
              <w:bottom w:val="single" w:sz="8" w:color="215AA8"/>
            </w:tcBorders>
          </w:tcPr>
          <w:p>
            <w:pPr>
              <w:spacing w:after="0"/>
              <w:rPr>
                <w:sz w:val="14"/>
                <w:szCs w:val="14"/>
                <w:color w:val="auto"/>
              </w:rPr>
            </w:pPr>
          </w:p>
        </w:tc>
        <w:tc>
          <w:tcPr>
            <w:tcW w:w="5020" w:type="dxa"/>
            <w:vAlign w:val="bottom"/>
            <w:tcBorders>
              <w:bottom w:val="single" w:sz="8" w:color="215AA8"/>
            </w:tcBorders>
          </w:tcPr>
          <w:p>
            <w:pPr>
              <w:jc w:val="right"/>
              <w:ind w:right="312"/>
              <w:spacing w:after="0"/>
              <w:rPr>
                <w:sz w:val="20"/>
                <w:szCs w:val="20"/>
                <w:color w:val="auto"/>
              </w:rPr>
            </w:pPr>
            <w:r>
              <w:rPr>
                <w:rFonts w:ascii="Arial" w:cs="Arial" w:eastAsia="Arial" w:hAnsi="Arial"/>
                <w:sz w:val="14"/>
                <w:szCs w:val="14"/>
                <w:color w:val="215AA8"/>
              </w:rPr>
              <w:t>2023 ($)</w:t>
            </w:r>
          </w:p>
        </w:tc>
        <w:tc>
          <w:tcPr>
            <w:tcW w:w="102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215AA8"/>
              </w:rPr>
              <w:t>2022 ($)</w:t>
            </w:r>
          </w:p>
        </w:tc>
      </w:tr>
      <w:tr>
        <w:trPr>
          <w:trHeight w:val="158"/>
        </w:trPr>
        <w:tc>
          <w:tcPr>
            <w:tcW w:w="5220" w:type="dxa"/>
            <w:vAlign w:val="bottom"/>
            <w:tcBorders>
              <w:bottom w:val="single" w:sz="8" w:color="949599"/>
            </w:tcBorders>
          </w:tcPr>
          <w:p>
            <w:pPr>
              <w:ind w:left="40"/>
              <w:spacing w:after="0" w:line="157" w:lineRule="exact"/>
              <w:rPr>
                <w:sz w:val="20"/>
                <w:szCs w:val="20"/>
                <w:color w:val="auto"/>
              </w:rPr>
            </w:pPr>
            <w:r>
              <w:rPr>
                <w:rFonts w:ascii="Arial" w:cs="Arial" w:eastAsia="Arial" w:hAnsi="Arial"/>
                <w:sz w:val="14"/>
                <w:szCs w:val="14"/>
                <w:color w:val="auto"/>
              </w:rPr>
              <w:t>Audit Fees</w:t>
            </w:r>
          </w:p>
        </w:tc>
        <w:tc>
          <w:tcPr>
            <w:tcW w:w="5020" w:type="dxa"/>
            <w:vAlign w:val="bottom"/>
            <w:tcBorders>
              <w:bottom w:val="single" w:sz="8" w:color="949599"/>
            </w:tcBorders>
          </w:tcPr>
          <w:p>
            <w:pPr>
              <w:jc w:val="right"/>
              <w:ind w:right="312"/>
              <w:spacing w:after="0" w:line="157" w:lineRule="exact"/>
              <w:rPr>
                <w:sz w:val="20"/>
                <w:szCs w:val="20"/>
                <w:color w:val="auto"/>
              </w:rPr>
            </w:pPr>
            <w:r>
              <w:rPr>
                <w:rFonts w:ascii="Arial" w:cs="Arial" w:eastAsia="Arial" w:hAnsi="Arial"/>
                <w:sz w:val="14"/>
                <w:szCs w:val="14"/>
                <w:color w:val="auto"/>
              </w:rPr>
              <w:t>3,467,873</w:t>
            </w:r>
          </w:p>
        </w:tc>
        <w:tc>
          <w:tcPr>
            <w:tcW w:w="1020" w:type="dxa"/>
            <w:vAlign w:val="bottom"/>
            <w:tcBorders>
              <w:bottom w:val="single" w:sz="8" w:color="949599"/>
            </w:tcBorders>
          </w:tcPr>
          <w:p>
            <w:pPr>
              <w:jc w:val="right"/>
              <w:spacing w:after="0" w:line="157" w:lineRule="exact"/>
              <w:rPr>
                <w:sz w:val="20"/>
                <w:szCs w:val="20"/>
                <w:color w:val="auto"/>
              </w:rPr>
            </w:pPr>
            <w:r>
              <w:rPr>
                <w:rFonts w:ascii="Arial" w:cs="Arial" w:eastAsia="Arial" w:hAnsi="Arial"/>
                <w:sz w:val="14"/>
                <w:szCs w:val="14"/>
                <w:color w:val="auto"/>
              </w:rPr>
              <w:t>3,178,445</w:t>
            </w:r>
          </w:p>
        </w:tc>
      </w:tr>
      <w:tr>
        <w:trPr>
          <w:trHeight w:val="149"/>
        </w:trPr>
        <w:tc>
          <w:tcPr>
            <w:tcW w:w="5220" w:type="dxa"/>
            <w:vAlign w:val="bottom"/>
            <w:tcBorders>
              <w:bottom w:val="single" w:sz="8" w:color="949599"/>
            </w:tcBorders>
            <w:shd w:val="clear" w:color="auto" w:fill="E8ECF5"/>
          </w:tcPr>
          <w:p>
            <w:pPr>
              <w:ind w:left="40"/>
              <w:spacing w:after="0" w:line="149" w:lineRule="exact"/>
              <w:rPr>
                <w:sz w:val="20"/>
                <w:szCs w:val="20"/>
                <w:color w:val="auto"/>
              </w:rPr>
            </w:pPr>
            <w:r>
              <w:rPr>
                <w:rFonts w:ascii="Arial" w:cs="Arial" w:eastAsia="Arial" w:hAnsi="Arial"/>
                <w:sz w:val="14"/>
                <w:szCs w:val="14"/>
                <w:color w:val="auto"/>
              </w:rPr>
              <w:t>Audit-Related Fees</w:t>
            </w:r>
          </w:p>
        </w:tc>
        <w:tc>
          <w:tcPr>
            <w:tcW w:w="5020" w:type="dxa"/>
            <w:vAlign w:val="bottom"/>
            <w:tcBorders>
              <w:bottom w:val="single" w:sz="8" w:color="949599"/>
            </w:tcBorders>
            <w:shd w:val="clear" w:color="auto" w:fill="E8ECF5"/>
          </w:tcPr>
          <w:p>
            <w:pPr>
              <w:jc w:val="right"/>
              <w:ind w:right="312"/>
              <w:spacing w:after="0" w:line="149" w:lineRule="exact"/>
              <w:rPr>
                <w:sz w:val="20"/>
                <w:szCs w:val="20"/>
                <w:color w:val="auto"/>
              </w:rPr>
            </w:pPr>
            <w:r>
              <w:rPr>
                <w:rFonts w:ascii="Arial" w:cs="Arial" w:eastAsia="Arial" w:hAnsi="Arial"/>
                <w:sz w:val="14"/>
                <w:szCs w:val="14"/>
                <w:color w:val="auto"/>
              </w:rPr>
              <w:t>25,000</w:t>
            </w:r>
          </w:p>
        </w:tc>
        <w:tc>
          <w:tcPr>
            <w:tcW w:w="1020" w:type="dxa"/>
            <w:vAlign w:val="bottom"/>
            <w:tcBorders>
              <w:bottom w:val="single" w:sz="8" w:color="949599"/>
            </w:tcBorders>
            <w:shd w:val="clear" w:color="auto" w:fill="E8ECF5"/>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220" w:type="dxa"/>
            <w:vAlign w:val="bottom"/>
            <w:tcBorders>
              <w:bottom w:val="single" w:sz="8" w:color="949599"/>
            </w:tcBorders>
          </w:tcPr>
          <w:p>
            <w:pPr>
              <w:ind w:left="40"/>
              <w:spacing w:after="0" w:line="149" w:lineRule="exact"/>
              <w:rPr>
                <w:sz w:val="20"/>
                <w:szCs w:val="20"/>
                <w:color w:val="auto"/>
              </w:rPr>
            </w:pPr>
            <w:r>
              <w:rPr>
                <w:rFonts w:ascii="Arial" w:cs="Arial" w:eastAsia="Arial" w:hAnsi="Arial"/>
                <w:sz w:val="14"/>
                <w:szCs w:val="14"/>
                <w:color w:val="auto"/>
              </w:rPr>
              <w:t>Tax Fees</w:t>
            </w:r>
          </w:p>
        </w:tc>
        <w:tc>
          <w:tcPr>
            <w:tcW w:w="5020" w:type="dxa"/>
            <w:vAlign w:val="bottom"/>
            <w:tcBorders>
              <w:bottom w:val="single" w:sz="8" w:color="949599"/>
            </w:tcBorders>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81,709</w:t>
            </w:r>
          </w:p>
        </w:tc>
      </w:tr>
      <w:tr>
        <w:trPr>
          <w:trHeight w:val="149"/>
        </w:trPr>
        <w:tc>
          <w:tcPr>
            <w:tcW w:w="5220" w:type="dxa"/>
            <w:vAlign w:val="bottom"/>
            <w:tcBorders>
              <w:bottom w:val="single" w:sz="8" w:color="949599"/>
            </w:tcBorders>
            <w:shd w:val="clear" w:color="auto" w:fill="E8ECF5"/>
          </w:tcPr>
          <w:p>
            <w:pPr>
              <w:ind w:left="40"/>
              <w:spacing w:after="0" w:line="149" w:lineRule="exact"/>
              <w:rPr>
                <w:sz w:val="20"/>
                <w:szCs w:val="20"/>
                <w:color w:val="auto"/>
              </w:rPr>
            </w:pPr>
            <w:r>
              <w:rPr>
                <w:rFonts w:ascii="Arial" w:cs="Arial" w:eastAsia="Arial" w:hAnsi="Arial"/>
                <w:sz w:val="14"/>
                <w:szCs w:val="14"/>
                <w:color w:val="auto"/>
              </w:rPr>
              <w:t>All Other Fees</w:t>
            </w:r>
          </w:p>
        </w:tc>
        <w:tc>
          <w:tcPr>
            <w:tcW w:w="5020" w:type="dxa"/>
            <w:vAlign w:val="bottom"/>
            <w:tcBorders>
              <w:bottom w:val="single" w:sz="8" w:color="949599"/>
            </w:tcBorders>
            <w:shd w:val="clear" w:color="auto" w:fill="E8ECF5"/>
          </w:tcPr>
          <w:p>
            <w:pPr>
              <w:jc w:val="right"/>
              <w:ind w:right="312"/>
              <w:spacing w:after="0" w:line="149" w:lineRule="exact"/>
              <w:rPr>
                <w:sz w:val="20"/>
                <w:szCs w:val="20"/>
                <w:color w:val="auto"/>
              </w:rPr>
            </w:pPr>
            <w:r>
              <w:rPr>
                <w:rFonts w:ascii="Arial" w:cs="Arial" w:eastAsia="Arial" w:hAnsi="Arial"/>
                <w:sz w:val="14"/>
                <w:szCs w:val="14"/>
                <w:color w:val="auto"/>
              </w:rPr>
              <w:t>6,195</w:t>
            </w:r>
          </w:p>
        </w:tc>
        <w:tc>
          <w:tcPr>
            <w:tcW w:w="1020" w:type="dxa"/>
            <w:vAlign w:val="bottom"/>
            <w:tcBorders>
              <w:bottom w:val="single" w:sz="8" w:color="949599"/>
            </w:tcBorders>
            <w:shd w:val="clear" w:color="auto" w:fill="E8ECF5"/>
          </w:tcPr>
          <w:p>
            <w:pPr>
              <w:jc w:val="right"/>
              <w:spacing w:after="0" w:line="149" w:lineRule="exact"/>
              <w:rPr>
                <w:sz w:val="20"/>
                <w:szCs w:val="20"/>
                <w:color w:val="auto"/>
              </w:rPr>
            </w:pPr>
            <w:r>
              <w:rPr>
                <w:rFonts w:ascii="Arial" w:cs="Arial" w:eastAsia="Arial" w:hAnsi="Arial"/>
                <w:sz w:val="14"/>
                <w:szCs w:val="14"/>
                <w:color w:val="auto"/>
              </w:rPr>
              <w:t>6,335</w:t>
            </w:r>
          </w:p>
        </w:tc>
      </w:tr>
      <w:tr>
        <w:trPr>
          <w:trHeight w:val="151"/>
        </w:trPr>
        <w:tc>
          <w:tcPr>
            <w:tcW w:w="5220" w:type="dxa"/>
            <w:vAlign w:val="bottom"/>
            <w:tcBorders>
              <w:bottom w:val="single" w:sz="8" w:color="215AA8"/>
            </w:tcBorders>
          </w:tcPr>
          <w:p>
            <w:pPr>
              <w:ind w:left="40"/>
              <w:spacing w:after="0" w:line="149" w:lineRule="exact"/>
              <w:rPr>
                <w:sz w:val="20"/>
                <w:szCs w:val="20"/>
                <w:color w:val="auto"/>
              </w:rPr>
            </w:pPr>
            <w:r>
              <w:rPr>
                <w:rFonts w:ascii="Arial" w:cs="Arial" w:eastAsia="Arial" w:hAnsi="Arial"/>
                <w:sz w:val="14"/>
                <w:szCs w:val="14"/>
                <w:b w:val="1"/>
                <w:bCs w:val="1"/>
                <w:color w:val="auto"/>
              </w:rPr>
              <w:t>Total Fees</w:t>
            </w:r>
          </w:p>
        </w:tc>
        <w:tc>
          <w:tcPr>
            <w:tcW w:w="5020" w:type="dxa"/>
            <w:vAlign w:val="bottom"/>
            <w:tcBorders>
              <w:bottom w:val="single" w:sz="8" w:color="215AA8"/>
            </w:tcBorders>
          </w:tcPr>
          <w:p>
            <w:pPr>
              <w:jc w:val="right"/>
              <w:ind w:right="312"/>
              <w:spacing w:after="0" w:line="149" w:lineRule="exact"/>
              <w:rPr>
                <w:sz w:val="20"/>
                <w:szCs w:val="20"/>
                <w:color w:val="auto"/>
              </w:rPr>
            </w:pPr>
            <w:r>
              <w:rPr>
                <w:rFonts w:ascii="Arial" w:cs="Arial" w:eastAsia="Arial" w:hAnsi="Arial"/>
                <w:sz w:val="14"/>
                <w:szCs w:val="14"/>
                <w:color w:val="auto"/>
              </w:rPr>
              <w:t>3,499,068</w:t>
            </w:r>
          </w:p>
        </w:tc>
        <w:tc>
          <w:tcPr>
            <w:tcW w:w="1020" w:type="dxa"/>
            <w:vAlign w:val="bottom"/>
            <w:tcBorders>
              <w:bottom w:val="single" w:sz="8" w:color="215AA8"/>
            </w:tcBorders>
          </w:tcPr>
          <w:p>
            <w:pPr>
              <w:jc w:val="right"/>
              <w:spacing w:after="0" w:line="149" w:lineRule="exact"/>
              <w:rPr>
                <w:sz w:val="20"/>
                <w:szCs w:val="20"/>
                <w:color w:val="auto"/>
              </w:rPr>
            </w:pPr>
            <w:r>
              <w:rPr>
                <w:rFonts w:ascii="Arial" w:cs="Arial" w:eastAsia="Arial" w:hAnsi="Arial"/>
                <w:sz w:val="14"/>
                <w:szCs w:val="14"/>
                <w:color w:val="auto"/>
              </w:rPr>
              <w:t>3,266,489</w:t>
            </w:r>
          </w:p>
        </w:tc>
      </w:tr>
    </w:tbl>
    <w:p>
      <w:pPr>
        <w:spacing w:after="0" w:line="145" w:lineRule="exact"/>
        <w:rPr>
          <w:sz w:val="20"/>
          <w:szCs w:val="20"/>
          <w:color w:val="auto"/>
        </w:rPr>
      </w:pPr>
    </w:p>
    <w:p>
      <w:pPr>
        <w:ind w:right="300"/>
        <w:spacing w:after="0" w:line="247" w:lineRule="auto"/>
        <w:rPr>
          <w:sz w:val="20"/>
          <w:szCs w:val="20"/>
          <w:color w:val="auto"/>
        </w:rPr>
      </w:pPr>
      <w:r>
        <w:rPr>
          <w:rFonts w:ascii="Arial" w:cs="Arial" w:eastAsia="Arial" w:hAnsi="Arial"/>
          <w:sz w:val="14"/>
          <w:szCs w:val="14"/>
          <w:b w:val="1"/>
          <w:bCs w:val="1"/>
          <w:color w:val="auto"/>
        </w:rPr>
        <w:t xml:space="preserve">Audit Fees. </w:t>
      </w:r>
      <w:r>
        <w:rPr>
          <w:rFonts w:ascii="Arial" w:cs="Arial" w:eastAsia="Arial" w:hAnsi="Arial"/>
          <w:sz w:val="14"/>
          <w:szCs w:val="14"/>
          <w:color w:val="auto"/>
        </w:rPr>
        <w:t>Audit fees in 2023 and 2022 were primarily for professional services rendered for the audit of the Company’s financial statements for the fiscal year, including attestation</w:t>
      </w:r>
      <w:r>
        <w:rPr>
          <w:rFonts w:ascii="Arial" w:cs="Arial" w:eastAsia="Arial" w:hAnsi="Arial"/>
          <w:sz w:val="14"/>
          <w:szCs w:val="14"/>
          <w:b w:val="1"/>
          <w:bCs w:val="1"/>
          <w:color w:val="auto"/>
        </w:rPr>
        <w:t xml:space="preserve"> </w:t>
      </w:r>
      <w:r>
        <w:rPr>
          <w:rFonts w:ascii="Arial" w:cs="Arial" w:eastAsia="Arial" w:hAnsi="Arial"/>
          <w:sz w:val="14"/>
          <w:szCs w:val="14"/>
          <w:color w:val="auto"/>
        </w:rPr>
        <w:t>services required under Section 404 of the Sarbanes-Oxley Act of 2002, technical accounting consultations related to the annual audit, and reviews of the Company’s quarterly financial statements included in its Form 10-Q filings.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Audit-Related Fees. </w:t>
      </w:r>
      <w:r>
        <w:rPr>
          <w:rFonts w:ascii="Arial" w:cs="Arial" w:eastAsia="Arial" w:hAnsi="Arial"/>
          <w:sz w:val="14"/>
          <w:szCs w:val="14"/>
          <w:color w:val="auto"/>
        </w:rPr>
        <w:t>Audit-related fees in 2023 were for pre-implementation review services in connection with an upgrade of the Company’s enterprise resource planning software</w:t>
      </w:r>
      <w:r>
        <w:rPr>
          <w:rFonts w:ascii="Arial" w:cs="Arial" w:eastAsia="Arial" w:hAnsi="Arial"/>
          <w:sz w:val="14"/>
          <w:szCs w:val="14"/>
          <w:i w:val="1"/>
          <w:iCs w:val="1"/>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Tax Fees. </w:t>
      </w:r>
      <w:r>
        <w:rPr>
          <w:rFonts w:ascii="Arial" w:cs="Arial" w:eastAsia="Arial" w:hAnsi="Arial"/>
          <w:sz w:val="14"/>
          <w:szCs w:val="14"/>
          <w:color w:val="auto"/>
        </w:rPr>
        <w:t>Tax fees in 2022 were for tax planning and advisory services.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Other Fees</w:t>
      </w:r>
      <w:r>
        <w:rPr>
          <w:rFonts w:ascii="Arial" w:cs="Arial" w:eastAsia="Arial" w:hAnsi="Arial"/>
          <w:sz w:val="14"/>
          <w:szCs w:val="14"/>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All other fees in 2023 and 2022 were for annual subscriptions to accounting resources.</w:t>
      </w:r>
    </w:p>
    <w:p>
      <w:pPr>
        <w:spacing w:after="0" w:line="156"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 xml:space="preserve">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The Audit Committee did not utilize the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exception to the pre-approval requirements to approve any services provided by PricewaterhouseCoopers LLP during fiscal 2023 or 2022</w:t>
      </w:r>
      <w:r>
        <w:rPr>
          <w:rFonts w:ascii="Arial" w:cs="Arial" w:eastAsia="Arial" w:hAnsi="Arial"/>
          <w:sz w:val="14"/>
          <w:szCs w:val="14"/>
          <w:i w:val="1"/>
          <w:iCs w:val="1"/>
          <w:color w:val="auto"/>
        </w:rPr>
        <w: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48</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5"/>
              </w:rPr>
              <w:t>The Company</w:t>
            </w:r>
          </w:p>
        </w:tc>
        <w:tc>
          <w:tcPr>
            <w:tcW w:w="260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32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900" w:type="dxa"/>
            <w:vAlign w:val="bottom"/>
            <w:tcBorders>
              <w:bottom w:val="single" w:sz="8" w:color="D60058"/>
            </w:tcBorders>
            <w:vMerge w:val="continue"/>
          </w:tcPr>
          <w:p>
            <w:pPr>
              <w:spacing w:after="0"/>
              <w:rPr>
                <w:sz w:val="17"/>
                <w:szCs w:val="17"/>
                <w:color w:val="auto"/>
              </w:rPr>
            </w:pPr>
          </w:p>
        </w:tc>
        <w:tc>
          <w:tcPr>
            <w:tcW w:w="2600" w:type="dxa"/>
            <w:vAlign w:val="bottom"/>
          </w:tcPr>
          <w:p>
            <w:pPr>
              <w:ind w:left="1180"/>
              <w:spacing w:after="0"/>
              <w:rPr>
                <w:sz w:val="20"/>
                <w:szCs w:val="20"/>
                <w:color w:val="auto"/>
              </w:rPr>
            </w:pPr>
            <w:r>
              <w:rPr>
                <w:rFonts w:ascii="Arial" w:cs="Arial" w:eastAsia="Arial" w:hAnsi="Arial"/>
                <w:sz w:val="14"/>
                <w:szCs w:val="14"/>
                <w:color w:val="949599"/>
              </w:rPr>
              <w:t>Shareholders</w:t>
            </w:r>
          </w:p>
        </w:tc>
        <w:tc>
          <w:tcPr>
            <w:tcW w:w="212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Audit Committee Report</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We have reviewed the audited financial statements of the Company for the year ended December 31, 2023, which are included in the Company’s Annual Report on Form 10-K for the fiscal year ended December 31, 2023,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the applicable requirements of the Public Company Accounting Oversight Board (the “PCAOB”) and the Securities and Exchange Commission. The Audit Committee also discussed with the independent registered public accounting firm their independence relative to the Company and received and reviewed the written disclosures and the letter from the independent registered public accounting firm required by the PCAOB.</w:t>
      </w:r>
    </w:p>
    <w:p>
      <w:pPr>
        <w:spacing w:after="0" w:line="141" w:lineRule="exact"/>
        <w:rPr>
          <w:sz w:val="20"/>
          <w:szCs w:val="20"/>
          <w:color w:val="auto"/>
        </w:rPr>
      </w:pPr>
    </w:p>
    <w:p>
      <w:pPr>
        <w:jc w:val="both"/>
        <w:ind w:right="440"/>
        <w:spacing w:after="0" w:line="340" w:lineRule="auto"/>
        <w:rPr>
          <w:sz w:val="20"/>
          <w:szCs w:val="20"/>
          <w:color w:val="auto"/>
        </w:rPr>
      </w:pPr>
      <w:r>
        <w:rPr>
          <w:rFonts w:ascii="Arial" w:cs="Arial" w:eastAsia="Arial" w:hAnsi="Arial"/>
          <w:sz w:val="12"/>
          <w:szCs w:val="12"/>
          <w:color w:val="auto"/>
        </w:rPr>
        <w:t>Based on the foregoing discussions and review, the Audit Committee recommended to the board of directors that the audited financial statements of the Company for the year ended December 31, 2023 be included in the Company’s Annual Report on Form 10-K for the fiscal year ended December 31, 2023 for filing with the Securities and Exchange Commission.</w:t>
      </w:r>
    </w:p>
    <w:p>
      <w:pPr>
        <w:spacing w:after="0" w:line="82" w:lineRule="exact"/>
        <w:rPr>
          <w:sz w:val="20"/>
          <w:szCs w:val="20"/>
          <w:color w:val="auto"/>
        </w:rPr>
      </w:pPr>
    </w:p>
    <w:p>
      <w:pPr>
        <w:ind w:right="280"/>
        <w:spacing w:after="0" w:line="257" w:lineRule="auto"/>
        <w:rPr>
          <w:sz w:val="20"/>
          <w:szCs w:val="20"/>
          <w:color w:val="auto"/>
        </w:rPr>
      </w:pPr>
      <w:r>
        <w:rPr>
          <w:rFonts w:ascii="Arial" w:cs="Arial" w:eastAsia="Arial" w:hAnsi="Arial"/>
          <w:sz w:val="14"/>
          <w:szCs w:val="14"/>
          <w:color w:val="auto"/>
        </w:rPr>
        <w:t>We have appointed PricewaterhouseCoopers LLP as the Company’s independent registered public accounting firm for the fiscal year ending December 31, 2024. This appointment was based on a variety of factors, including PricewaterhouseCoopers LLP’s competence in the fields of accounting and auditing.</w:t>
      </w:r>
    </w:p>
    <w:p>
      <w:pPr>
        <w:spacing w:after="0" w:line="128" w:lineRule="exact"/>
        <w:rPr>
          <w:sz w:val="20"/>
          <w:szCs w:val="20"/>
          <w:color w:val="auto"/>
        </w:rPr>
      </w:pPr>
    </w:p>
    <w:p>
      <w:pPr>
        <w:ind w:left="8220"/>
        <w:spacing w:after="0"/>
        <w:rPr>
          <w:sz w:val="20"/>
          <w:szCs w:val="20"/>
          <w:color w:val="auto"/>
        </w:rPr>
      </w:pPr>
      <w:r>
        <w:rPr>
          <w:rFonts w:ascii="Arial" w:cs="Arial" w:eastAsia="Arial" w:hAnsi="Arial"/>
          <w:sz w:val="14"/>
          <w:szCs w:val="14"/>
          <w:i w:val="1"/>
          <w:iCs w:val="1"/>
          <w:color w:val="auto"/>
        </w:rPr>
        <w:t>The Audit Committee</w:t>
      </w:r>
    </w:p>
    <w:p>
      <w:pPr>
        <w:spacing w:after="0" w:line="15" w:lineRule="exact"/>
        <w:rPr>
          <w:sz w:val="20"/>
          <w:szCs w:val="20"/>
          <w:color w:val="auto"/>
        </w:rPr>
      </w:pPr>
    </w:p>
    <w:p>
      <w:pPr>
        <w:ind w:left="8220"/>
        <w:spacing w:after="0"/>
        <w:rPr>
          <w:sz w:val="20"/>
          <w:szCs w:val="20"/>
          <w:color w:val="auto"/>
        </w:rPr>
      </w:pPr>
      <w:r>
        <w:rPr>
          <w:rFonts w:ascii="Arial" w:cs="Arial" w:eastAsia="Arial" w:hAnsi="Arial"/>
          <w:sz w:val="14"/>
          <w:szCs w:val="14"/>
          <w:color w:val="auto"/>
        </w:rPr>
        <w:t>George L. Sing, Chair</w:t>
      </w:r>
    </w:p>
    <w:p>
      <w:pPr>
        <w:spacing w:after="0" w:line="8" w:lineRule="exact"/>
        <w:rPr>
          <w:sz w:val="20"/>
          <w:szCs w:val="20"/>
          <w:color w:val="auto"/>
        </w:rPr>
      </w:pPr>
    </w:p>
    <w:p>
      <w:pPr>
        <w:ind w:left="8220"/>
        <w:spacing w:after="0"/>
        <w:rPr>
          <w:sz w:val="20"/>
          <w:szCs w:val="20"/>
          <w:color w:val="auto"/>
        </w:rPr>
      </w:pPr>
      <w:r>
        <w:rPr>
          <w:rFonts w:ascii="Arial" w:cs="Arial" w:eastAsia="Arial" w:hAnsi="Arial"/>
          <w:sz w:val="14"/>
          <w:szCs w:val="14"/>
          <w:color w:val="auto"/>
        </w:rPr>
        <w:t>N. Anthony Coles, M.D.</w:t>
      </w:r>
    </w:p>
    <w:p>
      <w:pPr>
        <w:spacing w:after="0" w:line="8" w:lineRule="exact"/>
        <w:rPr>
          <w:sz w:val="20"/>
          <w:szCs w:val="20"/>
          <w:color w:val="auto"/>
        </w:rPr>
      </w:pPr>
    </w:p>
    <w:p>
      <w:pPr>
        <w:ind w:left="8220"/>
        <w:spacing w:after="0"/>
        <w:rPr>
          <w:sz w:val="20"/>
          <w:szCs w:val="20"/>
          <w:color w:val="auto"/>
        </w:rPr>
      </w:pPr>
      <w:r>
        <w:rPr>
          <w:rFonts w:ascii="Arial" w:cs="Arial" w:eastAsia="Arial" w:hAnsi="Arial"/>
          <w:sz w:val="14"/>
          <w:szCs w:val="14"/>
          <w:color w:val="auto"/>
        </w:rPr>
        <w:t>Kathryn Guarini, Ph.D.</w:t>
      </w:r>
    </w:p>
    <w:p>
      <w:pPr>
        <w:spacing w:after="0" w:line="8" w:lineRule="exact"/>
        <w:rPr>
          <w:sz w:val="20"/>
          <w:szCs w:val="20"/>
          <w:color w:val="auto"/>
        </w:rPr>
      </w:pPr>
    </w:p>
    <w:p>
      <w:pPr>
        <w:ind w:left="8220"/>
        <w:spacing w:after="0"/>
        <w:rPr>
          <w:sz w:val="20"/>
          <w:szCs w:val="20"/>
          <w:color w:val="auto"/>
        </w:rPr>
      </w:pPr>
      <w:r>
        <w:rPr>
          <w:rFonts w:ascii="Arial" w:cs="Arial" w:eastAsia="Arial" w:hAnsi="Arial"/>
          <w:sz w:val="14"/>
          <w:szCs w:val="14"/>
          <w:color w:val="auto"/>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7155180" cy="5429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5180" cy="542925"/>
                    </a:xfrm>
                    <a:prstGeom prst="rect">
                      <a:avLst/>
                    </a:prstGeom>
                    <a:noFill/>
                  </pic:spPr>
                </pic:pic>
              </a:graphicData>
            </a:graphic>
          </wp:anchor>
        </w:drawing>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FFFFFF"/>
        </w:rPr>
        <w:t>Proposal No. 2</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215AA8"/>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7155180" cy="2857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5180" cy="285750"/>
                    </a:xfrm>
                    <a:prstGeom prst="rect">
                      <a:avLst/>
                    </a:prstGeom>
                    <a:noFill/>
                  </pic:spPr>
                </pic:pic>
              </a:graphicData>
            </a:graphic>
          </wp:anchor>
        </w:drawing>
      </w:r>
    </w:p>
    <w:p>
      <w:pPr>
        <w:spacing w:after="0" w:line="132" w:lineRule="exact"/>
        <w:rPr>
          <w:sz w:val="20"/>
          <w:szCs w:val="20"/>
          <w:color w:val="auto"/>
        </w:rPr>
      </w:pPr>
    </w:p>
    <w:p>
      <w:pPr>
        <w:ind w:left="460" w:right="420"/>
        <w:spacing w:after="0" w:line="257" w:lineRule="auto"/>
        <w:rPr>
          <w:sz w:val="20"/>
          <w:szCs w:val="20"/>
          <w:color w:val="auto"/>
        </w:rPr>
      </w:pPr>
      <w:r>
        <w:rPr>
          <w:rFonts w:ascii="Arial" w:cs="Arial" w:eastAsia="Arial" w:hAnsi="Arial"/>
          <w:sz w:val="14"/>
          <w:szCs w:val="14"/>
          <w:color w:val="FFFFFF"/>
        </w:rPr>
        <w:t>The board of directors unanimously recommends a vote FOR ratification of the appointment of PricewaterhouseCoopers LLP as the Company’s independent registered public accounting firm for the fiscal year ending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49</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Arial" w:cs="Arial" w:eastAsia="Arial" w:hAnsi="Arial"/>
                <w:sz w:val="14"/>
                <w:szCs w:val="14"/>
                <w:b w:val="1"/>
                <w:bCs w:val="1"/>
                <w:color w:val="215AA8"/>
                <w:w w:val="93"/>
              </w:rPr>
              <w:t>Shareholders</w:t>
            </w:r>
          </w:p>
        </w:tc>
        <w:tc>
          <w:tcPr>
            <w:tcW w:w="2720" w:type="dxa"/>
            <w:vAlign w:val="bottom"/>
          </w:tcPr>
          <w:p>
            <w:pPr>
              <w:ind w:left="12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6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860" w:type="dxa"/>
            <w:vAlign w:val="bottom"/>
            <w:tcBorders>
              <w:bottom w:val="single" w:sz="8" w:color="D60058"/>
            </w:tcBorders>
            <w:vMerge w:val="continue"/>
          </w:tcPr>
          <w:p>
            <w:pPr>
              <w:spacing w:after="0"/>
              <w:rPr>
                <w:sz w:val="17"/>
                <w:szCs w:val="17"/>
                <w:color w:val="auto"/>
              </w:rPr>
            </w:pPr>
          </w:p>
        </w:tc>
        <w:tc>
          <w:tcPr>
            <w:tcW w:w="2720" w:type="dxa"/>
            <w:vAlign w:val="bottom"/>
          </w:tcPr>
          <w:p>
            <w:pPr>
              <w:ind w:left="12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42"/>
          <w:szCs w:val="42"/>
          <w:b w:val="1"/>
          <w:bCs w:val="1"/>
          <w:color w:val="215AA8"/>
        </w:rPr>
        <w:t>Shareholders</w:t>
      </w:r>
    </w:p>
    <w:p>
      <w:pPr>
        <w:spacing w:after="0" w:line="360" w:lineRule="exact"/>
        <w:rPr>
          <w:sz w:val="20"/>
          <w:szCs w:val="20"/>
          <w:color w:val="auto"/>
        </w:rPr>
      </w:pPr>
    </w:p>
    <w:p>
      <w:pPr>
        <w:spacing w:after="0"/>
        <w:rPr>
          <w:sz w:val="20"/>
          <w:szCs w:val="20"/>
          <w:color w:val="auto"/>
        </w:rPr>
      </w:pPr>
      <w:r>
        <w:rPr>
          <w:rFonts w:ascii="Arial" w:cs="Arial" w:eastAsia="Arial" w:hAnsi="Arial"/>
          <w:sz w:val="30"/>
          <w:szCs w:val="30"/>
          <w:b w:val="1"/>
          <w:bCs w:val="1"/>
          <w:color w:val="D60058"/>
        </w:rPr>
        <w:t>Security Ownership of Certain Beneficial Owners and Management</w:t>
      </w:r>
    </w:p>
    <w:p>
      <w:pPr>
        <w:spacing w:after="0" w:line="183" w:lineRule="exact"/>
        <w:rPr>
          <w:sz w:val="20"/>
          <w:szCs w:val="20"/>
          <w:color w:val="auto"/>
        </w:rPr>
      </w:pPr>
    </w:p>
    <w:p>
      <w:pPr>
        <w:ind w:right="40"/>
        <w:spacing w:after="0" w:line="296" w:lineRule="auto"/>
        <w:rPr>
          <w:sz w:val="20"/>
          <w:szCs w:val="20"/>
          <w:color w:val="auto"/>
        </w:rPr>
      </w:pPr>
      <w:r>
        <w:rPr>
          <w:rFonts w:ascii="Arial" w:cs="Arial" w:eastAsia="Arial" w:hAnsi="Arial"/>
          <w:sz w:val="12"/>
          <w:szCs w:val="12"/>
          <w:color w:val="auto"/>
        </w:rPr>
        <w:t>The following table sets forth, as of April 16, 2024, the number of shares of the Company’s Class A stock and common stock beneficially owned by each of the Company’s directors, each of the NEOs referred to below under “Compensation-Related Matters—Compensation Discussion and Analysis,” all directors and current executive officers as a group, and each other person or group of persons known by the Company to beneficially own more than 5% of the outstanding shares of Class A stock or common stock, based upon (unless indicated otherwise) information obtained from such persons, and the percentage that such shares represent of the number of outstanding shares of Class A stock and common stock, respectively.</w:t>
      </w:r>
    </w:p>
    <w:p>
      <w:pPr>
        <w:spacing w:after="0" w:line="107"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The Class A stock is convertible on a share-for-share basis into common stock. The Class A stock is entitled to ten votes per share and the common stock is entitled to one vote per share. No new shares of Class A stock have been issued since our IPO in 1991. See “The Company – Corporate Governance – Capital Structure” for more information. We have determined beneficial ownership in accordance with the rules of the SEC.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1,818,146 shares of Class A stock and 108,367,357 shares of common stock outstanding as of April 16, 2024,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16, 2024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139" w:lineRule="exact"/>
        <w:rPr>
          <w:sz w:val="20"/>
          <w:szCs w:val="20"/>
          <w:color w:val="auto"/>
        </w:rPr>
      </w:pPr>
    </w:p>
    <w:p>
      <w:pPr>
        <w:ind w:right="60"/>
        <w:spacing w:after="0"/>
        <w:rPr>
          <w:sz w:val="20"/>
          <w:szCs w:val="20"/>
          <w:color w:val="auto"/>
        </w:rPr>
      </w:pPr>
      <w:r>
        <w:rPr>
          <w:rFonts w:ascii="Arial" w:cs="Arial" w:eastAsia="Arial" w:hAnsi="Arial"/>
          <w:sz w:val="14"/>
          <w:szCs w:val="14"/>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performance restricted stock units (“PSUs”), RSUs, or other convertible securities (if any) held by that person (and by directors and executive officers as a group) that are exercisable or releasable as of April 16, 2024 or are exercisable or releasable within sixty days after April 16, 2024 are deemed to be outstanding. Such shares are not deemed to be outstanding, however, for the purpose of computing the percentage ownership of common stock of any other person.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50</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138"/>
        </w:trPr>
        <w:tc>
          <w:tcPr>
            <w:tcW w:w="190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1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4"/>
                <w:szCs w:val="14"/>
                <w:color w:val="949599"/>
                <w:w w:val="94"/>
              </w:rPr>
              <w:t>Compensation-</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90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1740" w:type="dxa"/>
            <w:vAlign w:val="bottom"/>
          </w:tcPr>
          <w:p>
            <w:pPr>
              <w:ind w:left="60"/>
              <w:spacing w:after="0"/>
              <w:rPr>
                <w:sz w:val="20"/>
                <w:szCs w:val="20"/>
                <w:color w:val="auto"/>
              </w:rPr>
            </w:pPr>
            <w:r>
              <w:rPr>
                <w:rFonts w:ascii="Arial" w:cs="Arial" w:eastAsia="Arial" w:hAnsi="Arial"/>
                <w:sz w:val="14"/>
                <w:szCs w:val="14"/>
                <w:color w:val="949599"/>
              </w:rPr>
              <w:t>Board of Directors</w:t>
            </w:r>
          </w:p>
        </w:tc>
        <w:tc>
          <w:tcPr>
            <w:tcW w:w="260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1860" w:type="dxa"/>
            <w:vAlign w:val="bottom"/>
            <w:gridSpan w:val="3"/>
          </w:tcPr>
          <w:p>
            <w:pPr>
              <w:jc w:val="right"/>
              <w:ind w:right="892"/>
              <w:spacing w:after="0"/>
              <w:rPr>
                <w:sz w:val="20"/>
                <w:szCs w:val="20"/>
                <w:color w:val="auto"/>
              </w:rPr>
            </w:pPr>
            <w:r>
              <w:rPr>
                <w:rFonts w:ascii="Arial" w:cs="Arial" w:eastAsia="Arial" w:hAnsi="Arial"/>
                <w:sz w:val="14"/>
                <w:szCs w:val="14"/>
                <w:b w:val="1"/>
                <w:bCs w:val="1"/>
                <w:color w:val="215AA8"/>
                <w:w w:val="98"/>
              </w:rPr>
              <w:t>Shareholders</w:t>
            </w:r>
          </w:p>
        </w:tc>
        <w:tc>
          <w:tcPr>
            <w:tcW w:w="2160" w:type="dxa"/>
            <w:vAlign w:val="bottom"/>
            <w:gridSpan w:val="4"/>
          </w:tcPr>
          <w:p>
            <w:pPr>
              <w:ind w:left="240"/>
              <w:spacing w:after="0"/>
              <w:rPr>
                <w:sz w:val="20"/>
                <w:szCs w:val="20"/>
                <w:color w:val="auto"/>
              </w:rPr>
            </w:pPr>
            <w:r>
              <w:rPr>
                <w:rFonts w:ascii="Arial" w:cs="Arial" w:eastAsia="Arial" w:hAnsi="Arial"/>
                <w:sz w:val="14"/>
                <w:szCs w:val="14"/>
                <w:color w:val="949599"/>
              </w:rPr>
              <w:t>Related Matters</w:t>
            </w:r>
          </w:p>
        </w:tc>
        <w:tc>
          <w:tcPr>
            <w:tcW w:w="1020" w:type="dxa"/>
            <w:vAlign w:val="bottom"/>
            <w:gridSpan w:val="2"/>
          </w:tcPr>
          <w:p>
            <w:pPr>
              <w:ind w:left="160"/>
              <w:spacing w:after="0"/>
              <w:rPr>
                <w:sz w:val="20"/>
                <w:szCs w:val="20"/>
                <w:color w:val="auto"/>
              </w:rPr>
            </w:pPr>
            <w:r>
              <w:rPr>
                <w:rFonts w:ascii="Arial" w:cs="Arial" w:eastAsia="Arial" w:hAnsi="Arial"/>
                <w:sz w:val="14"/>
                <w:szCs w:val="14"/>
                <w:color w:val="949599"/>
                <w:w w:val="98"/>
              </w:rPr>
              <w:t>Other Matters</w:t>
            </w: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D60058"/>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6"/>
        </w:trPr>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5"/>
          </w:tcPr>
          <w:p>
            <w:pPr>
              <w:ind w:left="440"/>
              <w:spacing w:after="0"/>
              <w:rPr>
                <w:sz w:val="20"/>
                <w:szCs w:val="20"/>
                <w:color w:val="auto"/>
              </w:rPr>
            </w:pPr>
            <w:r>
              <w:rPr>
                <w:rFonts w:ascii="Arial" w:cs="Arial" w:eastAsia="Arial" w:hAnsi="Arial"/>
                <w:sz w:val="14"/>
                <w:szCs w:val="14"/>
                <w:color w:val="215AA8"/>
              </w:rPr>
              <w:t>Shares of Class A Stock</w:t>
            </w:r>
          </w:p>
        </w:tc>
        <w:tc>
          <w:tcPr>
            <w:tcW w:w="2020" w:type="dxa"/>
            <w:vAlign w:val="bottom"/>
            <w:gridSpan w:val="3"/>
          </w:tcPr>
          <w:p>
            <w:pPr>
              <w:ind w:left="20"/>
              <w:spacing w:after="0"/>
              <w:rPr>
                <w:sz w:val="20"/>
                <w:szCs w:val="20"/>
                <w:color w:val="auto"/>
              </w:rPr>
            </w:pPr>
            <w:r>
              <w:rPr>
                <w:rFonts w:ascii="Arial" w:cs="Arial" w:eastAsia="Arial" w:hAnsi="Arial"/>
                <w:sz w:val="14"/>
                <w:szCs w:val="14"/>
                <w:color w:val="215AA8"/>
              </w:rPr>
              <w:t>Shares of Common Stock</w:t>
            </w:r>
          </w:p>
        </w:tc>
        <w:tc>
          <w:tcPr>
            <w:tcW w:w="0" w:type="dxa"/>
            <w:vAlign w:val="bottom"/>
          </w:tcPr>
          <w:p>
            <w:pPr>
              <w:spacing w:after="0"/>
              <w:rPr>
                <w:sz w:val="1"/>
                <w:szCs w:val="1"/>
                <w:color w:val="auto"/>
              </w:rPr>
            </w:pPr>
          </w:p>
        </w:tc>
      </w:tr>
      <w:tr>
        <w:trPr>
          <w:trHeight w:val="204"/>
        </w:trPr>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gridSpan w:val="2"/>
          </w:tcPr>
          <w:p>
            <w:pPr>
              <w:jc w:val="right"/>
              <w:spacing w:after="0" w:line="202" w:lineRule="exact"/>
              <w:rPr>
                <w:sz w:val="20"/>
                <w:szCs w:val="20"/>
                <w:color w:val="auto"/>
              </w:rPr>
            </w:pPr>
            <w:r>
              <w:rPr>
                <w:rFonts w:ascii="Arial" w:cs="Arial" w:eastAsia="Arial" w:hAnsi="Arial"/>
                <w:sz w:val="14"/>
                <w:szCs w:val="14"/>
                <w:color w:val="215AA8"/>
              </w:rPr>
              <w:t>Beneficially Owned</w:t>
            </w:r>
            <w:r>
              <w:rPr>
                <w:rFonts w:ascii="Arial" w:cs="Arial" w:eastAsia="Arial" w:hAnsi="Arial"/>
                <w:sz w:val="22"/>
                <w:szCs w:val="22"/>
                <w:color w:val="215AA8"/>
                <w:vertAlign w:val="superscript"/>
              </w:rPr>
              <w:t>1</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gridSpan w:val="3"/>
          </w:tcPr>
          <w:p>
            <w:pPr>
              <w:ind w:left="180"/>
              <w:spacing w:after="0" w:line="202" w:lineRule="exact"/>
              <w:rPr>
                <w:sz w:val="20"/>
                <w:szCs w:val="20"/>
                <w:color w:val="auto"/>
              </w:rPr>
            </w:pPr>
            <w:r>
              <w:rPr>
                <w:rFonts w:ascii="Arial" w:cs="Arial" w:eastAsia="Arial" w:hAnsi="Arial"/>
                <w:sz w:val="14"/>
                <w:szCs w:val="14"/>
                <w:color w:val="215AA8"/>
              </w:rPr>
              <w:t>Beneficially Owned</w:t>
            </w:r>
            <w:r>
              <w:rPr>
                <w:rFonts w:ascii="Arial" w:cs="Arial" w:eastAsia="Arial" w:hAnsi="Arial"/>
                <w:sz w:val="22"/>
                <w:szCs w:val="22"/>
                <w:color w:val="215AA8"/>
                <w:vertAlign w:val="superscript"/>
              </w:rPr>
              <w:t>1</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Borders>
              <w:top w:val="single" w:sz="8" w:color="215AA8"/>
            </w:tcBorders>
          </w:tcPr>
          <w:p>
            <w:pPr>
              <w:spacing w:after="0"/>
              <w:rPr>
                <w:sz w:val="12"/>
                <w:szCs w:val="12"/>
                <w:color w:val="auto"/>
              </w:rPr>
            </w:pPr>
          </w:p>
        </w:tc>
        <w:tc>
          <w:tcPr>
            <w:tcW w:w="860" w:type="dxa"/>
            <w:vAlign w:val="bottom"/>
            <w:tcBorders>
              <w:top w:val="single" w:sz="8" w:color="215AA8"/>
            </w:tcBorders>
          </w:tcPr>
          <w:p>
            <w:pPr>
              <w:spacing w:after="0"/>
              <w:rPr>
                <w:sz w:val="12"/>
                <w:szCs w:val="12"/>
                <w:color w:val="auto"/>
              </w:rPr>
            </w:pPr>
          </w:p>
        </w:tc>
        <w:tc>
          <w:tcPr>
            <w:tcW w:w="960" w:type="dxa"/>
            <w:vAlign w:val="bottom"/>
            <w:tcBorders>
              <w:top w:val="single" w:sz="8" w:color="215AA8"/>
            </w:tcBorders>
          </w:tcPr>
          <w:p>
            <w:pPr>
              <w:spacing w:after="0"/>
              <w:rPr>
                <w:sz w:val="12"/>
                <w:szCs w:val="12"/>
                <w:color w:val="auto"/>
              </w:rPr>
            </w:pPr>
          </w:p>
        </w:tc>
        <w:tc>
          <w:tcPr>
            <w:tcW w:w="540" w:type="dxa"/>
            <w:vAlign w:val="bottom"/>
            <w:tcBorders>
              <w:top w:val="single" w:sz="8" w:color="215AA8"/>
            </w:tcBorders>
          </w:tcPr>
          <w:p>
            <w:pPr>
              <w:jc w:val="right"/>
              <w:spacing w:after="0" w:line="147" w:lineRule="exact"/>
              <w:rPr>
                <w:sz w:val="20"/>
                <w:szCs w:val="20"/>
                <w:color w:val="auto"/>
              </w:rPr>
            </w:pPr>
            <w:r>
              <w:rPr>
                <w:rFonts w:ascii="Arial" w:cs="Arial" w:eastAsia="Arial" w:hAnsi="Arial"/>
                <w:sz w:val="14"/>
                <w:szCs w:val="14"/>
                <w:color w:val="215AA8"/>
              </w:rPr>
              <w:t>Percent</w:t>
            </w:r>
          </w:p>
        </w:tc>
        <w:tc>
          <w:tcPr>
            <w:tcW w:w="200" w:type="dxa"/>
            <w:vAlign w:val="bottom"/>
          </w:tcPr>
          <w:p>
            <w:pPr>
              <w:spacing w:after="0"/>
              <w:rPr>
                <w:sz w:val="12"/>
                <w:szCs w:val="12"/>
                <w:color w:val="auto"/>
              </w:rPr>
            </w:pPr>
          </w:p>
        </w:tc>
        <w:tc>
          <w:tcPr>
            <w:tcW w:w="420" w:type="dxa"/>
            <w:vAlign w:val="bottom"/>
            <w:tcBorders>
              <w:top w:val="single" w:sz="8" w:color="215AA8"/>
            </w:tcBorders>
          </w:tcPr>
          <w:p>
            <w:pPr>
              <w:spacing w:after="0"/>
              <w:rPr>
                <w:sz w:val="12"/>
                <w:szCs w:val="12"/>
                <w:color w:val="auto"/>
              </w:rPr>
            </w:pPr>
          </w:p>
        </w:tc>
        <w:tc>
          <w:tcPr>
            <w:tcW w:w="1000" w:type="dxa"/>
            <w:vAlign w:val="bottom"/>
            <w:tcBorders>
              <w:top w:val="single" w:sz="8" w:color="215AA8"/>
            </w:tcBorders>
            <w:vMerge w:val="restart"/>
          </w:tcPr>
          <w:p>
            <w:pPr>
              <w:jc w:val="right"/>
              <w:ind w:right="232"/>
              <w:spacing w:after="0"/>
              <w:rPr>
                <w:sz w:val="20"/>
                <w:szCs w:val="20"/>
                <w:color w:val="auto"/>
              </w:rPr>
            </w:pPr>
            <w:r>
              <w:rPr>
                <w:rFonts w:ascii="Arial" w:cs="Arial" w:eastAsia="Arial" w:hAnsi="Arial"/>
                <w:sz w:val="14"/>
                <w:szCs w:val="14"/>
                <w:color w:val="215AA8"/>
              </w:rPr>
              <w:t>Number</w:t>
            </w:r>
            <w:r>
              <w:rPr>
                <w:rFonts w:ascii="Arial" w:cs="Arial" w:eastAsia="Arial" w:hAnsi="Arial"/>
                <w:sz w:val="22"/>
                <w:szCs w:val="22"/>
                <w:color w:val="215AA8"/>
                <w:vertAlign w:val="superscript"/>
              </w:rPr>
              <w:t>2</w:t>
            </w:r>
          </w:p>
        </w:tc>
        <w:tc>
          <w:tcPr>
            <w:tcW w:w="1000" w:type="dxa"/>
            <w:vAlign w:val="bottom"/>
            <w:tcBorders>
              <w:top w:val="single" w:sz="8" w:color="215AA8"/>
            </w:tcBorders>
          </w:tcPr>
          <w:p>
            <w:pPr>
              <w:jc w:val="right"/>
              <w:spacing w:after="0" w:line="147" w:lineRule="exact"/>
              <w:rPr>
                <w:sz w:val="20"/>
                <w:szCs w:val="20"/>
                <w:color w:val="auto"/>
              </w:rPr>
            </w:pPr>
            <w:r>
              <w:rPr>
                <w:rFonts w:ascii="Arial" w:cs="Arial" w:eastAsia="Arial" w:hAnsi="Arial"/>
                <w:sz w:val="14"/>
                <w:szCs w:val="14"/>
                <w:color w:val="215AA8"/>
              </w:rPr>
              <w:t>Percent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40" w:type="dxa"/>
            <w:vAlign w:val="bottom"/>
            <w:gridSpan w:val="3"/>
          </w:tcPr>
          <w:p>
            <w:pPr>
              <w:ind w:left="40"/>
              <w:spacing w:after="0"/>
              <w:rPr>
                <w:sz w:val="20"/>
                <w:szCs w:val="20"/>
                <w:color w:val="auto"/>
              </w:rPr>
            </w:pPr>
            <w:r>
              <w:rPr>
                <w:rFonts w:ascii="Arial" w:cs="Arial" w:eastAsia="Arial" w:hAnsi="Arial"/>
                <w:sz w:val="14"/>
                <w:szCs w:val="14"/>
                <w:color w:val="215AA8"/>
              </w:rPr>
              <w:t>Name and Address of Beneficial Owner</w:t>
            </w:r>
          </w:p>
        </w:tc>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gridSpan w:val="2"/>
          </w:tcPr>
          <w:p>
            <w:pPr>
              <w:jc w:val="right"/>
              <w:ind w:right="672"/>
              <w:spacing w:after="0"/>
              <w:rPr>
                <w:sz w:val="20"/>
                <w:szCs w:val="20"/>
                <w:color w:val="auto"/>
              </w:rPr>
            </w:pPr>
            <w:r>
              <w:rPr>
                <w:rFonts w:ascii="Arial" w:cs="Arial" w:eastAsia="Arial" w:hAnsi="Arial"/>
                <w:sz w:val="14"/>
                <w:szCs w:val="14"/>
                <w:color w:val="215AA8"/>
              </w:rPr>
              <w:t>Number</w:t>
            </w:r>
          </w:p>
        </w:tc>
        <w:tc>
          <w:tcPr>
            <w:tcW w:w="1160" w:type="dxa"/>
            <w:vAlign w:val="bottom"/>
            <w:gridSpan w:val="3"/>
          </w:tcPr>
          <w:p>
            <w:pPr>
              <w:jc w:val="right"/>
              <w:ind w:right="620"/>
              <w:spacing w:after="0"/>
              <w:rPr>
                <w:sz w:val="20"/>
                <w:szCs w:val="20"/>
                <w:color w:val="auto"/>
              </w:rPr>
            </w:pPr>
            <w:r>
              <w:rPr>
                <w:rFonts w:ascii="Arial" w:cs="Arial" w:eastAsia="Arial" w:hAnsi="Arial"/>
                <w:sz w:val="14"/>
                <w:szCs w:val="14"/>
                <w:color w:val="215AA8"/>
              </w:rPr>
              <w:t>of Class</w:t>
            </w:r>
          </w:p>
        </w:tc>
        <w:tc>
          <w:tcPr>
            <w:tcW w:w="1000" w:type="dxa"/>
            <w:vAlign w:val="bottom"/>
            <w:vMerge w:val="continue"/>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215AA8"/>
              </w:rPr>
              <w:t>of Class</w:t>
            </w:r>
          </w:p>
        </w:tc>
        <w:tc>
          <w:tcPr>
            <w:tcW w:w="0" w:type="dxa"/>
            <w:vAlign w:val="bottom"/>
          </w:tcPr>
          <w:p>
            <w:pPr>
              <w:spacing w:after="0"/>
              <w:rPr>
                <w:sz w:val="1"/>
                <w:szCs w:val="1"/>
                <w:color w:val="auto"/>
              </w:rPr>
            </w:pPr>
          </w:p>
        </w:tc>
      </w:tr>
      <w:tr>
        <w:trPr>
          <w:trHeight w:val="156"/>
        </w:trPr>
        <w:tc>
          <w:tcPr>
            <w:tcW w:w="6240" w:type="dxa"/>
            <w:vAlign w:val="bottom"/>
            <w:tcBorders>
              <w:top w:val="single" w:sz="8" w:color="215AA8"/>
            </w:tcBorders>
            <w:gridSpan w:val="4"/>
          </w:tcPr>
          <w:p>
            <w:pPr>
              <w:ind w:left="40"/>
              <w:spacing w:after="0" w:line="157" w:lineRule="exact"/>
              <w:rPr>
                <w:sz w:val="20"/>
                <w:szCs w:val="20"/>
                <w:color w:val="auto"/>
              </w:rPr>
            </w:pPr>
            <w:r>
              <w:rPr>
                <w:rFonts w:ascii="Arial" w:cs="Arial" w:eastAsia="Arial" w:hAnsi="Arial"/>
                <w:sz w:val="14"/>
                <w:szCs w:val="14"/>
                <w:b w:val="1"/>
                <w:bCs w:val="1"/>
                <w:color w:val="auto"/>
              </w:rPr>
              <w:t>Beneficial Owners of More than 5% of Class A Stock or Common Stock (Other than Directors</w:t>
            </w:r>
          </w:p>
        </w:tc>
        <w:tc>
          <w:tcPr>
            <w:tcW w:w="40" w:type="dxa"/>
            <w:vAlign w:val="bottom"/>
            <w:tcBorders>
              <w:top w:val="single" w:sz="8" w:color="215AA8"/>
            </w:tcBorders>
          </w:tcPr>
          <w:p>
            <w:pPr>
              <w:spacing w:after="0"/>
              <w:rPr>
                <w:sz w:val="13"/>
                <w:szCs w:val="13"/>
                <w:color w:val="auto"/>
              </w:rPr>
            </w:pPr>
          </w:p>
        </w:tc>
        <w:tc>
          <w:tcPr>
            <w:tcW w:w="860" w:type="dxa"/>
            <w:vAlign w:val="bottom"/>
            <w:tcBorders>
              <w:top w:val="single" w:sz="8" w:color="215AA8"/>
            </w:tcBorders>
          </w:tcPr>
          <w:p>
            <w:pPr>
              <w:spacing w:after="0"/>
              <w:rPr>
                <w:sz w:val="13"/>
                <w:szCs w:val="13"/>
                <w:color w:val="auto"/>
              </w:rPr>
            </w:pPr>
          </w:p>
        </w:tc>
        <w:tc>
          <w:tcPr>
            <w:tcW w:w="960" w:type="dxa"/>
            <w:vAlign w:val="bottom"/>
            <w:tcBorders>
              <w:top w:val="single" w:sz="8" w:color="215AA8"/>
            </w:tcBorders>
          </w:tcPr>
          <w:p>
            <w:pPr>
              <w:spacing w:after="0"/>
              <w:rPr>
                <w:sz w:val="13"/>
                <w:szCs w:val="13"/>
                <w:color w:val="auto"/>
              </w:rPr>
            </w:pPr>
          </w:p>
        </w:tc>
        <w:tc>
          <w:tcPr>
            <w:tcW w:w="540" w:type="dxa"/>
            <w:vAlign w:val="bottom"/>
            <w:tcBorders>
              <w:top w:val="single" w:sz="8" w:color="215AA8"/>
            </w:tcBorders>
          </w:tcPr>
          <w:p>
            <w:pPr>
              <w:spacing w:after="0"/>
              <w:rPr>
                <w:sz w:val="13"/>
                <w:szCs w:val="13"/>
                <w:color w:val="auto"/>
              </w:rPr>
            </w:pPr>
          </w:p>
        </w:tc>
        <w:tc>
          <w:tcPr>
            <w:tcW w:w="200" w:type="dxa"/>
            <w:vAlign w:val="bottom"/>
            <w:tcBorders>
              <w:top w:val="single" w:sz="8" w:color="215AA8"/>
            </w:tcBorders>
          </w:tcPr>
          <w:p>
            <w:pPr>
              <w:spacing w:after="0"/>
              <w:rPr>
                <w:sz w:val="13"/>
                <w:szCs w:val="13"/>
                <w:color w:val="auto"/>
              </w:rPr>
            </w:pPr>
          </w:p>
        </w:tc>
        <w:tc>
          <w:tcPr>
            <w:tcW w:w="420" w:type="dxa"/>
            <w:vAlign w:val="bottom"/>
            <w:tcBorders>
              <w:top w:val="single" w:sz="8" w:color="215AA8"/>
            </w:tcBorders>
          </w:tcPr>
          <w:p>
            <w:pPr>
              <w:spacing w:after="0"/>
              <w:rPr>
                <w:sz w:val="13"/>
                <w:szCs w:val="13"/>
                <w:color w:val="auto"/>
              </w:rPr>
            </w:pPr>
          </w:p>
        </w:tc>
        <w:tc>
          <w:tcPr>
            <w:tcW w:w="1000" w:type="dxa"/>
            <w:vAlign w:val="bottom"/>
            <w:tcBorders>
              <w:top w:val="single" w:sz="8" w:color="215AA8"/>
            </w:tcBorders>
          </w:tcPr>
          <w:p>
            <w:pPr>
              <w:spacing w:after="0"/>
              <w:rPr>
                <w:sz w:val="13"/>
                <w:szCs w:val="13"/>
                <w:color w:val="auto"/>
              </w:rPr>
            </w:pPr>
          </w:p>
        </w:tc>
        <w:tc>
          <w:tcPr>
            <w:tcW w:w="1000" w:type="dxa"/>
            <w:vAlign w:val="bottom"/>
            <w:tcBorders>
              <w:top w:val="single" w:sz="8" w:color="215AA8"/>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900" w:type="dxa"/>
            <w:vAlign w:val="bottom"/>
            <w:tcBorders>
              <w:bottom w:val="single" w:sz="8" w:color="949599"/>
            </w:tcBorders>
            <w:gridSpan w:val="2"/>
          </w:tcPr>
          <w:p>
            <w:pPr>
              <w:ind w:left="40"/>
              <w:spacing w:after="0"/>
              <w:rPr>
                <w:sz w:val="20"/>
                <w:szCs w:val="20"/>
                <w:color w:val="auto"/>
              </w:rPr>
            </w:pPr>
            <w:r>
              <w:rPr>
                <w:rFonts w:ascii="Arial" w:cs="Arial" w:eastAsia="Arial" w:hAnsi="Arial"/>
                <w:sz w:val="14"/>
                <w:szCs w:val="14"/>
                <w:b w:val="1"/>
                <w:bCs w:val="1"/>
                <w:color w:val="auto"/>
              </w:rPr>
              <w:t>and Executive Officers):</w:t>
            </w:r>
          </w:p>
        </w:tc>
        <w:tc>
          <w:tcPr>
            <w:tcW w:w="1740" w:type="dxa"/>
            <w:vAlign w:val="bottom"/>
            <w:tcBorders>
              <w:bottom w:val="single" w:sz="8" w:color="949599"/>
            </w:tcBorders>
          </w:tcPr>
          <w:p>
            <w:pPr>
              <w:spacing w:after="0"/>
              <w:rPr>
                <w:sz w:val="15"/>
                <w:szCs w:val="15"/>
                <w:color w:val="auto"/>
              </w:rPr>
            </w:pPr>
          </w:p>
        </w:tc>
        <w:tc>
          <w:tcPr>
            <w:tcW w:w="2600" w:type="dxa"/>
            <w:vAlign w:val="bottom"/>
            <w:tcBorders>
              <w:bottom w:val="single" w:sz="8" w:color="949599"/>
            </w:tcBorders>
          </w:tcPr>
          <w:p>
            <w:pPr>
              <w:spacing w:after="0"/>
              <w:rPr>
                <w:sz w:val="15"/>
                <w:szCs w:val="15"/>
                <w:color w:val="auto"/>
              </w:rPr>
            </w:pPr>
          </w:p>
        </w:tc>
        <w:tc>
          <w:tcPr>
            <w:tcW w:w="40" w:type="dxa"/>
            <w:vAlign w:val="bottom"/>
            <w:tcBorders>
              <w:bottom w:val="single" w:sz="8" w:color="949599"/>
            </w:tcBorders>
          </w:tcPr>
          <w:p>
            <w:pPr>
              <w:spacing w:after="0"/>
              <w:rPr>
                <w:sz w:val="15"/>
                <w:szCs w:val="15"/>
                <w:color w:val="auto"/>
              </w:rPr>
            </w:pPr>
          </w:p>
        </w:tc>
        <w:tc>
          <w:tcPr>
            <w:tcW w:w="860" w:type="dxa"/>
            <w:vAlign w:val="bottom"/>
            <w:tcBorders>
              <w:bottom w:val="single" w:sz="8" w:color="949599"/>
            </w:tcBorders>
          </w:tcPr>
          <w:p>
            <w:pPr>
              <w:spacing w:after="0"/>
              <w:rPr>
                <w:sz w:val="15"/>
                <w:szCs w:val="15"/>
                <w:color w:val="auto"/>
              </w:rPr>
            </w:pPr>
          </w:p>
        </w:tc>
        <w:tc>
          <w:tcPr>
            <w:tcW w:w="960" w:type="dxa"/>
            <w:vAlign w:val="bottom"/>
            <w:tcBorders>
              <w:bottom w:val="single" w:sz="8" w:color="949599"/>
            </w:tcBorders>
          </w:tcPr>
          <w:p>
            <w:pPr>
              <w:spacing w:after="0"/>
              <w:rPr>
                <w:sz w:val="15"/>
                <w:szCs w:val="15"/>
                <w:color w:val="auto"/>
              </w:rPr>
            </w:pPr>
          </w:p>
        </w:tc>
        <w:tc>
          <w:tcPr>
            <w:tcW w:w="540" w:type="dxa"/>
            <w:vAlign w:val="bottom"/>
            <w:tcBorders>
              <w:bottom w:val="single" w:sz="8" w:color="949599"/>
            </w:tcBorders>
          </w:tcPr>
          <w:p>
            <w:pPr>
              <w:spacing w:after="0"/>
              <w:rPr>
                <w:sz w:val="15"/>
                <w:szCs w:val="15"/>
                <w:color w:val="auto"/>
              </w:rPr>
            </w:pPr>
          </w:p>
        </w:tc>
        <w:tc>
          <w:tcPr>
            <w:tcW w:w="200" w:type="dxa"/>
            <w:vAlign w:val="bottom"/>
            <w:tcBorders>
              <w:bottom w:val="single" w:sz="8" w:color="949599"/>
            </w:tcBorders>
          </w:tcPr>
          <w:p>
            <w:pPr>
              <w:spacing w:after="0"/>
              <w:rPr>
                <w:sz w:val="15"/>
                <w:szCs w:val="15"/>
                <w:color w:val="auto"/>
              </w:rPr>
            </w:pPr>
          </w:p>
        </w:tc>
        <w:tc>
          <w:tcPr>
            <w:tcW w:w="420" w:type="dxa"/>
            <w:vAlign w:val="bottom"/>
            <w:tcBorders>
              <w:bottom w:val="single" w:sz="8" w:color="949599"/>
            </w:tcBorders>
          </w:tcPr>
          <w:p>
            <w:pPr>
              <w:spacing w:after="0"/>
              <w:rPr>
                <w:sz w:val="15"/>
                <w:szCs w:val="15"/>
                <w:color w:val="auto"/>
              </w:rPr>
            </w:pPr>
          </w:p>
        </w:tc>
        <w:tc>
          <w:tcPr>
            <w:tcW w:w="1000" w:type="dxa"/>
            <w:vAlign w:val="bottom"/>
            <w:tcBorders>
              <w:bottom w:val="single" w:sz="8" w:color="949599"/>
            </w:tcBorders>
          </w:tcPr>
          <w:p>
            <w:pPr>
              <w:spacing w:after="0"/>
              <w:rPr>
                <w:sz w:val="15"/>
                <w:szCs w:val="15"/>
                <w:color w:val="auto"/>
              </w:rPr>
            </w:pPr>
          </w:p>
        </w:tc>
        <w:tc>
          <w:tcPr>
            <w:tcW w:w="1000" w:type="dxa"/>
            <w:vAlign w:val="bottom"/>
            <w:tcBorders>
              <w:bottom w:val="single" w:sz="8" w:color="949599"/>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00" w:type="dxa"/>
            <w:vAlign w:val="bottom"/>
            <w:gridSpan w:val="2"/>
            <w:shd w:val="clear" w:color="auto" w:fill="ECECED"/>
          </w:tcPr>
          <w:p>
            <w:pPr>
              <w:ind w:left="40"/>
              <w:spacing w:after="0" w:line="184" w:lineRule="exact"/>
              <w:rPr>
                <w:sz w:val="20"/>
                <w:szCs w:val="20"/>
                <w:color w:val="auto"/>
              </w:rPr>
            </w:pPr>
            <w:r>
              <w:rPr>
                <w:rFonts w:ascii="Arial" w:cs="Arial" w:eastAsia="Arial" w:hAnsi="Arial"/>
                <w:sz w:val="13"/>
                <w:szCs w:val="13"/>
                <w:color w:val="auto"/>
              </w:rPr>
              <w:t>FMR LLC</w:t>
            </w:r>
            <w:r>
              <w:rPr>
                <w:rFonts w:ascii="Arial" w:cs="Arial" w:eastAsia="Arial" w:hAnsi="Arial"/>
                <w:sz w:val="21"/>
                <w:szCs w:val="21"/>
                <w:color w:val="auto"/>
                <w:vertAlign w:val="superscript"/>
              </w:rPr>
              <w:t>3</w:t>
            </w:r>
          </w:p>
        </w:tc>
        <w:tc>
          <w:tcPr>
            <w:tcW w:w="1740" w:type="dxa"/>
            <w:vAlign w:val="bottom"/>
            <w:shd w:val="clear" w:color="auto" w:fill="ECECED"/>
          </w:tcPr>
          <w:p>
            <w:pPr>
              <w:spacing w:after="0"/>
              <w:rPr>
                <w:sz w:val="15"/>
                <w:szCs w:val="15"/>
                <w:color w:val="auto"/>
              </w:rPr>
            </w:pPr>
          </w:p>
        </w:tc>
        <w:tc>
          <w:tcPr>
            <w:tcW w:w="2600" w:type="dxa"/>
            <w:vAlign w:val="bottom"/>
            <w:shd w:val="clear" w:color="auto" w:fill="ECECED"/>
          </w:tcPr>
          <w:p>
            <w:pPr>
              <w:spacing w:after="0"/>
              <w:rPr>
                <w:sz w:val="15"/>
                <w:szCs w:val="15"/>
                <w:color w:val="auto"/>
              </w:rPr>
            </w:pPr>
          </w:p>
        </w:tc>
        <w:tc>
          <w:tcPr>
            <w:tcW w:w="40" w:type="dxa"/>
            <w:vAlign w:val="bottom"/>
            <w:shd w:val="clear" w:color="auto" w:fill="ECECED"/>
          </w:tcPr>
          <w:p>
            <w:pPr>
              <w:spacing w:after="0"/>
              <w:rPr>
                <w:sz w:val="15"/>
                <w:szCs w:val="15"/>
                <w:color w:val="auto"/>
              </w:rPr>
            </w:pPr>
          </w:p>
        </w:tc>
        <w:tc>
          <w:tcPr>
            <w:tcW w:w="860" w:type="dxa"/>
            <w:vAlign w:val="bottom"/>
            <w:shd w:val="clear" w:color="auto" w:fill="ECECED"/>
          </w:tcPr>
          <w:p>
            <w:pPr>
              <w:spacing w:after="0"/>
              <w:rPr>
                <w:sz w:val="15"/>
                <w:szCs w:val="15"/>
                <w:color w:val="auto"/>
              </w:rPr>
            </w:pPr>
          </w:p>
        </w:tc>
        <w:tc>
          <w:tcPr>
            <w:tcW w:w="960" w:type="dxa"/>
            <w:vAlign w:val="bottom"/>
            <w:shd w:val="clear" w:color="auto" w:fill="ECECED"/>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ECECED"/>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CECED"/>
          </w:tcPr>
          <w:p>
            <w:pPr>
              <w:jc w:val="right"/>
              <w:ind w:right="232"/>
              <w:spacing w:after="0"/>
              <w:rPr>
                <w:sz w:val="20"/>
                <w:szCs w:val="20"/>
                <w:color w:val="auto"/>
              </w:rPr>
            </w:pPr>
            <w:r>
              <w:rPr>
                <w:rFonts w:ascii="Arial" w:cs="Arial" w:eastAsia="Arial" w:hAnsi="Arial"/>
                <w:sz w:val="14"/>
                <w:szCs w:val="14"/>
                <w:color w:val="auto"/>
                <w:w w:val="96"/>
              </w:rPr>
              <w:t>10,317,407</w:t>
            </w:r>
          </w:p>
        </w:tc>
        <w:tc>
          <w:tcPr>
            <w:tcW w:w="1000" w:type="dxa"/>
            <w:vAlign w:val="bottom"/>
            <w:shd w:val="clear" w:color="auto" w:fill="ECECED"/>
          </w:tcPr>
          <w:p>
            <w:pPr>
              <w:jc w:val="right"/>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900" w:type="dxa"/>
            <w:vAlign w:val="bottom"/>
            <w:gridSpan w:val="2"/>
            <w:shd w:val="clear" w:color="auto" w:fill="ECECED"/>
          </w:tcPr>
          <w:p>
            <w:pPr>
              <w:ind w:left="40"/>
              <w:spacing w:after="0" w:line="157" w:lineRule="exact"/>
              <w:rPr>
                <w:sz w:val="20"/>
                <w:szCs w:val="20"/>
                <w:color w:val="auto"/>
              </w:rPr>
            </w:pPr>
            <w:r>
              <w:rPr>
                <w:rFonts w:ascii="Arial" w:cs="Arial" w:eastAsia="Arial" w:hAnsi="Arial"/>
                <w:sz w:val="14"/>
                <w:szCs w:val="14"/>
                <w:color w:val="auto"/>
              </w:rPr>
              <w:t>245 Summer Street</w:t>
            </w:r>
          </w:p>
        </w:tc>
        <w:tc>
          <w:tcPr>
            <w:tcW w:w="1740" w:type="dxa"/>
            <w:vAlign w:val="bottom"/>
            <w:shd w:val="clear" w:color="auto" w:fill="ECECED"/>
          </w:tcPr>
          <w:p>
            <w:pPr>
              <w:spacing w:after="0"/>
              <w:rPr>
                <w:sz w:val="13"/>
                <w:szCs w:val="13"/>
                <w:color w:val="auto"/>
              </w:rPr>
            </w:pPr>
          </w:p>
        </w:tc>
        <w:tc>
          <w:tcPr>
            <w:tcW w:w="2600" w:type="dxa"/>
            <w:vAlign w:val="bottom"/>
            <w:shd w:val="clear" w:color="auto" w:fill="ECECED"/>
          </w:tcPr>
          <w:p>
            <w:pPr>
              <w:spacing w:after="0"/>
              <w:rPr>
                <w:sz w:val="13"/>
                <w:szCs w:val="13"/>
                <w:color w:val="auto"/>
              </w:rPr>
            </w:pPr>
          </w:p>
        </w:tc>
        <w:tc>
          <w:tcPr>
            <w:tcW w:w="40" w:type="dxa"/>
            <w:vAlign w:val="bottom"/>
            <w:shd w:val="clear" w:color="auto" w:fill="ECECED"/>
          </w:tcPr>
          <w:p>
            <w:pPr>
              <w:spacing w:after="0"/>
              <w:rPr>
                <w:sz w:val="13"/>
                <w:szCs w:val="13"/>
                <w:color w:val="auto"/>
              </w:rPr>
            </w:pPr>
          </w:p>
        </w:tc>
        <w:tc>
          <w:tcPr>
            <w:tcW w:w="860" w:type="dxa"/>
            <w:vAlign w:val="bottom"/>
            <w:shd w:val="clear" w:color="auto" w:fill="ECECED"/>
          </w:tcPr>
          <w:p>
            <w:pPr>
              <w:spacing w:after="0"/>
              <w:rPr>
                <w:sz w:val="13"/>
                <w:szCs w:val="13"/>
                <w:color w:val="auto"/>
              </w:rPr>
            </w:pPr>
          </w:p>
        </w:tc>
        <w:tc>
          <w:tcPr>
            <w:tcW w:w="960" w:type="dxa"/>
            <w:vAlign w:val="bottom"/>
            <w:shd w:val="clear" w:color="auto" w:fill="ECECED"/>
          </w:tcPr>
          <w:p>
            <w:pPr>
              <w:spacing w:after="0"/>
              <w:rPr>
                <w:sz w:val="13"/>
                <w:szCs w:val="13"/>
                <w:color w:val="auto"/>
              </w:rPr>
            </w:pPr>
          </w:p>
        </w:tc>
        <w:tc>
          <w:tcPr>
            <w:tcW w:w="540" w:type="dxa"/>
            <w:vAlign w:val="bottom"/>
            <w:shd w:val="clear" w:color="auto" w:fill="ECECED"/>
          </w:tcPr>
          <w:p>
            <w:pPr>
              <w:spacing w:after="0"/>
              <w:rPr>
                <w:sz w:val="13"/>
                <w:szCs w:val="13"/>
                <w:color w:val="auto"/>
              </w:rPr>
            </w:pPr>
          </w:p>
        </w:tc>
        <w:tc>
          <w:tcPr>
            <w:tcW w:w="200" w:type="dxa"/>
            <w:vAlign w:val="bottom"/>
            <w:shd w:val="clear" w:color="auto" w:fill="ECECED"/>
          </w:tcPr>
          <w:p>
            <w:pPr>
              <w:spacing w:after="0"/>
              <w:rPr>
                <w:sz w:val="13"/>
                <w:szCs w:val="13"/>
                <w:color w:val="auto"/>
              </w:rPr>
            </w:pPr>
          </w:p>
        </w:tc>
        <w:tc>
          <w:tcPr>
            <w:tcW w:w="420" w:type="dxa"/>
            <w:vAlign w:val="bottom"/>
            <w:shd w:val="clear" w:color="auto" w:fill="ECECED"/>
          </w:tcPr>
          <w:p>
            <w:pPr>
              <w:spacing w:after="0"/>
              <w:rPr>
                <w:sz w:val="13"/>
                <w:szCs w:val="13"/>
                <w:color w:val="auto"/>
              </w:rPr>
            </w:pPr>
          </w:p>
        </w:tc>
        <w:tc>
          <w:tcPr>
            <w:tcW w:w="1000" w:type="dxa"/>
            <w:vAlign w:val="bottom"/>
            <w:shd w:val="clear" w:color="auto" w:fill="ECECED"/>
          </w:tcPr>
          <w:p>
            <w:pPr>
              <w:spacing w:after="0"/>
              <w:rPr>
                <w:sz w:val="13"/>
                <w:szCs w:val="13"/>
                <w:color w:val="auto"/>
              </w:rPr>
            </w:pPr>
          </w:p>
        </w:tc>
        <w:tc>
          <w:tcPr>
            <w:tcW w:w="1000" w:type="dxa"/>
            <w:vAlign w:val="bottom"/>
            <w:shd w:val="clear" w:color="auto" w:fill="ECECED"/>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900" w:type="dxa"/>
            <w:vAlign w:val="bottom"/>
            <w:tcBorders>
              <w:bottom w:val="single" w:sz="8" w:color="949599"/>
            </w:tcBorders>
            <w:gridSpan w:val="2"/>
            <w:shd w:val="clear" w:color="auto" w:fill="ECECED"/>
          </w:tcPr>
          <w:p>
            <w:pPr>
              <w:ind w:left="40"/>
              <w:spacing w:after="0"/>
              <w:rPr>
                <w:sz w:val="20"/>
                <w:szCs w:val="20"/>
                <w:color w:val="auto"/>
              </w:rPr>
            </w:pPr>
            <w:r>
              <w:rPr>
                <w:rFonts w:ascii="Arial" w:cs="Arial" w:eastAsia="Arial" w:hAnsi="Arial"/>
                <w:sz w:val="14"/>
                <w:szCs w:val="14"/>
                <w:color w:val="auto"/>
                <w:w w:val="98"/>
              </w:rPr>
              <w:t>Boston, Massachusetts 02210</w:t>
            </w:r>
          </w:p>
        </w:tc>
        <w:tc>
          <w:tcPr>
            <w:tcW w:w="1740" w:type="dxa"/>
            <w:vAlign w:val="bottom"/>
            <w:tcBorders>
              <w:bottom w:val="single" w:sz="8" w:color="949599"/>
            </w:tcBorders>
            <w:shd w:val="clear" w:color="auto" w:fill="ECECED"/>
          </w:tcPr>
          <w:p>
            <w:pPr>
              <w:spacing w:after="0"/>
              <w:rPr>
                <w:sz w:val="15"/>
                <w:szCs w:val="15"/>
                <w:color w:val="auto"/>
              </w:rPr>
            </w:pPr>
          </w:p>
        </w:tc>
        <w:tc>
          <w:tcPr>
            <w:tcW w:w="2600" w:type="dxa"/>
            <w:vAlign w:val="bottom"/>
            <w:tcBorders>
              <w:bottom w:val="single" w:sz="8" w:color="949599"/>
            </w:tcBorders>
            <w:shd w:val="clear" w:color="auto" w:fill="ECECED"/>
          </w:tcPr>
          <w:p>
            <w:pPr>
              <w:spacing w:after="0"/>
              <w:rPr>
                <w:sz w:val="15"/>
                <w:szCs w:val="15"/>
                <w:color w:val="auto"/>
              </w:rPr>
            </w:pPr>
          </w:p>
        </w:tc>
        <w:tc>
          <w:tcPr>
            <w:tcW w:w="40" w:type="dxa"/>
            <w:vAlign w:val="bottom"/>
            <w:tcBorders>
              <w:bottom w:val="single" w:sz="8" w:color="949599"/>
            </w:tcBorders>
            <w:shd w:val="clear" w:color="auto" w:fill="ECECED"/>
          </w:tcPr>
          <w:p>
            <w:pPr>
              <w:spacing w:after="0"/>
              <w:rPr>
                <w:sz w:val="15"/>
                <w:szCs w:val="15"/>
                <w:color w:val="auto"/>
              </w:rPr>
            </w:pPr>
          </w:p>
        </w:tc>
        <w:tc>
          <w:tcPr>
            <w:tcW w:w="860" w:type="dxa"/>
            <w:vAlign w:val="bottom"/>
            <w:tcBorders>
              <w:bottom w:val="single" w:sz="8" w:color="949599"/>
            </w:tcBorders>
            <w:shd w:val="clear" w:color="auto" w:fill="ECECED"/>
          </w:tcPr>
          <w:p>
            <w:pPr>
              <w:spacing w:after="0"/>
              <w:rPr>
                <w:sz w:val="15"/>
                <w:szCs w:val="15"/>
                <w:color w:val="auto"/>
              </w:rPr>
            </w:pPr>
          </w:p>
        </w:tc>
        <w:tc>
          <w:tcPr>
            <w:tcW w:w="960" w:type="dxa"/>
            <w:vAlign w:val="bottom"/>
            <w:tcBorders>
              <w:bottom w:val="single" w:sz="8" w:color="949599"/>
            </w:tcBorders>
            <w:shd w:val="clear" w:color="auto" w:fill="ECECED"/>
          </w:tcPr>
          <w:p>
            <w:pPr>
              <w:spacing w:after="0"/>
              <w:rPr>
                <w:sz w:val="15"/>
                <w:szCs w:val="15"/>
                <w:color w:val="auto"/>
              </w:rPr>
            </w:pPr>
          </w:p>
        </w:tc>
        <w:tc>
          <w:tcPr>
            <w:tcW w:w="540" w:type="dxa"/>
            <w:vAlign w:val="bottom"/>
            <w:tcBorders>
              <w:bottom w:val="single" w:sz="8" w:color="949599"/>
            </w:tcBorders>
            <w:shd w:val="clear" w:color="auto" w:fill="ECECED"/>
          </w:tcPr>
          <w:p>
            <w:pPr>
              <w:spacing w:after="0"/>
              <w:rPr>
                <w:sz w:val="15"/>
                <w:szCs w:val="15"/>
                <w:color w:val="auto"/>
              </w:rPr>
            </w:pPr>
          </w:p>
        </w:tc>
        <w:tc>
          <w:tcPr>
            <w:tcW w:w="200" w:type="dxa"/>
            <w:vAlign w:val="bottom"/>
            <w:tcBorders>
              <w:bottom w:val="single" w:sz="8" w:color="949599"/>
            </w:tcBorders>
            <w:shd w:val="clear" w:color="auto" w:fill="ECECED"/>
          </w:tcPr>
          <w:p>
            <w:pPr>
              <w:spacing w:after="0"/>
              <w:rPr>
                <w:sz w:val="15"/>
                <w:szCs w:val="15"/>
                <w:color w:val="auto"/>
              </w:rPr>
            </w:pPr>
          </w:p>
        </w:tc>
        <w:tc>
          <w:tcPr>
            <w:tcW w:w="420" w:type="dxa"/>
            <w:vAlign w:val="bottom"/>
            <w:tcBorders>
              <w:bottom w:val="single" w:sz="8" w:color="949599"/>
            </w:tcBorders>
            <w:shd w:val="clear" w:color="auto" w:fill="ECECED"/>
          </w:tcPr>
          <w:p>
            <w:pPr>
              <w:spacing w:after="0"/>
              <w:rPr>
                <w:sz w:val="15"/>
                <w:szCs w:val="15"/>
                <w:color w:val="auto"/>
              </w:rPr>
            </w:pPr>
          </w:p>
        </w:tc>
        <w:tc>
          <w:tcPr>
            <w:tcW w:w="1000" w:type="dxa"/>
            <w:vAlign w:val="bottom"/>
            <w:tcBorders>
              <w:bottom w:val="single" w:sz="8" w:color="949599"/>
            </w:tcBorders>
            <w:shd w:val="clear" w:color="auto" w:fill="ECECED"/>
          </w:tcPr>
          <w:p>
            <w:pPr>
              <w:spacing w:after="0"/>
              <w:rPr>
                <w:sz w:val="15"/>
                <w:szCs w:val="15"/>
                <w:color w:val="auto"/>
              </w:rPr>
            </w:pPr>
          </w:p>
        </w:tc>
        <w:tc>
          <w:tcPr>
            <w:tcW w:w="1000" w:type="dxa"/>
            <w:vAlign w:val="bottom"/>
            <w:tcBorders>
              <w:bottom w:val="single" w:sz="8" w:color="949599"/>
            </w:tcBorders>
            <w:shd w:val="clear" w:color="auto" w:fill="ECECED"/>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00" w:type="dxa"/>
            <w:vAlign w:val="bottom"/>
            <w:gridSpan w:val="2"/>
          </w:tcPr>
          <w:p>
            <w:pPr>
              <w:ind w:left="40"/>
              <w:spacing w:after="0" w:line="185" w:lineRule="exact"/>
              <w:rPr>
                <w:sz w:val="20"/>
                <w:szCs w:val="20"/>
                <w:color w:val="auto"/>
              </w:rPr>
            </w:pPr>
            <w:r>
              <w:rPr>
                <w:rFonts w:ascii="Arial" w:cs="Arial" w:eastAsia="Arial" w:hAnsi="Arial"/>
                <w:sz w:val="13"/>
                <w:szCs w:val="13"/>
                <w:color w:val="auto"/>
              </w:rPr>
              <w:t>The Vanguard Group, Inc.</w:t>
            </w:r>
            <w:r>
              <w:rPr>
                <w:rFonts w:ascii="Arial" w:cs="Arial" w:eastAsia="Arial" w:hAnsi="Arial"/>
                <w:sz w:val="21"/>
                <w:szCs w:val="21"/>
                <w:color w:val="auto"/>
                <w:vertAlign w:val="superscript"/>
              </w:rPr>
              <w:t>4</w:t>
            </w:r>
          </w:p>
        </w:tc>
        <w:tc>
          <w:tcPr>
            <w:tcW w:w="17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Pr>
          <w:p>
            <w:pPr>
              <w:ind w:left="100"/>
              <w:spacing w:after="0"/>
              <w:rPr>
                <w:sz w:val="20"/>
                <w:szCs w:val="20"/>
                <w:color w:val="auto"/>
              </w:rPr>
            </w:pPr>
            <w:r>
              <w:rPr>
                <w:rFonts w:ascii="Arial" w:cs="Arial" w:eastAsia="Arial" w:hAnsi="Arial"/>
                <w:sz w:val="14"/>
                <w:szCs w:val="14"/>
                <w:color w:val="auto"/>
              </w:rPr>
              <w:t>8,838,240</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58"/>
        </w:trPr>
        <w:tc>
          <w:tcPr>
            <w:tcW w:w="19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100 Vanguard Blvd.</w:t>
            </w:r>
          </w:p>
        </w:tc>
        <w:tc>
          <w:tcPr>
            <w:tcW w:w="17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900" w:type="dxa"/>
            <w:vAlign w:val="bottom"/>
            <w:tcBorders>
              <w:bottom w:val="single" w:sz="8" w:color="949599"/>
            </w:tcBorders>
            <w:gridSpan w:val="2"/>
          </w:tcPr>
          <w:p>
            <w:pPr>
              <w:ind w:left="40"/>
              <w:spacing w:after="0"/>
              <w:rPr>
                <w:sz w:val="20"/>
                <w:szCs w:val="20"/>
                <w:color w:val="auto"/>
              </w:rPr>
            </w:pPr>
            <w:r>
              <w:rPr>
                <w:rFonts w:ascii="Arial" w:cs="Arial" w:eastAsia="Arial" w:hAnsi="Arial"/>
                <w:sz w:val="14"/>
                <w:szCs w:val="14"/>
                <w:color w:val="auto"/>
              </w:rPr>
              <w:t>Malvern, PA 19355</w:t>
            </w:r>
          </w:p>
        </w:tc>
        <w:tc>
          <w:tcPr>
            <w:tcW w:w="1740" w:type="dxa"/>
            <w:vAlign w:val="bottom"/>
            <w:tcBorders>
              <w:bottom w:val="single" w:sz="8" w:color="949599"/>
            </w:tcBorders>
          </w:tcPr>
          <w:p>
            <w:pPr>
              <w:spacing w:after="0"/>
              <w:rPr>
                <w:sz w:val="15"/>
                <w:szCs w:val="15"/>
                <w:color w:val="auto"/>
              </w:rPr>
            </w:pPr>
          </w:p>
        </w:tc>
        <w:tc>
          <w:tcPr>
            <w:tcW w:w="2600" w:type="dxa"/>
            <w:vAlign w:val="bottom"/>
            <w:tcBorders>
              <w:bottom w:val="single" w:sz="8" w:color="949599"/>
            </w:tcBorders>
          </w:tcPr>
          <w:p>
            <w:pPr>
              <w:spacing w:after="0"/>
              <w:rPr>
                <w:sz w:val="15"/>
                <w:szCs w:val="15"/>
                <w:color w:val="auto"/>
              </w:rPr>
            </w:pPr>
          </w:p>
        </w:tc>
        <w:tc>
          <w:tcPr>
            <w:tcW w:w="40" w:type="dxa"/>
            <w:vAlign w:val="bottom"/>
            <w:tcBorders>
              <w:bottom w:val="single" w:sz="8" w:color="949599"/>
            </w:tcBorders>
          </w:tcPr>
          <w:p>
            <w:pPr>
              <w:spacing w:after="0"/>
              <w:rPr>
                <w:sz w:val="15"/>
                <w:szCs w:val="15"/>
                <w:color w:val="auto"/>
              </w:rPr>
            </w:pPr>
          </w:p>
        </w:tc>
        <w:tc>
          <w:tcPr>
            <w:tcW w:w="860" w:type="dxa"/>
            <w:vAlign w:val="bottom"/>
            <w:tcBorders>
              <w:bottom w:val="single" w:sz="8" w:color="949599"/>
            </w:tcBorders>
          </w:tcPr>
          <w:p>
            <w:pPr>
              <w:spacing w:after="0"/>
              <w:rPr>
                <w:sz w:val="15"/>
                <w:szCs w:val="15"/>
                <w:color w:val="auto"/>
              </w:rPr>
            </w:pPr>
          </w:p>
        </w:tc>
        <w:tc>
          <w:tcPr>
            <w:tcW w:w="960" w:type="dxa"/>
            <w:vAlign w:val="bottom"/>
            <w:tcBorders>
              <w:bottom w:val="single" w:sz="8" w:color="949599"/>
            </w:tcBorders>
          </w:tcPr>
          <w:p>
            <w:pPr>
              <w:spacing w:after="0"/>
              <w:rPr>
                <w:sz w:val="15"/>
                <w:szCs w:val="15"/>
                <w:color w:val="auto"/>
              </w:rPr>
            </w:pPr>
          </w:p>
        </w:tc>
        <w:tc>
          <w:tcPr>
            <w:tcW w:w="540" w:type="dxa"/>
            <w:vAlign w:val="bottom"/>
            <w:tcBorders>
              <w:bottom w:val="single" w:sz="8" w:color="949599"/>
            </w:tcBorders>
          </w:tcPr>
          <w:p>
            <w:pPr>
              <w:spacing w:after="0"/>
              <w:rPr>
                <w:sz w:val="15"/>
                <w:szCs w:val="15"/>
                <w:color w:val="auto"/>
              </w:rPr>
            </w:pPr>
          </w:p>
        </w:tc>
        <w:tc>
          <w:tcPr>
            <w:tcW w:w="200" w:type="dxa"/>
            <w:vAlign w:val="bottom"/>
            <w:tcBorders>
              <w:bottom w:val="single" w:sz="8" w:color="949599"/>
            </w:tcBorders>
          </w:tcPr>
          <w:p>
            <w:pPr>
              <w:spacing w:after="0"/>
              <w:rPr>
                <w:sz w:val="15"/>
                <w:szCs w:val="15"/>
                <w:color w:val="auto"/>
              </w:rPr>
            </w:pPr>
          </w:p>
        </w:tc>
        <w:tc>
          <w:tcPr>
            <w:tcW w:w="420" w:type="dxa"/>
            <w:vAlign w:val="bottom"/>
            <w:tcBorders>
              <w:bottom w:val="single" w:sz="8" w:color="949599"/>
            </w:tcBorders>
          </w:tcPr>
          <w:p>
            <w:pPr>
              <w:spacing w:after="0"/>
              <w:rPr>
                <w:sz w:val="15"/>
                <w:szCs w:val="15"/>
                <w:color w:val="auto"/>
              </w:rPr>
            </w:pPr>
          </w:p>
        </w:tc>
        <w:tc>
          <w:tcPr>
            <w:tcW w:w="1000" w:type="dxa"/>
            <w:vAlign w:val="bottom"/>
            <w:tcBorders>
              <w:bottom w:val="single" w:sz="8" w:color="949599"/>
            </w:tcBorders>
          </w:tcPr>
          <w:p>
            <w:pPr>
              <w:spacing w:after="0"/>
              <w:rPr>
                <w:sz w:val="15"/>
                <w:szCs w:val="15"/>
                <w:color w:val="auto"/>
              </w:rPr>
            </w:pPr>
          </w:p>
        </w:tc>
        <w:tc>
          <w:tcPr>
            <w:tcW w:w="1000" w:type="dxa"/>
            <w:vAlign w:val="bottom"/>
            <w:tcBorders>
              <w:bottom w:val="single" w:sz="8" w:color="949599"/>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00" w:type="dxa"/>
            <w:vAlign w:val="bottom"/>
            <w:gridSpan w:val="2"/>
            <w:shd w:val="clear" w:color="auto" w:fill="ECECED"/>
          </w:tcPr>
          <w:p>
            <w:pPr>
              <w:ind w:left="40"/>
              <w:spacing w:after="0" w:line="185" w:lineRule="exact"/>
              <w:rPr>
                <w:sz w:val="20"/>
                <w:szCs w:val="20"/>
                <w:color w:val="auto"/>
              </w:rPr>
            </w:pPr>
            <w:r>
              <w:rPr>
                <w:rFonts w:ascii="Arial" w:cs="Arial" w:eastAsia="Arial" w:hAnsi="Arial"/>
                <w:sz w:val="13"/>
                <w:szCs w:val="13"/>
                <w:color w:val="auto"/>
              </w:rPr>
              <w:t>BlackRock, Inc.</w:t>
            </w:r>
            <w:r>
              <w:rPr>
                <w:rFonts w:ascii="Arial" w:cs="Arial" w:eastAsia="Arial" w:hAnsi="Arial"/>
                <w:sz w:val="21"/>
                <w:szCs w:val="21"/>
                <w:color w:val="auto"/>
                <w:vertAlign w:val="superscript"/>
              </w:rPr>
              <w:t>5</w:t>
            </w:r>
          </w:p>
        </w:tc>
        <w:tc>
          <w:tcPr>
            <w:tcW w:w="1740" w:type="dxa"/>
            <w:vAlign w:val="bottom"/>
            <w:shd w:val="clear" w:color="auto" w:fill="ECECED"/>
          </w:tcPr>
          <w:p>
            <w:pPr>
              <w:spacing w:after="0"/>
              <w:rPr>
                <w:sz w:val="16"/>
                <w:szCs w:val="16"/>
                <w:color w:val="auto"/>
              </w:rPr>
            </w:pPr>
          </w:p>
        </w:tc>
        <w:tc>
          <w:tcPr>
            <w:tcW w:w="2600" w:type="dxa"/>
            <w:vAlign w:val="bottom"/>
            <w:shd w:val="clear" w:color="auto" w:fill="ECECED"/>
          </w:tcPr>
          <w:p>
            <w:pPr>
              <w:spacing w:after="0"/>
              <w:rPr>
                <w:sz w:val="16"/>
                <w:szCs w:val="16"/>
                <w:color w:val="auto"/>
              </w:rPr>
            </w:pPr>
          </w:p>
        </w:tc>
        <w:tc>
          <w:tcPr>
            <w:tcW w:w="40" w:type="dxa"/>
            <w:vAlign w:val="bottom"/>
            <w:shd w:val="clear" w:color="auto" w:fill="ECECED"/>
          </w:tcPr>
          <w:p>
            <w:pPr>
              <w:spacing w:after="0"/>
              <w:rPr>
                <w:sz w:val="16"/>
                <w:szCs w:val="16"/>
                <w:color w:val="auto"/>
              </w:rPr>
            </w:pPr>
          </w:p>
        </w:tc>
        <w:tc>
          <w:tcPr>
            <w:tcW w:w="860" w:type="dxa"/>
            <w:vAlign w:val="bottom"/>
            <w:shd w:val="clear" w:color="auto" w:fill="ECECED"/>
          </w:tcPr>
          <w:p>
            <w:pPr>
              <w:spacing w:after="0"/>
              <w:rPr>
                <w:sz w:val="16"/>
                <w:szCs w:val="16"/>
                <w:color w:val="auto"/>
              </w:rPr>
            </w:pPr>
          </w:p>
        </w:tc>
        <w:tc>
          <w:tcPr>
            <w:tcW w:w="960" w:type="dxa"/>
            <w:vAlign w:val="bottom"/>
            <w:shd w:val="clear" w:color="auto" w:fill="ECECED"/>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ECECED"/>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CECED"/>
          </w:tcPr>
          <w:p>
            <w:pPr>
              <w:ind w:left="100"/>
              <w:spacing w:after="0"/>
              <w:rPr>
                <w:sz w:val="20"/>
                <w:szCs w:val="20"/>
                <w:color w:val="auto"/>
              </w:rPr>
            </w:pPr>
            <w:r>
              <w:rPr>
                <w:rFonts w:ascii="Arial" w:cs="Arial" w:eastAsia="Arial" w:hAnsi="Arial"/>
                <w:sz w:val="14"/>
                <w:szCs w:val="14"/>
                <w:color w:val="auto"/>
              </w:rPr>
              <w:t>8,629,707</w:t>
            </w:r>
          </w:p>
        </w:tc>
        <w:tc>
          <w:tcPr>
            <w:tcW w:w="1000" w:type="dxa"/>
            <w:vAlign w:val="bottom"/>
            <w:shd w:val="clear" w:color="auto" w:fill="ECECED"/>
          </w:tcPr>
          <w:p>
            <w:pPr>
              <w:jc w:val="right"/>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900" w:type="dxa"/>
            <w:vAlign w:val="bottom"/>
            <w:gridSpan w:val="2"/>
            <w:shd w:val="clear" w:color="auto" w:fill="ECECED"/>
          </w:tcPr>
          <w:p>
            <w:pPr>
              <w:ind w:left="40"/>
              <w:spacing w:after="0" w:line="157" w:lineRule="exact"/>
              <w:rPr>
                <w:sz w:val="20"/>
                <w:szCs w:val="20"/>
                <w:color w:val="auto"/>
              </w:rPr>
            </w:pPr>
            <w:r>
              <w:rPr>
                <w:rFonts w:ascii="Arial" w:cs="Arial" w:eastAsia="Arial" w:hAnsi="Arial"/>
                <w:sz w:val="14"/>
                <w:szCs w:val="14"/>
                <w:color w:val="auto"/>
              </w:rPr>
              <w:t>55 East 52nd Street</w:t>
            </w:r>
          </w:p>
        </w:tc>
        <w:tc>
          <w:tcPr>
            <w:tcW w:w="1740" w:type="dxa"/>
            <w:vAlign w:val="bottom"/>
            <w:shd w:val="clear" w:color="auto" w:fill="ECECED"/>
          </w:tcPr>
          <w:p>
            <w:pPr>
              <w:spacing w:after="0"/>
              <w:rPr>
                <w:sz w:val="13"/>
                <w:szCs w:val="13"/>
                <w:color w:val="auto"/>
              </w:rPr>
            </w:pPr>
          </w:p>
        </w:tc>
        <w:tc>
          <w:tcPr>
            <w:tcW w:w="2600" w:type="dxa"/>
            <w:vAlign w:val="bottom"/>
            <w:shd w:val="clear" w:color="auto" w:fill="ECECED"/>
          </w:tcPr>
          <w:p>
            <w:pPr>
              <w:spacing w:after="0"/>
              <w:rPr>
                <w:sz w:val="13"/>
                <w:szCs w:val="13"/>
                <w:color w:val="auto"/>
              </w:rPr>
            </w:pPr>
          </w:p>
        </w:tc>
        <w:tc>
          <w:tcPr>
            <w:tcW w:w="40" w:type="dxa"/>
            <w:vAlign w:val="bottom"/>
            <w:shd w:val="clear" w:color="auto" w:fill="ECECED"/>
          </w:tcPr>
          <w:p>
            <w:pPr>
              <w:spacing w:after="0"/>
              <w:rPr>
                <w:sz w:val="13"/>
                <w:szCs w:val="13"/>
                <w:color w:val="auto"/>
              </w:rPr>
            </w:pPr>
          </w:p>
        </w:tc>
        <w:tc>
          <w:tcPr>
            <w:tcW w:w="860" w:type="dxa"/>
            <w:vAlign w:val="bottom"/>
            <w:shd w:val="clear" w:color="auto" w:fill="ECECED"/>
          </w:tcPr>
          <w:p>
            <w:pPr>
              <w:spacing w:after="0"/>
              <w:rPr>
                <w:sz w:val="13"/>
                <w:szCs w:val="13"/>
                <w:color w:val="auto"/>
              </w:rPr>
            </w:pPr>
          </w:p>
        </w:tc>
        <w:tc>
          <w:tcPr>
            <w:tcW w:w="960" w:type="dxa"/>
            <w:vAlign w:val="bottom"/>
            <w:shd w:val="clear" w:color="auto" w:fill="ECECED"/>
          </w:tcPr>
          <w:p>
            <w:pPr>
              <w:spacing w:after="0"/>
              <w:rPr>
                <w:sz w:val="13"/>
                <w:szCs w:val="13"/>
                <w:color w:val="auto"/>
              </w:rPr>
            </w:pPr>
          </w:p>
        </w:tc>
        <w:tc>
          <w:tcPr>
            <w:tcW w:w="540" w:type="dxa"/>
            <w:vAlign w:val="bottom"/>
            <w:shd w:val="clear" w:color="auto" w:fill="ECECED"/>
          </w:tcPr>
          <w:p>
            <w:pPr>
              <w:spacing w:after="0"/>
              <w:rPr>
                <w:sz w:val="13"/>
                <w:szCs w:val="13"/>
                <w:color w:val="auto"/>
              </w:rPr>
            </w:pPr>
          </w:p>
        </w:tc>
        <w:tc>
          <w:tcPr>
            <w:tcW w:w="200" w:type="dxa"/>
            <w:vAlign w:val="bottom"/>
            <w:shd w:val="clear" w:color="auto" w:fill="ECECED"/>
          </w:tcPr>
          <w:p>
            <w:pPr>
              <w:spacing w:after="0"/>
              <w:rPr>
                <w:sz w:val="13"/>
                <w:szCs w:val="13"/>
                <w:color w:val="auto"/>
              </w:rPr>
            </w:pPr>
          </w:p>
        </w:tc>
        <w:tc>
          <w:tcPr>
            <w:tcW w:w="420" w:type="dxa"/>
            <w:vAlign w:val="bottom"/>
            <w:shd w:val="clear" w:color="auto" w:fill="ECECED"/>
          </w:tcPr>
          <w:p>
            <w:pPr>
              <w:spacing w:after="0"/>
              <w:rPr>
                <w:sz w:val="13"/>
                <w:szCs w:val="13"/>
                <w:color w:val="auto"/>
              </w:rPr>
            </w:pPr>
          </w:p>
        </w:tc>
        <w:tc>
          <w:tcPr>
            <w:tcW w:w="1000" w:type="dxa"/>
            <w:vAlign w:val="bottom"/>
            <w:shd w:val="clear" w:color="auto" w:fill="ECECED"/>
          </w:tcPr>
          <w:p>
            <w:pPr>
              <w:spacing w:after="0"/>
              <w:rPr>
                <w:sz w:val="13"/>
                <w:szCs w:val="13"/>
                <w:color w:val="auto"/>
              </w:rPr>
            </w:pPr>
          </w:p>
        </w:tc>
        <w:tc>
          <w:tcPr>
            <w:tcW w:w="1000" w:type="dxa"/>
            <w:vAlign w:val="bottom"/>
            <w:shd w:val="clear" w:color="auto" w:fill="ECECED"/>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900" w:type="dxa"/>
            <w:vAlign w:val="bottom"/>
            <w:tcBorders>
              <w:bottom w:val="single" w:sz="8" w:color="949599"/>
            </w:tcBorders>
            <w:gridSpan w:val="2"/>
            <w:shd w:val="clear" w:color="auto" w:fill="ECECED"/>
          </w:tcPr>
          <w:p>
            <w:pPr>
              <w:ind w:left="40"/>
              <w:spacing w:after="0"/>
              <w:rPr>
                <w:sz w:val="20"/>
                <w:szCs w:val="20"/>
                <w:color w:val="auto"/>
              </w:rPr>
            </w:pPr>
            <w:r>
              <w:rPr>
                <w:rFonts w:ascii="Arial" w:cs="Arial" w:eastAsia="Arial" w:hAnsi="Arial"/>
                <w:sz w:val="14"/>
                <w:szCs w:val="14"/>
                <w:color w:val="auto"/>
              </w:rPr>
              <w:t>New York, New York 10055</w:t>
            </w:r>
          </w:p>
        </w:tc>
        <w:tc>
          <w:tcPr>
            <w:tcW w:w="1740" w:type="dxa"/>
            <w:vAlign w:val="bottom"/>
            <w:tcBorders>
              <w:bottom w:val="single" w:sz="8" w:color="949599"/>
            </w:tcBorders>
            <w:shd w:val="clear" w:color="auto" w:fill="ECECED"/>
          </w:tcPr>
          <w:p>
            <w:pPr>
              <w:spacing w:after="0"/>
              <w:rPr>
                <w:sz w:val="15"/>
                <w:szCs w:val="15"/>
                <w:color w:val="auto"/>
              </w:rPr>
            </w:pPr>
          </w:p>
        </w:tc>
        <w:tc>
          <w:tcPr>
            <w:tcW w:w="2600" w:type="dxa"/>
            <w:vAlign w:val="bottom"/>
            <w:tcBorders>
              <w:bottom w:val="single" w:sz="8" w:color="949599"/>
            </w:tcBorders>
            <w:shd w:val="clear" w:color="auto" w:fill="ECECED"/>
          </w:tcPr>
          <w:p>
            <w:pPr>
              <w:spacing w:after="0"/>
              <w:rPr>
                <w:sz w:val="15"/>
                <w:szCs w:val="15"/>
                <w:color w:val="auto"/>
              </w:rPr>
            </w:pPr>
          </w:p>
        </w:tc>
        <w:tc>
          <w:tcPr>
            <w:tcW w:w="40" w:type="dxa"/>
            <w:vAlign w:val="bottom"/>
            <w:tcBorders>
              <w:bottom w:val="single" w:sz="8" w:color="949599"/>
            </w:tcBorders>
            <w:shd w:val="clear" w:color="auto" w:fill="ECECED"/>
          </w:tcPr>
          <w:p>
            <w:pPr>
              <w:spacing w:after="0"/>
              <w:rPr>
                <w:sz w:val="15"/>
                <w:szCs w:val="15"/>
                <w:color w:val="auto"/>
              </w:rPr>
            </w:pPr>
          </w:p>
        </w:tc>
        <w:tc>
          <w:tcPr>
            <w:tcW w:w="860" w:type="dxa"/>
            <w:vAlign w:val="bottom"/>
            <w:tcBorders>
              <w:bottom w:val="single" w:sz="8" w:color="949599"/>
            </w:tcBorders>
            <w:shd w:val="clear" w:color="auto" w:fill="ECECED"/>
          </w:tcPr>
          <w:p>
            <w:pPr>
              <w:spacing w:after="0"/>
              <w:rPr>
                <w:sz w:val="15"/>
                <w:szCs w:val="15"/>
                <w:color w:val="auto"/>
              </w:rPr>
            </w:pPr>
          </w:p>
        </w:tc>
        <w:tc>
          <w:tcPr>
            <w:tcW w:w="960" w:type="dxa"/>
            <w:vAlign w:val="bottom"/>
            <w:tcBorders>
              <w:bottom w:val="single" w:sz="8" w:color="949599"/>
            </w:tcBorders>
            <w:shd w:val="clear" w:color="auto" w:fill="ECECED"/>
          </w:tcPr>
          <w:p>
            <w:pPr>
              <w:spacing w:after="0"/>
              <w:rPr>
                <w:sz w:val="15"/>
                <w:szCs w:val="15"/>
                <w:color w:val="auto"/>
              </w:rPr>
            </w:pPr>
          </w:p>
        </w:tc>
        <w:tc>
          <w:tcPr>
            <w:tcW w:w="540" w:type="dxa"/>
            <w:vAlign w:val="bottom"/>
            <w:tcBorders>
              <w:bottom w:val="single" w:sz="8" w:color="949599"/>
            </w:tcBorders>
            <w:shd w:val="clear" w:color="auto" w:fill="ECECED"/>
          </w:tcPr>
          <w:p>
            <w:pPr>
              <w:spacing w:after="0"/>
              <w:rPr>
                <w:sz w:val="15"/>
                <w:szCs w:val="15"/>
                <w:color w:val="auto"/>
              </w:rPr>
            </w:pPr>
          </w:p>
        </w:tc>
        <w:tc>
          <w:tcPr>
            <w:tcW w:w="200" w:type="dxa"/>
            <w:vAlign w:val="bottom"/>
            <w:tcBorders>
              <w:bottom w:val="single" w:sz="8" w:color="949599"/>
            </w:tcBorders>
            <w:shd w:val="clear" w:color="auto" w:fill="ECECED"/>
          </w:tcPr>
          <w:p>
            <w:pPr>
              <w:spacing w:after="0"/>
              <w:rPr>
                <w:sz w:val="15"/>
                <w:szCs w:val="15"/>
                <w:color w:val="auto"/>
              </w:rPr>
            </w:pPr>
          </w:p>
        </w:tc>
        <w:tc>
          <w:tcPr>
            <w:tcW w:w="420" w:type="dxa"/>
            <w:vAlign w:val="bottom"/>
            <w:tcBorders>
              <w:bottom w:val="single" w:sz="8" w:color="949599"/>
            </w:tcBorders>
            <w:shd w:val="clear" w:color="auto" w:fill="ECECED"/>
          </w:tcPr>
          <w:p>
            <w:pPr>
              <w:spacing w:after="0"/>
              <w:rPr>
                <w:sz w:val="15"/>
                <w:szCs w:val="15"/>
                <w:color w:val="auto"/>
              </w:rPr>
            </w:pPr>
          </w:p>
        </w:tc>
        <w:tc>
          <w:tcPr>
            <w:tcW w:w="1000" w:type="dxa"/>
            <w:vAlign w:val="bottom"/>
            <w:tcBorders>
              <w:bottom w:val="single" w:sz="8" w:color="949599"/>
            </w:tcBorders>
            <w:shd w:val="clear" w:color="auto" w:fill="ECECED"/>
          </w:tcPr>
          <w:p>
            <w:pPr>
              <w:spacing w:after="0"/>
              <w:rPr>
                <w:sz w:val="15"/>
                <w:szCs w:val="15"/>
                <w:color w:val="auto"/>
              </w:rPr>
            </w:pPr>
          </w:p>
        </w:tc>
        <w:tc>
          <w:tcPr>
            <w:tcW w:w="1000" w:type="dxa"/>
            <w:vAlign w:val="bottom"/>
            <w:tcBorders>
              <w:bottom w:val="single" w:sz="8" w:color="949599"/>
            </w:tcBorders>
            <w:shd w:val="clear" w:color="auto" w:fill="ECECED"/>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00" w:type="dxa"/>
            <w:vAlign w:val="bottom"/>
            <w:gridSpan w:val="2"/>
          </w:tcPr>
          <w:p>
            <w:pPr>
              <w:ind w:left="40"/>
              <w:spacing w:after="0" w:line="185" w:lineRule="exact"/>
              <w:rPr>
                <w:sz w:val="20"/>
                <w:szCs w:val="20"/>
                <w:color w:val="auto"/>
              </w:rPr>
            </w:pPr>
            <w:r>
              <w:rPr>
                <w:rFonts w:ascii="Arial" w:cs="Arial" w:eastAsia="Arial" w:hAnsi="Arial"/>
                <w:sz w:val="13"/>
                <w:szCs w:val="13"/>
                <w:color w:val="auto"/>
              </w:rPr>
              <w:t>JPMorgan Chase &amp; Co.</w:t>
            </w:r>
            <w:r>
              <w:rPr>
                <w:rFonts w:ascii="Arial" w:cs="Arial" w:eastAsia="Arial" w:hAnsi="Arial"/>
                <w:sz w:val="21"/>
                <w:szCs w:val="21"/>
                <w:color w:val="auto"/>
                <w:vertAlign w:val="superscript"/>
              </w:rPr>
              <w:t>6</w:t>
            </w:r>
          </w:p>
        </w:tc>
        <w:tc>
          <w:tcPr>
            <w:tcW w:w="17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Pr>
          <w:p>
            <w:pPr>
              <w:ind w:left="100"/>
              <w:spacing w:after="0"/>
              <w:rPr>
                <w:sz w:val="20"/>
                <w:szCs w:val="20"/>
                <w:color w:val="auto"/>
              </w:rPr>
            </w:pPr>
            <w:r>
              <w:rPr>
                <w:rFonts w:ascii="Arial" w:cs="Arial" w:eastAsia="Arial" w:hAnsi="Arial"/>
                <w:sz w:val="14"/>
                <w:szCs w:val="14"/>
                <w:color w:val="auto"/>
              </w:rPr>
              <w:t>7,219,436</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58"/>
        </w:trPr>
        <w:tc>
          <w:tcPr>
            <w:tcW w:w="19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383 Madison Avenue</w:t>
            </w:r>
          </w:p>
        </w:tc>
        <w:tc>
          <w:tcPr>
            <w:tcW w:w="17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900" w:type="dxa"/>
            <w:vAlign w:val="bottom"/>
            <w:tcBorders>
              <w:bottom w:val="single" w:sz="8" w:color="949599"/>
            </w:tcBorders>
            <w:gridSpan w:val="2"/>
          </w:tcPr>
          <w:p>
            <w:pPr>
              <w:ind w:left="40"/>
              <w:spacing w:after="0"/>
              <w:rPr>
                <w:sz w:val="20"/>
                <w:szCs w:val="20"/>
                <w:color w:val="auto"/>
              </w:rPr>
            </w:pPr>
            <w:r>
              <w:rPr>
                <w:rFonts w:ascii="Arial" w:cs="Arial" w:eastAsia="Arial" w:hAnsi="Arial"/>
                <w:sz w:val="14"/>
                <w:szCs w:val="14"/>
                <w:color w:val="auto"/>
              </w:rPr>
              <w:t>New York, NY 10179</w:t>
            </w:r>
          </w:p>
        </w:tc>
        <w:tc>
          <w:tcPr>
            <w:tcW w:w="1740" w:type="dxa"/>
            <w:vAlign w:val="bottom"/>
            <w:tcBorders>
              <w:bottom w:val="single" w:sz="8" w:color="949599"/>
            </w:tcBorders>
          </w:tcPr>
          <w:p>
            <w:pPr>
              <w:spacing w:after="0"/>
              <w:rPr>
                <w:sz w:val="15"/>
                <w:szCs w:val="15"/>
                <w:color w:val="auto"/>
              </w:rPr>
            </w:pPr>
          </w:p>
        </w:tc>
        <w:tc>
          <w:tcPr>
            <w:tcW w:w="2600" w:type="dxa"/>
            <w:vAlign w:val="bottom"/>
            <w:tcBorders>
              <w:bottom w:val="single" w:sz="8" w:color="949599"/>
            </w:tcBorders>
          </w:tcPr>
          <w:p>
            <w:pPr>
              <w:spacing w:after="0"/>
              <w:rPr>
                <w:sz w:val="15"/>
                <w:szCs w:val="15"/>
                <w:color w:val="auto"/>
              </w:rPr>
            </w:pPr>
          </w:p>
        </w:tc>
        <w:tc>
          <w:tcPr>
            <w:tcW w:w="40" w:type="dxa"/>
            <w:vAlign w:val="bottom"/>
            <w:tcBorders>
              <w:bottom w:val="single" w:sz="8" w:color="949599"/>
            </w:tcBorders>
          </w:tcPr>
          <w:p>
            <w:pPr>
              <w:spacing w:after="0"/>
              <w:rPr>
                <w:sz w:val="15"/>
                <w:szCs w:val="15"/>
                <w:color w:val="auto"/>
              </w:rPr>
            </w:pPr>
          </w:p>
        </w:tc>
        <w:tc>
          <w:tcPr>
            <w:tcW w:w="860" w:type="dxa"/>
            <w:vAlign w:val="bottom"/>
            <w:tcBorders>
              <w:bottom w:val="single" w:sz="8" w:color="949599"/>
            </w:tcBorders>
          </w:tcPr>
          <w:p>
            <w:pPr>
              <w:spacing w:after="0"/>
              <w:rPr>
                <w:sz w:val="15"/>
                <w:szCs w:val="15"/>
                <w:color w:val="auto"/>
              </w:rPr>
            </w:pPr>
          </w:p>
        </w:tc>
        <w:tc>
          <w:tcPr>
            <w:tcW w:w="960" w:type="dxa"/>
            <w:vAlign w:val="bottom"/>
            <w:tcBorders>
              <w:bottom w:val="single" w:sz="8" w:color="949599"/>
            </w:tcBorders>
          </w:tcPr>
          <w:p>
            <w:pPr>
              <w:spacing w:after="0"/>
              <w:rPr>
                <w:sz w:val="15"/>
                <w:szCs w:val="15"/>
                <w:color w:val="auto"/>
              </w:rPr>
            </w:pPr>
          </w:p>
        </w:tc>
        <w:tc>
          <w:tcPr>
            <w:tcW w:w="540" w:type="dxa"/>
            <w:vAlign w:val="bottom"/>
            <w:tcBorders>
              <w:bottom w:val="single" w:sz="8" w:color="949599"/>
            </w:tcBorders>
          </w:tcPr>
          <w:p>
            <w:pPr>
              <w:spacing w:after="0"/>
              <w:rPr>
                <w:sz w:val="15"/>
                <w:szCs w:val="15"/>
                <w:color w:val="auto"/>
              </w:rPr>
            </w:pPr>
          </w:p>
        </w:tc>
        <w:tc>
          <w:tcPr>
            <w:tcW w:w="200" w:type="dxa"/>
            <w:vAlign w:val="bottom"/>
            <w:tcBorders>
              <w:bottom w:val="single" w:sz="8" w:color="949599"/>
            </w:tcBorders>
          </w:tcPr>
          <w:p>
            <w:pPr>
              <w:spacing w:after="0"/>
              <w:rPr>
                <w:sz w:val="15"/>
                <w:szCs w:val="15"/>
                <w:color w:val="auto"/>
              </w:rPr>
            </w:pPr>
          </w:p>
        </w:tc>
        <w:tc>
          <w:tcPr>
            <w:tcW w:w="420" w:type="dxa"/>
            <w:vAlign w:val="bottom"/>
            <w:tcBorders>
              <w:bottom w:val="single" w:sz="8" w:color="949599"/>
            </w:tcBorders>
          </w:tcPr>
          <w:p>
            <w:pPr>
              <w:spacing w:after="0"/>
              <w:rPr>
                <w:sz w:val="15"/>
                <w:szCs w:val="15"/>
                <w:color w:val="auto"/>
              </w:rPr>
            </w:pPr>
          </w:p>
        </w:tc>
        <w:tc>
          <w:tcPr>
            <w:tcW w:w="1000" w:type="dxa"/>
            <w:vAlign w:val="bottom"/>
            <w:tcBorders>
              <w:bottom w:val="single" w:sz="8" w:color="949599"/>
            </w:tcBorders>
          </w:tcPr>
          <w:p>
            <w:pPr>
              <w:spacing w:after="0"/>
              <w:rPr>
                <w:sz w:val="15"/>
                <w:szCs w:val="15"/>
                <w:color w:val="auto"/>
              </w:rPr>
            </w:pPr>
          </w:p>
        </w:tc>
        <w:tc>
          <w:tcPr>
            <w:tcW w:w="1000" w:type="dxa"/>
            <w:vAlign w:val="bottom"/>
            <w:tcBorders>
              <w:bottom w:val="single" w:sz="8" w:color="949599"/>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640" w:type="dxa"/>
            <w:vAlign w:val="bottom"/>
            <w:tcBorders>
              <w:bottom w:val="single" w:sz="8" w:color="949599"/>
            </w:tcBorders>
            <w:gridSpan w:val="3"/>
            <w:shd w:val="clear" w:color="auto" w:fill="ECECED"/>
          </w:tcPr>
          <w:p>
            <w:pPr>
              <w:ind w:left="40"/>
              <w:spacing w:after="0" w:line="207" w:lineRule="exact"/>
              <w:rPr>
                <w:sz w:val="20"/>
                <w:szCs w:val="20"/>
                <w:color w:val="auto"/>
              </w:rPr>
            </w:pPr>
            <w:r>
              <w:rPr>
                <w:rFonts w:ascii="Arial" w:cs="Arial" w:eastAsia="Arial" w:hAnsi="Arial"/>
                <w:sz w:val="14"/>
                <w:szCs w:val="14"/>
                <w:b w:val="1"/>
                <w:bCs w:val="1"/>
                <w:color w:val="auto"/>
              </w:rPr>
              <w:t>Directors and Executive Officers:</w:t>
            </w:r>
            <w:r>
              <w:rPr>
                <w:rFonts w:ascii="Arial" w:cs="Arial" w:eastAsia="Arial" w:hAnsi="Arial"/>
                <w:sz w:val="22"/>
                <w:szCs w:val="22"/>
                <w:b w:val="1"/>
                <w:bCs w:val="1"/>
                <w:color w:val="auto"/>
                <w:vertAlign w:val="superscript"/>
              </w:rPr>
              <w:t>7</w:t>
            </w:r>
          </w:p>
        </w:tc>
        <w:tc>
          <w:tcPr>
            <w:tcW w:w="2600" w:type="dxa"/>
            <w:vAlign w:val="bottom"/>
            <w:tcBorders>
              <w:bottom w:val="single" w:sz="8" w:color="949599"/>
            </w:tcBorders>
            <w:shd w:val="clear" w:color="auto" w:fill="ECECED"/>
          </w:tcPr>
          <w:p>
            <w:pPr>
              <w:spacing w:after="0"/>
              <w:rPr>
                <w:sz w:val="17"/>
                <w:szCs w:val="17"/>
                <w:color w:val="auto"/>
              </w:rPr>
            </w:pPr>
          </w:p>
        </w:tc>
        <w:tc>
          <w:tcPr>
            <w:tcW w:w="40" w:type="dxa"/>
            <w:vAlign w:val="bottom"/>
            <w:tcBorders>
              <w:bottom w:val="single" w:sz="8" w:color="949599"/>
            </w:tcBorders>
            <w:shd w:val="clear" w:color="auto" w:fill="ECECED"/>
          </w:tcPr>
          <w:p>
            <w:pPr>
              <w:spacing w:after="0"/>
              <w:rPr>
                <w:sz w:val="17"/>
                <w:szCs w:val="17"/>
                <w:color w:val="auto"/>
              </w:rPr>
            </w:pPr>
          </w:p>
        </w:tc>
        <w:tc>
          <w:tcPr>
            <w:tcW w:w="860" w:type="dxa"/>
            <w:vAlign w:val="bottom"/>
            <w:tcBorders>
              <w:bottom w:val="single" w:sz="8" w:color="949599"/>
            </w:tcBorders>
            <w:shd w:val="clear" w:color="auto" w:fill="ECECED"/>
          </w:tcPr>
          <w:p>
            <w:pPr>
              <w:spacing w:after="0"/>
              <w:rPr>
                <w:sz w:val="17"/>
                <w:szCs w:val="17"/>
                <w:color w:val="auto"/>
              </w:rPr>
            </w:pPr>
          </w:p>
        </w:tc>
        <w:tc>
          <w:tcPr>
            <w:tcW w:w="960" w:type="dxa"/>
            <w:vAlign w:val="bottom"/>
            <w:tcBorders>
              <w:bottom w:val="single" w:sz="8" w:color="949599"/>
            </w:tcBorders>
            <w:shd w:val="clear" w:color="auto" w:fill="ECECED"/>
          </w:tcPr>
          <w:p>
            <w:pPr>
              <w:spacing w:after="0"/>
              <w:rPr>
                <w:sz w:val="17"/>
                <w:szCs w:val="17"/>
                <w:color w:val="auto"/>
              </w:rPr>
            </w:pPr>
          </w:p>
        </w:tc>
        <w:tc>
          <w:tcPr>
            <w:tcW w:w="540" w:type="dxa"/>
            <w:vAlign w:val="bottom"/>
            <w:tcBorders>
              <w:bottom w:val="single" w:sz="8" w:color="949599"/>
            </w:tcBorders>
            <w:shd w:val="clear" w:color="auto" w:fill="ECECED"/>
          </w:tcPr>
          <w:p>
            <w:pPr>
              <w:spacing w:after="0"/>
              <w:rPr>
                <w:sz w:val="17"/>
                <w:szCs w:val="17"/>
                <w:color w:val="auto"/>
              </w:rPr>
            </w:pPr>
          </w:p>
        </w:tc>
        <w:tc>
          <w:tcPr>
            <w:tcW w:w="200" w:type="dxa"/>
            <w:vAlign w:val="bottom"/>
            <w:tcBorders>
              <w:bottom w:val="single" w:sz="8" w:color="949599"/>
            </w:tcBorders>
            <w:shd w:val="clear" w:color="auto" w:fill="ECECED"/>
          </w:tcPr>
          <w:p>
            <w:pPr>
              <w:spacing w:after="0"/>
              <w:rPr>
                <w:sz w:val="17"/>
                <w:szCs w:val="17"/>
                <w:color w:val="auto"/>
              </w:rPr>
            </w:pPr>
          </w:p>
        </w:tc>
        <w:tc>
          <w:tcPr>
            <w:tcW w:w="420" w:type="dxa"/>
            <w:vAlign w:val="bottom"/>
            <w:tcBorders>
              <w:bottom w:val="single" w:sz="8" w:color="949599"/>
            </w:tcBorders>
            <w:shd w:val="clear" w:color="auto" w:fill="ECECED"/>
          </w:tcPr>
          <w:p>
            <w:pPr>
              <w:spacing w:after="0"/>
              <w:rPr>
                <w:sz w:val="17"/>
                <w:szCs w:val="17"/>
                <w:color w:val="auto"/>
              </w:rPr>
            </w:pPr>
          </w:p>
        </w:tc>
        <w:tc>
          <w:tcPr>
            <w:tcW w:w="1000" w:type="dxa"/>
            <w:vAlign w:val="bottom"/>
            <w:tcBorders>
              <w:bottom w:val="single" w:sz="8" w:color="949599"/>
            </w:tcBorders>
            <w:shd w:val="clear" w:color="auto" w:fill="ECECED"/>
          </w:tcPr>
          <w:p>
            <w:pPr>
              <w:spacing w:after="0"/>
              <w:rPr>
                <w:sz w:val="17"/>
                <w:szCs w:val="17"/>
                <w:color w:val="auto"/>
              </w:rPr>
            </w:pPr>
          </w:p>
        </w:tc>
        <w:tc>
          <w:tcPr>
            <w:tcW w:w="1000" w:type="dxa"/>
            <w:vAlign w:val="bottom"/>
            <w:tcBorders>
              <w:bottom w:val="single" w:sz="8" w:color="949599"/>
            </w:tcBorders>
            <w:shd w:val="clear" w:color="auto" w:fill="ECECE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640" w:type="dxa"/>
            <w:vAlign w:val="bottom"/>
            <w:gridSpan w:val="3"/>
          </w:tcPr>
          <w:p>
            <w:pPr>
              <w:ind w:left="40"/>
              <w:spacing w:after="0"/>
              <w:rPr>
                <w:sz w:val="20"/>
                <w:szCs w:val="20"/>
                <w:color w:val="auto"/>
              </w:rPr>
            </w:pPr>
            <w:r>
              <w:rPr>
                <w:rFonts w:ascii="Arial" w:cs="Arial" w:eastAsia="Arial" w:hAnsi="Arial"/>
                <w:sz w:val="14"/>
                <w:szCs w:val="14"/>
                <w:b w:val="1"/>
                <w:bCs w:val="1"/>
                <w:color w:val="215AA8"/>
              </w:rPr>
              <w:t>Leonard S. Schleifer, M.D., Ph.D.</w:t>
            </w:r>
          </w:p>
        </w:tc>
        <w:tc>
          <w:tcPr>
            <w:tcW w:w="2600" w:type="dxa"/>
            <w:vAlign w:val="bottom"/>
          </w:tcPr>
          <w:p>
            <w:pPr>
              <w:spacing w:after="0"/>
              <w:rPr>
                <w:sz w:val="17"/>
                <w:szCs w:val="17"/>
                <w:color w:val="auto"/>
              </w:rPr>
            </w:pPr>
          </w:p>
        </w:tc>
        <w:tc>
          <w:tcPr>
            <w:tcW w:w="1860" w:type="dxa"/>
            <w:vAlign w:val="bottom"/>
            <w:gridSpan w:val="3"/>
          </w:tcPr>
          <w:p>
            <w:pPr>
              <w:jc w:val="right"/>
              <w:ind w:right="672"/>
              <w:spacing w:after="0" w:line="205" w:lineRule="exact"/>
              <w:rPr>
                <w:sz w:val="20"/>
                <w:szCs w:val="20"/>
                <w:color w:val="auto"/>
              </w:rPr>
            </w:pPr>
            <w:r>
              <w:rPr>
                <w:rFonts w:ascii="Arial" w:cs="Arial" w:eastAsia="Arial" w:hAnsi="Arial"/>
                <w:sz w:val="14"/>
                <w:szCs w:val="14"/>
                <w:color w:val="auto"/>
              </w:rPr>
              <w:t>1,726,565</w:t>
            </w:r>
            <w:r>
              <w:rPr>
                <w:rFonts w:ascii="Arial" w:cs="Arial" w:eastAsia="Arial" w:hAnsi="Arial"/>
                <w:sz w:val="22"/>
                <w:szCs w:val="22"/>
                <w:color w:val="auto"/>
                <w:vertAlign w:val="superscript"/>
              </w:rPr>
              <w:t>8</w:t>
            </w:r>
          </w:p>
        </w:tc>
        <w:tc>
          <w:tcPr>
            <w:tcW w:w="540" w:type="dxa"/>
            <w:vAlign w:val="bottom"/>
          </w:tcPr>
          <w:p>
            <w:pPr>
              <w:jc w:val="right"/>
              <w:spacing w:after="0"/>
              <w:rPr>
                <w:sz w:val="20"/>
                <w:szCs w:val="20"/>
                <w:color w:val="auto"/>
              </w:rPr>
            </w:pPr>
            <w:r>
              <w:rPr>
                <w:rFonts w:ascii="Arial" w:cs="Arial" w:eastAsia="Arial" w:hAnsi="Arial"/>
                <w:sz w:val="14"/>
                <w:szCs w:val="14"/>
                <w:color w:val="auto"/>
              </w:rPr>
              <w:t>95.0%</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ind w:left="100"/>
              <w:spacing w:after="0" w:line="205" w:lineRule="exact"/>
              <w:rPr>
                <w:sz w:val="20"/>
                <w:szCs w:val="20"/>
                <w:color w:val="auto"/>
              </w:rPr>
            </w:pPr>
            <w:r>
              <w:rPr>
                <w:rFonts w:ascii="Arial" w:cs="Arial" w:eastAsia="Arial" w:hAnsi="Arial"/>
                <w:sz w:val="14"/>
                <w:szCs w:val="14"/>
                <w:color w:val="auto"/>
              </w:rPr>
              <w:t>3,294,518</w:t>
            </w:r>
            <w:r>
              <w:rPr>
                <w:rFonts w:ascii="Arial" w:cs="Arial" w:eastAsia="Arial" w:hAnsi="Arial"/>
                <w:sz w:val="22"/>
                <w:szCs w:val="22"/>
                <w:color w:val="auto"/>
                <w:vertAlign w:val="superscript"/>
              </w:rPr>
              <w:t>9</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5"/>
        </w:trPr>
        <w:tc>
          <w:tcPr>
            <w:tcW w:w="3640" w:type="dxa"/>
            <w:vAlign w:val="bottom"/>
            <w:tcBorders>
              <w:top w:val="single" w:sz="8" w:color="949599"/>
              <w:bottom w:val="single" w:sz="8" w:color="949599"/>
            </w:tcBorders>
            <w:gridSpan w:val="3"/>
            <w:shd w:val="clear" w:color="auto" w:fill="ECECED"/>
          </w:tcPr>
          <w:p>
            <w:pPr>
              <w:ind w:left="40"/>
              <w:spacing w:after="0"/>
              <w:rPr>
                <w:sz w:val="20"/>
                <w:szCs w:val="20"/>
                <w:color w:val="auto"/>
              </w:rPr>
            </w:pPr>
            <w:r>
              <w:rPr>
                <w:rFonts w:ascii="Arial" w:cs="Arial" w:eastAsia="Arial" w:hAnsi="Arial"/>
                <w:sz w:val="14"/>
                <w:szCs w:val="14"/>
                <w:b w:val="1"/>
                <w:bCs w:val="1"/>
                <w:color w:val="215AA8"/>
              </w:rPr>
              <w:t>George D. Yancopoulos, M.D., Ph.D.</w:t>
            </w:r>
          </w:p>
        </w:tc>
        <w:tc>
          <w:tcPr>
            <w:tcW w:w="2600" w:type="dxa"/>
            <w:vAlign w:val="bottom"/>
            <w:tcBorders>
              <w:top w:val="single" w:sz="8" w:color="949599"/>
              <w:bottom w:val="single" w:sz="8" w:color="949599"/>
            </w:tcBorders>
            <w:shd w:val="clear" w:color="auto" w:fill="ECECED"/>
          </w:tcPr>
          <w:p>
            <w:pPr>
              <w:spacing w:after="0"/>
              <w:rPr>
                <w:sz w:val="17"/>
                <w:szCs w:val="17"/>
                <w:color w:val="auto"/>
              </w:rPr>
            </w:pPr>
          </w:p>
        </w:tc>
        <w:tc>
          <w:tcPr>
            <w:tcW w:w="1860" w:type="dxa"/>
            <w:vAlign w:val="bottom"/>
            <w:tcBorders>
              <w:top w:val="single" w:sz="8" w:color="949599"/>
              <w:bottom w:val="single" w:sz="8" w:color="949599"/>
            </w:tcBorders>
            <w:gridSpan w:val="3"/>
            <w:shd w:val="clear" w:color="auto" w:fill="ECECED"/>
          </w:tcPr>
          <w:p>
            <w:pPr>
              <w:jc w:val="right"/>
              <w:ind w:right="672"/>
              <w:spacing w:after="0" w:line="205" w:lineRule="exact"/>
              <w:rPr>
                <w:sz w:val="20"/>
                <w:szCs w:val="20"/>
                <w:color w:val="auto"/>
              </w:rPr>
            </w:pPr>
            <w:r>
              <w:rPr>
                <w:rFonts w:ascii="Arial" w:cs="Arial" w:eastAsia="Arial" w:hAnsi="Arial"/>
                <w:sz w:val="14"/>
                <w:szCs w:val="14"/>
                <w:color w:val="auto"/>
              </w:rPr>
              <w:t>42,750</w:t>
            </w:r>
            <w:r>
              <w:rPr>
                <w:rFonts w:ascii="Arial" w:cs="Arial" w:eastAsia="Arial" w:hAnsi="Arial"/>
                <w:sz w:val="22"/>
                <w:szCs w:val="22"/>
                <w:color w:val="auto"/>
                <w:vertAlign w:val="superscript"/>
              </w:rPr>
              <w:t>10</w:t>
            </w:r>
          </w:p>
        </w:tc>
        <w:tc>
          <w:tcPr>
            <w:tcW w:w="540" w:type="dxa"/>
            <w:vAlign w:val="bottom"/>
            <w:tcBorders>
              <w:top w:val="single" w:sz="8" w:color="949599"/>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2.4%</w:t>
            </w:r>
          </w:p>
        </w:tc>
        <w:tc>
          <w:tcPr>
            <w:tcW w:w="200" w:type="dxa"/>
            <w:vAlign w:val="bottom"/>
            <w:tcBorders>
              <w:top w:val="single" w:sz="8" w:color="949599"/>
              <w:bottom w:val="single" w:sz="8" w:color="949599"/>
            </w:tcBorders>
            <w:shd w:val="clear" w:color="auto" w:fill="ECECED"/>
          </w:tcPr>
          <w:p>
            <w:pPr>
              <w:spacing w:after="0"/>
              <w:rPr>
                <w:sz w:val="17"/>
                <w:szCs w:val="17"/>
                <w:color w:val="auto"/>
              </w:rPr>
            </w:pPr>
          </w:p>
        </w:tc>
        <w:tc>
          <w:tcPr>
            <w:tcW w:w="420" w:type="dxa"/>
            <w:vAlign w:val="bottom"/>
            <w:tcBorders>
              <w:top w:val="single" w:sz="8" w:color="949599"/>
              <w:bottom w:val="single" w:sz="8" w:color="949599"/>
            </w:tcBorders>
            <w:shd w:val="clear" w:color="auto" w:fill="ECECED"/>
          </w:tcPr>
          <w:p>
            <w:pPr>
              <w:spacing w:after="0"/>
              <w:rPr>
                <w:sz w:val="17"/>
                <w:szCs w:val="17"/>
                <w:color w:val="auto"/>
              </w:rPr>
            </w:pPr>
          </w:p>
        </w:tc>
        <w:tc>
          <w:tcPr>
            <w:tcW w:w="1000" w:type="dxa"/>
            <w:vAlign w:val="bottom"/>
            <w:tcBorders>
              <w:top w:val="single" w:sz="8" w:color="949599"/>
              <w:bottom w:val="single" w:sz="8" w:color="949599"/>
            </w:tcBorders>
            <w:shd w:val="clear" w:color="auto" w:fill="ECECED"/>
          </w:tcPr>
          <w:p>
            <w:pPr>
              <w:ind w:left="100"/>
              <w:spacing w:after="0" w:line="205" w:lineRule="exact"/>
              <w:rPr>
                <w:sz w:val="20"/>
                <w:szCs w:val="20"/>
                <w:color w:val="auto"/>
              </w:rPr>
            </w:pPr>
            <w:r>
              <w:rPr>
                <w:rFonts w:ascii="Arial" w:cs="Arial" w:eastAsia="Arial" w:hAnsi="Arial"/>
                <w:sz w:val="14"/>
                <w:szCs w:val="14"/>
                <w:color w:val="auto"/>
              </w:rPr>
              <w:t>1,953,137</w:t>
            </w:r>
            <w:r>
              <w:rPr>
                <w:rFonts w:ascii="Arial" w:cs="Arial" w:eastAsia="Arial" w:hAnsi="Arial"/>
                <w:sz w:val="22"/>
                <w:szCs w:val="22"/>
                <w:color w:val="auto"/>
                <w:vertAlign w:val="superscript"/>
              </w:rPr>
              <w:t>11</w:t>
            </w:r>
          </w:p>
        </w:tc>
        <w:tc>
          <w:tcPr>
            <w:tcW w:w="1000" w:type="dxa"/>
            <w:vAlign w:val="bottom"/>
            <w:tcBorders>
              <w:top w:val="single" w:sz="8" w:color="949599"/>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215AA8"/>
              </w:rPr>
              <w:t>Bonnie L. Bassler, Ph.D.</w:t>
            </w:r>
          </w:p>
        </w:tc>
        <w:tc>
          <w:tcPr>
            <w:tcW w:w="17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2"/>
              <w:spacing w:after="0" w:line="205" w:lineRule="exact"/>
              <w:rPr>
                <w:sz w:val="20"/>
                <w:szCs w:val="20"/>
                <w:color w:val="auto"/>
              </w:rPr>
            </w:pPr>
            <w:r>
              <w:rPr>
                <w:rFonts w:ascii="Arial" w:cs="Arial" w:eastAsia="Arial" w:hAnsi="Arial"/>
                <w:sz w:val="14"/>
                <w:szCs w:val="14"/>
                <w:color w:val="auto"/>
              </w:rPr>
              <w:t>19,248</w:t>
            </w:r>
            <w:r>
              <w:rPr>
                <w:rFonts w:ascii="Arial" w:cs="Arial" w:eastAsia="Arial" w:hAnsi="Arial"/>
                <w:sz w:val="22"/>
                <w:szCs w:val="22"/>
                <w:color w:val="auto"/>
                <w:vertAlign w:val="superscript"/>
              </w:rPr>
              <w:t>12</w:t>
            </w:r>
          </w:p>
        </w:tc>
        <w:tc>
          <w:tcPr>
            <w:tcW w:w="1020" w:type="dxa"/>
            <w:vAlign w:val="bottom"/>
            <w:gridSpan w:val="2"/>
          </w:tcPr>
          <w:p>
            <w:pPr>
              <w:jc w:val="right"/>
              <w:ind w:right="20"/>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05"/>
        </w:trPr>
        <w:tc>
          <w:tcPr>
            <w:tcW w:w="1900" w:type="dxa"/>
            <w:vAlign w:val="bottom"/>
            <w:tcBorders>
              <w:top w:val="single" w:sz="8" w:color="949599"/>
              <w:bottom w:val="single" w:sz="8" w:color="949599"/>
            </w:tcBorders>
            <w:gridSpan w:val="2"/>
            <w:shd w:val="clear" w:color="auto" w:fill="ECECED"/>
          </w:tcPr>
          <w:p>
            <w:pPr>
              <w:ind w:left="40"/>
              <w:spacing w:after="0"/>
              <w:rPr>
                <w:sz w:val="20"/>
                <w:szCs w:val="20"/>
                <w:color w:val="auto"/>
              </w:rPr>
            </w:pPr>
            <w:r>
              <w:rPr>
                <w:rFonts w:ascii="Arial" w:cs="Arial" w:eastAsia="Arial" w:hAnsi="Arial"/>
                <w:sz w:val="14"/>
                <w:szCs w:val="14"/>
                <w:b w:val="1"/>
                <w:bCs w:val="1"/>
                <w:color w:val="215AA8"/>
              </w:rPr>
              <w:t>Michael S. Brown, M.D.</w:t>
            </w:r>
          </w:p>
        </w:tc>
        <w:tc>
          <w:tcPr>
            <w:tcW w:w="1740" w:type="dxa"/>
            <w:vAlign w:val="bottom"/>
            <w:tcBorders>
              <w:top w:val="single" w:sz="8" w:color="949599"/>
              <w:bottom w:val="single" w:sz="8" w:color="949599"/>
            </w:tcBorders>
            <w:shd w:val="clear" w:color="auto" w:fill="ECECED"/>
          </w:tcPr>
          <w:p>
            <w:pPr>
              <w:spacing w:after="0"/>
              <w:rPr>
                <w:sz w:val="17"/>
                <w:szCs w:val="17"/>
                <w:color w:val="auto"/>
              </w:rPr>
            </w:pPr>
          </w:p>
        </w:tc>
        <w:tc>
          <w:tcPr>
            <w:tcW w:w="2600" w:type="dxa"/>
            <w:vAlign w:val="bottom"/>
            <w:tcBorders>
              <w:top w:val="single" w:sz="8" w:color="949599"/>
              <w:bottom w:val="single" w:sz="8" w:color="949599"/>
            </w:tcBorders>
            <w:shd w:val="clear" w:color="auto" w:fill="ECECED"/>
          </w:tcPr>
          <w:p>
            <w:pPr>
              <w:spacing w:after="0"/>
              <w:rPr>
                <w:sz w:val="17"/>
                <w:szCs w:val="17"/>
                <w:color w:val="auto"/>
              </w:rPr>
            </w:pPr>
          </w:p>
        </w:tc>
        <w:tc>
          <w:tcPr>
            <w:tcW w:w="40" w:type="dxa"/>
            <w:vAlign w:val="bottom"/>
            <w:tcBorders>
              <w:top w:val="single" w:sz="8" w:color="949599"/>
              <w:bottom w:val="single" w:sz="8" w:color="949599"/>
            </w:tcBorders>
            <w:shd w:val="clear" w:color="auto" w:fill="ECECED"/>
          </w:tcPr>
          <w:p>
            <w:pPr>
              <w:spacing w:after="0"/>
              <w:rPr>
                <w:sz w:val="17"/>
                <w:szCs w:val="17"/>
                <w:color w:val="auto"/>
              </w:rPr>
            </w:pPr>
          </w:p>
        </w:tc>
        <w:tc>
          <w:tcPr>
            <w:tcW w:w="860" w:type="dxa"/>
            <w:vAlign w:val="bottom"/>
            <w:tcBorders>
              <w:top w:val="single" w:sz="8" w:color="949599"/>
              <w:bottom w:val="single" w:sz="8" w:color="949599"/>
            </w:tcBorders>
            <w:shd w:val="clear" w:color="auto" w:fill="ECECED"/>
          </w:tcPr>
          <w:p>
            <w:pPr>
              <w:spacing w:after="0"/>
              <w:rPr>
                <w:sz w:val="17"/>
                <w:szCs w:val="17"/>
                <w:color w:val="auto"/>
              </w:rPr>
            </w:pPr>
          </w:p>
        </w:tc>
        <w:tc>
          <w:tcPr>
            <w:tcW w:w="960" w:type="dxa"/>
            <w:vAlign w:val="bottom"/>
            <w:tcBorders>
              <w:top w:val="single" w:sz="8" w:color="949599"/>
              <w:bottom w:val="single" w:sz="8" w:color="949599"/>
            </w:tcBorders>
            <w:shd w:val="clear" w:color="auto" w:fill="ECECED"/>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49599"/>
              <w:bottom w:val="single" w:sz="8" w:color="949599"/>
            </w:tcBorders>
            <w:gridSpan w:val="3"/>
            <w:shd w:val="clear" w:color="auto" w:fill="ECECED"/>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949599"/>
              <w:bottom w:val="single" w:sz="8" w:color="949599"/>
            </w:tcBorders>
            <w:shd w:val="clear" w:color="auto" w:fill="ECECED"/>
          </w:tcPr>
          <w:p>
            <w:pPr>
              <w:jc w:val="right"/>
              <w:ind w:right="112"/>
              <w:spacing w:after="0" w:line="205" w:lineRule="exact"/>
              <w:rPr>
                <w:sz w:val="20"/>
                <w:szCs w:val="20"/>
                <w:color w:val="auto"/>
              </w:rPr>
            </w:pPr>
            <w:r>
              <w:rPr>
                <w:rFonts w:ascii="Arial" w:cs="Arial" w:eastAsia="Arial" w:hAnsi="Arial"/>
                <w:sz w:val="14"/>
                <w:szCs w:val="14"/>
                <w:color w:val="auto"/>
              </w:rPr>
              <w:t>17,825</w:t>
            </w:r>
            <w:r>
              <w:rPr>
                <w:rFonts w:ascii="Arial" w:cs="Arial" w:eastAsia="Arial" w:hAnsi="Arial"/>
                <w:sz w:val="22"/>
                <w:szCs w:val="22"/>
                <w:color w:val="auto"/>
                <w:vertAlign w:val="superscript"/>
              </w:rPr>
              <w:t>13</w:t>
            </w:r>
          </w:p>
        </w:tc>
        <w:tc>
          <w:tcPr>
            <w:tcW w:w="1000" w:type="dxa"/>
            <w:vAlign w:val="bottom"/>
            <w:tcBorders>
              <w:top w:val="single" w:sz="8" w:color="949599"/>
              <w:bottom w:val="single" w:sz="8" w:color="949599"/>
            </w:tcBorders>
            <w:shd w:val="clear" w:color="auto" w:fill="ECECED"/>
          </w:tcPr>
          <w:p>
            <w:pPr>
              <w:jc w:val="right"/>
              <w:spacing w:after="0"/>
              <w:rPr>
                <w:sz w:val="20"/>
                <w:szCs w:val="20"/>
                <w:color w:val="auto"/>
              </w:rPr>
            </w:pPr>
            <w:r>
              <w:rPr>
                <w:rFonts w:ascii="Arial" w:cs="Arial" w:eastAsia="Arial" w:hAnsi="Arial"/>
                <w:sz w:val="11"/>
                <w:szCs w:val="11"/>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215AA8"/>
              </w:rPr>
              <w:t>N. Anthony Coles, M.D.</w:t>
            </w:r>
          </w:p>
        </w:tc>
        <w:tc>
          <w:tcPr>
            <w:tcW w:w="17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2"/>
              <w:spacing w:after="0" w:line="205" w:lineRule="exact"/>
              <w:rPr>
                <w:sz w:val="20"/>
                <w:szCs w:val="20"/>
                <w:color w:val="auto"/>
              </w:rPr>
            </w:pPr>
            <w:r>
              <w:rPr>
                <w:rFonts w:ascii="Arial" w:cs="Arial" w:eastAsia="Arial" w:hAnsi="Arial"/>
                <w:sz w:val="14"/>
                <w:szCs w:val="14"/>
                <w:color w:val="auto"/>
              </w:rPr>
              <w:t>6,674</w:t>
            </w:r>
            <w:r>
              <w:rPr>
                <w:rFonts w:ascii="Arial" w:cs="Arial" w:eastAsia="Arial" w:hAnsi="Arial"/>
                <w:sz w:val="22"/>
                <w:szCs w:val="22"/>
                <w:color w:val="auto"/>
                <w:vertAlign w:val="superscript"/>
              </w:rPr>
              <w:t>14</w:t>
            </w:r>
          </w:p>
        </w:tc>
        <w:tc>
          <w:tcPr>
            <w:tcW w:w="1020" w:type="dxa"/>
            <w:vAlign w:val="bottom"/>
            <w:gridSpan w:val="2"/>
          </w:tcPr>
          <w:p>
            <w:pPr>
              <w:jc w:val="right"/>
              <w:ind w:right="20"/>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05"/>
        </w:trPr>
        <w:tc>
          <w:tcPr>
            <w:tcW w:w="1900" w:type="dxa"/>
            <w:vAlign w:val="bottom"/>
            <w:tcBorders>
              <w:top w:val="single" w:sz="8" w:color="949599"/>
              <w:bottom w:val="single" w:sz="8" w:color="949599"/>
            </w:tcBorders>
            <w:gridSpan w:val="2"/>
            <w:shd w:val="clear" w:color="auto" w:fill="ECECED"/>
          </w:tcPr>
          <w:p>
            <w:pPr>
              <w:ind w:left="40"/>
              <w:spacing w:after="0"/>
              <w:rPr>
                <w:sz w:val="20"/>
                <w:szCs w:val="20"/>
                <w:color w:val="auto"/>
              </w:rPr>
            </w:pPr>
            <w:r>
              <w:rPr>
                <w:rFonts w:ascii="Arial" w:cs="Arial" w:eastAsia="Arial" w:hAnsi="Arial"/>
                <w:sz w:val="14"/>
                <w:szCs w:val="14"/>
                <w:b w:val="1"/>
                <w:bCs w:val="1"/>
                <w:color w:val="215AA8"/>
              </w:rPr>
              <w:t>Joseph L. Goldstein, M.D.</w:t>
            </w:r>
          </w:p>
        </w:tc>
        <w:tc>
          <w:tcPr>
            <w:tcW w:w="1740" w:type="dxa"/>
            <w:vAlign w:val="bottom"/>
            <w:tcBorders>
              <w:top w:val="single" w:sz="8" w:color="949599"/>
              <w:bottom w:val="single" w:sz="8" w:color="949599"/>
            </w:tcBorders>
            <w:shd w:val="clear" w:color="auto" w:fill="ECECED"/>
          </w:tcPr>
          <w:p>
            <w:pPr>
              <w:spacing w:after="0"/>
              <w:rPr>
                <w:sz w:val="17"/>
                <w:szCs w:val="17"/>
                <w:color w:val="auto"/>
              </w:rPr>
            </w:pPr>
          </w:p>
        </w:tc>
        <w:tc>
          <w:tcPr>
            <w:tcW w:w="2600" w:type="dxa"/>
            <w:vAlign w:val="bottom"/>
            <w:tcBorders>
              <w:top w:val="single" w:sz="8" w:color="949599"/>
              <w:bottom w:val="single" w:sz="8" w:color="949599"/>
            </w:tcBorders>
            <w:shd w:val="clear" w:color="auto" w:fill="ECECED"/>
          </w:tcPr>
          <w:p>
            <w:pPr>
              <w:spacing w:after="0"/>
              <w:rPr>
                <w:sz w:val="17"/>
                <w:szCs w:val="17"/>
                <w:color w:val="auto"/>
              </w:rPr>
            </w:pPr>
          </w:p>
        </w:tc>
        <w:tc>
          <w:tcPr>
            <w:tcW w:w="40" w:type="dxa"/>
            <w:vAlign w:val="bottom"/>
            <w:tcBorders>
              <w:top w:val="single" w:sz="8" w:color="949599"/>
              <w:bottom w:val="single" w:sz="8" w:color="949599"/>
            </w:tcBorders>
            <w:shd w:val="clear" w:color="auto" w:fill="ECECED"/>
          </w:tcPr>
          <w:p>
            <w:pPr>
              <w:spacing w:after="0"/>
              <w:rPr>
                <w:sz w:val="17"/>
                <w:szCs w:val="17"/>
                <w:color w:val="auto"/>
              </w:rPr>
            </w:pPr>
          </w:p>
        </w:tc>
        <w:tc>
          <w:tcPr>
            <w:tcW w:w="860" w:type="dxa"/>
            <w:vAlign w:val="bottom"/>
            <w:tcBorders>
              <w:top w:val="single" w:sz="8" w:color="949599"/>
              <w:bottom w:val="single" w:sz="8" w:color="949599"/>
            </w:tcBorders>
            <w:shd w:val="clear" w:color="auto" w:fill="ECECED"/>
          </w:tcPr>
          <w:p>
            <w:pPr>
              <w:spacing w:after="0"/>
              <w:rPr>
                <w:sz w:val="17"/>
                <w:szCs w:val="17"/>
                <w:color w:val="auto"/>
              </w:rPr>
            </w:pPr>
          </w:p>
        </w:tc>
        <w:tc>
          <w:tcPr>
            <w:tcW w:w="960" w:type="dxa"/>
            <w:vAlign w:val="bottom"/>
            <w:tcBorders>
              <w:top w:val="single" w:sz="8" w:color="949599"/>
              <w:bottom w:val="single" w:sz="8" w:color="949599"/>
            </w:tcBorders>
            <w:shd w:val="clear" w:color="auto" w:fill="ECECED"/>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49599"/>
              <w:bottom w:val="single" w:sz="8" w:color="949599"/>
            </w:tcBorders>
            <w:gridSpan w:val="3"/>
            <w:shd w:val="clear" w:color="auto" w:fill="ECECED"/>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949599"/>
              <w:bottom w:val="single" w:sz="8" w:color="949599"/>
            </w:tcBorders>
            <w:shd w:val="clear" w:color="auto" w:fill="ECECED"/>
          </w:tcPr>
          <w:p>
            <w:pPr>
              <w:jc w:val="right"/>
              <w:ind w:right="112"/>
              <w:spacing w:after="0" w:line="205" w:lineRule="exact"/>
              <w:rPr>
                <w:sz w:val="20"/>
                <w:szCs w:val="20"/>
                <w:color w:val="auto"/>
              </w:rPr>
            </w:pPr>
            <w:r>
              <w:rPr>
                <w:rFonts w:ascii="Arial" w:cs="Arial" w:eastAsia="Arial" w:hAnsi="Arial"/>
                <w:sz w:val="14"/>
                <w:szCs w:val="14"/>
                <w:color w:val="auto"/>
              </w:rPr>
              <w:t>8,956</w:t>
            </w:r>
            <w:r>
              <w:rPr>
                <w:rFonts w:ascii="Arial" w:cs="Arial" w:eastAsia="Arial" w:hAnsi="Arial"/>
                <w:sz w:val="22"/>
                <w:szCs w:val="22"/>
                <w:color w:val="auto"/>
                <w:vertAlign w:val="superscript"/>
              </w:rPr>
              <w:t>15</w:t>
            </w:r>
          </w:p>
        </w:tc>
        <w:tc>
          <w:tcPr>
            <w:tcW w:w="1000" w:type="dxa"/>
            <w:vAlign w:val="bottom"/>
            <w:tcBorders>
              <w:top w:val="single" w:sz="8" w:color="949599"/>
              <w:bottom w:val="single" w:sz="8" w:color="949599"/>
            </w:tcBorders>
            <w:shd w:val="clear" w:color="auto" w:fill="ECECED"/>
          </w:tcPr>
          <w:p>
            <w:pPr>
              <w:jc w:val="right"/>
              <w:spacing w:after="0"/>
              <w:rPr>
                <w:sz w:val="20"/>
                <w:szCs w:val="20"/>
                <w:color w:val="auto"/>
              </w:rPr>
            </w:pPr>
            <w:r>
              <w:rPr>
                <w:rFonts w:ascii="Arial" w:cs="Arial" w:eastAsia="Arial" w:hAnsi="Arial"/>
                <w:sz w:val="11"/>
                <w:szCs w:val="11"/>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215AA8"/>
              </w:rPr>
              <w:t>Kathryn Guarini, Ph.D.</w:t>
            </w:r>
          </w:p>
        </w:tc>
        <w:tc>
          <w:tcPr>
            <w:tcW w:w="17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112"/>
              <w:spacing w:after="0" w:line="205" w:lineRule="exact"/>
              <w:rPr>
                <w:sz w:val="20"/>
                <w:szCs w:val="20"/>
                <w:color w:val="auto"/>
              </w:rPr>
            </w:pPr>
            <w:r>
              <w:rPr>
                <w:rFonts w:ascii="Arial" w:cs="Arial" w:eastAsia="Arial" w:hAnsi="Arial"/>
                <w:sz w:val="14"/>
                <w:szCs w:val="14"/>
                <w:color w:val="auto"/>
              </w:rPr>
              <w:t>2,526</w:t>
            </w:r>
            <w:r>
              <w:rPr>
                <w:rFonts w:ascii="Arial" w:cs="Arial" w:eastAsia="Arial" w:hAnsi="Arial"/>
                <w:sz w:val="22"/>
                <w:szCs w:val="22"/>
                <w:color w:val="auto"/>
                <w:vertAlign w:val="superscript"/>
              </w:rPr>
              <w:t>16</w:t>
            </w:r>
          </w:p>
        </w:tc>
        <w:tc>
          <w:tcPr>
            <w:tcW w:w="1020" w:type="dxa"/>
            <w:vAlign w:val="bottom"/>
            <w:gridSpan w:val="2"/>
          </w:tcPr>
          <w:p>
            <w:pPr>
              <w:jc w:val="right"/>
              <w:ind w:right="20"/>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05"/>
        </w:trPr>
        <w:tc>
          <w:tcPr>
            <w:tcW w:w="1900" w:type="dxa"/>
            <w:vAlign w:val="bottom"/>
            <w:tcBorders>
              <w:top w:val="single" w:sz="8" w:color="949599"/>
              <w:bottom w:val="single" w:sz="8" w:color="949599"/>
            </w:tcBorders>
            <w:gridSpan w:val="2"/>
            <w:shd w:val="clear" w:color="auto" w:fill="ECECED"/>
          </w:tcPr>
          <w:p>
            <w:pPr>
              <w:ind w:left="40"/>
              <w:spacing w:after="0"/>
              <w:rPr>
                <w:sz w:val="20"/>
                <w:szCs w:val="20"/>
                <w:color w:val="auto"/>
              </w:rPr>
            </w:pPr>
            <w:r>
              <w:rPr>
                <w:rFonts w:ascii="Arial" w:cs="Arial" w:eastAsia="Arial" w:hAnsi="Arial"/>
                <w:sz w:val="14"/>
                <w:szCs w:val="14"/>
                <w:b w:val="1"/>
                <w:bCs w:val="1"/>
                <w:color w:val="215AA8"/>
              </w:rPr>
              <w:t>Robert E. Landry (</w:t>
            </w:r>
            <w:r>
              <w:rPr>
                <w:rFonts w:ascii="Arial" w:cs="Arial" w:eastAsia="Arial" w:hAnsi="Arial"/>
                <w:sz w:val="14"/>
                <w:szCs w:val="14"/>
                <w:b w:val="1"/>
                <w:bCs w:val="1"/>
                <w:i w:val="1"/>
                <w:iCs w:val="1"/>
                <w:color w:val="215AA8"/>
              </w:rPr>
              <w:t>retired</w:t>
            </w:r>
            <w:r>
              <w:rPr>
                <w:rFonts w:ascii="Arial" w:cs="Arial" w:eastAsia="Arial" w:hAnsi="Arial"/>
                <w:sz w:val="14"/>
                <w:szCs w:val="14"/>
                <w:b w:val="1"/>
                <w:bCs w:val="1"/>
                <w:color w:val="215AA8"/>
              </w:rPr>
              <w:t>)</w:t>
            </w:r>
          </w:p>
        </w:tc>
        <w:tc>
          <w:tcPr>
            <w:tcW w:w="1740" w:type="dxa"/>
            <w:vAlign w:val="bottom"/>
            <w:tcBorders>
              <w:top w:val="single" w:sz="8" w:color="949599"/>
              <w:bottom w:val="single" w:sz="8" w:color="949599"/>
            </w:tcBorders>
            <w:shd w:val="clear" w:color="auto" w:fill="ECECED"/>
          </w:tcPr>
          <w:p>
            <w:pPr>
              <w:spacing w:after="0"/>
              <w:rPr>
                <w:sz w:val="17"/>
                <w:szCs w:val="17"/>
                <w:color w:val="auto"/>
              </w:rPr>
            </w:pPr>
          </w:p>
        </w:tc>
        <w:tc>
          <w:tcPr>
            <w:tcW w:w="2600" w:type="dxa"/>
            <w:vAlign w:val="bottom"/>
            <w:tcBorders>
              <w:top w:val="single" w:sz="8" w:color="949599"/>
              <w:bottom w:val="single" w:sz="8" w:color="949599"/>
            </w:tcBorders>
            <w:shd w:val="clear" w:color="auto" w:fill="ECECED"/>
          </w:tcPr>
          <w:p>
            <w:pPr>
              <w:spacing w:after="0"/>
              <w:rPr>
                <w:sz w:val="17"/>
                <w:szCs w:val="17"/>
                <w:color w:val="auto"/>
              </w:rPr>
            </w:pPr>
          </w:p>
        </w:tc>
        <w:tc>
          <w:tcPr>
            <w:tcW w:w="40" w:type="dxa"/>
            <w:vAlign w:val="bottom"/>
            <w:tcBorders>
              <w:top w:val="single" w:sz="8" w:color="949599"/>
              <w:bottom w:val="single" w:sz="8" w:color="949599"/>
            </w:tcBorders>
            <w:shd w:val="clear" w:color="auto" w:fill="ECECED"/>
          </w:tcPr>
          <w:p>
            <w:pPr>
              <w:spacing w:after="0"/>
              <w:rPr>
                <w:sz w:val="17"/>
                <w:szCs w:val="17"/>
                <w:color w:val="auto"/>
              </w:rPr>
            </w:pPr>
          </w:p>
        </w:tc>
        <w:tc>
          <w:tcPr>
            <w:tcW w:w="860" w:type="dxa"/>
            <w:vAlign w:val="bottom"/>
            <w:tcBorders>
              <w:top w:val="single" w:sz="8" w:color="949599"/>
              <w:bottom w:val="single" w:sz="8" w:color="949599"/>
            </w:tcBorders>
            <w:shd w:val="clear" w:color="auto" w:fill="ECECED"/>
          </w:tcPr>
          <w:p>
            <w:pPr>
              <w:spacing w:after="0"/>
              <w:rPr>
                <w:sz w:val="17"/>
                <w:szCs w:val="17"/>
                <w:color w:val="auto"/>
              </w:rPr>
            </w:pPr>
          </w:p>
        </w:tc>
        <w:tc>
          <w:tcPr>
            <w:tcW w:w="960" w:type="dxa"/>
            <w:vAlign w:val="bottom"/>
            <w:tcBorders>
              <w:top w:val="single" w:sz="8" w:color="949599"/>
              <w:bottom w:val="single" w:sz="8" w:color="949599"/>
            </w:tcBorders>
            <w:shd w:val="clear" w:color="auto" w:fill="ECECED"/>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49599"/>
              <w:bottom w:val="single" w:sz="8" w:color="949599"/>
            </w:tcBorders>
            <w:gridSpan w:val="3"/>
            <w:shd w:val="clear" w:color="auto" w:fill="ECECED"/>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949599"/>
              <w:bottom w:val="single" w:sz="8" w:color="949599"/>
            </w:tcBorders>
            <w:shd w:val="clear" w:color="auto" w:fill="ECECED"/>
          </w:tcPr>
          <w:p>
            <w:pPr>
              <w:jc w:val="right"/>
              <w:ind w:right="112"/>
              <w:spacing w:after="0" w:line="205" w:lineRule="exact"/>
              <w:rPr>
                <w:sz w:val="20"/>
                <w:szCs w:val="20"/>
                <w:color w:val="auto"/>
              </w:rPr>
            </w:pPr>
            <w:r>
              <w:rPr>
                <w:rFonts w:ascii="Arial" w:cs="Arial" w:eastAsia="Arial" w:hAnsi="Arial"/>
                <w:sz w:val="14"/>
                <w:szCs w:val="14"/>
                <w:color w:val="auto"/>
              </w:rPr>
              <w:t>86,714</w:t>
            </w:r>
            <w:r>
              <w:rPr>
                <w:rFonts w:ascii="Arial" w:cs="Arial" w:eastAsia="Arial" w:hAnsi="Arial"/>
                <w:sz w:val="22"/>
                <w:szCs w:val="22"/>
                <w:color w:val="auto"/>
                <w:vertAlign w:val="superscript"/>
              </w:rPr>
              <w:t>17</w:t>
            </w:r>
          </w:p>
        </w:tc>
        <w:tc>
          <w:tcPr>
            <w:tcW w:w="1000" w:type="dxa"/>
            <w:vAlign w:val="bottom"/>
            <w:tcBorders>
              <w:top w:val="single" w:sz="8" w:color="949599"/>
              <w:bottom w:val="single" w:sz="8" w:color="949599"/>
            </w:tcBorders>
            <w:shd w:val="clear" w:color="auto" w:fill="ECECED"/>
          </w:tcPr>
          <w:p>
            <w:pPr>
              <w:jc w:val="right"/>
              <w:spacing w:after="0"/>
              <w:rPr>
                <w:sz w:val="20"/>
                <w:szCs w:val="20"/>
                <w:color w:val="auto"/>
              </w:rPr>
            </w:pPr>
            <w:r>
              <w:rPr>
                <w:rFonts w:ascii="Arial" w:cs="Arial" w:eastAsia="Arial" w:hAnsi="Arial"/>
                <w:sz w:val="11"/>
                <w:szCs w:val="11"/>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215AA8"/>
              </w:rPr>
              <w:t>Andrew J. Murphy, Ph.D.</w:t>
            </w:r>
          </w:p>
        </w:tc>
        <w:tc>
          <w:tcPr>
            <w:tcW w:w="17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2"/>
              <w:spacing w:after="0" w:line="205" w:lineRule="exact"/>
              <w:rPr>
                <w:sz w:val="20"/>
                <w:szCs w:val="20"/>
                <w:color w:val="auto"/>
              </w:rPr>
            </w:pPr>
            <w:r>
              <w:rPr>
                <w:rFonts w:ascii="Arial" w:cs="Arial" w:eastAsia="Arial" w:hAnsi="Arial"/>
                <w:sz w:val="14"/>
                <w:szCs w:val="14"/>
                <w:color w:val="auto"/>
              </w:rPr>
              <w:t>271,079</w:t>
            </w:r>
            <w:r>
              <w:rPr>
                <w:rFonts w:ascii="Arial" w:cs="Arial" w:eastAsia="Arial" w:hAnsi="Arial"/>
                <w:sz w:val="22"/>
                <w:szCs w:val="22"/>
                <w:color w:val="auto"/>
                <w:vertAlign w:val="superscript"/>
              </w:rPr>
              <w:t>18</w:t>
            </w:r>
          </w:p>
        </w:tc>
        <w:tc>
          <w:tcPr>
            <w:tcW w:w="1020" w:type="dxa"/>
            <w:vAlign w:val="bottom"/>
            <w:gridSpan w:val="2"/>
          </w:tcPr>
          <w:p>
            <w:pPr>
              <w:jc w:val="right"/>
              <w:ind w:right="20"/>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05"/>
        </w:trPr>
        <w:tc>
          <w:tcPr>
            <w:tcW w:w="1900" w:type="dxa"/>
            <w:vAlign w:val="bottom"/>
            <w:tcBorders>
              <w:top w:val="single" w:sz="8" w:color="949599"/>
              <w:bottom w:val="single" w:sz="8" w:color="949599"/>
            </w:tcBorders>
            <w:gridSpan w:val="2"/>
            <w:shd w:val="clear" w:color="auto" w:fill="ECECED"/>
          </w:tcPr>
          <w:p>
            <w:pPr>
              <w:ind w:left="40"/>
              <w:spacing w:after="0"/>
              <w:rPr>
                <w:sz w:val="20"/>
                <w:szCs w:val="20"/>
                <w:color w:val="auto"/>
              </w:rPr>
            </w:pPr>
            <w:r>
              <w:rPr>
                <w:rFonts w:ascii="Arial" w:cs="Arial" w:eastAsia="Arial" w:hAnsi="Arial"/>
                <w:sz w:val="14"/>
                <w:szCs w:val="14"/>
                <w:b w:val="1"/>
                <w:bCs w:val="1"/>
                <w:color w:val="215AA8"/>
              </w:rPr>
              <w:t>Christine A. Poon</w:t>
            </w:r>
          </w:p>
        </w:tc>
        <w:tc>
          <w:tcPr>
            <w:tcW w:w="1740" w:type="dxa"/>
            <w:vAlign w:val="bottom"/>
            <w:tcBorders>
              <w:top w:val="single" w:sz="8" w:color="949599"/>
              <w:bottom w:val="single" w:sz="8" w:color="949599"/>
            </w:tcBorders>
            <w:shd w:val="clear" w:color="auto" w:fill="ECECED"/>
          </w:tcPr>
          <w:p>
            <w:pPr>
              <w:spacing w:after="0"/>
              <w:rPr>
                <w:sz w:val="17"/>
                <w:szCs w:val="17"/>
                <w:color w:val="auto"/>
              </w:rPr>
            </w:pPr>
          </w:p>
        </w:tc>
        <w:tc>
          <w:tcPr>
            <w:tcW w:w="2600" w:type="dxa"/>
            <w:vAlign w:val="bottom"/>
            <w:tcBorders>
              <w:top w:val="single" w:sz="8" w:color="949599"/>
              <w:bottom w:val="single" w:sz="8" w:color="949599"/>
            </w:tcBorders>
            <w:shd w:val="clear" w:color="auto" w:fill="ECECED"/>
          </w:tcPr>
          <w:p>
            <w:pPr>
              <w:spacing w:after="0"/>
              <w:rPr>
                <w:sz w:val="17"/>
                <w:szCs w:val="17"/>
                <w:color w:val="auto"/>
              </w:rPr>
            </w:pPr>
          </w:p>
        </w:tc>
        <w:tc>
          <w:tcPr>
            <w:tcW w:w="40" w:type="dxa"/>
            <w:vAlign w:val="bottom"/>
            <w:tcBorders>
              <w:top w:val="single" w:sz="8" w:color="949599"/>
              <w:bottom w:val="single" w:sz="8" w:color="949599"/>
            </w:tcBorders>
            <w:shd w:val="clear" w:color="auto" w:fill="ECECED"/>
          </w:tcPr>
          <w:p>
            <w:pPr>
              <w:spacing w:after="0"/>
              <w:rPr>
                <w:sz w:val="17"/>
                <w:szCs w:val="17"/>
                <w:color w:val="auto"/>
              </w:rPr>
            </w:pPr>
          </w:p>
        </w:tc>
        <w:tc>
          <w:tcPr>
            <w:tcW w:w="860" w:type="dxa"/>
            <w:vAlign w:val="bottom"/>
            <w:tcBorders>
              <w:top w:val="single" w:sz="8" w:color="949599"/>
              <w:bottom w:val="single" w:sz="8" w:color="949599"/>
            </w:tcBorders>
            <w:shd w:val="clear" w:color="auto" w:fill="ECECED"/>
          </w:tcPr>
          <w:p>
            <w:pPr>
              <w:spacing w:after="0"/>
              <w:rPr>
                <w:sz w:val="17"/>
                <w:szCs w:val="17"/>
                <w:color w:val="auto"/>
              </w:rPr>
            </w:pPr>
          </w:p>
        </w:tc>
        <w:tc>
          <w:tcPr>
            <w:tcW w:w="960" w:type="dxa"/>
            <w:vAlign w:val="bottom"/>
            <w:tcBorders>
              <w:top w:val="single" w:sz="8" w:color="949599"/>
              <w:bottom w:val="single" w:sz="8" w:color="949599"/>
            </w:tcBorders>
            <w:shd w:val="clear" w:color="auto" w:fill="ECECED"/>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49599"/>
              <w:bottom w:val="single" w:sz="8" w:color="949599"/>
            </w:tcBorders>
            <w:gridSpan w:val="3"/>
            <w:shd w:val="clear" w:color="auto" w:fill="ECECED"/>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949599"/>
              <w:bottom w:val="single" w:sz="8" w:color="949599"/>
            </w:tcBorders>
            <w:shd w:val="clear" w:color="auto" w:fill="ECECED"/>
          </w:tcPr>
          <w:p>
            <w:pPr>
              <w:jc w:val="right"/>
              <w:ind w:right="112"/>
              <w:spacing w:after="0" w:line="205" w:lineRule="exact"/>
              <w:rPr>
                <w:sz w:val="20"/>
                <w:szCs w:val="20"/>
                <w:color w:val="auto"/>
              </w:rPr>
            </w:pPr>
            <w:r>
              <w:rPr>
                <w:rFonts w:ascii="Arial" w:cs="Arial" w:eastAsia="Arial" w:hAnsi="Arial"/>
                <w:sz w:val="14"/>
                <w:szCs w:val="14"/>
                <w:color w:val="auto"/>
              </w:rPr>
              <w:t>54,530</w:t>
            </w:r>
            <w:r>
              <w:rPr>
                <w:rFonts w:ascii="Arial" w:cs="Arial" w:eastAsia="Arial" w:hAnsi="Arial"/>
                <w:sz w:val="22"/>
                <w:szCs w:val="22"/>
                <w:color w:val="auto"/>
                <w:vertAlign w:val="superscript"/>
              </w:rPr>
              <w:t>19</w:t>
            </w:r>
          </w:p>
        </w:tc>
        <w:tc>
          <w:tcPr>
            <w:tcW w:w="1000" w:type="dxa"/>
            <w:vAlign w:val="bottom"/>
            <w:tcBorders>
              <w:top w:val="single" w:sz="8" w:color="949599"/>
              <w:bottom w:val="single" w:sz="8" w:color="949599"/>
            </w:tcBorders>
            <w:shd w:val="clear" w:color="auto" w:fill="ECECED"/>
          </w:tcPr>
          <w:p>
            <w:pPr>
              <w:jc w:val="right"/>
              <w:spacing w:after="0"/>
              <w:rPr>
                <w:sz w:val="20"/>
                <w:szCs w:val="20"/>
                <w:color w:val="auto"/>
              </w:rPr>
            </w:pPr>
            <w:r>
              <w:rPr>
                <w:rFonts w:ascii="Arial" w:cs="Arial" w:eastAsia="Arial" w:hAnsi="Arial"/>
                <w:sz w:val="11"/>
                <w:szCs w:val="11"/>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215AA8"/>
              </w:rPr>
              <w:t>Arthur F. Ryan</w:t>
            </w:r>
          </w:p>
        </w:tc>
        <w:tc>
          <w:tcPr>
            <w:tcW w:w="17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2"/>
              <w:spacing w:after="0" w:line="205" w:lineRule="exact"/>
              <w:rPr>
                <w:sz w:val="20"/>
                <w:szCs w:val="20"/>
                <w:color w:val="auto"/>
              </w:rPr>
            </w:pPr>
            <w:r>
              <w:rPr>
                <w:rFonts w:ascii="Arial" w:cs="Arial" w:eastAsia="Arial" w:hAnsi="Arial"/>
                <w:sz w:val="14"/>
                <w:szCs w:val="14"/>
                <w:color w:val="auto"/>
              </w:rPr>
              <w:t>23,463</w:t>
            </w:r>
            <w:r>
              <w:rPr>
                <w:rFonts w:ascii="Arial" w:cs="Arial" w:eastAsia="Arial" w:hAnsi="Arial"/>
                <w:sz w:val="22"/>
                <w:szCs w:val="22"/>
                <w:color w:val="auto"/>
                <w:vertAlign w:val="superscript"/>
              </w:rPr>
              <w:t>20</w:t>
            </w:r>
          </w:p>
        </w:tc>
        <w:tc>
          <w:tcPr>
            <w:tcW w:w="1020" w:type="dxa"/>
            <w:vAlign w:val="bottom"/>
            <w:gridSpan w:val="2"/>
          </w:tcPr>
          <w:p>
            <w:pPr>
              <w:jc w:val="right"/>
              <w:ind w:right="20"/>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05"/>
        </w:trPr>
        <w:tc>
          <w:tcPr>
            <w:tcW w:w="1900" w:type="dxa"/>
            <w:vAlign w:val="bottom"/>
            <w:tcBorders>
              <w:top w:val="single" w:sz="8" w:color="949599"/>
              <w:bottom w:val="single" w:sz="8" w:color="949599"/>
            </w:tcBorders>
            <w:gridSpan w:val="2"/>
            <w:shd w:val="clear" w:color="auto" w:fill="ECECED"/>
          </w:tcPr>
          <w:p>
            <w:pPr>
              <w:ind w:left="40"/>
              <w:spacing w:after="0"/>
              <w:rPr>
                <w:sz w:val="20"/>
                <w:szCs w:val="20"/>
                <w:color w:val="auto"/>
              </w:rPr>
            </w:pPr>
            <w:r>
              <w:rPr>
                <w:rFonts w:ascii="Arial" w:cs="Arial" w:eastAsia="Arial" w:hAnsi="Arial"/>
                <w:sz w:val="14"/>
                <w:szCs w:val="14"/>
                <w:b w:val="1"/>
                <w:bCs w:val="1"/>
                <w:color w:val="215AA8"/>
              </w:rPr>
              <w:t>David P. Schenkein, M.D.</w:t>
            </w:r>
          </w:p>
        </w:tc>
        <w:tc>
          <w:tcPr>
            <w:tcW w:w="1740" w:type="dxa"/>
            <w:vAlign w:val="bottom"/>
            <w:tcBorders>
              <w:top w:val="single" w:sz="8" w:color="949599"/>
              <w:bottom w:val="single" w:sz="8" w:color="949599"/>
            </w:tcBorders>
            <w:shd w:val="clear" w:color="auto" w:fill="ECECED"/>
          </w:tcPr>
          <w:p>
            <w:pPr>
              <w:spacing w:after="0"/>
              <w:rPr>
                <w:sz w:val="17"/>
                <w:szCs w:val="17"/>
                <w:color w:val="auto"/>
              </w:rPr>
            </w:pPr>
          </w:p>
        </w:tc>
        <w:tc>
          <w:tcPr>
            <w:tcW w:w="2600" w:type="dxa"/>
            <w:vAlign w:val="bottom"/>
            <w:tcBorders>
              <w:top w:val="single" w:sz="8" w:color="949599"/>
              <w:bottom w:val="single" w:sz="8" w:color="949599"/>
            </w:tcBorders>
            <w:shd w:val="clear" w:color="auto" w:fill="ECECED"/>
          </w:tcPr>
          <w:p>
            <w:pPr>
              <w:spacing w:after="0"/>
              <w:rPr>
                <w:sz w:val="17"/>
                <w:szCs w:val="17"/>
                <w:color w:val="auto"/>
              </w:rPr>
            </w:pPr>
          </w:p>
        </w:tc>
        <w:tc>
          <w:tcPr>
            <w:tcW w:w="40" w:type="dxa"/>
            <w:vAlign w:val="bottom"/>
            <w:tcBorders>
              <w:top w:val="single" w:sz="8" w:color="949599"/>
              <w:bottom w:val="single" w:sz="8" w:color="949599"/>
            </w:tcBorders>
            <w:shd w:val="clear" w:color="auto" w:fill="ECECED"/>
          </w:tcPr>
          <w:p>
            <w:pPr>
              <w:spacing w:after="0"/>
              <w:rPr>
                <w:sz w:val="17"/>
                <w:szCs w:val="17"/>
                <w:color w:val="auto"/>
              </w:rPr>
            </w:pPr>
          </w:p>
        </w:tc>
        <w:tc>
          <w:tcPr>
            <w:tcW w:w="860" w:type="dxa"/>
            <w:vAlign w:val="bottom"/>
            <w:tcBorders>
              <w:top w:val="single" w:sz="8" w:color="949599"/>
              <w:bottom w:val="single" w:sz="8" w:color="949599"/>
            </w:tcBorders>
            <w:shd w:val="clear" w:color="auto" w:fill="ECECED"/>
          </w:tcPr>
          <w:p>
            <w:pPr>
              <w:spacing w:after="0"/>
              <w:rPr>
                <w:sz w:val="17"/>
                <w:szCs w:val="17"/>
                <w:color w:val="auto"/>
              </w:rPr>
            </w:pPr>
          </w:p>
        </w:tc>
        <w:tc>
          <w:tcPr>
            <w:tcW w:w="960" w:type="dxa"/>
            <w:vAlign w:val="bottom"/>
            <w:tcBorders>
              <w:top w:val="single" w:sz="8" w:color="949599"/>
              <w:bottom w:val="single" w:sz="8" w:color="949599"/>
            </w:tcBorders>
            <w:shd w:val="clear" w:color="auto" w:fill="ECECED"/>
          </w:tcPr>
          <w:p>
            <w:pPr>
              <w:spacing w:after="0"/>
              <w:rPr>
                <w:sz w:val="17"/>
                <w:szCs w:val="17"/>
                <w:color w:val="auto"/>
              </w:rPr>
            </w:pPr>
          </w:p>
        </w:tc>
        <w:tc>
          <w:tcPr>
            <w:tcW w:w="540" w:type="dxa"/>
            <w:vAlign w:val="bottom"/>
            <w:tcBorders>
              <w:top w:val="single" w:sz="8" w:color="949599"/>
              <w:bottom w:val="single" w:sz="8" w:color="949599"/>
            </w:tcBorders>
            <w:shd w:val="clear" w:color="auto" w:fill="ECECED"/>
          </w:tcPr>
          <w:p>
            <w:pPr>
              <w:spacing w:after="0"/>
              <w:rPr>
                <w:sz w:val="17"/>
                <w:szCs w:val="17"/>
                <w:color w:val="auto"/>
              </w:rPr>
            </w:pPr>
          </w:p>
        </w:tc>
        <w:tc>
          <w:tcPr>
            <w:tcW w:w="200" w:type="dxa"/>
            <w:vAlign w:val="bottom"/>
            <w:tcBorders>
              <w:top w:val="single" w:sz="8" w:color="949599"/>
              <w:bottom w:val="single" w:sz="8" w:color="949599"/>
            </w:tcBorders>
            <w:shd w:val="clear" w:color="auto" w:fill="ECECED"/>
          </w:tcPr>
          <w:p>
            <w:pPr>
              <w:spacing w:after="0"/>
              <w:rPr>
                <w:sz w:val="17"/>
                <w:szCs w:val="17"/>
                <w:color w:val="auto"/>
              </w:rPr>
            </w:pPr>
          </w:p>
        </w:tc>
        <w:tc>
          <w:tcPr>
            <w:tcW w:w="420" w:type="dxa"/>
            <w:vAlign w:val="bottom"/>
            <w:tcBorders>
              <w:top w:val="single" w:sz="8" w:color="949599"/>
              <w:bottom w:val="single" w:sz="8" w:color="949599"/>
            </w:tcBorders>
            <w:shd w:val="clear" w:color="auto" w:fill="ECECED"/>
          </w:tcPr>
          <w:p>
            <w:pPr>
              <w:spacing w:after="0"/>
              <w:rPr>
                <w:sz w:val="17"/>
                <w:szCs w:val="17"/>
                <w:color w:val="auto"/>
              </w:rPr>
            </w:pPr>
          </w:p>
        </w:tc>
        <w:tc>
          <w:tcPr>
            <w:tcW w:w="1000" w:type="dxa"/>
            <w:vAlign w:val="bottom"/>
            <w:tcBorders>
              <w:top w:val="single" w:sz="8" w:color="949599"/>
              <w:bottom w:val="single" w:sz="8" w:color="949599"/>
            </w:tcBorders>
            <w:shd w:val="clear" w:color="auto" w:fill="ECECED"/>
          </w:tcPr>
          <w:p>
            <w:pPr>
              <w:jc w:val="right"/>
              <w:ind w:right="112"/>
              <w:spacing w:after="0" w:line="205" w:lineRule="exact"/>
              <w:rPr>
                <w:sz w:val="20"/>
                <w:szCs w:val="20"/>
                <w:color w:val="auto"/>
              </w:rPr>
            </w:pPr>
            <w:r>
              <w:rPr>
                <w:rFonts w:ascii="Arial" w:cs="Arial" w:eastAsia="Arial" w:hAnsi="Arial"/>
                <w:sz w:val="14"/>
                <w:szCs w:val="14"/>
                <w:color w:val="auto"/>
              </w:rPr>
              <w:t>2,526</w:t>
            </w:r>
            <w:r>
              <w:rPr>
                <w:rFonts w:ascii="Arial" w:cs="Arial" w:eastAsia="Arial" w:hAnsi="Arial"/>
                <w:sz w:val="22"/>
                <w:szCs w:val="22"/>
                <w:color w:val="auto"/>
                <w:vertAlign w:val="superscript"/>
              </w:rPr>
              <w:t>21</w:t>
            </w:r>
          </w:p>
        </w:tc>
        <w:tc>
          <w:tcPr>
            <w:tcW w:w="1000" w:type="dxa"/>
            <w:vAlign w:val="bottom"/>
            <w:tcBorders>
              <w:top w:val="single" w:sz="8" w:color="949599"/>
              <w:bottom w:val="single" w:sz="8" w:color="949599"/>
            </w:tcBorders>
            <w:shd w:val="clear" w:color="auto" w:fill="ECECED"/>
          </w:tcPr>
          <w:p>
            <w:pPr>
              <w:jc w:val="right"/>
              <w:spacing w:after="0"/>
              <w:rPr>
                <w:sz w:val="20"/>
                <w:szCs w:val="20"/>
                <w:color w:val="auto"/>
              </w:rPr>
            </w:pPr>
            <w:r>
              <w:rPr>
                <w:rFonts w:ascii="Arial" w:cs="Arial" w:eastAsia="Arial" w:hAnsi="Arial"/>
                <w:sz w:val="11"/>
                <w:szCs w:val="11"/>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215AA8"/>
              </w:rPr>
              <w:t>George L. Sing</w:t>
            </w:r>
          </w:p>
        </w:tc>
        <w:tc>
          <w:tcPr>
            <w:tcW w:w="17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2"/>
              <w:spacing w:after="0" w:line="205" w:lineRule="exact"/>
              <w:rPr>
                <w:sz w:val="20"/>
                <w:szCs w:val="20"/>
                <w:color w:val="auto"/>
              </w:rPr>
            </w:pPr>
            <w:r>
              <w:rPr>
                <w:rFonts w:ascii="Arial" w:cs="Arial" w:eastAsia="Arial" w:hAnsi="Arial"/>
                <w:sz w:val="14"/>
                <w:szCs w:val="14"/>
                <w:color w:val="auto"/>
              </w:rPr>
              <w:t>75,357</w:t>
            </w:r>
            <w:r>
              <w:rPr>
                <w:rFonts w:ascii="Arial" w:cs="Arial" w:eastAsia="Arial" w:hAnsi="Arial"/>
                <w:sz w:val="22"/>
                <w:szCs w:val="22"/>
                <w:color w:val="auto"/>
                <w:vertAlign w:val="superscript"/>
              </w:rPr>
              <w:t>22</w:t>
            </w:r>
          </w:p>
        </w:tc>
        <w:tc>
          <w:tcPr>
            <w:tcW w:w="1020" w:type="dxa"/>
            <w:vAlign w:val="bottom"/>
            <w:gridSpan w:val="2"/>
          </w:tcPr>
          <w:p>
            <w:pPr>
              <w:jc w:val="right"/>
              <w:ind w:right="20"/>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05"/>
        </w:trPr>
        <w:tc>
          <w:tcPr>
            <w:tcW w:w="1900" w:type="dxa"/>
            <w:vAlign w:val="bottom"/>
            <w:tcBorders>
              <w:top w:val="single" w:sz="8" w:color="949599"/>
              <w:bottom w:val="single" w:sz="8" w:color="949599"/>
            </w:tcBorders>
            <w:gridSpan w:val="2"/>
            <w:shd w:val="clear" w:color="auto" w:fill="ECECED"/>
          </w:tcPr>
          <w:p>
            <w:pPr>
              <w:ind w:left="40"/>
              <w:spacing w:after="0"/>
              <w:rPr>
                <w:sz w:val="20"/>
                <w:szCs w:val="20"/>
                <w:color w:val="auto"/>
              </w:rPr>
            </w:pPr>
            <w:r>
              <w:rPr>
                <w:rFonts w:ascii="Arial" w:cs="Arial" w:eastAsia="Arial" w:hAnsi="Arial"/>
                <w:sz w:val="14"/>
                <w:szCs w:val="14"/>
                <w:b w:val="1"/>
                <w:bCs w:val="1"/>
                <w:color w:val="215AA8"/>
              </w:rPr>
              <w:t>Craig B. Thompson, M.D.</w:t>
            </w:r>
          </w:p>
        </w:tc>
        <w:tc>
          <w:tcPr>
            <w:tcW w:w="1740" w:type="dxa"/>
            <w:vAlign w:val="bottom"/>
            <w:tcBorders>
              <w:top w:val="single" w:sz="8" w:color="949599"/>
              <w:bottom w:val="single" w:sz="8" w:color="949599"/>
            </w:tcBorders>
            <w:shd w:val="clear" w:color="auto" w:fill="ECECED"/>
          </w:tcPr>
          <w:p>
            <w:pPr>
              <w:spacing w:after="0"/>
              <w:rPr>
                <w:sz w:val="17"/>
                <w:szCs w:val="17"/>
                <w:color w:val="auto"/>
              </w:rPr>
            </w:pPr>
          </w:p>
        </w:tc>
        <w:tc>
          <w:tcPr>
            <w:tcW w:w="2600" w:type="dxa"/>
            <w:vAlign w:val="bottom"/>
            <w:tcBorders>
              <w:top w:val="single" w:sz="8" w:color="949599"/>
              <w:bottom w:val="single" w:sz="8" w:color="949599"/>
            </w:tcBorders>
            <w:shd w:val="clear" w:color="auto" w:fill="ECECED"/>
          </w:tcPr>
          <w:p>
            <w:pPr>
              <w:spacing w:after="0"/>
              <w:rPr>
                <w:sz w:val="17"/>
                <w:szCs w:val="17"/>
                <w:color w:val="auto"/>
              </w:rPr>
            </w:pPr>
          </w:p>
        </w:tc>
        <w:tc>
          <w:tcPr>
            <w:tcW w:w="40" w:type="dxa"/>
            <w:vAlign w:val="bottom"/>
            <w:tcBorders>
              <w:top w:val="single" w:sz="8" w:color="949599"/>
              <w:bottom w:val="single" w:sz="8" w:color="949599"/>
            </w:tcBorders>
            <w:shd w:val="clear" w:color="auto" w:fill="ECECED"/>
          </w:tcPr>
          <w:p>
            <w:pPr>
              <w:spacing w:after="0"/>
              <w:rPr>
                <w:sz w:val="17"/>
                <w:szCs w:val="17"/>
                <w:color w:val="auto"/>
              </w:rPr>
            </w:pPr>
          </w:p>
        </w:tc>
        <w:tc>
          <w:tcPr>
            <w:tcW w:w="860" w:type="dxa"/>
            <w:vAlign w:val="bottom"/>
            <w:tcBorders>
              <w:top w:val="single" w:sz="8" w:color="949599"/>
              <w:bottom w:val="single" w:sz="8" w:color="949599"/>
            </w:tcBorders>
            <w:shd w:val="clear" w:color="auto" w:fill="ECECED"/>
          </w:tcPr>
          <w:p>
            <w:pPr>
              <w:spacing w:after="0"/>
              <w:rPr>
                <w:sz w:val="17"/>
                <w:szCs w:val="17"/>
                <w:color w:val="auto"/>
              </w:rPr>
            </w:pPr>
          </w:p>
        </w:tc>
        <w:tc>
          <w:tcPr>
            <w:tcW w:w="960" w:type="dxa"/>
            <w:vAlign w:val="bottom"/>
            <w:tcBorders>
              <w:top w:val="single" w:sz="8" w:color="949599"/>
              <w:bottom w:val="single" w:sz="8" w:color="949599"/>
            </w:tcBorders>
            <w:shd w:val="clear" w:color="auto" w:fill="ECECED"/>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49599"/>
              <w:bottom w:val="single" w:sz="8" w:color="949599"/>
            </w:tcBorders>
            <w:gridSpan w:val="3"/>
            <w:shd w:val="clear" w:color="auto" w:fill="ECECED"/>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949599"/>
              <w:bottom w:val="single" w:sz="8" w:color="949599"/>
            </w:tcBorders>
            <w:shd w:val="clear" w:color="auto" w:fill="ECECED"/>
          </w:tcPr>
          <w:p>
            <w:pPr>
              <w:jc w:val="right"/>
              <w:ind w:right="112"/>
              <w:spacing w:after="0" w:line="205" w:lineRule="exact"/>
              <w:rPr>
                <w:sz w:val="20"/>
                <w:szCs w:val="20"/>
                <w:color w:val="auto"/>
              </w:rPr>
            </w:pPr>
            <w:r>
              <w:rPr>
                <w:rFonts w:ascii="Arial" w:cs="Arial" w:eastAsia="Arial" w:hAnsi="Arial"/>
                <w:sz w:val="14"/>
                <w:szCs w:val="14"/>
                <w:color w:val="auto"/>
              </w:rPr>
              <w:t>4,792</w:t>
            </w:r>
            <w:r>
              <w:rPr>
                <w:rFonts w:ascii="Arial" w:cs="Arial" w:eastAsia="Arial" w:hAnsi="Arial"/>
                <w:sz w:val="22"/>
                <w:szCs w:val="22"/>
                <w:color w:val="auto"/>
                <w:vertAlign w:val="superscript"/>
              </w:rPr>
              <w:t>23</w:t>
            </w:r>
          </w:p>
        </w:tc>
        <w:tc>
          <w:tcPr>
            <w:tcW w:w="1000" w:type="dxa"/>
            <w:vAlign w:val="bottom"/>
            <w:tcBorders>
              <w:top w:val="single" w:sz="8" w:color="949599"/>
              <w:bottom w:val="single" w:sz="8" w:color="949599"/>
            </w:tcBorders>
            <w:shd w:val="clear" w:color="auto" w:fill="ECECED"/>
          </w:tcPr>
          <w:p>
            <w:pPr>
              <w:jc w:val="right"/>
              <w:spacing w:after="0"/>
              <w:rPr>
                <w:sz w:val="20"/>
                <w:szCs w:val="20"/>
                <w:color w:val="auto"/>
              </w:rPr>
            </w:pPr>
            <w:r>
              <w:rPr>
                <w:rFonts w:ascii="Arial" w:cs="Arial" w:eastAsia="Arial" w:hAnsi="Arial"/>
                <w:sz w:val="11"/>
                <w:szCs w:val="11"/>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215AA8"/>
              </w:rPr>
              <w:t>Daniel P. Van Plew</w:t>
            </w:r>
          </w:p>
        </w:tc>
        <w:tc>
          <w:tcPr>
            <w:tcW w:w="17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2"/>
              <w:spacing w:after="0" w:line="205" w:lineRule="exact"/>
              <w:rPr>
                <w:sz w:val="20"/>
                <w:szCs w:val="20"/>
                <w:color w:val="auto"/>
              </w:rPr>
            </w:pPr>
            <w:r>
              <w:rPr>
                <w:rFonts w:ascii="Arial" w:cs="Arial" w:eastAsia="Arial" w:hAnsi="Arial"/>
                <w:sz w:val="14"/>
                <w:szCs w:val="14"/>
                <w:color w:val="auto"/>
              </w:rPr>
              <w:t>73,846</w:t>
            </w:r>
            <w:r>
              <w:rPr>
                <w:rFonts w:ascii="Arial" w:cs="Arial" w:eastAsia="Arial" w:hAnsi="Arial"/>
                <w:sz w:val="22"/>
                <w:szCs w:val="22"/>
                <w:color w:val="auto"/>
                <w:vertAlign w:val="superscript"/>
              </w:rPr>
              <w:t>24</w:t>
            </w:r>
          </w:p>
        </w:tc>
        <w:tc>
          <w:tcPr>
            <w:tcW w:w="1020" w:type="dxa"/>
            <w:vAlign w:val="bottom"/>
            <w:gridSpan w:val="2"/>
          </w:tcPr>
          <w:p>
            <w:pPr>
              <w:jc w:val="right"/>
              <w:ind w:right="20"/>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05"/>
        </w:trPr>
        <w:tc>
          <w:tcPr>
            <w:tcW w:w="1900" w:type="dxa"/>
            <w:vAlign w:val="bottom"/>
            <w:tcBorders>
              <w:top w:val="single" w:sz="8" w:color="949599"/>
              <w:bottom w:val="single" w:sz="8" w:color="949599"/>
            </w:tcBorders>
            <w:gridSpan w:val="2"/>
            <w:shd w:val="clear" w:color="auto" w:fill="ECECED"/>
          </w:tcPr>
          <w:p>
            <w:pPr>
              <w:ind w:left="40"/>
              <w:spacing w:after="0"/>
              <w:rPr>
                <w:sz w:val="20"/>
                <w:szCs w:val="20"/>
                <w:color w:val="auto"/>
              </w:rPr>
            </w:pPr>
            <w:r>
              <w:rPr>
                <w:rFonts w:ascii="Arial" w:cs="Arial" w:eastAsia="Arial" w:hAnsi="Arial"/>
                <w:sz w:val="14"/>
                <w:szCs w:val="14"/>
                <w:b w:val="1"/>
                <w:bCs w:val="1"/>
                <w:color w:val="215AA8"/>
              </w:rPr>
              <w:t>Huda Y. Zoghbi, M.D.</w:t>
            </w:r>
          </w:p>
        </w:tc>
        <w:tc>
          <w:tcPr>
            <w:tcW w:w="1740" w:type="dxa"/>
            <w:vAlign w:val="bottom"/>
            <w:tcBorders>
              <w:top w:val="single" w:sz="8" w:color="949599"/>
              <w:bottom w:val="single" w:sz="8" w:color="949599"/>
            </w:tcBorders>
            <w:shd w:val="clear" w:color="auto" w:fill="ECECED"/>
          </w:tcPr>
          <w:p>
            <w:pPr>
              <w:spacing w:after="0"/>
              <w:rPr>
                <w:sz w:val="17"/>
                <w:szCs w:val="17"/>
                <w:color w:val="auto"/>
              </w:rPr>
            </w:pPr>
          </w:p>
        </w:tc>
        <w:tc>
          <w:tcPr>
            <w:tcW w:w="2600" w:type="dxa"/>
            <w:vAlign w:val="bottom"/>
            <w:tcBorders>
              <w:top w:val="single" w:sz="8" w:color="949599"/>
              <w:bottom w:val="single" w:sz="8" w:color="949599"/>
            </w:tcBorders>
            <w:shd w:val="clear" w:color="auto" w:fill="ECECED"/>
          </w:tcPr>
          <w:p>
            <w:pPr>
              <w:spacing w:after="0"/>
              <w:rPr>
                <w:sz w:val="17"/>
                <w:szCs w:val="17"/>
                <w:color w:val="auto"/>
              </w:rPr>
            </w:pPr>
          </w:p>
        </w:tc>
        <w:tc>
          <w:tcPr>
            <w:tcW w:w="40" w:type="dxa"/>
            <w:vAlign w:val="bottom"/>
            <w:tcBorders>
              <w:top w:val="single" w:sz="8" w:color="949599"/>
              <w:bottom w:val="single" w:sz="8" w:color="949599"/>
            </w:tcBorders>
            <w:shd w:val="clear" w:color="auto" w:fill="ECECED"/>
          </w:tcPr>
          <w:p>
            <w:pPr>
              <w:spacing w:after="0"/>
              <w:rPr>
                <w:sz w:val="17"/>
                <w:szCs w:val="17"/>
                <w:color w:val="auto"/>
              </w:rPr>
            </w:pPr>
          </w:p>
        </w:tc>
        <w:tc>
          <w:tcPr>
            <w:tcW w:w="860" w:type="dxa"/>
            <w:vAlign w:val="bottom"/>
            <w:tcBorders>
              <w:top w:val="single" w:sz="8" w:color="949599"/>
              <w:bottom w:val="single" w:sz="8" w:color="949599"/>
            </w:tcBorders>
            <w:shd w:val="clear" w:color="auto" w:fill="ECECED"/>
          </w:tcPr>
          <w:p>
            <w:pPr>
              <w:spacing w:after="0"/>
              <w:rPr>
                <w:sz w:val="17"/>
                <w:szCs w:val="17"/>
                <w:color w:val="auto"/>
              </w:rPr>
            </w:pPr>
          </w:p>
        </w:tc>
        <w:tc>
          <w:tcPr>
            <w:tcW w:w="960" w:type="dxa"/>
            <w:vAlign w:val="bottom"/>
            <w:tcBorders>
              <w:top w:val="single" w:sz="8" w:color="949599"/>
              <w:bottom w:val="single" w:sz="8" w:color="949599"/>
            </w:tcBorders>
            <w:shd w:val="clear" w:color="auto" w:fill="ECECED"/>
          </w:tcPr>
          <w:p>
            <w:pPr>
              <w:jc w:val="right"/>
              <w:ind w:right="672"/>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49599"/>
              <w:bottom w:val="single" w:sz="8" w:color="949599"/>
            </w:tcBorders>
            <w:gridSpan w:val="3"/>
            <w:shd w:val="clear" w:color="auto" w:fill="ECECED"/>
          </w:tcPr>
          <w:p>
            <w:pPr>
              <w:jc w:val="right"/>
              <w:ind w:right="6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949599"/>
              <w:bottom w:val="single" w:sz="8" w:color="949599"/>
            </w:tcBorders>
            <w:shd w:val="clear" w:color="auto" w:fill="ECECED"/>
          </w:tcPr>
          <w:p>
            <w:pPr>
              <w:jc w:val="right"/>
              <w:ind w:right="112"/>
              <w:spacing w:after="0" w:line="205" w:lineRule="exact"/>
              <w:rPr>
                <w:sz w:val="20"/>
                <w:szCs w:val="20"/>
                <w:color w:val="auto"/>
              </w:rPr>
            </w:pPr>
            <w:r>
              <w:rPr>
                <w:rFonts w:ascii="Arial" w:cs="Arial" w:eastAsia="Arial" w:hAnsi="Arial"/>
                <w:sz w:val="14"/>
                <w:szCs w:val="14"/>
                <w:color w:val="auto"/>
              </w:rPr>
              <w:t>28,298</w:t>
            </w:r>
            <w:r>
              <w:rPr>
                <w:rFonts w:ascii="Arial" w:cs="Arial" w:eastAsia="Arial" w:hAnsi="Arial"/>
                <w:sz w:val="22"/>
                <w:szCs w:val="22"/>
                <w:color w:val="auto"/>
                <w:vertAlign w:val="superscript"/>
              </w:rPr>
              <w:t>25</w:t>
            </w:r>
          </w:p>
        </w:tc>
        <w:tc>
          <w:tcPr>
            <w:tcW w:w="1000" w:type="dxa"/>
            <w:vAlign w:val="bottom"/>
            <w:tcBorders>
              <w:top w:val="single" w:sz="8" w:color="949599"/>
              <w:bottom w:val="single" w:sz="8" w:color="949599"/>
            </w:tcBorders>
            <w:shd w:val="clear" w:color="auto" w:fill="ECECED"/>
          </w:tcPr>
          <w:p>
            <w:pPr>
              <w:jc w:val="right"/>
              <w:spacing w:after="0"/>
              <w:rPr>
                <w:sz w:val="20"/>
                <w:szCs w:val="20"/>
                <w:color w:val="auto"/>
              </w:rPr>
            </w:pPr>
            <w:r>
              <w:rPr>
                <w:rFonts w:ascii="Arial" w:cs="Arial" w:eastAsia="Arial" w:hAnsi="Arial"/>
                <w:sz w:val="11"/>
                <w:szCs w:val="11"/>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40" w:type="dxa"/>
            <w:vAlign w:val="bottom"/>
            <w:tcBorders>
              <w:bottom w:val="single" w:sz="8" w:color="215AA8"/>
            </w:tcBorders>
            <w:gridSpan w:val="4"/>
          </w:tcPr>
          <w:p>
            <w:pPr>
              <w:ind w:left="40"/>
              <w:spacing w:after="0"/>
              <w:rPr>
                <w:sz w:val="20"/>
                <w:szCs w:val="20"/>
                <w:color w:val="auto"/>
              </w:rPr>
            </w:pPr>
            <w:r>
              <w:rPr>
                <w:rFonts w:ascii="Arial" w:cs="Arial" w:eastAsia="Arial" w:hAnsi="Arial"/>
                <w:sz w:val="14"/>
                <w:szCs w:val="14"/>
                <w:b w:val="1"/>
                <w:bCs w:val="1"/>
                <w:color w:val="auto"/>
              </w:rPr>
              <w:t>All Directors and Current Executive Officers as a Group (20 persons)</w:t>
            </w:r>
          </w:p>
        </w:tc>
        <w:tc>
          <w:tcPr>
            <w:tcW w:w="1860" w:type="dxa"/>
            <w:vAlign w:val="bottom"/>
            <w:tcBorders>
              <w:bottom w:val="single" w:sz="8" w:color="215AA8"/>
            </w:tcBorders>
            <w:gridSpan w:val="3"/>
          </w:tcPr>
          <w:p>
            <w:pPr>
              <w:jc w:val="right"/>
              <w:ind w:right="672"/>
              <w:spacing w:after="0"/>
              <w:rPr>
                <w:sz w:val="20"/>
                <w:szCs w:val="20"/>
                <w:color w:val="auto"/>
              </w:rPr>
            </w:pPr>
            <w:r>
              <w:rPr>
                <w:rFonts w:ascii="Arial" w:cs="Arial" w:eastAsia="Arial" w:hAnsi="Arial"/>
                <w:sz w:val="14"/>
                <w:szCs w:val="14"/>
                <w:color w:val="auto"/>
              </w:rPr>
              <w:t>1,769,315</w:t>
            </w:r>
          </w:p>
        </w:tc>
        <w:tc>
          <w:tcPr>
            <w:tcW w:w="54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auto"/>
              </w:rPr>
              <w:t>97.4%</w:t>
            </w:r>
          </w:p>
        </w:tc>
        <w:tc>
          <w:tcPr>
            <w:tcW w:w="200" w:type="dxa"/>
            <w:vAlign w:val="bottom"/>
            <w:tcBorders>
              <w:bottom w:val="single" w:sz="8" w:color="215AA8"/>
            </w:tcBorders>
          </w:tcPr>
          <w:p>
            <w:pPr>
              <w:spacing w:after="0"/>
              <w:rPr>
                <w:sz w:val="18"/>
                <w:szCs w:val="18"/>
                <w:color w:val="auto"/>
              </w:rPr>
            </w:pPr>
          </w:p>
        </w:tc>
        <w:tc>
          <w:tcPr>
            <w:tcW w:w="420" w:type="dxa"/>
            <w:vAlign w:val="bottom"/>
            <w:tcBorders>
              <w:bottom w:val="single" w:sz="8" w:color="215AA8"/>
            </w:tcBorders>
          </w:tcPr>
          <w:p>
            <w:pPr>
              <w:spacing w:after="0"/>
              <w:rPr>
                <w:sz w:val="18"/>
                <w:szCs w:val="18"/>
                <w:color w:val="auto"/>
              </w:rPr>
            </w:pPr>
          </w:p>
        </w:tc>
        <w:tc>
          <w:tcPr>
            <w:tcW w:w="1000" w:type="dxa"/>
            <w:vAlign w:val="bottom"/>
            <w:tcBorders>
              <w:bottom w:val="single" w:sz="8" w:color="215AA8"/>
            </w:tcBorders>
          </w:tcPr>
          <w:p>
            <w:pPr>
              <w:jc w:val="right"/>
              <w:ind w:right="112"/>
              <w:spacing w:after="0" w:line="205" w:lineRule="exact"/>
              <w:rPr>
                <w:sz w:val="20"/>
                <w:szCs w:val="20"/>
                <w:color w:val="auto"/>
              </w:rPr>
            </w:pPr>
            <w:r>
              <w:rPr>
                <w:rFonts w:ascii="Arial" w:cs="Arial" w:eastAsia="Arial" w:hAnsi="Arial"/>
                <w:sz w:val="14"/>
                <w:szCs w:val="14"/>
                <w:color w:val="auto"/>
              </w:rPr>
              <w:t>6,467,791</w:t>
            </w:r>
            <w:r>
              <w:rPr>
                <w:rFonts w:ascii="Arial" w:cs="Arial" w:eastAsia="Arial" w:hAnsi="Arial"/>
                <w:sz w:val="22"/>
                <w:szCs w:val="22"/>
                <w:color w:val="auto"/>
                <w:vertAlign w:val="superscript"/>
              </w:rPr>
              <w:t>26</w:t>
            </w:r>
          </w:p>
        </w:tc>
        <w:tc>
          <w:tcPr>
            <w:tcW w:w="1020" w:type="dxa"/>
            <w:vAlign w:val="bottom"/>
            <w:tcBorders>
              <w:bottom w:val="single" w:sz="8" w:color="215AA8"/>
            </w:tcBorders>
            <w:gridSpan w:val="2"/>
          </w:tcPr>
          <w:p>
            <w:pPr>
              <w:jc w:val="right"/>
              <w:ind w:right="2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bl>
    <w:p>
      <w:pPr>
        <w:ind w:left="270" w:hanging="270"/>
        <w:spacing w:after="0" w:line="215" w:lineRule="auto"/>
        <w:tabs>
          <w:tab w:leader="none" w:pos="270" w:val="left"/>
        </w:tabs>
        <w:numPr>
          <w:ilvl w:val="0"/>
          <w:numId w:val="71"/>
        </w:numPr>
        <w:rPr>
          <w:rFonts w:ascii="Arial" w:cs="Arial" w:eastAsia="Arial" w:hAnsi="Arial"/>
          <w:sz w:val="20"/>
          <w:szCs w:val="20"/>
          <w:color w:val="auto"/>
          <w:vertAlign w:val="superscript"/>
        </w:rPr>
      </w:pPr>
      <w:r>
        <w:rPr>
          <w:rFonts w:ascii="Arial" w:cs="Arial" w:eastAsia="Arial" w:hAnsi="Arial"/>
          <w:sz w:val="12"/>
          <w:szCs w:val="12"/>
          <w:color w:val="auto"/>
        </w:rPr>
        <w:t>The inclusion in this table of any Class A stock or common stock, as the case may be, deemed beneficially owned does not constitute an admission of beneficial ownership of those shares.</w:t>
      </w:r>
    </w:p>
    <w:p>
      <w:pPr>
        <w:spacing w:after="0" w:line="30" w:lineRule="exact"/>
        <w:rPr>
          <w:sz w:val="20"/>
          <w:szCs w:val="20"/>
          <w:color w:val="auto"/>
        </w:rPr>
      </w:pPr>
    </w:p>
    <w:p>
      <w:pPr>
        <w:ind w:left="270" w:right="100" w:hanging="270"/>
        <w:spacing w:after="0" w:line="186" w:lineRule="auto"/>
        <w:tabs>
          <w:tab w:leader="none" w:pos="270" w:val="left"/>
        </w:tabs>
        <w:numPr>
          <w:ilvl w:val="0"/>
          <w:numId w:val="72"/>
        </w:numPr>
        <w:rPr>
          <w:rFonts w:ascii="Arial" w:cs="Arial" w:eastAsia="Arial" w:hAnsi="Arial"/>
          <w:sz w:val="20"/>
          <w:szCs w:val="20"/>
          <w:color w:val="auto"/>
          <w:vertAlign w:val="superscript"/>
        </w:rPr>
      </w:pPr>
      <w:r>
        <w:rPr>
          <w:rFonts w:ascii="Arial" w:cs="Arial" w:eastAsia="Arial" w:hAnsi="Arial"/>
          <w:sz w:val="12"/>
          <w:szCs w:val="12"/>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51</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tcPr>
          <w:p>
            <w:pPr>
              <w:ind w:left="12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r>
      <w:tr>
        <w:trPr>
          <w:trHeight w:val="204"/>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6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86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Shareholders</w:t>
            </w:r>
          </w:p>
        </w:tc>
        <w:tc>
          <w:tcPr>
            <w:tcW w:w="2720" w:type="dxa"/>
            <w:vAlign w:val="bottom"/>
          </w:tcPr>
          <w:p>
            <w:pPr>
              <w:ind w:left="12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r>
    </w:tbl>
    <w:p>
      <w:pPr>
        <w:spacing w:after="0" w:line="341" w:lineRule="exact"/>
        <w:rPr>
          <w:sz w:val="20"/>
          <w:szCs w:val="20"/>
          <w:color w:val="auto"/>
        </w:rPr>
      </w:pPr>
    </w:p>
    <w:p>
      <w:pPr>
        <w:ind w:left="270" w:right="40" w:hanging="270"/>
        <w:spacing w:after="0" w:line="217" w:lineRule="auto"/>
        <w:tabs>
          <w:tab w:leader="none" w:pos="270" w:val="left"/>
        </w:tabs>
        <w:numPr>
          <w:ilvl w:val="0"/>
          <w:numId w:val="73"/>
        </w:numPr>
        <w:rPr>
          <w:rFonts w:ascii="Arial" w:cs="Arial" w:eastAsia="Arial" w:hAnsi="Arial"/>
          <w:sz w:val="20"/>
          <w:szCs w:val="20"/>
          <w:color w:val="auto"/>
          <w:vertAlign w:val="superscript"/>
        </w:rPr>
      </w:pPr>
      <w:r>
        <w:rPr>
          <w:rFonts w:ascii="Arial" w:cs="Arial" w:eastAsia="Arial" w:hAnsi="Arial"/>
          <w:sz w:val="12"/>
          <w:szCs w:val="12"/>
          <w:color w:val="auto"/>
        </w:rPr>
        <w:t>Based solely on an amendment to a Schedule 13G jointly filed by FMR LLC and Abigail P. Johnson on February 9, 2024. According to this amendment, FMR LLC has sole voting power as to 9,968,323 of the shares reported as beneficially owned and sole dispositive power as to all of the shares reported as beneficially owned.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as amended, to form a controlling group with respect to FMR LLC.</w:t>
      </w:r>
    </w:p>
    <w:p>
      <w:pPr>
        <w:spacing w:after="0" w:line="24" w:lineRule="exact"/>
        <w:rPr>
          <w:sz w:val="20"/>
          <w:szCs w:val="20"/>
          <w:color w:val="auto"/>
        </w:rPr>
      </w:pPr>
    </w:p>
    <w:p>
      <w:pPr>
        <w:ind w:left="270" w:right="80" w:hanging="270"/>
        <w:spacing w:after="0" w:line="191" w:lineRule="auto"/>
        <w:tabs>
          <w:tab w:leader="none" w:pos="270" w:val="left"/>
        </w:tabs>
        <w:numPr>
          <w:ilvl w:val="0"/>
          <w:numId w:val="74"/>
        </w:numPr>
        <w:rPr>
          <w:rFonts w:ascii="Arial" w:cs="Arial" w:eastAsia="Arial" w:hAnsi="Arial"/>
          <w:sz w:val="20"/>
          <w:szCs w:val="20"/>
          <w:color w:val="auto"/>
          <w:vertAlign w:val="superscript"/>
        </w:rPr>
      </w:pPr>
      <w:r>
        <w:rPr>
          <w:rFonts w:ascii="Arial" w:cs="Arial" w:eastAsia="Arial" w:hAnsi="Arial"/>
          <w:sz w:val="12"/>
          <w:szCs w:val="12"/>
          <w:color w:val="auto"/>
        </w:rPr>
        <w:t>Based solely on an amendment to a Schedule 13G filed by The Vanguard Group, Inc. on February 13, 2024. According to this amendment, The Vanguard Group, Inc. has shared voting power as to 132,744, sole dispositive power as to 8,390,875, and shared dispositive power as to 447,365 of the shares reported as beneficially owned.</w:t>
      </w:r>
    </w:p>
    <w:p>
      <w:pPr>
        <w:spacing w:after="0" w:line="22" w:lineRule="exact"/>
        <w:rPr>
          <w:sz w:val="20"/>
          <w:szCs w:val="20"/>
          <w:color w:val="auto"/>
        </w:rPr>
      </w:pPr>
    </w:p>
    <w:p>
      <w:pPr>
        <w:ind w:left="270" w:right="120" w:hanging="270"/>
        <w:spacing w:after="0" w:line="191" w:lineRule="auto"/>
        <w:tabs>
          <w:tab w:leader="none" w:pos="270" w:val="left"/>
        </w:tabs>
        <w:numPr>
          <w:ilvl w:val="0"/>
          <w:numId w:val="75"/>
        </w:numPr>
        <w:rPr>
          <w:rFonts w:ascii="Arial" w:cs="Arial" w:eastAsia="Arial" w:hAnsi="Arial"/>
          <w:sz w:val="20"/>
          <w:szCs w:val="20"/>
          <w:color w:val="auto"/>
          <w:vertAlign w:val="superscript"/>
        </w:rPr>
      </w:pPr>
      <w:r>
        <w:rPr>
          <w:rFonts w:ascii="Arial" w:cs="Arial" w:eastAsia="Arial" w:hAnsi="Arial"/>
          <w:sz w:val="12"/>
          <w:szCs w:val="12"/>
          <w:color w:val="auto"/>
        </w:rPr>
        <w:t>Based solely on an amendment to a Schedule 13G filed by BlackRock, Inc. on January 25, 2024. According to this amendment, BlackRock, Inc. has sole voting power as to 7,824,297 of the shares reported as beneficially owned and sole dispositive power as to all of the shares reported as beneficially owned.</w:t>
      </w:r>
    </w:p>
    <w:p>
      <w:pPr>
        <w:spacing w:after="0" w:line="22" w:lineRule="exact"/>
        <w:rPr>
          <w:sz w:val="20"/>
          <w:szCs w:val="20"/>
          <w:color w:val="auto"/>
        </w:rPr>
      </w:pPr>
    </w:p>
    <w:p>
      <w:pPr>
        <w:ind w:left="270" w:right="20" w:hanging="270"/>
        <w:spacing w:after="0" w:line="191" w:lineRule="auto"/>
        <w:tabs>
          <w:tab w:leader="none" w:pos="270" w:val="left"/>
        </w:tabs>
        <w:numPr>
          <w:ilvl w:val="0"/>
          <w:numId w:val="76"/>
        </w:numPr>
        <w:rPr>
          <w:rFonts w:ascii="Arial" w:cs="Arial" w:eastAsia="Arial" w:hAnsi="Arial"/>
          <w:sz w:val="20"/>
          <w:szCs w:val="20"/>
          <w:color w:val="auto"/>
          <w:vertAlign w:val="superscript"/>
        </w:rPr>
      </w:pPr>
      <w:r>
        <w:rPr>
          <w:rFonts w:ascii="Arial" w:cs="Arial" w:eastAsia="Arial" w:hAnsi="Arial"/>
          <w:sz w:val="12"/>
          <w:szCs w:val="12"/>
          <w:color w:val="auto"/>
        </w:rPr>
        <w:t>Based solely on an amendment to a Schedule 13G filed by JPMorgan Chase &amp; Co. on January 25, 2024. According to this amendment, JPMorgan Chase &amp; Co. has sole voting power as to 6,521,043, shared voting power as to 25,308, sole dispositive power as to 7,180,482, and shared dispositive power as to 35,881 of the shares reported as beneficially owned.</w:t>
      </w:r>
    </w:p>
    <w:p>
      <w:pPr>
        <w:ind w:left="270" w:hanging="270"/>
        <w:spacing w:after="0" w:line="188" w:lineRule="auto"/>
        <w:tabs>
          <w:tab w:leader="none" w:pos="270" w:val="left"/>
        </w:tabs>
        <w:numPr>
          <w:ilvl w:val="0"/>
          <w:numId w:val="77"/>
        </w:numPr>
        <w:rPr>
          <w:rFonts w:ascii="Arial" w:cs="Arial" w:eastAsia="Arial" w:hAnsi="Arial"/>
          <w:sz w:val="20"/>
          <w:szCs w:val="20"/>
          <w:color w:val="auto"/>
          <w:vertAlign w:val="superscript"/>
        </w:rPr>
      </w:pPr>
      <w:r>
        <w:rPr>
          <w:rFonts w:ascii="Arial" w:cs="Arial" w:eastAsia="Arial" w:hAnsi="Arial"/>
          <w:sz w:val="12"/>
          <w:szCs w:val="12"/>
          <w:color w:val="auto"/>
        </w:rPr>
        <w:t>The address for each director and executive officer is c/o Regeneron Pharmaceuticals, Inc., 777 Old Saw Mill River Road, Tarrytown, New York 10591-6707.</w:t>
      </w:r>
    </w:p>
    <w:p>
      <w:pPr>
        <w:ind w:left="270" w:hanging="270"/>
        <w:spacing w:after="0" w:line="188" w:lineRule="auto"/>
        <w:tabs>
          <w:tab w:leader="none" w:pos="270" w:val="left"/>
        </w:tabs>
        <w:numPr>
          <w:ilvl w:val="0"/>
          <w:numId w:val="78"/>
        </w:numPr>
        <w:rPr>
          <w:rFonts w:ascii="Arial" w:cs="Arial" w:eastAsia="Arial" w:hAnsi="Arial"/>
          <w:sz w:val="20"/>
          <w:szCs w:val="20"/>
          <w:color w:val="auto"/>
          <w:vertAlign w:val="superscript"/>
        </w:rPr>
      </w:pPr>
      <w:r>
        <w:rPr>
          <w:rFonts w:ascii="Arial" w:cs="Arial" w:eastAsia="Arial" w:hAnsi="Arial"/>
          <w:sz w:val="12"/>
          <w:szCs w:val="12"/>
          <w:color w:val="auto"/>
        </w:rPr>
        <w:t>Includes 15,775 shares of Class A stock held in trust for the benefit of Dr. Schleifer’s son, of which Dr. Schleifer is a trustee.</w:t>
      </w:r>
    </w:p>
    <w:p>
      <w:pPr>
        <w:spacing w:after="0" w:line="30" w:lineRule="exact"/>
        <w:rPr>
          <w:sz w:val="20"/>
          <w:szCs w:val="20"/>
          <w:color w:val="auto"/>
        </w:rPr>
      </w:pPr>
    </w:p>
    <w:p>
      <w:pPr>
        <w:ind w:left="270" w:right="120" w:hanging="270"/>
        <w:spacing w:after="0" w:line="215" w:lineRule="auto"/>
        <w:tabs>
          <w:tab w:leader="none" w:pos="270" w:val="left"/>
        </w:tabs>
        <w:numPr>
          <w:ilvl w:val="0"/>
          <w:numId w:val="79"/>
        </w:numPr>
        <w:rPr>
          <w:rFonts w:ascii="Arial" w:cs="Arial" w:eastAsia="Arial" w:hAnsi="Arial"/>
          <w:sz w:val="20"/>
          <w:szCs w:val="20"/>
          <w:color w:val="auto"/>
          <w:vertAlign w:val="superscript"/>
        </w:rPr>
      </w:pPr>
      <w:r>
        <w:rPr>
          <w:rFonts w:ascii="Arial" w:cs="Arial" w:eastAsia="Arial" w:hAnsi="Arial"/>
          <w:sz w:val="12"/>
          <w:szCs w:val="12"/>
          <w:color w:val="auto"/>
        </w:rPr>
        <w:t>Includes (i) 872,507 shares of common stock purchasable upon the exercise of options granted pursuant to the Regeneron Pharmaceuticals, Inc. Second Amended and Restated 2000 Long-Term Incentive Plan, the Regeneron Pharmaceuticals, Inc. 2014 Long-Term Incentive Plan, the Amended and Restated Regeneron Pharmaceuticals, Inc. 2014 Long-Term Incentive Plan, or the Second Amended and Restated Regeneron Pharmaceuticals, Inc. 2014 Long-Term Incentive Plan (collectively, the “Long-Term Incentive Plans”) that are exercisable or become so within sixty days after April 16, 2024; (ii) 250,000 shares of common stock held in a grantor retained annuity trust of which Dr. Schleifer is the trustee; (iii) 64,985 shares of common stock held in a trust for the benefit of Dr. Schleifer’s family members, of which Dr. Schleifer’s spouse is a trustee; (iv) 100 shares of common stock held in a charitable foundation of which Dr. Schleifer is a director and officer; and (v) 5,932 shares of common stock held in an account under the Company’s 401(k) Savings Plan.</w:t>
      </w:r>
    </w:p>
    <w:p>
      <w:pPr>
        <w:spacing w:after="0" w:line="24" w:lineRule="exact"/>
        <w:rPr>
          <w:sz w:val="20"/>
          <w:szCs w:val="20"/>
          <w:color w:val="auto"/>
        </w:rPr>
      </w:pPr>
    </w:p>
    <w:p>
      <w:pPr>
        <w:ind w:left="270" w:right="60" w:hanging="270"/>
        <w:spacing w:after="0" w:line="191" w:lineRule="auto"/>
        <w:tabs>
          <w:tab w:leader="none" w:pos="270" w:val="left"/>
        </w:tabs>
        <w:numPr>
          <w:ilvl w:val="0"/>
          <w:numId w:val="80"/>
        </w:numPr>
        <w:rPr>
          <w:rFonts w:ascii="Arial" w:cs="Arial" w:eastAsia="Arial" w:hAnsi="Arial"/>
          <w:sz w:val="20"/>
          <w:szCs w:val="20"/>
          <w:color w:val="auto"/>
          <w:vertAlign w:val="superscript"/>
        </w:rPr>
      </w:pPr>
      <w:r>
        <w:rPr>
          <w:rFonts w:ascii="Arial" w:cs="Arial" w:eastAsia="Arial" w:hAnsi="Arial"/>
          <w:sz w:val="12"/>
          <w:szCs w:val="12"/>
          <w:color w:val="auto"/>
        </w:rPr>
        <w:t>Of these shares, 23,367 shares are held in trust for the benefit of Dr. Yancopoulos’s children and certain other family members; Dr. Yancopoulos is a trustee of the trust. The remaining 19,383 shares are held in trusts for the benefit of Dr. Yancopoulos’s children, of which Dr. Yancopoulos is the trustee.</w:t>
      </w:r>
    </w:p>
    <w:p>
      <w:pPr>
        <w:ind w:left="270" w:hanging="270"/>
        <w:spacing w:after="0" w:line="185" w:lineRule="auto"/>
        <w:tabs>
          <w:tab w:leader="none" w:pos="270" w:val="left"/>
        </w:tabs>
        <w:numPr>
          <w:ilvl w:val="0"/>
          <w:numId w:val="80"/>
        </w:numPr>
        <w:rPr>
          <w:rFonts w:ascii="Arial" w:cs="Arial" w:eastAsia="Arial" w:hAnsi="Arial"/>
          <w:sz w:val="19"/>
          <w:szCs w:val="19"/>
          <w:color w:val="auto"/>
          <w:vertAlign w:val="superscript"/>
        </w:rPr>
      </w:pPr>
      <w:r>
        <w:rPr>
          <w:rFonts w:ascii="Arial" w:cs="Arial" w:eastAsia="Arial" w:hAnsi="Arial"/>
          <w:sz w:val="11"/>
          <w:szCs w:val="11"/>
          <w:color w:val="auto"/>
        </w:rPr>
        <w:t>Includes (i) 643,395 shares of common stock purchasable upon exercise of options granted pursuant to the Long-Term Incentive Plans that are exercisable or become so within sixty days after April 16, 2024;</w:t>
      </w:r>
    </w:p>
    <w:p>
      <w:pPr>
        <w:ind w:left="430" w:hanging="160"/>
        <w:spacing w:after="0" w:line="234" w:lineRule="auto"/>
        <w:tabs>
          <w:tab w:leader="none" w:pos="430" w:val="left"/>
        </w:tabs>
        <w:numPr>
          <w:ilvl w:val="1"/>
          <w:numId w:val="80"/>
        </w:numPr>
        <w:rPr>
          <w:rFonts w:ascii="Arial" w:cs="Arial" w:eastAsia="Arial" w:hAnsi="Arial"/>
          <w:sz w:val="12"/>
          <w:szCs w:val="12"/>
          <w:color w:val="auto"/>
        </w:rPr>
      </w:pPr>
      <w:r>
        <w:rPr>
          <w:rFonts w:ascii="Arial" w:cs="Arial" w:eastAsia="Arial" w:hAnsi="Arial"/>
          <w:sz w:val="12"/>
          <w:szCs w:val="12"/>
          <w:color w:val="auto"/>
        </w:rPr>
        <w:t>5,903 shares of common stock held in an account under the Company’s 401(k) Savings Plan; (iv) 801,608 shares of common stock held in trust for the benefit of Dr. Yancopoulos’s children and certain</w:t>
      </w:r>
    </w:p>
    <w:p>
      <w:pPr>
        <w:ind w:left="270" w:right="100"/>
        <w:spacing w:after="0" w:line="249" w:lineRule="auto"/>
        <w:rPr>
          <w:rFonts w:ascii="Arial" w:cs="Arial" w:eastAsia="Arial" w:hAnsi="Arial"/>
          <w:sz w:val="12"/>
          <w:szCs w:val="12"/>
          <w:color w:val="auto"/>
        </w:rPr>
      </w:pPr>
      <w:r>
        <w:rPr>
          <w:rFonts w:ascii="Arial" w:cs="Arial" w:eastAsia="Arial" w:hAnsi="Arial"/>
          <w:sz w:val="12"/>
          <w:szCs w:val="12"/>
          <w:color w:val="auto"/>
        </w:rPr>
        <w:t>other family members, of which Dr. Yancopoulos is a trustee; (v) 180,000 shares of common stock held in trusts for the benefit of Dr. Yancopoulos’s children; and (vi) 279,481 shares of common stock held in grantor retained annuity trusts of which Dr. Yancopoulos is the trustee.</w:t>
      </w:r>
    </w:p>
    <w:p>
      <w:pPr>
        <w:spacing w:after="0" w:line="16" w:lineRule="exact"/>
        <w:rPr>
          <w:rFonts w:ascii="Arial" w:cs="Arial" w:eastAsia="Arial" w:hAnsi="Arial"/>
          <w:sz w:val="12"/>
          <w:szCs w:val="12"/>
          <w:color w:val="auto"/>
        </w:rPr>
      </w:pPr>
    </w:p>
    <w:p>
      <w:pPr>
        <w:ind w:left="270" w:right="300" w:hanging="270"/>
        <w:spacing w:after="0" w:line="191" w:lineRule="auto"/>
        <w:tabs>
          <w:tab w:leader="none" w:pos="270" w:val="left"/>
        </w:tabs>
        <w:numPr>
          <w:ilvl w:val="0"/>
          <w:numId w:val="80"/>
        </w:numPr>
        <w:rPr>
          <w:rFonts w:ascii="Arial" w:cs="Arial" w:eastAsia="Arial" w:hAnsi="Arial"/>
          <w:sz w:val="20"/>
          <w:szCs w:val="20"/>
          <w:color w:val="auto"/>
          <w:vertAlign w:val="superscript"/>
        </w:rPr>
      </w:pPr>
      <w:r>
        <w:rPr>
          <w:rFonts w:ascii="Arial" w:cs="Arial" w:eastAsia="Arial" w:hAnsi="Arial"/>
          <w:sz w:val="12"/>
          <w:szCs w:val="12"/>
          <w:color w:val="auto"/>
        </w:rPr>
        <w:t>Consists of (i) 17,941 shares of common stock purchasable upon exercise of options granted pursuant to the Long-Term Incentive Plans that are exercisable or become so within sixty days after April 16, 2024; and (ii) 1,307 shares of common stock issuable upon settlement of RSUs that are releasable within sixty days after April 16, 2024 upon termination of service.</w:t>
      </w:r>
    </w:p>
    <w:p>
      <w:pPr>
        <w:spacing w:after="0" w:line="22" w:lineRule="exact"/>
        <w:rPr>
          <w:rFonts w:ascii="Arial" w:cs="Arial" w:eastAsia="Arial" w:hAnsi="Arial"/>
          <w:sz w:val="20"/>
          <w:szCs w:val="20"/>
          <w:color w:val="auto"/>
          <w:vertAlign w:val="superscript"/>
        </w:rPr>
      </w:pPr>
    </w:p>
    <w:p>
      <w:pPr>
        <w:ind w:left="270" w:right="40" w:hanging="270"/>
        <w:spacing w:after="0" w:line="214" w:lineRule="auto"/>
        <w:tabs>
          <w:tab w:leader="none" w:pos="270" w:val="left"/>
        </w:tabs>
        <w:numPr>
          <w:ilvl w:val="0"/>
          <w:numId w:val="80"/>
        </w:numPr>
        <w:rPr>
          <w:rFonts w:ascii="Arial" w:cs="Arial" w:eastAsia="Arial" w:hAnsi="Arial"/>
          <w:sz w:val="20"/>
          <w:szCs w:val="20"/>
          <w:color w:val="auto"/>
          <w:vertAlign w:val="superscript"/>
        </w:rPr>
      </w:pPr>
      <w:r>
        <w:rPr>
          <w:rFonts w:ascii="Arial" w:cs="Arial" w:eastAsia="Arial" w:hAnsi="Arial"/>
          <w:sz w:val="12"/>
          <w:szCs w:val="12"/>
          <w:color w:val="auto"/>
        </w:rPr>
        <w:t>Consists of (i) 5,356 shares of common stock purchasable upon exercise of options granted pursuant to the Long-Term Incentive Plans that are exercisable or become so within sixty days after April 16, 2024, which are held in a trust of which Dr. Brown and his spouse are trustees for the benefit of Dr. Brown’s immediate family members; (ii) 6,162 shares of common stock held in a trust of which Dr. Brown and his spouse are trustees for the benefit of Dr. Brown’s immediate family members; (iii) 5,000 shares of common stock held in a trust of which Dr. Brown’s spouse is trustee for the benefit of Dr. Brown’s immediate family members; and (iv) 1,307 shares of common stock issuable upon settlement of RSUs that are releasable within sixty days after April 16, 2024 upon termination of service. Dr. Brown disclaims beneficial ownership of the shares referenced in (iii).</w:t>
      </w:r>
    </w:p>
    <w:p>
      <w:pPr>
        <w:spacing w:after="0" w:line="23" w:lineRule="exact"/>
        <w:rPr>
          <w:rFonts w:ascii="Arial" w:cs="Arial" w:eastAsia="Arial" w:hAnsi="Arial"/>
          <w:sz w:val="20"/>
          <w:szCs w:val="20"/>
          <w:color w:val="auto"/>
          <w:vertAlign w:val="superscript"/>
        </w:rPr>
      </w:pPr>
    </w:p>
    <w:p>
      <w:pPr>
        <w:ind w:left="270" w:right="180" w:hanging="270"/>
        <w:spacing w:after="0" w:line="191" w:lineRule="auto"/>
        <w:tabs>
          <w:tab w:leader="none" w:pos="270" w:val="left"/>
        </w:tabs>
        <w:numPr>
          <w:ilvl w:val="0"/>
          <w:numId w:val="80"/>
        </w:numPr>
        <w:rPr>
          <w:rFonts w:ascii="Arial" w:cs="Arial" w:eastAsia="Arial" w:hAnsi="Arial"/>
          <w:sz w:val="20"/>
          <w:szCs w:val="20"/>
          <w:color w:val="auto"/>
          <w:vertAlign w:val="superscript"/>
        </w:rPr>
      </w:pPr>
      <w:r>
        <w:rPr>
          <w:rFonts w:ascii="Arial" w:cs="Arial" w:eastAsia="Arial" w:hAnsi="Arial"/>
          <w:sz w:val="12"/>
          <w:szCs w:val="12"/>
          <w:color w:val="auto"/>
        </w:rPr>
        <w:t>Includes (i) 5,356 shares of common stock purchasable upon exercise of options granted pursuant to the Long-Term Incentive Plans that are exercisable or become so within sixty days after April 16, 2024; and (ii) 1,307 shares of common stock issuable upon settlement of RSUs that are releasable within sixty days after April 16, 2024 upon termination of service.</w:t>
      </w:r>
    </w:p>
    <w:p>
      <w:pPr>
        <w:spacing w:after="0" w:line="22" w:lineRule="exact"/>
        <w:rPr>
          <w:rFonts w:ascii="Arial" w:cs="Arial" w:eastAsia="Arial" w:hAnsi="Arial"/>
          <w:sz w:val="20"/>
          <w:szCs w:val="20"/>
          <w:color w:val="auto"/>
          <w:vertAlign w:val="superscript"/>
        </w:rPr>
      </w:pPr>
    </w:p>
    <w:p>
      <w:pPr>
        <w:ind w:left="270" w:right="180" w:hanging="270"/>
        <w:spacing w:after="0" w:line="191" w:lineRule="auto"/>
        <w:tabs>
          <w:tab w:leader="none" w:pos="270" w:val="left"/>
        </w:tabs>
        <w:numPr>
          <w:ilvl w:val="0"/>
          <w:numId w:val="80"/>
        </w:numPr>
        <w:rPr>
          <w:rFonts w:ascii="Arial" w:cs="Arial" w:eastAsia="Arial" w:hAnsi="Arial"/>
          <w:sz w:val="20"/>
          <w:szCs w:val="20"/>
          <w:color w:val="auto"/>
          <w:vertAlign w:val="superscript"/>
        </w:rPr>
      </w:pPr>
      <w:r>
        <w:rPr>
          <w:rFonts w:ascii="Arial" w:cs="Arial" w:eastAsia="Arial" w:hAnsi="Arial"/>
          <w:sz w:val="12"/>
          <w:szCs w:val="12"/>
          <w:color w:val="auto"/>
        </w:rPr>
        <w:t>Includes (i) 2,649 shares of common stock purchasable upon exercise of options granted pursuant to the Long-Term Incentive Plans that are exercisable or become so within sixty days after April 16, 2024; and (ii) 1,307 shares of common stock issuable upon settlement of RSUs that are releasable within sixty days after April 16, 2024 upon termination of service.</w:t>
      </w:r>
    </w:p>
    <w:p>
      <w:pPr>
        <w:spacing w:after="0" w:line="22" w:lineRule="exact"/>
        <w:rPr>
          <w:rFonts w:ascii="Arial" w:cs="Arial" w:eastAsia="Arial" w:hAnsi="Arial"/>
          <w:sz w:val="20"/>
          <w:szCs w:val="20"/>
          <w:color w:val="auto"/>
          <w:vertAlign w:val="superscript"/>
        </w:rPr>
      </w:pPr>
    </w:p>
    <w:p>
      <w:pPr>
        <w:ind w:left="270" w:right="40" w:hanging="270"/>
        <w:spacing w:after="0" w:line="191" w:lineRule="auto"/>
        <w:tabs>
          <w:tab w:leader="none" w:pos="270" w:val="left"/>
        </w:tabs>
        <w:numPr>
          <w:ilvl w:val="0"/>
          <w:numId w:val="80"/>
        </w:numPr>
        <w:rPr>
          <w:rFonts w:ascii="Arial" w:cs="Arial" w:eastAsia="Arial" w:hAnsi="Arial"/>
          <w:sz w:val="20"/>
          <w:szCs w:val="20"/>
          <w:color w:val="auto"/>
          <w:vertAlign w:val="superscript"/>
        </w:rPr>
      </w:pPr>
      <w:r>
        <w:rPr>
          <w:rFonts w:ascii="Arial" w:cs="Arial" w:eastAsia="Arial" w:hAnsi="Arial"/>
          <w:sz w:val="12"/>
          <w:szCs w:val="12"/>
          <w:color w:val="auto"/>
        </w:rPr>
        <w:t>Consists of (i) 2,323 shares of common stock purchasable upon exercise of options granted pursuant to the Long-Term Incentive Plans that are exercisable or become so within sixty days after April 16, 2024; and (ii) 203 shares of common stock issuable upon settlement of RSUs that are releasable within sixty days after April 16, 2024 upon termination of service.</w:t>
      </w:r>
    </w:p>
    <w:p>
      <w:pPr>
        <w:ind w:left="270" w:hanging="270"/>
        <w:spacing w:after="0" w:line="185" w:lineRule="auto"/>
        <w:tabs>
          <w:tab w:leader="none" w:pos="270" w:val="left"/>
        </w:tabs>
        <w:numPr>
          <w:ilvl w:val="0"/>
          <w:numId w:val="80"/>
        </w:numPr>
        <w:rPr>
          <w:rFonts w:ascii="Arial" w:cs="Arial" w:eastAsia="Arial" w:hAnsi="Arial"/>
          <w:sz w:val="19"/>
          <w:szCs w:val="19"/>
          <w:color w:val="auto"/>
          <w:vertAlign w:val="superscript"/>
        </w:rPr>
      </w:pPr>
      <w:r>
        <w:rPr>
          <w:rFonts w:ascii="Arial" w:cs="Arial" w:eastAsia="Arial" w:hAnsi="Arial"/>
          <w:sz w:val="11"/>
          <w:szCs w:val="11"/>
          <w:color w:val="auto"/>
        </w:rPr>
        <w:t>Includes (i) 70,499 shares of common stock purchasable upon exercise of options granted pursuant to the Long-Term Incentive Plans that are exercisable or become so within sixty days after April 16, 2024;</w:t>
      </w:r>
    </w:p>
    <w:p>
      <w:pPr>
        <w:ind w:left="430" w:hanging="160"/>
        <w:spacing w:after="0"/>
        <w:tabs>
          <w:tab w:leader="none" w:pos="430" w:val="left"/>
        </w:tabs>
        <w:numPr>
          <w:ilvl w:val="1"/>
          <w:numId w:val="80"/>
        </w:numPr>
        <w:rPr>
          <w:rFonts w:ascii="Arial" w:cs="Arial" w:eastAsia="Arial" w:hAnsi="Arial"/>
          <w:sz w:val="12"/>
          <w:szCs w:val="12"/>
          <w:color w:val="auto"/>
        </w:rPr>
      </w:pPr>
      <w:r>
        <w:rPr>
          <w:rFonts w:ascii="Arial" w:cs="Arial" w:eastAsia="Arial" w:hAnsi="Arial"/>
          <w:sz w:val="12"/>
          <w:szCs w:val="12"/>
          <w:color w:val="auto"/>
        </w:rPr>
        <w:t>6,803 shares of restricted stock (“RSAs”); and (iii) 286 shares of common stock held in an account under the Company’s 401(k) Savings Plan.</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52</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tcPr>
          <w:p>
            <w:pPr>
              <w:ind w:left="1200"/>
              <w:spacing w:after="0"/>
              <w:rPr>
                <w:sz w:val="20"/>
                <w:szCs w:val="20"/>
                <w:color w:val="auto"/>
              </w:rPr>
            </w:pPr>
            <w:r>
              <w:rPr>
                <w:rFonts w:ascii="Arial" w:cs="Arial" w:eastAsia="Arial" w:hAnsi="Arial"/>
                <w:sz w:val="14"/>
                <w:szCs w:val="14"/>
                <w:color w:val="949599"/>
              </w:rPr>
              <w:t>Compensation-</w:t>
            </w:r>
          </w:p>
        </w:tc>
        <w:tc>
          <w:tcPr>
            <w:tcW w:w="1400" w:type="dxa"/>
            <w:vAlign w:val="bottom"/>
          </w:tcPr>
          <w:p>
            <w:pPr>
              <w:spacing w:after="0"/>
              <w:rPr>
                <w:sz w:val="24"/>
                <w:szCs w:val="24"/>
                <w:color w:val="auto"/>
              </w:rPr>
            </w:pPr>
          </w:p>
        </w:tc>
      </w:tr>
      <w:tr>
        <w:trPr>
          <w:trHeight w:val="204"/>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6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86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Shareholders</w:t>
            </w:r>
          </w:p>
        </w:tc>
        <w:tc>
          <w:tcPr>
            <w:tcW w:w="2720" w:type="dxa"/>
            <w:vAlign w:val="bottom"/>
          </w:tcPr>
          <w:p>
            <w:pPr>
              <w:ind w:left="1200"/>
              <w:spacing w:after="0"/>
              <w:rPr>
                <w:sz w:val="20"/>
                <w:szCs w:val="20"/>
                <w:color w:val="auto"/>
              </w:rPr>
            </w:pPr>
            <w:r>
              <w:rPr>
                <w:rFonts w:ascii="Arial" w:cs="Arial" w:eastAsia="Arial" w:hAnsi="Arial"/>
                <w:sz w:val="14"/>
                <w:szCs w:val="14"/>
                <w:color w:val="949599"/>
              </w:rPr>
              <w:t>Related Matters</w:t>
            </w:r>
          </w:p>
        </w:tc>
        <w:tc>
          <w:tcPr>
            <w:tcW w:w="1400" w:type="dxa"/>
            <w:vAlign w:val="bottom"/>
          </w:tcPr>
          <w:p>
            <w:pPr>
              <w:ind w:left="560"/>
              <w:spacing w:after="0"/>
              <w:rPr>
                <w:sz w:val="20"/>
                <w:szCs w:val="20"/>
                <w:color w:val="auto"/>
              </w:rPr>
            </w:pPr>
            <w:r>
              <w:rPr>
                <w:rFonts w:ascii="Arial" w:cs="Arial" w:eastAsia="Arial" w:hAnsi="Arial"/>
                <w:sz w:val="14"/>
                <w:szCs w:val="14"/>
                <w:color w:val="949599"/>
                <w:w w:val="95"/>
              </w:rPr>
              <w:t>Other Matters</w:t>
            </w:r>
          </w:p>
        </w:tc>
      </w:tr>
    </w:tbl>
    <w:p>
      <w:pPr>
        <w:spacing w:after="0" w:line="258" w:lineRule="exact"/>
        <w:rPr>
          <w:sz w:val="20"/>
          <w:szCs w:val="20"/>
          <w:color w:val="auto"/>
        </w:rPr>
      </w:pPr>
    </w:p>
    <w:p>
      <w:pPr>
        <w:ind w:left="270" w:hanging="270"/>
        <w:spacing w:after="0"/>
        <w:tabs>
          <w:tab w:leader="none" w:pos="270" w:val="left"/>
        </w:tabs>
        <w:numPr>
          <w:ilvl w:val="0"/>
          <w:numId w:val="81"/>
        </w:numPr>
        <w:rPr>
          <w:rFonts w:ascii="Arial" w:cs="Arial" w:eastAsia="Arial" w:hAnsi="Arial"/>
          <w:sz w:val="20"/>
          <w:szCs w:val="20"/>
          <w:color w:val="auto"/>
          <w:vertAlign w:val="superscript"/>
        </w:rPr>
      </w:pPr>
      <w:r>
        <w:rPr>
          <w:rFonts w:ascii="Arial" w:cs="Arial" w:eastAsia="Arial" w:hAnsi="Arial"/>
          <w:sz w:val="12"/>
          <w:szCs w:val="12"/>
          <w:color w:val="auto"/>
        </w:rPr>
        <w:t>Includes (i) 218,452 shares of common stock purchasable upon exercise of options granted pursuant to the Long-Term Incentive Plans that are exercisable or become so within sixty days after April 16, 2024;</w:t>
      </w:r>
    </w:p>
    <w:p>
      <w:pPr>
        <w:ind w:left="430" w:hanging="160"/>
        <w:spacing w:after="0"/>
        <w:tabs>
          <w:tab w:leader="none" w:pos="430" w:val="left"/>
        </w:tabs>
        <w:numPr>
          <w:ilvl w:val="1"/>
          <w:numId w:val="81"/>
        </w:numPr>
        <w:rPr>
          <w:rFonts w:ascii="Arial" w:cs="Arial" w:eastAsia="Arial" w:hAnsi="Arial"/>
          <w:sz w:val="12"/>
          <w:szCs w:val="12"/>
          <w:color w:val="auto"/>
        </w:rPr>
      </w:pPr>
      <w:r>
        <w:rPr>
          <w:rFonts w:ascii="Arial" w:cs="Arial" w:eastAsia="Arial" w:hAnsi="Arial"/>
          <w:sz w:val="12"/>
          <w:szCs w:val="12"/>
          <w:color w:val="auto"/>
        </w:rPr>
        <w:t>18,308 RSAs; and (iii) 4,321 shares of common stock held in an account under the Company’s 401(k) Savings Plan.</w:t>
      </w:r>
    </w:p>
    <w:p>
      <w:pPr>
        <w:spacing w:after="0" w:line="30" w:lineRule="exact"/>
        <w:rPr>
          <w:rFonts w:ascii="Arial" w:cs="Arial" w:eastAsia="Arial" w:hAnsi="Arial"/>
          <w:sz w:val="12"/>
          <w:szCs w:val="12"/>
          <w:color w:val="auto"/>
        </w:rPr>
      </w:pPr>
    </w:p>
    <w:p>
      <w:pPr>
        <w:ind w:left="270" w:right="120" w:hanging="270"/>
        <w:spacing w:after="0" w:line="191" w:lineRule="auto"/>
        <w:tabs>
          <w:tab w:leader="none" w:pos="270" w:val="left"/>
        </w:tabs>
        <w:numPr>
          <w:ilvl w:val="0"/>
          <w:numId w:val="81"/>
        </w:numPr>
        <w:rPr>
          <w:rFonts w:ascii="Arial" w:cs="Arial" w:eastAsia="Arial" w:hAnsi="Arial"/>
          <w:sz w:val="20"/>
          <w:szCs w:val="20"/>
          <w:color w:val="auto"/>
          <w:vertAlign w:val="superscript"/>
        </w:rPr>
      </w:pPr>
      <w:r>
        <w:rPr>
          <w:rFonts w:ascii="Arial" w:cs="Arial" w:eastAsia="Arial" w:hAnsi="Arial"/>
          <w:sz w:val="12"/>
          <w:szCs w:val="12"/>
          <w:color w:val="auto"/>
        </w:rPr>
        <w:t>Includes (i) 52,433 shares of common stock purchasable upon exercise of options granted pursuant to the Long-Term Incentive Plans that are exercisable or become so within sixty days after April 16, 2024; and (ii) 1,307 shares of common stock issuable upon settlement of RSUs that are releasable within sixty days after April 16, 2024 upon termination of service.</w:t>
      </w:r>
    </w:p>
    <w:p>
      <w:pPr>
        <w:spacing w:after="0" w:line="22" w:lineRule="exact"/>
        <w:rPr>
          <w:rFonts w:ascii="Arial" w:cs="Arial" w:eastAsia="Arial" w:hAnsi="Arial"/>
          <w:sz w:val="20"/>
          <w:szCs w:val="20"/>
          <w:color w:val="auto"/>
          <w:vertAlign w:val="superscript"/>
        </w:rPr>
      </w:pPr>
    </w:p>
    <w:p>
      <w:pPr>
        <w:ind w:left="270" w:right="180" w:hanging="270"/>
        <w:spacing w:after="0" w:line="191" w:lineRule="auto"/>
        <w:tabs>
          <w:tab w:leader="none" w:pos="270" w:val="left"/>
        </w:tabs>
        <w:numPr>
          <w:ilvl w:val="0"/>
          <w:numId w:val="81"/>
        </w:numPr>
        <w:rPr>
          <w:rFonts w:ascii="Arial" w:cs="Arial" w:eastAsia="Arial" w:hAnsi="Arial"/>
          <w:sz w:val="20"/>
          <w:szCs w:val="20"/>
          <w:color w:val="auto"/>
          <w:vertAlign w:val="superscript"/>
        </w:rPr>
      </w:pPr>
      <w:r>
        <w:rPr>
          <w:rFonts w:ascii="Arial" w:cs="Arial" w:eastAsia="Arial" w:hAnsi="Arial"/>
          <w:sz w:val="12"/>
          <w:szCs w:val="12"/>
          <w:color w:val="auto"/>
        </w:rPr>
        <w:t>Includes (i) 5,356 shares of common stock purchasable upon exercise of options granted pursuant to the Long-Term Incentive Plans that are exercisable or become so within sixty days after April 16, 2024; and (ii) 1,307 shares of common stock issuable upon settlement of RSUs that are releasable within sixty days after April 16, 2024 upon termination of service.</w:t>
      </w:r>
    </w:p>
    <w:p>
      <w:pPr>
        <w:spacing w:after="0" w:line="22" w:lineRule="exact"/>
        <w:rPr>
          <w:rFonts w:ascii="Arial" w:cs="Arial" w:eastAsia="Arial" w:hAnsi="Arial"/>
          <w:sz w:val="20"/>
          <w:szCs w:val="20"/>
          <w:color w:val="auto"/>
          <w:vertAlign w:val="superscript"/>
        </w:rPr>
      </w:pPr>
    </w:p>
    <w:p>
      <w:pPr>
        <w:ind w:left="270" w:right="40" w:hanging="270"/>
        <w:spacing w:after="0" w:line="191" w:lineRule="auto"/>
        <w:tabs>
          <w:tab w:leader="none" w:pos="270" w:val="left"/>
        </w:tabs>
        <w:numPr>
          <w:ilvl w:val="0"/>
          <w:numId w:val="81"/>
        </w:numPr>
        <w:rPr>
          <w:rFonts w:ascii="Arial" w:cs="Arial" w:eastAsia="Arial" w:hAnsi="Arial"/>
          <w:sz w:val="20"/>
          <w:szCs w:val="20"/>
          <w:color w:val="auto"/>
          <w:vertAlign w:val="superscript"/>
        </w:rPr>
      </w:pPr>
      <w:r>
        <w:rPr>
          <w:rFonts w:ascii="Arial" w:cs="Arial" w:eastAsia="Arial" w:hAnsi="Arial"/>
          <w:sz w:val="12"/>
          <w:szCs w:val="12"/>
          <w:color w:val="auto"/>
        </w:rPr>
        <w:t>Consists of (i) 2,323 shares of common stock purchasable upon exercise of options granted pursuant to the Long-Term Incentive Plans that are exercisable or become so within sixty days after April 16, 2024; and (ii) 203 shares of common stock issuable upon settlement of RSUs that are releasable within sixty days after April 16, 2024 upon termination of service.</w:t>
      </w:r>
    </w:p>
    <w:p>
      <w:pPr>
        <w:ind w:left="270" w:hanging="270"/>
        <w:spacing w:after="0" w:line="185" w:lineRule="auto"/>
        <w:tabs>
          <w:tab w:leader="none" w:pos="270" w:val="left"/>
        </w:tabs>
        <w:numPr>
          <w:ilvl w:val="0"/>
          <w:numId w:val="81"/>
        </w:numPr>
        <w:rPr>
          <w:rFonts w:ascii="Arial" w:cs="Arial" w:eastAsia="Arial" w:hAnsi="Arial"/>
          <w:sz w:val="19"/>
          <w:szCs w:val="19"/>
          <w:color w:val="auto"/>
          <w:vertAlign w:val="superscript"/>
        </w:rPr>
      </w:pPr>
      <w:r>
        <w:rPr>
          <w:rFonts w:ascii="Arial" w:cs="Arial" w:eastAsia="Arial" w:hAnsi="Arial"/>
          <w:sz w:val="11"/>
          <w:szCs w:val="11"/>
          <w:color w:val="auto"/>
        </w:rPr>
        <w:t>Includes (i) 46,933 shares of common stock purchasable upon exercise of options granted pursuant to the Long-Term Incentive Plans that are exercisable or become so within sixty days after April 16, 2024;</w:t>
      </w:r>
    </w:p>
    <w:p>
      <w:pPr>
        <w:ind w:left="270" w:right="220"/>
        <w:spacing w:after="0" w:line="249" w:lineRule="auto"/>
        <w:tabs>
          <w:tab w:leader="none" w:pos="437" w:val="left"/>
        </w:tabs>
        <w:numPr>
          <w:ilvl w:val="1"/>
          <w:numId w:val="81"/>
        </w:numPr>
        <w:rPr>
          <w:rFonts w:ascii="Arial" w:cs="Arial" w:eastAsia="Arial" w:hAnsi="Arial"/>
          <w:sz w:val="12"/>
          <w:szCs w:val="12"/>
          <w:color w:val="auto"/>
        </w:rPr>
      </w:pPr>
      <w:r>
        <w:rPr>
          <w:rFonts w:ascii="Arial" w:cs="Arial" w:eastAsia="Arial" w:hAnsi="Arial"/>
          <w:sz w:val="12"/>
          <w:szCs w:val="12"/>
          <w:color w:val="auto"/>
        </w:rPr>
        <w:t>750 shares of common stock held by Mr. Sing’s spouse; (iii) 400 shares of common stock held by Mr. Sing’s spouse as custodian for the benefit of their son; (iv) 1,000 shares of common stock held in a trust for benefit of Mr. Sing’s son; and (v) 1,307 shares of common stock issuable upon settlement of RSUs that are releasable within sixty days after April 16, 2024 upon termination of service.</w:t>
      </w:r>
    </w:p>
    <w:p>
      <w:pPr>
        <w:spacing w:after="0" w:line="16" w:lineRule="exact"/>
        <w:rPr>
          <w:rFonts w:ascii="Arial" w:cs="Arial" w:eastAsia="Arial" w:hAnsi="Arial"/>
          <w:sz w:val="12"/>
          <w:szCs w:val="12"/>
          <w:color w:val="auto"/>
        </w:rPr>
      </w:pPr>
    </w:p>
    <w:p>
      <w:pPr>
        <w:ind w:left="270" w:right="40" w:hanging="270"/>
        <w:spacing w:after="0" w:line="191" w:lineRule="auto"/>
        <w:tabs>
          <w:tab w:leader="none" w:pos="270" w:val="left"/>
        </w:tabs>
        <w:numPr>
          <w:ilvl w:val="0"/>
          <w:numId w:val="81"/>
        </w:numPr>
        <w:rPr>
          <w:rFonts w:ascii="Arial" w:cs="Arial" w:eastAsia="Arial" w:hAnsi="Arial"/>
          <w:sz w:val="20"/>
          <w:szCs w:val="20"/>
          <w:color w:val="auto"/>
          <w:vertAlign w:val="superscript"/>
        </w:rPr>
      </w:pPr>
      <w:r>
        <w:rPr>
          <w:rFonts w:ascii="Arial" w:cs="Arial" w:eastAsia="Arial" w:hAnsi="Arial"/>
          <w:sz w:val="12"/>
          <w:szCs w:val="12"/>
          <w:color w:val="auto"/>
        </w:rPr>
        <w:t>Consists of (i) 4,413 shares of common stock purchasable upon exercise of options granted pursuant to the Long-Term Incentive Plans that are exercisable or become so within sixty days after April 16, 2024; and (ii) 379 shares of common stock issuable upon settlement of RSUs that are releasable within sixty days after April 16, 2024 upon termination of service.</w:t>
      </w:r>
    </w:p>
    <w:p>
      <w:pPr>
        <w:ind w:left="270" w:hanging="270"/>
        <w:spacing w:after="0" w:line="185" w:lineRule="auto"/>
        <w:tabs>
          <w:tab w:leader="none" w:pos="270" w:val="left"/>
        </w:tabs>
        <w:numPr>
          <w:ilvl w:val="0"/>
          <w:numId w:val="81"/>
        </w:numPr>
        <w:rPr>
          <w:rFonts w:ascii="Arial" w:cs="Arial" w:eastAsia="Arial" w:hAnsi="Arial"/>
          <w:sz w:val="19"/>
          <w:szCs w:val="19"/>
          <w:color w:val="auto"/>
          <w:vertAlign w:val="superscript"/>
        </w:rPr>
      </w:pPr>
      <w:r>
        <w:rPr>
          <w:rFonts w:ascii="Arial" w:cs="Arial" w:eastAsia="Arial" w:hAnsi="Arial"/>
          <w:sz w:val="11"/>
          <w:szCs w:val="11"/>
          <w:color w:val="auto"/>
        </w:rPr>
        <w:t>Includes (i) 39,992 shares of common stock purchasable upon exercise of options granted pursuant to the Long-Term Incentive Plans that are exercisable or become so within sixty days after April 16, 2024;</w:t>
      </w:r>
    </w:p>
    <w:p>
      <w:pPr>
        <w:ind w:left="270" w:right="20"/>
        <w:spacing w:after="0" w:line="249" w:lineRule="auto"/>
        <w:tabs>
          <w:tab w:leader="none" w:pos="437" w:val="left"/>
        </w:tabs>
        <w:numPr>
          <w:ilvl w:val="1"/>
          <w:numId w:val="81"/>
        </w:numPr>
        <w:rPr>
          <w:rFonts w:ascii="Arial" w:cs="Arial" w:eastAsia="Arial" w:hAnsi="Arial"/>
          <w:sz w:val="12"/>
          <w:szCs w:val="12"/>
          <w:color w:val="auto"/>
        </w:rPr>
      </w:pPr>
      <w:r>
        <w:rPr>
          <w:rFonts w:ascii="Arial" w:cs="Arial" w:eastAsia="Arial" w:hAnsi="Arial"/>
          <w:sz w:val="12"/>
          <w:szCs w:val="12"/>
          <w:color w:val="auto"/>
        </w:rPr>
        <w:t>15,134 RSAs; (iii) 1,100 shares of common stock held in an account under the Company’s 401(k) Savings Plan; and (iv) 12,367 shares of common stock held in a grantor retained annuity trust of which Mr. Van Plew is the trustee.</w:t>
      </w:r>
    </w:p>
    <w:p>
      <w:pPr>
        <w:spacing w:after="0" w:line="16" w:lineRule="exact"/>
        <w:rPr>
          <w:rFonts w:ascii="Arial" w:cs="Arial" w:eastAsia="Arial" w:hAnsi="Arial"/>
          <w:sz w:val="12"/>
          <w:szCs w:val="12"/>
          <w:color w:val="auto"/>
        </w:rPr>
      </w:pPr>
    </w:p>
    <w:p>
      <w:pPr>
        <w:ind w:left="270" w:right="300" w:hanging="270"/>
        <w:spacing w:after="0" w:line="191" w:lineRule="auto"/>
        <w:tabs>
          <w:tab w:leader="none" w:pos="270" w:val="left"/>
        </w:tabs>
        <w:numPr>
          <w:ilvl w:val="0"/>
          <w:numId w:val="81"/>
        </w:numPr>
        <w:rPr>
          <w:rFonts w:ascii="Arial" w:cs="Arial" w:eastAsia="Arial" w:hAnsi="Arial"/>
          <w:sz w:val="20"/>
          <w:szCs w:val="20"/>
          <w:color w:val="auto"/>
          <w:vertAlign w:val="superscript"/>
        </w:rPr>
      </w:pPr>
      <w:r>
        <w:rPr>
          <w:rFonts w:ascii="Arial" w:cs="Arial" w:eastAsia="Arial" w:hAnsi="Arial"/>
          <w:sz w:val="12"/>
          <w:szCs w:val="12"/>
          <w:color w:val="auto"/>
        </w:rPr>
        <w:t>Consists of (i) 26,991 shares of common stock purchasable upon exercise of options granted pursuant to the Long-Term Incentive Plans that are exercisable or become so within sixty days after April 16, 2024; and (ii) 1,307 shares of common stock issuable upon settlement of RSUs that are releasable within sixty days after April 16, 2024 upon termination of service.</w:t>
      </w:r>
    </w:p>
    <w:p>
      <w:pPr>
        <w:spacing w:after="0" w:line="22" w:lineRule="exact"/>
        <w:rPr>
          <w:rFonts w:ascii="Arial" w:cs="Arial" w:eastAsia="Arial" w:hAnsi="Arial"/>
          <w:sz w:val="20"/>
          <w:szCs w:val="20"/>
          <w:color w:val="auto"/>
          <w:vertAlign w:val="superscript"/>
        </w:rPr>
      </w:pPr>
    </w:p>
    <w:p>
      <w:pPr>
        <w:jc w:val="both"/>
        <w:ind w:left="270" w:right="280" w:hanging="270"/>
        <w:spacing w:after="0" w:line="203" w:lineRule="auto"/>
        <w:tabs>
          <w:tab w:leader="none" w:pos="270" w:val="left"/>
        </w:tabs>
        <w:numPr>
          <w:ilvl w:val="0"/>
          <w:numId w:val="81"/>
        </w:numPr>
        <w:rPr>
          <w:rFonts w:ascii="Arial" w:cs="Arial" w:eastAsia="Arial" w:hAnsi="Arial"/>
          <w:sz w:val="20"/>
          <w:szCs w:val="20"/>
          <w:color w:val="auto"/>
          <w:vertAlign w:val="superscript"/>
        </w:rPr>
      </w:pPr>
      <w:r>
        <w:rPr>
          <w:rFonts w:ascii="Arial" w:cs="Arial" w:eastAsia="Arial" w:hAnsi="Arial"/>
          <w:sz w:val="12"/>
          <w:szCs w:val="12"/>
          <w:color w:val="auto"/>
        </w:rPr>
        <w:t>Includes (i) 2,433,700 shares of common stock purchasable upon exercise of options granted pursuant to the Long-Term Incentive Plans that are exercisable or become so within sixty days after April 16, 2024; (ii) 66,197 RSAs; (iii) 11,241 shares of common stock issuable upon settlement of RSUs that are releasable within sixty days after April 16, 2024; and (iv) 25,161 shares of common stock held in an account under the Company’s 401(k) Savings Plan.</w:t>
      </w:r>
    </w:p>
    <w:p>
      <w:pPr>
        <w:ind w:left="270" w:hanging="270"/>
        <w:spacing w:after="0" w:line="187" w:lineRule="auto"/>
        <w:tabs>
          <w:tab w:leader="none" w:pos="270" w:val="left"/>
        </w:tabs>
        <w:numPr>
          <w:ilvl w:val="0"/>
          <w:numId w:val="81"/>
        </w:numPr>
        <w:rPr>
          <w:rFonts w:ascii="Arial" w:cs="Arial" w:eastAsia="Arial" w:hAnsi="Arial"/>
          <w:sz w:val="20"/>
          <w:szCs w:val="20"/>
          <w:color w:val="auto"/>
          <w:vertAlign w:val="superscript"/>
        </w:rPr>
      </w:pPr>
      <w:r>
        <w:rPr>
          <w:rFonts w:ascii="Arial" w:cs="Arial" w:eastAsia="Arial" w:hAnsi="Arial"/>
          <w:sz w:val="12"/>
          <w:szCs w:val="12"/>
          <w:color w:val="auto"/>
        </w:rPr>
        <w:t>Represents less than 1%.</w:t>
      </w:r>
    </w:p>
    <w:p>
      <w:pPr>
        <w:spacing w:after="0" w:line="217"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Shareholder Communications</w:t>
      </w:r>
    </w:p>
    <w:p>
      <w:pPr>
        <w:spacing w:after="0" w:line="180" w:lineRule="exact"/>
        <w:rPr>
          <w:sz w:val="20"/>
          <w:szCs w:val="20"/>
          <w:color w:val="auto"/>
        </w:rPr>
      </w:pPr>
    </w:p>
    <w:p>
      <w:pPr>
        <w:ind w:left="10" w:right="20"/>
        <w:spacing w:after="0" w:line="239" w:lineRule="auto"/>
        <w:rPr>
          <w:sz w:val="20"/>
          <w:szCs w:val="20"/>
          <w:color w:val="auto"/>
        </w:rPr>
      </w:pPr>
      <w:r>
        <w:rPr>
          <w:rFonts w:ascii="Arial" w:cs="Arial" w:eastAsia="Arial" w:hAnsi="Arial"/>
          <w:sz w:val="14"/>
          <w:szCs w:val="14"/>
          <w:color w:val="auto"/>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10591-6707,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communication is addressed.</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53</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64" w:name="page65"/>
    <w:bookmarkEnd w:id="64"/>
    <w:p>
      <w:pPr>
        <w:ind w:left="10"/>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42"/>
          <w:szCs w:val="42"/>
          <w:b w:val="1"/>
          <w:bCs w:val="1"/>
          <w:color w:val="215AA8"/>
        </w:rPr>
        <w:t>Compensation-Related Matters</w:t>
      </w: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9740" w:type="dxa"/>
            <w:vAlign w:val="bottom"/>
          </w:tcPr>
          <w:p>
            <w:pPr>
              <w:spacing w:after="0"/>
              <w:rPr>
                <w:sz w:val="20"/>
                <w:szCs w:val="20"/>
                <w:color w:val="auto"/>
              </w:rPr>
            </w:pPr>
            <w:r>
              <w:rPr>
                <w:rFonts w:ascii="Arial" w:cs="Arial" w:eastAsia="Arial" w:hAnsi="Arial"/>
                <w:sz w:val="14"/>
                <w:szCs w:val="14"/>
                <w:b w:val="1"/>
                <w:bCs w:val="1"/>
                <w:color w:val="215AA8"/>
              </w:rPr>
              <w:t>Compensation Discussion and Analysis</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215AA8"/>
              </w:rPr>
              <w:t>54</w:t>
            </w:r>
          </w:p>
        </w:tc>
      </w:tr>
      <w:tr>
        <w:trPr>
          <w:trHeight w:val="158"/>
        </w:trPr>
        <w:tc>
          <w:tcPr>
            <w:tcW w:w="9740" w:type="dxa"/>
            <w:vAlign w:val="bottom"/>
          </w:tcPr>
          <w:p>
            <w:pPr>
              <w:spacing w:after="0" w:line="157" w:lineRule="exact"/>
              <w:rPr>
                <w:sz w:val="20"/>
                <w:szCs w:val="20"/>
                <w:color w:val="auto"/>
              </w:rPr>
            </w:pPr>
            <w:r>
              <w:rPr>
                <w:rFonts w:ascii="Arial" w:cs="Arial" w:eastAsia="Arial" w:hAnsi="Arial"/>
                <w:sz w:val="14"/>
                <w:szCs w:val="14"/>
                <w:b w:val="1"/>
                <w:bCs w:val="1"/>
                <w:color w:val="auto"/>
              </w:rPr>
              <w:t>Executive Summary</w:t>
            </w:r>
          </w:p>
        </w:tc>
        <w:tc>
          <w:tcPr>
            <w:tcW w:w="152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55</w:t>
            </w:r>
          </w:p>
        </w:tc>
      </w:tr>
      <w:tr>
        <w:trPr>
          <w:trHeight w:val="160"/>
        </w:trPr>
        <w:tc>
          <w:tcPr>
            <w:tcW w:w="9740" w:type="dxa"/>
            <w:vAlign w:val="bottom"/>
          </w:tcPr>
          <w:p>
            <w:pPr>
              <w:spacing w:after="0" w:line="159" w:lineRule="exact"/>
              <w:rPr>
                <w:sz w:val="20"/>
                <w:szCs w:val="20"/>
                <w:color w:val="auto"/>
              </w:rPr>
            </w:pPr>
            <w:r>
              <w:rPr>
                <w:rFonts w:ascii="Arial" w:cs="Arial" w:eastAsia="Arial" w:hAnsi="Arial"/>
                <w:sz w:val="14"/>
                <w:szCs w:val="14"/>
                <w:b w:val="1"/>
                <w:bCs w:val="1"/>
                <w:color w:val="auto"/>
              </w:rPr>
              <w:t>Compensation Program Overview</w:t>
            </w:r>
          </w:p>
        </w:tc>
        <w:tc>
          <w:tcPr>
            <w:tcW w:w="15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57</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Our Corporate Culture and Pay Philosophy</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57</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2023 Business Highlights</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58</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2023 Compensation Highlights</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59</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Shareholder Engagement and Feedback</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61</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How Our Pay Program Works</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62</w:t>
            </w:r>
          </w:p>
        </w:tc>
      </w:tr>
      <w:tr>
        <w:trPr>
          <w:trHeight w:val="156"/>
        </w:trPr>
        <w:tc>
          <w:tcPr>
            <w:tcW w:w="9740" w:type="dxa"/>
            <w:vAlign w:val="bottom"/>
          </w:tcPr>
          <w:p>
            <w:pPr>
              <w:ind w:left="140"/>
              <w:spacing w:after="0" w:line="155" w:lineRule="exact"/>
              <w:rPr>
                <w:sz w:val="20"/>
                <w:szCs w:val="20"/>
                <w:color w:val="auto"/>
              </w:rPr>
            </w:pPr>
            <w:r>
              <w:rPr>
                <w:rFonts w:ascii="Arial" w:cs="Arial" w:eastAsia="Arial" w:hAnsi="Arial"/>
                <w:sz w:val="14"/>
                <w:szCs w:val="14"/>
                <w:color w:val="auto"/>
              </w:rPr>
              <w:t>Key Governance Features</w:t>
            </w: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63</w:t>
            </w:r>
          </w:p>
        </w:tc>
      </w:tr>
      <w:tr>
        <w:trPr>
          <w:trHeight w:val="158"/>
        </w:trPr>
        <w:tc>
          <w:tcPr>
            <w:tcW w:w="9740" w:type="dxa"/>
            <w:vAlign w:val="bottom"/>
          </w:tcPr>
          <w:p>
            <w:pPr>
              <w:spacing w:after="0" w:line="157" w:lineRule="exact"/>
              <w:rPr>
                <w:sz w:val="20"/>
                <w:szCs w:val="20"/>
                <w:color w:val="auto"/>
              </w:rPr>
            </w:pPr>
            <w:r>
              <w:rPr>
                <w:rFonts w:ascii="Arial" w:cs="Arial" w:eastAsia="Arial" w:hAnsi="Arial"/>
                <w:sz w:val="14"/>
                <w:szCs w:val="14"/>
                <w:b w:val="1"/>
                <w:bCs w:val="1"/>
                <w:color w:val="auto"/>
              </w:rPr>
              <w:t>Compensation Program Objectives</w:t>
            </w:r>
          </w:p>
        </w:tc>
        <w:tc>
          <w:tcPr>
            <w:tcW w:w="152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64</w:t>
            </w:r>
          </w:p>
        </w:tc>
      </w:tr>
      <w:tr>
        <w:trPr>
          <w:trHeight w:val="160"/>
        </w:trPr>
        <w:tc>
          <w:tcPr>
            <w:tcW w:w="9740" w:type="dxa"/>
            <w:vAlign w:val="bottom"/>
          </w:tcPr>
          <w:p>
            <w:pPr>
              <w:spacing w:after="0" w:line="159" w:lineRule="exact"/>
              <w:rPr>
                <w:sz w:val="20"/>
                <w:szCs w:val="20"/>
                <w:color w:val="auto"/>
              </w:rPr>
            </w:pPr>
            <w:r>
              <w:rPr>
                <w:rFonts w:ascii="Arial" w:cs="Arial" w:eastAsia="Arial" w:hAnsi="Arial"/>
                <w:sz w:val="14"/>
                <w:szCs w:val="14"/>
                <w:b w:val="1"/>
                <w:bCs w:val="1"/>
                <w:color w:val="auto"/>
              </w:rPr>
              <w:t>Components of Executive Pay: What We Pay and Why We Pay It</w:t>
            </w:r>
          </w:p>
        </w:tc>
        <w:tc>
          <w:tcPr>
            <w:tcW w:w="15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65</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Base Salaries</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66</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Annual Cash Incentives</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66</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Annual Equity Awards</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70</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Perquisites and Personal Benefits</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73</w:t>
            </w:r>
          </w:p>
        </w:tc>
      </w:tr>
      <w:tr>
        <w:trPr>
          <w:trHeight w:val="156"/>
        </w:trPr>
        <w:tc>
          <w:tcPr>
            <w:tcW w:w="9740" w:type="dxa"/>
            <w:vAlign w:val="bottom"/>
          </w:tcPr>
          <w:p>
            <w:pPr>
              <w:ind w:left="140"/>
              <w:spacing w:after="0" w:line="155" w:lineRule="exact"/>
              <w:rPr>
                <w:sz w:val="20"/>
                <w:szCs w:val="20"/>
                <w:color w:val="auto"/>
              </w:rPr>
            </w:pPr>
            <w:r>
              <w:rPr>
                <w:rFonts w:ascii="Arial" w:cs="Arial" w:eastAsia="Arial" w:hAnsi="Arial"/>
                <w:sz w:val="14"/>
                <w:szCs w:val="14"/>
                <w:color w:val="auto"/>
              </w:rPr>
              <w:t>Potential Severance Payments</w:t>
            </w: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74</w:t>
            </w:r>
          </w:p>
        </w:tc>
      </w:tr>
      <w:tr>
        <w:trPr>
          <w:trHeight w:val="160"/>
        </w:trPr>
        <w:tc>
          <w:tcPr>
            <w:tcW w:w="9740" w:type="dxa"/>
            <w:vAlign w:val="bottom"/>
          </w:tcPr>
          <w:p>
            <w:pPr>
              <w:spacing w:after="0" w:line="159" w:lineRule="exact"/>
              <w:rPr>
                <w:sz w:val="20"/>
                <w:szCs w:val="20"/>
                <w:color w:val="auto"/>
              </w:rPr>
            </w:pPr>
            <w:r>
              <w:rPr>
                <w:rFonts w:ascii="Arial" w:cs="Arial" w:eastAsia="Arial" w:hAnsi="Arial"/>
                <w:sz w:val="14"/>
                <w:szCs w:val="14"/>
                <w:b w:val="1"/>
                <w:bCs w:val="1"/>
                <w:color w:val="auto"/>
              </w:rPr>
              <w:t>Compensation Processes</w:t>
            </w:r>
          </w:p>
        </w:tc>
        <w:tc>
          <w:tcPr>
            <w:tcW w:w="15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74</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Compensation Committee</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74</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Management</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75</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Shareholder Input and Outreach and the 2023 Say-on-Pay Vote Result</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75</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Independent Compensation Consultant</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78</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Peer Data</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78</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Risk Assessment</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80</w:t>
            </w:r>
          </w:p>
        </w:tc>
      </w:tr>
      <w:tr>
        <w:trPr>
          <w:trHeight w:val="156"/>
        </w:trPr>
        <w:tc>
          <w:tcPr>
            <w:tcW w:w="9740" w:type="dxa"/>
            <w:vAlign w:val="bottom"/>
          </w:tcPr>
          <w:p>
            <w:pPr>
              <w:ind w:left="140"/>
              <w:spacing w:after="0" w:line="155" w:lineRule="exact"/>
              <w:rPr>
                <w:sz w:val="20"/>
                <w:szCs w:val="20"/>
                <w:color w:val="auto"/>
              </w:rPr>
            </w:pPr>
            <w:r>
              <w:rPr>
                <w:rFonts w:ascii="Arial" w:cs="Arial" w:eastAsia="Arial" w:hAnsi="Arial"/>
                <w:sz w:val="14"/>
                <w:szCs w:val="14"/>
                <w:color w:val="auto"/>
              </w:rPr>
              <w:t>Tax Implications</w:t>
            </w: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80</w:t>
            </w:r>
          </w:p>
        </w:tc>
      </w:tr>
      <w:tr>
        <w:trPr>
          <w:trHeight w:val="180"/>
        </w:trPr>
        <w:tc>
          <w:tcPr>
            <w:tcW w:w="9740" w:type="dxa"/>
            <w:vAlign w:val="bottom"/>
          </w:tcPr>
          <w:p>
            <w:pPr>
              <w:spacing w:after="0"/>
              <w:rPr>
                <w:sz w:val="20"/>
                <w:szCs w:val="20"/>
                <w:color w:val="auto"/>
              </w:rPr>
            </w:pPr>
            <w:r>
              <w:rPr>
                <w:rFonts w:ascii="Arial" w:cs="Arial" w:eastAsia="Arial" w:hAnsi="Arial"/>
                <w:sz w:val="14"/>
                <w:szCs w:val="14"/>
                <w:b w:val="1"/>
                <w:bCs w:val="1"/>
                <w:color w:val="215AA8"/>
              </w:rPr>
              <w:t>Compensation Committee Report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215AA8"/>
              </w:rPr>
              <w:t>81</w:t>
            </w:r>
          </w:p>
        </w:tc>
      </w:tr>
      <w:tr>
        <w:trPr>
          <w:trHeight w:val="180"/>
        </w:trPr>
        <w:tc>
          <w:tcPr>
            <w:tcW w:w="9740" w:type="dxa"/>
            <w:vAlign w:val="bottom"/>
          </w:tcPr>
          <w:p>
            <w:pPr>
              <w:spacing w:after="0"/>
              <w:rPr>
                <w:sz w:val="20"/>
                <w:szCs w:val="20"/>
                <w:color w:val="auto"/>
              </w:rPr>
            </w:pPr>
            <w:r>
              <w:rPr>
                <w:rFonts w:ascii="Arial" w:cs="Arial" w:eastAsia="Arial" w:hAnsi="Arial"/>
                <w:sz w:val="14"/>
                <w:szCs w:val="14"/>
                <w:b w:val="1"/>
                <w:bCs w:val="1"/>
                <w:color w:val="215AA8"/>
              </w:rPr>
              <w:t>Compensation Committee Interlocks and Insider Participation</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215AA8"/>
              </w:rPr>
              <w:t>81</w:t>
            </w:r>
          </w:p>
        </w:tc>
      </w:tr>
      <w:tr>
        <w:trPr>
          <w:trHeight w:val="158"/>
        </w:trPr>
        <w:tc>
          <w:tcPr>
            <w:tcW w:w="9740" w:type="dxa"/>
            <w:vAlign w:val="bottom"/>
          </w:tcPr>
          <w:p>
            <w:pPr>
              <w:spacing w:after="0" w:line="157" w:lineRule="exact"/>
              <w:rPr>
                <w:sz w:val="20"/>
                <w:szCs w:val="20"/>
                <w:color w:val="auto"/>
              </w:rPr>
            </w:pPr>
            <w:r>
              <w:rPr>
                <w:rFonts w:ascii="Arial" w:cs="Arial" w:eastAsia="Arial" w:hAnsi="Arial"/>
                <w:sz w:val="14"/>
                <w:szCs w:val="14"/>
                <w:b w:val="1"/>
                <w:bCs w:val="1"/>
                <w:color w:val="215AA8"/>
              </w:rPr>
              <w:t>Compensation Dashboard</w:t>
            </w:r>
          </w:p>
        </w:tc>
        <w:tc>
          <w:tcPr>
            <w:tcW w:w="1520" w:type="dxa"/>
            <w:vAlign w:val="bottom"/>
          </w:tcPr>
          <w:p>
            <w:pPr>
              <w:jc w:val="right"/>
              <w:spacing w:after="0" w:line="157" w:lineRule="exact"/>
              <w:rPr>
                <w:sz w:val="20"/>
                <w:szCs w:val="20"/>
                <w:color w:val="auto"/>
              </w:rPr>
            </w:pPr>
            <w:r>
              <w:rPr>
                <w:rFonts w:ascii="Arial" w:cs="Arial" w:eastAsia="Arial" w:hAnsi="Arial"/>
                <w:sz w:val="14"/>
                <w:szCs w:val="14"/>
                <w:b w:val="1"/>
                <w:bCs w:val="1"/>
                <w:color w:val="215AA8"/>
              </w:rPr>
              <w:t>82</w:t>
            </w:r>
          </w:p>
        </w:tc>
      </w:tr>
      <w:tr>
        <w:trPr>
          <w:trHeight w:val="160"/>
        </w:trPr>
        <w:tc>
          <w:tcPr>
            <w:tcW w:w="9740" w:type="dxa"/>
            <w:vAlign w:val="bottom"/>
          </w:tcPr>
          <w:p>
            <w:pPr>
              <w:spacing w:after="0" w:line="159" w:lineRule="exact"/>
              <w:rPr>
                <w:sz w:val="20"/>
                <w:szCs w:val="20"/>
                <w:color w:val="auto"/>
              </w:rPr>
            </w:pPr>
            <w:r>
              <w:rPr>
                <w:rFonts w:ascii="Arial" w:cs="Arial" w:eastAsia="Arial" w:hAnsi="Arial"/>
                <w:sz w:val="14"/>
                <w:szCs w:val="14"/>
                <w:b w:val="1"/>
                <w:bCs w:val="1"/>
                <w:color w:val="auto"/>
              </w:rPr>
              <w:t>2023 Executive Compensation Tables</w:t>
            </w:r>
          </w:p>
        </w:tc>
        <w:tc>
          <w:tcPr>
            <w:tcW w:w="15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82</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2023 Summary Compensation Table</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82</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2023 Grants of Plan-Based Awards</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83</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Outstanding Equity Awards at 2023 Fiscal Year-End</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84</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2023 Option Exercises and Stock Vested</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86</w:t>
            </w:r>
          </w:p>
        </w:tc>
      </w:tr>
      <w:tr>
        <w:trPr>
          <w:trHeight w:val="156"/>
        </w:trPr>
        <w:tc>
          <w:tcPr>
            <w:tcW w:w="9740" w:type="dxa"/>
            <w:vAlign w:val="bottom"/>
          </w:tcPr>
          <w:p>
            <w:pPr>
              <w:ind w:left="140"/>
              <w:spacing w:after="0" w:line="155" w:lineRule="exact"/>
              <w:rPr>
                <w:sz w:val="20"/>
                <w:szCs w:val="20"/>
                <w:color w:val="auto"/>
              </w:rPr>
            </w:pPr>
            <w:r>
              <w:rPr>
                <w:rFonts w:ascii="Arial" w:cs="Arial" w:eastAsia="Arial" w:hAnsi="Arial"/>
                <w:sz w:val="14"/>
                <w:szCs w:val="14"/>
                <w:color w:val="auto"/>
              </w:rPr>
              <w:t>Post-Employment Compensation</w:t>
            </w: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86</w:t>
            </w:r>
          </w:p>
        </w:tc>
      </w:tr>
      <w:tr>
        <w:trPr>
          <w:trHeight w:val="160"/>
        </w:trPr>
        <w:tc>
          <w:tcPr>
            <w:tcW w:w="9740" w:type="dxa"/>
            <w:vAlign w:val="bottom"/>
          </w:tcPr>
          <w:p>
            <w:pPr>
              <w:spacing w:after="0" w:line="159" w:lineRule="exact"/>
              <w:rPr>
                <w:sz w:val="20"/>
                <w:szCs w:val="20"/>
                <w:color w:val="auto"/>
              </w:rPr>
            </w:pPr>
            <w:r>
              <w:rPr>
                <w:rFonts w:ascii="Arial" w:cs="Arial" w:eastAsia="Arial" w:hAnsi="Arial"/>
                <w:sz w:val="14"/>
                <w:szCs w:val="14"/>
                <w:b w:val="1"/>
                <w:bCs w:val="1"/>
                <w:color w:val="auto"/>
              </w:rPr>
              <w:t>Additional Compensation Information</w:t>
            </w:r>
          </w:p>
        </w:tc>
        <w:tc>
          <w:tcPr>
            <w:tcW w:w="15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91</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Annual Cash Incentives</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91</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Perquisites and Personal Benefits</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93</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Potential Severance Payments</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94</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Pay Ratio</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95</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Pay Versus Performance</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96</w:t>
            </w:r>
          </w:p>
        </w:tc>
      </w:tr>
      <w:tr>
        <w:trPr>
          <w:trHeight w:val="158"/>
        </w:trPr>
        <w:tc>
          <w:tcPr>
            <w:tcW w:w="9740" w:type="dxa"/>
            <w:vAlign w:val="bottom"/>
          </w:tcPr>
          <w:p>
            <w:pPr>
              <w:ind w:left="140"/>
              <w:spacing w:after="0" w:line="157" w:lineRule="exact"/>
              <w:rPr>
                <w:sz w:val="20"/>
                <w:szCs w:val="20"/>
                <w:color w:val="auto"/>
              </w:rPr>
            </w:pPr>
            <w:r>
              <w:rPr>
                <w:rFonts w:ascii="Arial" w:cs="Arial" w:eastAsia="Arial" w:hAnsi="Arial"/>
                <w:sz w:val="14"/>
                <w:szCs w:val="14"/>
                <w:color w:val="auto"/>
              </w:rPr>
              <w:t>Equity Compensation Information</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100</w:t>
            </w:r>
          </w:p>
        </w:tc>
      </w:tr>
      <w:tr>
        <w:trPr>
          <w:trHeight w:val="158"/>
        </w:trPr>
        <w:tc>
          <w:tcPr>
            <w:tcW w:w="9740" w:type="dxa"/>
            <w:vAlign w:val="bottom"/>
          </w:tcPr>
          <w:p>
            <w:pPr>
              <w:ind w:left="300"/>
              <w:spacing w:after="0" w:line="157" w:lineRule="exact"/>
              <w:rPr>
                <w:sz w:val="20"/>
                <w:szCs w:val="20"/>
                <w:color w:val="auto"/>
              </w:rPr>
            </w:pPr>
            <w:r>
              <w:rPr>
                <w:rFonts w:ascii="Arial" w:cs="Arial" w:eastAsia="Arial" w:hAnsi="Arial"/>
                <w:sz w:val="14"/>
                <w:szCs w:val="14"/>
                <w:color w:val="auto"/>
              </w:rPr>
              <w:t>Corporate Governance Aspects of the Second Amended and Restated Regeneron Pharmaceuticals, Inc. 2014 Long-Term Incentive Plan</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100</w:t>
            </w:r>
          </w:p>
        </w:tc>
      </w:tr>
      <w:tr>
        <w:trPr>
          <w:trHeight w:val="158"/>
        </w:trPr>
        <w:tc>
          <w:tcPr>
            <w:tcW w:w="9740" w:type="dxa"/>
            <w:vAlign w:val="bottom"/>
          </w:tcPr>
          <w:p>
            <w:pPr>
              <w:ind w:left="300"/>
              <w:spacing w:after="0" w:line="157" w:lineRule="exact"/>
              <w:rPr>
                <w:sz w:val="20"/>
                <w:szCs w:val="20"/>
                <w:color w:val="auto"/>
              </w:rPr>
            </w:pPr>
            <w:r>
              <w:rPr>
                <w:rFonts w:ascii="Arial" w:cs="Arial" w:eastAsia="Arial" w:hAnsi="Arial"/>
                <w:sz w:val="14"/>
                <w:szCs w:val="14"/>
                <w:color w:val="auto"/>
              </w:rPr>
              <w:t>Key Equity Metrics</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101</w:t>
            </w:r>
          </w:p>
        </w:tc>
      </w:tr>
      <w:tr>
        <w:trPr>
          <w:trHeight w:val="176"/>
        </w:trPr>
        <w:tc>
          <w:tcPr>
            <w:tcW w:w="9740" w:type="dxa"/>
            <w:vAlign w:val="bottom"/>
          </w:tcPr>
          <w:p>
            <w:pPr>
              <w:ind w:left="300"/>
              <w:spacing w:after="0"/>
              <w:rPr>
                <w:sz w:val="20"/>
                <w:szCs w:val="20"/>
                <w:color w:val="auto"/>
              </w:rPr>
            </w:pPr>
            <w:r>
              <w:rPr>
                <w:rFonts w:ascii="Arial" w:cs="Arial" w:eastAsia="Arial" w:hAnsi="Arial"/>
                <w:sz w:val="14"/>
                <w:szCs w:val="14"/>
                <w:color w:val="auto"/>
              </w:rPr>
              <w:t>Equity Compensation Plan Information</w:t>
            </w:r>
          </w:p>
        </w:tc>
        <w:tc>
          <w:tcPr>
            <w:tcW w:w="1520" w:type="dxa"/>
            <w:vAlign w:val="bottom"/>
          </w:tcPr>
          <w:p>
            <w:pPr>
              <w:jc w:val="right"/>
              <w:spacing w:after="0"/>
              <w:rPr>
                <w:sz w:val="20"/>
                <w:szCs w:val="20"/>
                <w:color w:val="auto"/>
              </w:rPr>
            </w:pPr>
            <w:r>
              <w:rPr>
                <w:rFonts w:ascii="Arial" w:cs="Arial" w:eastAsia="Arial" w:hAnsi="Arial"/>
                <w:sz w:val="14"/>
                <w:szCs w:val="14"/>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857885" cy="1930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7885" cy="193040"/>
                    </a:xfrm>
                    <a:prstGeom prst="rect">
                      <a:avLst/>
                    </a:prstGeom>
                    <a:noFill/>
                  </pic:spPr>
                </pic:pic>
              </a:graphicData>
            </a:graphic>
          </wp:anchor>
        </w:drawing>
      </w:r>
    </w:p>
    <w:p>
      <w:pPr>
        <w:spacing w:after="0" w:line="198" w:lineRule="exact"/>
        <w:rPr>
          <w:sz w:val="20"/>
          <w:szCs w:val="20"/>
          <w:color w:val="auto"/>
        </w:rPr>
      </w:pPr>
    </w:p>
    <w:p>
      <w:pPr>
        <w:ind w:left="150"/>
        <w:spacing w:after="0"/>
        <w:rPr>
          <w:sz w:val="20"/>
          <w:szCs w:val="20"/>
          <w:color w:val="auto"/>
        </w:rPr>
      </w:pPr>
      <w:r>
        <w:rPr>
          <w:rFonts w:ascii="Arial" w:cs="Arial" w:eastAsia="Arial" w:hAnsi="Arial"/>
          <w:sz w:val="14"/>
          <w:szCs w:val="14"/>
          <w:color w:val="FFFFFF"/>
        </w:rPr>
        <w:t>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155180" cy="2432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5180" cy="243205"/>
                    </a:xfrm>
                    <a:prstGeom prst="rect">
                      <a:avLst/>
                    </a:prstGeom>
                    <a:noFill/>
                  </pic:spPr>
                </pic:pic>
              </a:graphicData>
            </a:graphic>
          </wp:anchor>
        </w:drawing>
      </w:r>
    </w:p>
    <w:p>
      <w:pPr>
        <w:spacing w:after="0" w:line="166" w:lineRule="exact"/>
        <w:rPr>
          <w:sz w:val="20"/>
          <w:szCs w:val="20"/>
          <w:color w:val="auto"/>
        </w:rPr>
      </w:pPr>
    </w:p>
    <w:tbl>
      <w:tblPr>
        <w:tblLayout w:type="fixed"/>
        <w:tblInd w:w="450" w:type="dxa"/>
        <w:tblCellMar>
          <w:top w:w="0" w:type="dxa"/>
          <w:left w:w="0" w:type="dxa"/>
          <w:bottom w:w="0" w:type="dxa"/>
          <w:right w:w="0" w:type="dxa"/>
        </w:tblCellMar>
      </w:tblPr>
      <w:tr>
        <w:trPr>
          <w:trHeight w:val="186"/>
        </w:trPr>
        <w:tc>
          <w:tcPr>
            <w:tcW w:w="7700" w:type="dxa"/>
            <w:vAlign w:val="bottom"/>
          </w:tcPr>
          <w:p>
            <w:pPr>
              <w:spacing w:after="0"/>
              <w:rPr>
                <w:sz w:val="20"/>
                <w:szCs w:val="20"/>
                <w:color w:val="auto"/>
              </w:rPr>
            </w:pPr>
            <w:r>
              <w:rPr>
                <w:rFonts w:ascii="Arial" w:cs="Arial" w:eastAsia="Arial" w:hAnsi="Arial"/>
                <w:sz w:val="14"/>
                <w:szCs w:val="14"/>
                <w:b w:val="1"/>
                <w:bCs w:val="1"/>
                <w:color w:val="215AA8"/>
              </w:rPr>
              <w:t>Advisory Vote on Compensation of Named Executive Officers (Say-on-Pay)</w:t>
            </w:r>
          </w:p>
        </w:tc>
        <w:tc>
          <w:tcPr>
            <w:tcW w:w="3120" w:type="dxa"/>
            <w:vAlign w:val="bottom"/>
            <w:vMerge w:val="restart"/>
          </w:tcPr>
          <w:p>
            <w:pPr>
              <w:jc w:val="right"/>
              <w:spacing w:after="0"/>
              <w:rPr>
                <w:sz w:val="20"/>
                <w:szCs w:val="20"/>
                <w:color w:val="auto"/>
              </w:rPr>
            </w:pPr>
            <w:r>
              <w:rPr>
                <w:rFonts w:ascii="Arial" w:cs="Arial" w:eastAsia="Arial" w:hAnsi="Arial"/>
                <w:sz w:val="14"/>
                <w:szCs w:val="14"/>
                <w:b w:val="1"/>
                <w:bCs w:val="1"/>
                <w:color w:val="215AA8"/>
              </w:rPr>
              <w:t>103</w:t>
            </w:r>
          </w:p>
        </w:tc>
        <w:tc>
          <w:tcPr>
            <w:tcW w:w="0" w:type="dxa"/>
            <w:vAlign w:val="bottom"/>
          </w:tcPr>
          <w:p>
            <w:pPr>
              <w:spacing w:after="0"/>
              <w:rPr>
                <w:sz w:val="1"/>
                <w:szCs w:val="1"/>
                <w:color w:val="auto"/>
              </w:rPr>
            </w:pPr>
          </w:p>
        </w:tc>
      </w:tr>
      <w:tr>
        <w:trPr>
          <w:trHeight w:val="68"/>
        </w:trPr>
        <w:tc>
          <w:tcPr>
            <w:tcW w:w="770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0"/>
        <w:spacing w:after="0"/>
        <w:rPr>
          <w:sz w:val="20"/>
          <w:szCs w:val="20"/>
          <w:color w:val="auto"/>
        </w:rPr>
      </w:pPr>
      <w:r>
        <w:rPr>
          <w:rFonts w:ascii="Arial" w:cs="Arial" w:eastAsia="Arial" w:hAnsi="Arial"/>
          <w:sz w:val="30"/>
          <w:szCs w:val="30"/>
          <w:b w:val="1"/>
          <w:bCs w:val="1"/>
          <w:color w:val="D60058"/>
        </w:rPr>
        <w:t>Compensation Discussion and Analysis</w:t>
      </w:r>
    </w:p>
    <w:p>
      <w:pPr>
        <w:spacing w:after="0" w:line="284" w:lineRule="exact"/>
        <w:rPr>
          <w:sz w:val="20"/>
          <w:szCs w:val="20"/>
          <w:color w:val="auto"/>
        </w:rPr>
      </w:pPr>
    </w:p>
    <w:p>
      <w:pPr>
        <w:ind w:left="10" w:right="40"/>
        <w:spacing w:after="0" w:line="220" w:lineRule="auto"/>
        <w:rPr>
          <w:sz w:val="20"/>
          <w:szCs w:val="20"/>
          <w:color w:val="auto"/>
        </w:rPr>
      </w:pPr>
      <w:r>
        <w:rPr>
          <w:rFonts w:ascii="Arial" w:cs="Arial" w:eastAsia="Arial" w:hAnsi="Arial"/>
          <w:sz w:val="13"/>
          <w:szCs w:val="13"/>
          <w:color w:val="auto"/>
        </w:rPr>
        <w:t>The following Compensation Discussion and Analysis (“CD&amp;A”) describes the philosophy, objectives, and structure of our 2023 executive compensation program.</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This CD&amp;A is intended to be read in conjunction with the subsequent tables presented under “Compensation Dashboard – 2023 Executive Compensation Tables,” which provide further historical compensation</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4"/>
          <w:szCs w:val="14"/>
          <w:color w:val="auto"/>
        </w:rPr>
        <w:t>information for our “Named Executive Officers” or “NEOs” identified below.</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7155180" cy="22085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5180" cy="2208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70" w:hanging="270"/>
        <w:spacing w:after="0"/>
        <w:tabs>
          <w:tab w:leader="none" w:pos="270" w:val="left"/>
        </w:tabs>
        <w:numPr>
          <w:ilvl w:val="0"/>
          <w:numId w:val="82"/>
        </w:numPr>
        <w:rPr>
          <w:rFonts w:ascii="Arial" w:cs="Arial" w:eastAsia="Arial" w:hAnsi="Arial"/>
          <w:sz w:val="20"/>
          <w:szCs w:val="20"/>
          <w:color w:val="auto"/>
          <w:vertAlign w:val="superscript"/>
        </w:rPr>
      </w:pPr>
      <w:r>
        <w:rPr>
          <w:rFonts w:ascii="Arial" w:cs="Arial" w:eastAsia="Arial" w:hAnsi="Arial"/>
          <w:sz w:val="12"/>
          <w:szCs w:val="12"/>
          <w:color w:val="auto"/>
        </w:rPr>
        <w:t>In this section, “we,” “us,” and “our” refer to the Company and, where applicable, to the Compensation Committee of the Company’s board of directors.</w:t>
      </w:r>
    </w:p>
    <w:p>
      <w:pPr>
        <w:spacing w:after="0" w:line="29" w:lineRule="exact"/>
        <w:rPr>
          <w:sz w:val="20"/>
          <w:szCs w:val="20"/>
          <w:color w:val="auto"/>
        </w:rPr>
      </w:pPr>
    </w:p>
    <w:p>
      <w:pPr>
        <w:ind w:left="270" w:right="100" w:hanging="270"/>
        <w:spacing w:after="0" w:line="199" w:lineRule="auto"/>
        <w:tabs>
          <w:tab w:leader="none" w:pos="270" w:val="left"/>
        </w:tabs>
        <w:numPr>
          <w:ilvl w:val="0"/>
          <w:numId w:val="83"/>
        </w:numPr>
        <w:rPr>
          <w:rFonts w:ascii="Arial" w:cs="Arial" w:eastAsia="Arial" w:hAnsi="Arial"/>
          <w:sz w:val="20"/>
          <w:szCs w:val="20"/>
          <w:color w:val="auto"/>
          <w:vertAlign w:val="superscript"/>
        </w:rPr>
      </w:pPr>
      <w:r>
        <w:rPr>
          <w:rFonts w:ascii="Arial" w:cs="Arial" w:eastAsia="Arial" w:hAnsi="Arial"/>
          <w:sz w:val="12"/>
          <w:szCs w:val="12"/>
          <w:color w:val="auto"/>
        </w:rPr>
        <w:t>This year, our NEOs as determined in accordance with SEC rules consist of the following: our Board co-Chair, President and Chief Executive Officer (“CEO”); our former Executive Vice President, Finance and Chief Financial Officer (“CFO”), who retired from the Company in February 2024; and our three other highest-paid executives for 2023, our Board co-Chair, President and Chief Scientific Officer (“CSO”), our Executive Vice President and General Manager, Industrial Operations and Product Supply, and our Executive Vice President, Research.</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54</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22" w:right="319" w:bottom="1061"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Executive Summary</w:t>
      </w:r>
    </w:p>
    <w:p>
      <w:pPr>
        <w:spacing w:after="0" w:line="180" w:lineRule="exact"/>
        <w:rPr>
          <w:sz w:val="20"/>
          <w:szCs w:val="20"/>
          <w:color w:val="auto"/>
        </w:rPr>
      </w:pPr>
    </w:p>
    <w:p>
      <w:pPr>
        <w:ind w:right="160"/>
        <w:spacing w:after="0" w:line="257" w:lineRule="auto"/>
        <w:rPr>
          <w:sz w:val="20"/>
          <w:szCs w:val="20"/>
          <w:color w:val="auto"/>
        </w:rPr>
      </w:pPr>
      <w:r>
        <w:rPr>
          <w:rFonts w:ascii="Arial" w:cs="Arial" w:eastAsia="Arial" w:hAnsi="Arial"/>
          <w:sz w:val="14"/>
          <w:szCs w:val="14"/>
          <w:color w:val="auto"/>
        </w:rPr>
        <w:t>As you read this CD&amp;A and cast your advisory vote on the compensation of our NEOs, we encourage you to consider Regeneron’s compensation program in light of our distinct corporate culture and long-term performance.</w:t>
      </w:r>
    </w:p>
    <w:p>
      <w:pPr>
        <w:spacing w:after="0" w:line="128"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 xml:space="preserve">Regeneron is a unique company at the forefront of medical science, with a relentless focus on long-term growth through internal innovation. Our story is unusual, with remarkable consistency of leadership and single-minded purpose to accelerate discovery and development of innovative medicines. Our compensation program reflects decades of experience with incentivizing employees of a high-growth, science-oriented company. It has been shaped by our corporate culture and is designed to support our mission of bringing life-changing medicines to patients. Among the compensation program’s primary objectives are to reward long-term, sustainable performance and to promote an environment where employees are empowered to focus on our mission of drug discovery and development. To ensure that our compensation program is “fit for purpose,” we utilize equity awards for </w:t>
      </w:r>
      <w:r>
        <w:rPr>
          <w:rFonts w:ascii="Arial" w:cs="Arial" w:eastAsia="Arial" w:hAnsi="Arial"/>
          <w:sz w:val="14"/>
          <w:szCs w:val="14"/>
          <w:u w:val="single" w:color="auto"/>
          <w:color w:val="auto"/>
        </w:rPr>
        <w:t>all</w:t>
      </w:r>
      <w:r>
        <w:rPr>
          <w:rFonts w:ascii="Arial" w:cs="Arial" w:eastAsia="Arial" w:hAnsi="Arial"/>
          <w:sz w:val="14"/>
          <w:szCs w:val="14"/>
          <w:color w:val="auto"/>
        </w:rPr>
        <w:t xml:space="preserve"> employees to encourage them to think and act like owners, to align their interests with the long-time horizons for which we manage the business, and to create a shared incentive to deliver the type of successful research and commercialization efforts that create sustainable value for shareholders. Our business accomplishments, record of scientific excellence, and industry-leading retention rate demonstrate the effectiveness of our approach.</w:t>
      </w:r>
    </w:p>
    <w:p>
      <w:pPr>
        <w:spacing w:after="0" w:line="141" w:lineRule="exact"/>
        <w:rPr>
          <w:sz w:val="20"/>
          <w:szCs w:val="20"/>
          <w:color w:val="auto"/>
        </w:rPr>
      </w:pPr>
    </w:p>
    <w:p>
      <w:pPr>
        <w:ind w:right="60"/>
        <w:spacing w:after="0" w:line="290" w:lineRule="auto"/>
        <w:rPr>
          <w:sz w:val="20"/>
          <w:szCs w:val="20"/>
          <w:color w:val="auto"/>
        </w:rPr>
      </w:pPr>
      <w:r>
        <w:rPr>
          <w:rFonts w:ascii="Arial" w:cs="Arial" w:eastAsia="Arial" w:hAnsi="Arial"/>
          <w:sz w:val="12"/>
          <w:szCs w:val="12"/>
          <w:color w:val="auto"/>
        </w:rPr>
        <w:t>We believe that our Company’s performance is best assessed from a long-term perspective, consistent with the long-term nature of the drug discovery and development cycle and our goal of long-term shareholder value creation. Since our inception, we have brought to market 11 FDA-approved products – all invented at Regeneron – and delivered total shareholder return of over 4,700%. In the most recent decade, we received FDA approval or authorization for nine new products and 12 new product indications, while creating a robust, industry-leading pipeline of more than 35 product candidates in clinical development. These research and development accomplishments, along with commercial and business execution, drove total shareholder return of 219% over this 10-year period and helped Regeneron outperform both the broader market and the biotechnology industry (see chart below).</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15AA8"/>
        </w:rPr>
        <w:t>Shareholder Value Creation Over Last Decade Driven By Relentless Innovation and Product Pipeline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106045</wp:posOffset>
            </wp:positionV>
            <wp:extent cx="5718175" cy="33597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18175" cy="335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60"/>
        <w:spacing w:after="0" w:line="243" w:lineRule="auto"/>
        <w:rPr>
          <w:sz w:val="20"/>
          <w:szCs w:val="20"/>
          <w:color w:val="auto"/>
        </w:rPr>
      </w:pPr>
      <w:r>
        <w:rPr>
          <w:rFonts w:ascii="Arial" w:cs="Arial" w:eastAsia="Arial" w:hAnsi="Arial"/>
          <w:sz w:val="12"/>
          <w:szCs w:val="12"/>
          <w:color w:val="auto"/>
        </w:rPr>
        <w:t>DME = diabetic macular edema; DR = diabetic retinopathy; LDL-C = low-density lipoprotein cholesterol; AD = atopic dermatitis; RA = rheumatoid arthritis; CSCC = cutaneous squamous cell carcinoma; CRSwNP = chronic rhinosinusitis with nasal polyposis; EUA = Emergency Use Authorization from FDA; FDA = U.S. Food and Drug Administration; HoFH = homozygous familial hypercholesterolemia; NSCLC = non-small cell lung cancer; BCC = basal cell carcinoma; EoE = eosinophilic esophagitis; PN = prurigo nodularis; ROP = retinopathy of prematurity; PMR = polymyalgia rheumatica; wAMD = wet age-related macular degeneration; CHAPLE = CD55-deficient protein-losing enteropathy; and NQ US Pharma = NASDAQ US Benchmark Pharmaceuticals Total Return Index. Consult the product label in each approved territory for specific information about the products and indications shown in this chart.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55</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39"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The steps we took in recent years also demonstrate that we have embraced a model of enhanced shareholder engagement. We have worked to foster long-term relationships and trust with our shareholders and implemented several enhancements to Regeneron’s corporate governance. We have also focused on strengthening the alignment of our executive compensation program with investor perspectives and interests without disrupting the unique and effective relationship between the program and our corporate culture.</w:t>
      </w:r>
    </w:p>
    <w:p>
      <w:pPr>
        <w:spacing w:after="0" w:line="135" w:lineRule="exact"/>
        <w:rPr>
          <w:sz w:val="20"/>
          <w:szCs w:val="20"/>
          <w:color w:val="auto"/>
        </w:rPr>
      </w:pPr>
    </w:p>
    <w:p>
      <w:pPr>
        <w:ind w:right="220"/>
        <w:spacing w:after="0" w:line="246" w:lineRule="auto"/>
        <w:rPr>
          <w:sz w:val="20"/>
          <w:szCs w:val="20"/>
          <w:color w:val="auto"/>
        </w:rPr>
      </w:pPr>
      <w:r>
        <w:rPr>
          <w:rFonts w:ascii="Arial" w:cs="Arial" w:eastAsia="Arial" w:hAnsi="Arial"/>
          <w:sz w:val="14"/>
          <w:szCs w:val="14"/>
          <w:color w:val="auto"/>
        </w:rPr>
        <w:t>Looking back at 2023, we believe our strong performance last year was reinforced by our compensation program, as shaped by our corporate culture and shareholder feedback. We also received positive feedback on our compensation program, as demonstrated by the overwhelming support of the say-on-pay vote in 2023 at 87.1% of the votes cast, and continued to engage with shareholders on executive compensation and other governance topics.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15AA8"/>
        </w:rPr>
        <w:t>2023 Business Accomplishments and Shareholder Value Creation Supported by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15AA8"/>
        </w:rPr>
        <w:t>Unique Compensation Program Shaped by Corporate Culture and 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97155</wp:posOffset>
            </wp:positionV>
            <wp:extent cx="5718175" cy="44316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18175" cy="443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56</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67" w:name="page68"/>
    <w:bookmarkEnd w:id="67"/>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2"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Compensation Program Overview</w:t>
      </w:r>
    </w:p>
    <w:p>
      <w:pPr>
        <w:spacing w:after="0" w:line="271"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Our Corporate Culture and Pay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5426710</wp:posOffset>
            </wp:positionH>
            <wp:positionV relativeFrom="paragraph">
              <wp:posOffset>104140</wp:posOffset>
            </wp:positionV>
            <wp:extent cx="1741170" cy="9620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741170" cy="96202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p>
      <w:pPr>
        <w:spacing w:after="0" w:line="174" w:lineRule="exact"/>
        <w:rPr>
          <w:sz w:val="20"/>
          <w:szCs w:val="20"/>
          <w:color w:val="auto"/>
        </w:rPr>
      </w:pPr>
    </w:p>
    <w:p>
      <w:pPr>
        <w:ind w:left="10"/>
        <w:spacing w:after="0" w:line="242" w:lineRule="auto"/>
        <w:rPr>
          <w:sz w:val="20"/>
          <w:szCs w:val="20"/>
          <w:color w:val="auto"/>
        </w:rPr>
      </w:pPr>
      <w:r>
        <w:rPr>
          <w:rFonts w:ascii="Arial" w:cs="Arial" w:eastAsia="Arial" w:hAnsi="Arial"/>
          <w:sz w:val="14"/>
          <w:szCs w:val="14"/>
          <w:color w:val="auto"/>
        </w:rPr>
        <w:t>An “overnight breakthrough” in the biotechnology industry takes years of research and drug development spearheaded by a collection of the world’s top scientists, staff, and businesspeople that are supported by substantial and patient capital investment. Our corporate culture and pay philosophy are the interlinked product of the unique challenges at the forefront of medical science, which require agility, persistence, and top-tier talent.</w:t>
      </w:r>
    </w:p>
    <w:p>
      <w:pPr>
        <w:spacing w:after="0" w:line="139" w:lineRule="exact"/>
        <w:rPr>
          <w:sz w:val="20"/>
          <w:szCs w:val="20"/>
          <w:color w:val="auto"/>
        </w:rPr>
      </w:pPr>
    </w:p>
    <w:p>
      <w:pPr>
        <w:ind w:left="10" w:right="40"/>
        <w:spacing w:after="0" w:line="239" w:lineRule="auto"/>
        <w:rPr>
          <w:sz w:val="20"/>
          <w:szCs w:val="20"/>
          <w:color w:val="auto"/>
        </w:rPr>
      </w:pPr>
      <w:r>
        <w:rPr>
          <w:rFonts w:ascii="Arial" w:cs="Arial" w:eastAsia="Arial" w:hAnsi="Arial"/>
          <w:sz w:val="14"/>
          <w:szCs w:val="14"/>
          <w:color w:val="auto"/>
        </w:rPr>
        <w:t>Regeneron’s culture is defined by loyal and motivated employees with an entrepreneurial spirit who are dedicated to the Company’s mission to use the power of science to bring life-changing medicines to patients. Our employees’ engagement, commitment, and achievements are key drivers of pipeline success and our long-term performance. For Regeneron to succeed, our compensation model must reward long-term, sustainable performance and reinforce a culture where employees are empowered to pursue fulfilling careers and focus on our mission. Therefore, our compensation model is designed to encourage experimentation, innovation, and long-term thinking within an appropriate governance framework.</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right="240"/>
        <w:spacing w:after="0" w:line="242" w:lineRule="auto"/>
        <w:rPr>
          <w:sz w:val="20"/>
          <w:szCs w:val="20"/>
          <w:color w:val="auto"/>
        </w:rPr>
      </w:pPr>
      <w:r>
        <w:rPr>
          <w:rFonts w:ascii="Arial" w:cs="Arial" w:eastAsia="Arial" w:hAnsi="Arial"/>
          <w:sz w:val="15"/>
          <w:szCs w:val="15"/>
          <w:b w:val="1"/>
          <w:bCs w:val="1"/>
          <w:color w:val="auto"/>
        </w:rPr>
        <w:t xml:space="preserve">We focus on </w:t>
      </w:r>
      <w:r>
        <w:rPr>
          <w:rFonts w:ascii="Arial" w:cs="Arial" w:eastAsia="Arial" w:hAnsi="Arial"/>
          <w:sz w:val="15"/>
          <w:szCs w:val="15"/>
          <w:b w:val="1"/>
          <w:bCs w:val="1"/>
          <w:color w:val="215AA8"/>
        </w:rPr>
        <w:t>long-term</w:t>
      </w:r>
      <w:r>
        <w:rPr>
          <w:rFonts w:ascii="Arial" w:cs="Arial" w:eastAsia="Arial" w:hAnsi="Arial"/>
          <w:sz w:val="15"/>
          <w:szCs w:val="15"/>
          <w:b w:val="1"/>
          <w:bCs w:val="1"/>
          <w:color w:val="auto"/>
        </w:rPr>
        <w:t xml:space="preserve"> growth through </w:t>
      </w:r>
      <w:r>
        <w:rPr>
          <w:rFonts w:ascii="Arial" w:cs="Arial" w:eastAsia="Arial" w:hAnsi="Arial"/>
          <w:sz w:val="15"/>
          <w:szCs w:val="15"/>
          <w:b w:val="1"/>
          <w:bCs w:val="1"/>
          <w:color w:val="215AA8"/>
        </w:rPr>
        <w:t>internal</w:t>
      </w:r>
      <w:r>
        <w:rPr>
          <w:rFonts w:ascii="Arial" w:cs="Arial" w:eastAsia="Arial" w:hAnsi="Arial"/>
          <w:sz w:val="15"/>
          <w:szCs w:val="15"/>
          <w:b w:val="1"/>
          <w:bCs w:val="1"/>
          <w:color w:val="auto"/>
        </w:rPr>
        <w:t xml:space="preserve"> innovation. Our compensation model and </w:t>
      </w:r>
      <w:r>
        <w:rPr>
          <w:rFonts w:ascii="Arial" w:cs="Arial" w:eastAsia="Arial" w:hAnsi="Arial"/>
          <w:sz w:val="15"/>
          <w:szCs w:val="15"/>
          <w:b w:val="1"/>
          <w:bCs w:val="1"/>
          <w:color w:val="215AA8"/>
        </w:rPr>
        <w:t xml:space="preserve">broad-based equity </w:t>
      </w:r>
      <w:r>
        <w:rPr>
          <w:rFonts w:ascii="Arial" w:cs="Arial" w:eastAsia="Arial" w:hAnsi="Arial"/>
          <w:sz w:val="15"/>
          <w:szCs w:val="15"/>
          <w:b w:val="1"/>
          <w:bCs w:val="1"/>
          <w:color w:val="000000"/>
        </w:rPr>
        <w:t>program reinforce</w:t>
      </w:r>
      <w:r>
        <w:rPr>
          <w:rFonts w:ascii="Arial" w:cs="Arial" w:eastAsia="Arial" w:hAnsi="Arial"/>
          <w:sz w:val="15"/>
          <w:szCs w:val="15"/>
          <w:b w:val="1"/>
          <w:bCs w:val="1"/>
          <w:color w:val="215AA8"/>
        </w:rPr>
        <w:t xml:space="preserve"> </w:t>
      </w:r>
      <w:r>
        <w:rPr>
          <w:rFonts w:ascii="Arial" w:cs="Arial" w:eastAsia="Arial" w:hAnsi="Arial"/>
          <w:sz w:val="15"/>
          <w:szCs w:val="15"/>
          <w:b w:val="1"/>
          <w:bCs w:val="1"/>
          <w:color w:val="000000"/>
        </w:rPr>
        <w:t xml:space="preserve">our company culture and are designed to reward </w:t>
      </w:r>
      <w:r>
        <w:rPr>
          <w:rFonts w:ascii="Arial" w:cs="Arial" w:eastAsia="Arial" w:hAnsi="Arial"/>
          <w:sz w:val="15"/>
          <w:szCs w:val="15"/>
          <w:b w:val="1"/>
          <w:bCs w:val="1"/>
          <w:color w:val="215AA8"/>
        </w:rPr>
        <w:t>long-term,</w:t>
      </w:r>
      <w:r>
        <w:rPr>
          <w:rFonts w:ascii="Arial" w:cs="Arial" w:eastAsia="Arial" w:hAnsi="Arial"/>
          <w:sz w:val="15"/>
          <w:szCs w:val="15"/>
          <w:b w:val="1"/>
          <w:bCs w:val="1"/>
          <w:color w:val="000000"/>
        </w:rPr>
        <w:t xml:space="preserve"> </w:t>
      </w:r>
      <w:r>
        <w:rPr>
          <w:rFonts w:ascii="Arial" w:cs="Arial" w:eastAsia="Arial" w:hAnsi="Arial"/>
          <w:sz w:val="15"/>
          <w:szCs w:val="15"/>
          <w:b w:val="1"/>
          <w:bCs w:val="1"/>
          <w:color w:val="215AA8"/>
        </w:rPr>
        <w:t>sustainable performance.</w:t>
      </w:r>
    </w:p>
    <w:p>
      <w:pPr>
        <w:spacing w:after="0" w:line="531" w:lineRule="exact"/>
        <w:rPr>
          <w:sz w:val="20"/>
          <w:szCs w:val="20"/>
          <w:color w:val="auto"/>
        </w:rPr>
      </w:pPr>
    </w:p>
    <w:p>
      <w:pPr>
        <w:sectPr>
          <w:pgSz w:w="11900" w:h="16838" w:orient="portrait"/>
          <w:cols w:equalWidth="0" w:num="2">
            <w:col w:w="8230" w:space="480"/>
            <w:col w:w="2560"/>
          </w:cols>
          <w:pgMar w:left="310" w:top="215" w:right="319" w:bottom="1440" w:gutter="0" w:footer="0" w:header="0"/>
          <w:type w:val="continuous"/>
        </w:sectPr>
      </w:pPr>
    </w:p>
    <w:p>
      <w:pPr>
        <w:ind w:left="10" w:right="120"/>
        <w:spacing w:after="0" w:line="279" w:lineRule="auto"/>
        <w:rPr>
          <w:sz w:val="20"/>
          <w:szCs w:val="20"/>
          <w:color w:val="auto"/>
        </w:rPr>
      </w:pPr>
      <w:r>
        <w:rPr>
          <w:rFonts w:ascii="Arial" w:cs="Arial" w:eastAsia="Arial" w:hAnsi="Arial"/>
          <w:sz w:val="12"/>
          <w:szCs w:val="12"/>
          <w:color w:val="auto"/>
        </w:rPr>
        <w:t xml:space="preserve">Like many companies, we use equity-based pay to align employees’ interests with our long-term success; but unlike many peers, a key part of our pay philosophy is to award equity-based pay to </w:t>
      </w:r>
      <w:r>
        <w:rPr>
          <w:rFonts w:ascii="Arial" w:cs="Arial" w:eastAsia="Arial" w:hAnsi="Arial"/>
          <w:sz w:val="12"/>
          <w:szCs w:val="12"/>
          <w:u w:val="single" w:color="auto"/>
          <w:color w:val="auto"/>
        </w:rPr>
        <w:t>all</w:t>
      </w:r>
      <w:r>
        <w:rPr>
          <w:rFonts w:ascii="Arial" w:cs="Arial" w:eastAsia="Arial" w:hAnsi="Arial"/>
          <w:sz w:val="12"/>
          <w:szCs w:val="12"/>
          <w:color w:val="auto"/>
        </w:rPr>
        <w:t xml:space="preserve"> employees. This unique approach ensures that when we deliver for patients and for shareholders, everyone shares in the success. In recent years, approximately 90% of our annual employee equity grants were awarded to employees other than our NEOs, representing an exceptionally broad-based equity plan. We believe this approach encourages our</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4"/>
          <w:szCs w:val="14"/>
          <w:color w:val="auto"/>
        </w:rPr>
        <w:t>employees to think and act like owners and supports our robust employee engagement and industry-leading retention,</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61595</wp:posOffset>
            </wp:positionV>
            <wp:extent cx="5718175" cy="13512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18175" cy="1351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 w:right="120"/>
        <w:spacing w:after="0" w:line="246" w:lineRule="auto"/>
        <w:rPr>
          <w:sz w:val="20"/>
          <w:szCs w:val="20"/>
          <w:color w:val="auto"/>
        </w:rPr>
      </w:pPr>
      <w:r>
        <w:rPr>
          <w:rFonts w:ascii="Arial" w:cs="Arial" w:eastAsia="Arial" w:hAnsi="Arial"/>
          <w:sz w:val="14"/>
          <w:szCs w:val="14"/>
          <w:color w:val="auto"/>
        </w:rPr>
        <w:t>Our corporate culture also is shaped by our commitment to “Doing Well by Doing Good,” which has inspired the Company since its founding more than 35 years ago. This commitment, paired with unrelenting focus on science and innovation, is reflected in our 2025 global responsibility goals. In 2023, we took important steps toward achieving these goals, as discussed in the subsection “The Company – Corporate Governance –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5518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64" w:lineRule="exact"/>
        <w:rPr>
          <w:sz w:val="20"/>
          <w:szCs w:val="20"/>
          <w:color w:val="auto"/>
        </w:rPr>
      </w:pPr>
    </w:p>
    <w:p>
      <w:pPr>
        <w:ind w:left="270" w:right="20" w:hanging="270"/>
        <w:spacing w:after="0" w:line="191" w:lineRule="auto"/>
        <w:tabs>
          <w:tab w:leader="none" w:pos="270" w:val="left"/>
        </w:tabs>
        <w:numPr>
          <w:ilvl w:val="0"/>
          <w:numId w:val="84"/>
        </w:numPr>
        <w:rPr>
          <w:rFonts w:ascii="Arial" w:cs="Arial" w:eastAsia="Arial" w:hAnsi="Arial"/>
          <w:sz w:val="20"/>
          <w:szCs w:val="20"/>
          <w:color w:val="auto"/>
          <w:vertAlign w:val="superscript"/>
        </w:rPr>
      </w:pPr>
      <w:r>
        <w:rPr>
          <w:rFonts w:ascii="Arial" w:cs="Arial" w:eastAsia="Arial" w:hAnsi="Arial"/>
          <w:sz w:val="12"/>
          <w:szCs w:val="12"/>
          <w:color w:val="auto"/>
        </w:rPr>
        <w:t>Based on Regeneron’s turnover rate compared to the industry average. In 2023, our turnover rate was 6.4% compared to an industry average of 22.8%. Industry average is based on data of U.S. life sciences companies reported in Aon’s 2023 Salary Increase and Turnover Study.</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57</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type w:val="continuous"/>
        </w:sectPr>
      </w:pPr>
    </w:p>
    <w:bookmarkStart w:id="68" w:name="page69"/>
    <w:bookmarkEnd w:id="68"/>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8"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2023 Business Highlights</w:t>
      </w:r>
    </w:p>
    <w:p>
      <w:pPr>
        <w:spacing w:after="0" w:line="174" w:lineRule="exact"/>
        <w:rPr>
          <w:sz w:val="20"/>
          <w:szCs w:val="20"/>
          <w:color w:val="auto"/>
        </w:rPr>
      </w:pPr>
    </w:p>
    <w:p>
      <w:pPr>
        <w:ind w:left="10" w:right="280"/>
        <w:spacing w:after="0" w:line="296" w:lineRule="auto"/>
        <w:rPr>
          <w:sz w:val="20"/>
          <w:szCs w:val="20"/>
          <w:color w:val="auto"/>
        </w:rPr>
      </w:pPr>
      <w:r>
        <w:rPr>
          <w:rFonts w:ascii="Arial" w:cs="Arial" w:eastAsia="Arial" w:hAnsi="Arial"/>
          <w:sz w:val="12"/>
          <w:szCs w:val="12"/>
          <w:color w:val="auto"/>
        </w:rPr>
        <w:t>In 2023, we made significant progress in all key areas of our business. We also continued to demonstrate our commitment to driving sustainable, long-term shareholder value creation, including by investing $4.4 billion in research and development and $719 million in capital expenditures (primarily to expand R&amp;D facilities at our corporate headquarters and construct a fill/finish manufacturing facility). We highlight select 2023 accomplishments below and provide a comprehensive overview of our 2023 achievements, as well as the Compensation Committee’s assessment of those achievements, in the subsection “Components of Executive Pay: What We Pay and Why We Pay It — Annual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73595" cy="42424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3595" cy="4242435"/>
                    </a:xfrm>
                    <a:prstGeom prst="rect">
                      <a:avLst/>
                    </a:prstGeom>
                    <a:noFill/>
                  </pic:spPr>
                </pic:pic>
              </a:graphicData>
            </a:graphic>
          </wp:anchor>
        </w:drawing>
      </w:r>
    </w:p>
    <w:p>
      <w:pPr>
        <w:spacing w:after="0" w:line="198" w:lineRule="exact"/>
        <w:rPr>
          <w:sz w:val="20"/>
          <w:szCs w:val="20"/>
          <w:color w:val="auto"/>
        </w:rPr>
      </w:pPr>
    </w:p>
    <w:tbl>
      <w:tblPr>
        <w:tblLayout w:type="fixed"/>
        <w:tblInd w:w="230" w:type="dxa"/>
        <w:tblCellMar>
          <w:top w:w="0" w:type="dxa"/>
          <w:left w:w="0" w:type="dxa"/>
          <w:bottom w:w="0" w:type="dxa"/>
          <w:right w:w="0" w:type="dxa"/>
        </w:tblCellMar>
      </w:tblPr>
      <w:tr>
        <w:trPr>
          <w:trHeight w:val="247"/>
        </w:trPr>
        <w:tc>
          <w:tcPr>
            <w:tcW w:w="5400" w:type="dxa"/>
            <w:vAlign w:val="bottom"/>
            <w:gridSpan w:val="3"/>
          </w:tcPr>
          <w:p>
            <w:pPr>
              <w:spacing w:after="0"/>
              <w:rPr>
                <w:sz w:val="20"/>
                <w:szCs w:val="20"/>
                <w:color w:val="auto"/>
              </w:rPr>
            </w:pPr>
            <w:r>
              <w:rPr>
                <w:rFonts w:ascii="Arial" w:cs="Arial" w:eastAsia="Arial" w:hAnsi="Arial"/>
                <w:sz w:val="18"/>
                <w:szCs w:val="18"/>
                <w:b w:val="1"/>
                <w:bCs w:val="1"/>
                <w:color w:val="215AA8"/>
              </w:rPr>
              <w:t>Regulatory Actions</w:t>
            </w:r>
          </w:p>
        </w:tc>
        <w:tc>
          <w:tcPr>
            <w:tcW w:w="5420" w:type="dxa"/>
            <w:vAlign w:val="bottom"/>
            <w:gridSpan w:val="2"/>
          </w:tcPr>
          <w:p>
            <w:pPr>
              <w:ind w:left="180"/>
              <w:spacing w:after="0"/>
              <w:rPr>
                <w:sz w:val="20"/>
                <w:szCs w:val="20"/>
                <w:color w:val="auto"/>
              </w:rPr>
            </w:pPr>
            <w:r>
              <w:rPr>
                <w:rFonts w:ascii="Arial" w:cs="Arial" w:eastAsia="Arial" w:hAnsi="Arial"/>
                <w:sz w:val="18"/>
                <w:szCs w:val="18"/>
                <w:b w:val="1"/>
                <w:bCs w:val="1"/>
                <w:color w:val="215AA8"/>
              </w:rPr>
              <w:t>Clinical and Significant Pipeline Advances</w:t>
            </w:r>
          </w:p>
        </w:tc>
        <w:tc>
          <w:tcPr>
            <w:tcW w:w="0" w:type="dxa"/>
            <w:vAlign w:val="bottom"/>
          </w:tcPr>
          <w:p>
            <w:pPr>
              <w:spacing w:after="0"/>
              <w:rPr>
                <w:sz w:val="1"/>
                <w:szCs w:val="1"/>
                <w:color w:val="auto"/>
              </w:rPr>
            </w:pPr>
          </w:p>
        </w:tc>
      </w:tr>
      <w:tr>
        <w:trPr>
          <w:trHeight w:val="182"/>
        </w:trPr>
        <w:tc>
          <w:tcPr>
            <w:tcW w:w="5400" w:type="dxa"/>
            <w:vAlign w:val="bottom"/>
            <w:gridSpan w:val="3"/>
          </w:tcPr>
          <w:p>
            <w:pPr>
              <w:spacing w:after="0"/>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b w:val="1"/>
                <w:bCs w:val="1"/>
                <w:color w:val="000000"/>
              </w:rPr>
              <w:t>EYLEA HD:</w:t>
            </w:r>
            <w:r>
              <w:rPr>
                <w:rFonts w:ascii="Arial" w:cs="Arial" w:eastAsia="Arial" w:hAnsi="Arial"/>
                <w:sz w:val="14"/>
                <w:szCs w:val="14"/>
                <w:color w:val="215AA8"/>
              </w:rPr>
              <w:t xml:space="preserve"> </w:t>
            </w:r>
            <w:r>
              <w:rPr>
                <w:rFonts w:ascii="Arial" w:cs="Arial" w:eastAsia="Arial" w:hAnsi="Arial"/>
                <w:sz w:val="14"/>
                <w:szCs w:val="14"/>
                <w:color w:val="000000"/>
              </w:rPr>
              <w:t>Obtained FDA approval for the treatment of wet age-related macular</w:t>
            </w:r>
          </w:p>
        </w:tc>
        <w:tc>
          <w:tcPr>
            <w:tcW w:w="5420" w:type="dxa"/>
            <w:vAlign w:val="bottom"/>
            <w:gridSpan w:val="2"/>
          </w:tcPr>
          <w:p>
            <w:pPr>
              <w:ind w:left="180"/>
              <w:spacing w:after="0"/>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b w:val="1"/>
                <w:bCs w:val="1"/>
                <w:color w:val="000000"/>
              </w:rPr>
              <w:t>EYLEA HD:</w:t>
            </w:r>
            <w:r>
              <w:rPr>
                <w:rFonts w:ascii="Arial" w:cs="Arial" w:eastAsia="Arial" w:hAnsi="Arial"/>
                <w:sz w:val="14"/>
                <w:szCs w:val="14"/>
                <w:color w:val="215AA8"/>
              </w:rPr>
              <w:t xml:space="preserve"> </w:t>
            </w:r>
            <w:r>
              <w:rPr>
                <w:rFonts w:ascii="Arial" w:cs="Arial" w:eastAsia="Arial" w:hAnsi="Arial"/>
                <w:sz w:val="14"/>
                <w:szCs w:val="14"/>
                <w:color w:val="000000"/>
              </w:rPr>
              <w:t>Reported positive two-year data from Phase 3 studies in wAMD and</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53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degeneration (“wAMD”), diabetic macular edema (“DME”), and diabetic retinopathy</w:t>
            </w:r>
          </w:p>
        </w:tc>
        <w:tc>
          <w:tcPr>
            <w:tcW w:w="260" w:type="dxa"/>
            <w:vAlign w:val="bottom"/>
          </w:tcPr>
          <w:p>
            <w:pPr>
              <w:spacing w:after="0"/>
              <w:rPr>
                <w:sz w:val="13"/>
                <w:szCs w:val="13"/>
                <w:color w:val="auto"/>
              </w:rPr>
            </w:pPr>
          </w:p>
        </w:tc>
        <w:tc>
          <w:tcPr>
            <w:tcW w:w="5160" w:type="dxa"/>
            <w:vAlign w:val="bottom"/>
          </w:tcPr>
          <w:p>
            <w:pPr>
              <w:ind w:left="60"/>
              <w:spacing w:after="0" w:line="157" w:lineRule="exact"/>
              <w:rPr>
                <w:sz w:val="20"/>
                <w:szCs w:val="20"/>
                <w:color w:val="auto"/>
              </w:rPr>
            </w:pPr>
            <w:r>
              <w:rPr>
                <w:rFonts w:ascii="Arial" w:cs="Arial" w:eastAsia="Arial" w:hAnsi="Arial"/>
                <w:sz w:val="14"/>
                <w:szCs w:val="14"/>
                <w:color w:val="auto"/>
              </w:rPr>
              <w:t>DME</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5300" w:type="dxa"/>
            <w:vAlign w:val="bottom"/>
            <w:gridSpan w:val="2"/>
          </w:tcPr>
          <w:p>
            <w:pPr>
              <w:ind w:left="40"/>
              <w:spacing w:after="0"/>
              <w:rPr>
                <w:sz w:val="20"/>
                <w:szCs w:val="20"/>
                <w:color w:val="auto"/>
              </w:rPr>
            </w:pPr>
            <w:r>
              <w:rPr>
                <w:rFonts w:ascii="Arial" w:cs="Arial" w:eastAsia="Arial" w:hAnsi="Arial"/>
                <w:sz w:val="14"/>
                <w:szCs w:val="14"/>
                <w:color w:val="auto"/>
              </w:rPr>
              <w:t>(“DR”)</w:t>
            </w:r>
          </w:p>
        </w:tc>
        <w:tc>
          <w:tcPr>
            <w:tcW w:w="260" w:type="dxa"/>
            <w:vAlign w:val="bottom"/>
            <w:vMerge w:val="restart"/>
          </w:tcPr>
          <w:p>
            <w:pPr>
              <w:ind w:left="180"/>
              <w:spacing w:after="0"/>
              <w:rPr>
                <w:sz w:val="20"/>
                <w:szCs w:val="20"/>
                <w:color w:val="auto"/>
              </w:rPr>
            </w:pPr>
            <w:r>
              <w:rPr>
                <w:rFonts w:ascii="Arial" w:cs="Arial" w:eastAsia="Arial" w:hAnsi="Arial"/>
                <w:sz w:val="14"/>
                <w:szCs w:val="14"/>
                <w:color w:val="215AA8"/>
              </w:rPr>
              <w:t>•</w:t>
            </w:r>
          </w:p>
        </w:tc>
        <w:tc>
          <w:tcPr>
            <w:tcW w:w="51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Dupixent:</w:t>
            </w:r>
          </w:p>
        </w:tc>
        <w:tc>
          <w:tcPr>
            <w:tcW w:w="0" w:type="dxa"/>
            <w:vAlign w:val="bottom"/>
          </w:tcPr>
          <w:p>
            <w:pPr>
              <w:spacing w:after="0"/>
              <w:rPr>
                <w:sz w:val="1"/>
                <w:szCs w:val="1"/>
                <w:color w:val="auto"/>
              </w:rPr>
            </w:pPr>
          </w:p>
        </w:tc>
      </w:tr>
      <w:tr>
        <w:trPr>
          <w:trHeight w:val="64"/>
        </w:trPr>
        <w:tc>
          <w:tcPr>
            <w:tcW w:w="5400" w:type="dxa"/>
            <w:vAlign w:val="bottom"/>
            <w:gridSpan w:val="3"/>
            <w:vMerge w:val="restart"/>
          </w:tcPr>
          <w:p>
            <w:pPr>
              <w:spacing w:after="0"/>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b w:val="1"/>
                <w:bCs w:val="1"/>
                <w:color w:val="000000"/>
              </w:rPr>
              <w:t>EYLEA:</w:t>
            </w:r>
            <w:r>
              <w:rPr>
                <w:rFonts w:ascii="Arial" w:cs="Arial" w:eastAsia="Arial" w:hAnsi="Arial"/>
                <w:sz w:val="14"/>
                <w:szCs w:val="14"/>
                <w:color w:val="215AA8"/>
              </w:rPr>
              <w:t xml:space="preserve"> </w:t>
            </w:r>
            <w:r>
              <w:rPr>
                <w:rFonts w:ascii="Arial" w:cs="Arial" w:eastAsia="Arial" w:hAnsi="Arial"/>
                <w:sz w:val="14"/>
                <w:szCs w:val="14"/>
                <w:color w:val="000000"/>
              </w:rPr>
              <w:t>Obtained FDA approval for the treatment of retinopathy of prematurity</w:t>
            </w:r>
          </w:p>
        </w:tc>
        <w:tc>
          <w:tcPr>
            <w:tcW w:w="260" w:type="dxa"/>
            <w:vAlign w:val="bottom"/>
            <w:vMerge w:val="continue"/>
          </w:tcPr>
          <w:p>
            <w:pPr>
              <w:spacing w:after="0"/>
              <w:rPr>
                <w:sz w:val="5"/>
                <w:szCs w:val="5"/>
                <w:color w:val="auto"/>
              </w:rPr>
            </w:pPr>
          </w:p>
        </w:tc>
        <w:tc>
          <w:tcPr>
            <w:tcW w:w="5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4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5160" w:type="dxa"/>
            <w:vAlign w:val="bottom"/>
          </w:tcPr>
          <w:p>
            <w:pPr>
              <w:ind w:left="60"/>
              <w:spacing w:after="0"/>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color w:val="000000"/>
              </w:rPr>
              <w:t>Reported that Phase 3 BOREAS trial in chronic obstructive pulmonary disease</w:t>
            </w:r>
          </w:p>
        </w:tc>
        <w:tc>
          <w:tcPr>
            <w:tcW w:w="0" w:type="dxa"/>
            <w:vAlign w:val="bottom"/>
          </w:tcPr>
          <w:p>
            <w:pPr>
              <w:spacing w:after="0"/>
              <w:rPr>
                <w:sz w:val="1"/>
                <w:szCs w:val="1"/>
                <w:color w:val="auto"/>
              </w:rPr>
            </w:pPr>
          </w:p>
        </w:tc>
      </w:tr>
      <w:tr>
        <w:trPr>
          <w:trHeight w:val="160"/>
        </w:trPr>
        <w:tc>
          <w:tcPr>
            <w:tcW w:w="100" w:type="dxa"/>
            <w:vAlign w:val="bottom"/>
          </w:tcPr>
          <w:p>
            <w:pPr>
              <w:spacing w:after="0" w:line="159" w:lineRule="exact"/>
              <w:rPr>
                <w:sz w:val="20"/>
                <w:szCs w:val="20"/>
                <w:color w:val="auto"/>
              </w:rPr>
            </w:pPr>
            <w:r>
              <w:rPr>
                <w:rFonts w:ascii="Arial" w:cs="Arial" w:eastAsia="Arial" w:hAnsi="Arial"/>
                <w:sz w:val="14"/>
                <w:szCs w:val="14"/>
                <w:color w:val="215AA8"/>
              </w:rPr>
              <w:t>•</w:t>
            </w:r>
          </w:p>
        </w:tc>
        <w:tc>
          <w:tcPr>
            <w:tcW w:w="530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Dupixent:</w:t>
            </w:r>
          </w:p>
        </w:tc>
        <w:tc>
          <w:tcPr>
            <w:tcW w:w="260" w:type="dxa"/>
            <w:vAlign w:val="bottom"/>
          </w:tcPr>
          <w:p>
            <w:pPr>
              <w:spacing w:after="0"/>
              <w:rPr>
                <w:sz w:val="13"/>
                <w:szCs w:val="13"/>
                <w:color w:val="auto"/>
              </w:rPr>
            </w:pPr>
          </w:p>
        </w:tc>
        <w:tc>
          <w:tcPr>
            <w:tcW w:w="5160" w:type="dxa"/>
            <w:vAlign w:val="bottom"/>
          </w:tcPr>
          <w:p>
            <w:pPr>
              <w:ind w:left="180"/>
              <w:spacing w:after="0" w:line="159" w:lineRule="exact"/>
              <w:rPr>
                <w:sz w:val="20"/>
                <w:szCs w:val="20"/>
                <w:color w:val="auto"/>
              </w:rPr>
            </w:pPr>
            <w:r>
              <w:rPr>
                <w:rFonts w:ascii="Arial" w:cs="Arial" w:eastAsia="Arial" w:hAnsi="Arial"/>
                <w:sz w:val="14"/>
                <w:szCs w:val="14"/>
                <w:color w:val="auto"/>
              </w:rPr>
              <w:t>(“COPD”) met its primary and all key secondary endpoints; later reported that</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215AA8"/>
              </w:rPr>
              <w:t>•</w:t>
            </w:r>
          </w:p>
        </w:tc>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Obtained European Commission (“EC”) approval for the treatment of pediatric</w:t>
            </w:r>
          </w:p>
        </w:tc>
        <w:tc>
          <w:tcPr>
            <w:tcW w:w="260" w:type="dxa"/>
            <w:vAlign w:val="bottom"/>
          </w:tcPr>
          <w:p>
            <w:pPr>
              <w:spacing w:after="0"/>
              <w:rPr>
                <w:sz w:val="13"/>
                <w:szCs w:val="13"/>
                <w:color w:val="auto"/>
              </w:rPr>
            </w:pPr>
          </w:p>
        </w:tc>
        <w:tc>
          <w:tcPr>
            <w:tcW w:w="5160" w:type="dxa"/>
            <w:vAlign w:val="bottom"/>
          </w:tcPr>
          <w:p>
            <w:pPr>
              <w:ind w:left="180"/>
              <w:spacing w:after="0" w:line="157" w:lineRule="exact"/>
              <w:rPr>
                <w:sz w:val="20"/>
                <w:szCs w:val="20"/>
                <w:color w:val="auto"/>
              </w:rPr>
            </w:pPr>
            <w:r>
              <w:rPr>
                <w:rFonts w:ascii="Arial" w:cs="Arial" w:eastAsia="Arial" w:hAnsi="Arial"/>
                <w:sz w:val="14"/>
                <w:szCs w:val="14"/>
                <w:color w:val="auto"/>
              </w:rPr>
              <w:t>results from interim analysis of replicate Phase 3 NOTUS trial in COPD met its</w:t>
            </w: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51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5160" w:type="dxa"/>
            <w:vAlign w:val="bottom"/>
            <w:vMerge w:val="restart"/>
          </w:tcPr>
          <w:p>
            <w:pPr>
              <w:ind w:left="180"/>
              <w:spacing w:after="0"/>
              <w:rPr>
                <w:sz w:val="20"/>
                <w:szCs w:val="20"/>
                <w:color w:val="auto"/>
              </w:rPr>
            </w:pPr>
            <w:r>
              <w:rPr>
                <w:rFonts w:ascii="Arial" w:cs="Arial" w:eastAsia="Arial" w:hAnsi="Arial"/>
                <w:sz w:val="14"/>
                <w:szCs w:val="14"/>
                <w:color w:val="auto"/>
              </w:rPr>
              <w:t>primary endpoint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atopic dermatitis</w:t>
            </w:r>
          </w:p>
        </w:tc>
        <w:tc>
          <w:tcPr>
            <w:tcW w:w="260" w:type="dxa"/>
            <w:vAlign w:val="bottom"/>
          </w:tcPr>
          <w:p>
            <w:pPr>
              <w:spacing w:after="0"/>
              <w:rPr>
                <w:sz w:val="10"/>
                <w:szCs w:val="10"/>
                <w:color w:val="auto"/>
              </w:rPr>
            </w:pPr>
          </w:p>
        </w:tc>
        <w:tc>
          <w:tcPr>
            <w:tcW w:w="5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1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5160" w:type="dxa"/>
            <w:vAlign w:val="bottom"/>
            <w:vMerge w:val="restart"/>
          </w:tcPr>
          <w:p>
            <w:pPr>
              <w:ind w:left="60"/>
              <w:spacing w:after="0"/>
              <w:rPr>
                <w:sz w:val="20"/>
                <w:szCs w:val="20"/>
                <w:color w:val="auto"/>
              </w:rPr>
            </w:pPr>
            <w:r>
              <w:rPr>
                <w:rFonts w:ascii="Arial" w:cs="Arial" w:eastAsia="Arial" w:hAnsi="Arial"/>
                <w:sz w:val="14"/>
                <w:szCs w:val="14"/>
                <w:color w:val="215AA8"/>
                <w:w w:val="97"/>
              </w:rPr>
              <w:t xml:space="preserve">• </w:t>
            </w:r>
            <w:r>
              <w:rPr>
                <w:rFonts w:ascii="Arial" w:cs="Arial" w:eastAsia="Arial" w:hAnsi="Arial"/>
                <w:sz w:val="14"/>
                <w:szCs w:val="14"/>
                <w:color w:val="000000"/>
                <w:w w:val="97"/>
              </w:rPr>
              <w:t>Completed sBLA submission for the treatment of COPD based on the results of the</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215AA8"/>
              </w:rPr>
              <w:t>•</w:t>
            </w:r>
          </w:p>
        </w:tc>
        <w:tc>
          <w:tcPr>
            <w:tcW w:w="5160" w:type="dxa"/>
            <w:vAlign w:val="bottom"/>
            <w:vMerge w:val="restart"/>
          </w:tcPr>
          <w:p>
            <w:pPr>
              <w:ind w:left="40"/>
              <w:spacing w:after="0"/>
              <w:rPr>
                <w:sz w:val="20"/>
                <w:szCs w:val="20"/>
                <w:color w:val="auto"/>
              </w:rPr>
            </w:pPr>
            <w:r>
              <w:rPr>
                <w:rFonts w:ascii="Arial" w:cs="Arial" w:eastAsia="Arial" w:hAnsi="Arial"/>
                <w:sz w:val="14"/>
                <w:szCs w:val="14"/>
                <w:color w:val="auto"/>
                <w:w w:val="99"/>
              </w:rPr>
              <w:t>Obtained EC approval for the treatment of adults and adolescents with eosinophilic</w:t>
            </w:r>
          </w:p>
        </w:tc>
        <w:tc>
          <w:tcPr>
            <w:tcW w:w="260" w:type="dxa"/>
            <w:vAlign w:val="bottom"/>
          </w:tcPr>
          <w:p>
            <w:pPr>
              <w:spacing w:after="0"/>
              <w:rPr>
                <w:sz w:val="12"/>
                <w:szCs w:val="12"/>
                <w:color w:val="auto"/>
              </w:rPr>
            </w:pPr>
          </w:p>
        </w:tc>
        <w:tc>
          <w:tcPr>
            <w:tcW w:w="5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51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5160" w:type="dxa"/>
            <w:vAlign w:val="bottom"/>
            <w:vMerge w:val="restart"/>
          </w:tcPr>
          <w:p>
            <w:pPr>
              <w:ind w:left="180"/>
              <w:spacing w:after="0" w:line="157" w:lineRule="exact"/>
              <w:rPr>
                <w:sz w:val="20"/>
                <w:szCs w:val="20"/>
                <w:color w:val="auto"/>
              </w:rPr>
            </w:pPr>
            <w:r>
              <w:rPr>
                <w:rFonts w:ascii="Arial" w:cs="Arial" w:eastAsia="Arial" w:hAnsi="Arial"/>
                <w:sz w:val="14"/>
                <w:szCs w:val="14"/>
                <w:color w:val="auto"/>
              </w:rPr>
              <w:t>BOREAS and NOTUS trials (for review of first new treatment approach for this</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esophagitis (“EoE”)</w:t>
            </w:r>
          </w:p>
        </w:tc>
        <w:tc>
          <w:tcPr>
            <w:tcW w:w="260" w:type="dxa"/>
            <w:vAlign w:val="bottom"/>
          </w:tcPr>
          <w:p>
            <w:pPr>
              <w:spacing w:after="0"/>
              <w:rPr>
                <w:sz w:val="8"/>
                <w:szCs w:val="8"/>
                <w:color w:val="auto"/>
              </w:rPr>
            </w:pPr>
          </w:p>
        </w:tc>
        <w:tc>
          <w:tcPr>
            <w:tcW w:w="5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1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160" w:type="dxa"/>
            <w:vAlign w:val="bottom"/>
            <w:vMerge w:val="restart"/>
          </w:tcPr>
          <w:p>
            <w:pPr>
              <w:ind w:left="180"/>
              <w:spacing w:after="0"/>
              <w:rPr>
                <w:sz w:val="20"/>
                <w:szCs w:val="20"/>
                <w:color w:val="auto"/>
              </w:rPr>
            </w:pPr>
            <w:r>
              <w:rPr>
                <w:rFonts w:ascii="Arial" w:cs="Arial" w:eastAsia="Arial" w:hAnsi="Arial"/>
                <w:sz w:val="14"/>
                <w:szCs w:val="14"/>
                <w:color w:val="auto"/>
              </w:rPr>
              <w:t>serious disease in over a decade)</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215AA8"/>
              </w:rPr>
              <w:t>•</w:t>
            </w:r>
          </w:p>
        </w:tc>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Obtained Ministry of Health, Labour and Welfare (“MHLW”) approval in Japan for</w:t>
            </w:r>
          </w:p>
        </w:tc>
        <w:tc>
          <w:tcPr>
            <w:tcW w:w="260" w:type="dxa"/>
            <w:vAlign w:val="bottom"/>
          </w:tcPr>
          <w:p>
            <w:pPr>
              <w:spacing w:after="0"/>
              <w:rPr>
                <w:sz w:val="8"/>
                <w:szCs w:val="8"/>
                <w:color w:val="auto"/>
              </w:rPr>
            </w:pPr>
          </w:p>
        </w:tc>
        <w:tc>
          <w:tcPr>
            <w:tcW w:w="5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160" w:type="dxa"/>
            <w:vAlign w:val="bottom"/>
            <w:vMerge w:val="continue"/>
          </w:tcPr>
          <w:p>
            <w:pPr>
              <w:spacing w:after="0"/>
              <w:rPr>
                <w:sz w:val="7"/>
                <w:szCs w:val="7"/>
                <w:color w:val="auto"/>
              </w:rPr>
            </w:pPr>
          </w:p>
        </w:tc>
        <w:tc>
          <w:tcPr>
            <w:tcW w:w="260" w:type="dxa"/>
            <w:vAlign w:val="bottom"/>
            <w:vMerge w:val="restart"/>
          </w:tcPr>
          <w:p>
            <w:pPr>
              <w:ind w:left="180"/>
              <w:spacing w:after="0"/>
              <w:rPr>
                <w:sz w:val="20"/>
                <w:szCs w:val="20"/>
                <w:color w:val="auto"/>
              </w:rPr>
            </w:pPr>
            <w:r>
              <w:rPr>
                <w:rFonts w:ascii="Arial" w:cs="Arial" w:eastAsia="Arial" w:hAnsi="Arial"/>
                <w:sz w:val="14"/>
                <w:szCs w:val="14"/>
                <w:color w:val="215AA8"/>
              </w:rPr>
              <w:t>•</w:t>
            </w:r>
          </w:p>
        </w:tc>
        <w:tc>
          <w:tcPr>
            <w:tcW w:w="51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Oncology Programs:</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60" w:type="dxa"/>
            <w:vAlign w:val="bottom"/>
          </w:tcPr>
          <w:p>
            <w:pPr>
              <w:ind w:left="40"/>
              <w:spacing w:after="0" w:line="157" w:lineRule="exact"/>
              <w:rPr>
                <w:sz w:val="20"/>
                <w:szCs w:val="20"/>
                <w:color w:val="auto"/>
              </w:rPr>
            </w:pPr>
            <w:r>
              <w:rPr>
                <w:rFonts w:ascii="Arial" w:cs="Arial" w:eastAsia="Arial" w:hAnsi="Arial"/>
                <w:sz w:val="14"/>
                <w:szCs w:val="14"/>
                <w:color w:val="auto"/>
              </w:rPr>
              <w:t>the treatment of atopic dermatitis in pediatrics and adolescents</w:t>
            </w:r>
          </w:p>
        </w:tc>
        <w:tc>
          <w:tcPr>
            <w:tcW w:w="260" w:type="dxa"/>
            <w:vAlign w:val="bottom"/>
            <w:vMerge w:val="continue"/>
          </w:tcPr>
          <w:p>
            <w:pPr>
              <w:spacing w:after="0"/>
              <w:rPr>
                <w:sz w:val="13"/>
                <w:szCs w:val="13"/>
                <w:color w:val="auto"/>
              </w:rPr>
            </w:pPr>
          </w:p>
        </w:tc>
        <w:tc>
          <w:tcPr>
            <w:tcW w:w="5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215AA8"/>
              </w:rPr>
              <w:t>•</w:t>
            </w:r>
          </w:p>
        </w:tc>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Obtained MHLW approval in Japan for the treatment of prurigo nodularis</w:t>
            </w:r>
          </w:p>
        </w:tc>
        <w:tc>
          <w:tcPr>
            <w:tcW w:w="260" w:type="dxa"/>
            <w:vAlign w:val="bottom"/>
          </w:tcPr>
          <w:p>
            <w:pPr>
              <w:spacing w:after="0"/>
              <w:rPr>
                <w:sz w:val="13"/>
                <w:szCs w:val="13"/>
                <w:color w:val="auto"/>
              </w:rPr>
            </w:pPr>
          </w:p>
        </w:tc>
        <w:tc>
          <w:tcPr>
            <w:tcW w:w="5160" w:type="dxa"/>
            <w:vAlign w:val="bottom"/>
          </w:tcPr>
          <w:p>
            <w:pPr>
              <w:ind w:left="60"/>
              <w:spacing w:after="0" w:line="157" w:lineRule="exact"/>
              <w:rPr>
                <w:sz w:val="20"/>
                <w:szCs w:val="20"/>
                <w:color w:val="auto"/>
              </w:rPr>
            </w:pPr>
            <w:r>
              <w:rPr>
                <w:rFonts w:ascii="Arial" w:cs="Arial" w:eastAsia="Arial" w:hAnsi="Arial"/>
                <w:sz w:val="14"/>
                <w:szCs w:val="14"/>
                <w:color w:val="215AA8"/>
                <w:w w:val="97"/>
              </w:rPr>
              <w:t xml:space="preserve">• </w:t>
            </w:r>
            <w:r>
              <w:rPr>
                <w:rFonts w:ascii="Arial" w:cs="Arial" w:eastAsia="Arial" w:hAnsi="Arial"/>
                <w:sz w:val="14"/>
                <w:szCs w:val="14"/>
                <w:color w:val="000000"/>
                <w:w w:val="97"/>
              </w:rPr>
              <w:t>Completed regulatory submissions for odronextamab (bispecific antibody targeting</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1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160" w:type="dxa"/>
            <w:vAlign w:val="bottom"/>
            <w:vMerge w:val="restart"/>
          </w:tcPr>
          <w:p>
            <w:pPr>
              <w:ind w:left="180"/>
              <w:spacing w:after="0" w:line="157" w:lineRule="exact"/>
              <w:rPr>
                <w:sz w:val="20"/>
                <w:szCs w:val="20"/>
                <w:color w:val="auto"/>
              </w:rPr>
            </w:pPr>
            <w:r>
              <w:rPr>
                <w:rFonts w:ascii="Arial" w:cs="Arial" w:eastAsia="Arial" w:hAnsi="Arial"/>
                <w:sz w:val="14"/>
                <w:szCs w:val="14"/>
                <w:color w:val="auto"/>
              </w:rPr>
              <w:t>CD20 and CD3) in relapsed/refractory (“R/R”) follicular lymphoma or R/R diffuse</w:t>
            </w:r>
          </w:p>
        </w:tc>
        <w:tc>
          <w:tcPr>
            <w:tcW w:w="0" w:type="dxa"/>
            <w:vAlign w:val="bottom"/>
          </w:tcPr>
          <w:p>
            <w:pPr>
              <w:spacing w:after="0"/>
              <w:rPr>
                <w:sz w:val="1"/>
                <w:szCs w:val="1"/>
                <w:color w:val="auto"/>
              </w:rPr>
            </w:pPr>
          </w:p>
        </w:tc>
      </w:tr>
      <w:tr>
        <w:trPr>
          <w:trHeight w:val="83"/>
        </w:trPr>
        <w:tc>
          <w:tcPr>
            <w:tcW w:w="100" w:type="dxa"/>
            <w:vAlign w:val="bottom"/>
            <w:vMerge w:val="restart"/>
          </w:tcPr>
          <w:p>
            <w:pPr>
              <w:spacing w:after="0"/>
              <w:rPr>
                <w:sz w:val="20"/>
                <w:szCs w:val="20"/>
                <w:color w:val="auto"/>
              </w:rPr>
            </w:pPr>
            <w:r>
              <w:rPr>
                <w:rFonts w:ascii="Arial" w:cs="Arial" w:eastAsia="Arial" w:hAnsi="Arial"/>
                <w:sz w:val="14"/>
                <w:szCs w:val="14"/>
                <w:color w:val="215AA8"/>
              </w:rPr>
              <w:t>•</w:t>
            </w:r>
          </w:p>
        </w:tc>
        <w:tc>
          <w:tcPr>
            <w:tcW w:w="5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Libtayo:</w:t>
            </w:r>
          </w:p>
        </w:tc>
        <w:tc>
          <w:tcPr>
            <w:tcW w:w="260" w:type="dxa"/>
            <w:vAlign w:val="bottom"/>
          </w:tcPr>
          <w:p>
            <w:pPr>
              <w:spacing w:after="0"/>
              <w:rPr>
                <w:sz w:val="7"/>
                <w:szCs w:val="7"/>
                <w:color w:val="auto"/>
              </w:rPr>
            </w:pPr>
          </w:p>
        </w:tc>
        <w:tc>
          <w:tcPr>
            <w:tcW w:w="5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00" w:type="dxa"/>
            <w:vAlign w:val="bottom"/>
            <w:vMerge w:val="continue"/>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180"/>
              <w:spacing w:after="0" w:line="157" w:lineRule="exact"/>
              <w:rPr>
                <w:sz w:val="20"/>
                <w:szCs w:val="20"/>
                <w:color w:val="auto"/>
              </w:rPr>
            </w:pPr>
            <w:r>
              <w:rPr>
                <w:rFonts w:ascii="Arial" w:cs="Arial" w:eastAsia="Arial" w:hAnsi="Arial"/>
                <w:sz w:val="14"/>
                <w:szCs w:val="14"/>
                <w:color w:val="auto"/>
                <w:w w:val="97"/>
              </w:rPr>
              <w:t>large B-cell lymphoma and linvoseltamab (bispecific antibody targeting BCMA and</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5300" w:type="dxa"/>
            <w:vAlign w:val="bottom"/>
            <w:gridSpan w:val="2"/>
          </w:tcPr>
          <w:p>
            <w:pPr>
              <w:ind w:left="40"/>
              <w:spacing w:after="0" w:line="157" w:lineRule="exact"/>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color w:val="000000"/>
              </w:rPr>
              <w:t>Obtained EC approval in combination with chemotherapy for the treatment of non-</w:t>
            </w:r>
          </w:p>
        </w:tc>
        <w:tc>
          <w:tcPr>
            <w:tcW w:w="260" w:type="dxa"/>
            <w:vAlign w:val="bottom"/>
          </w:tcPr>
          <w:p>
            <w:pPr>
              <w:spacing w:after="0"/>
              <w:rPr>
                <w:sz w:val="13"/>
                <w:szCs w:val="13"/>
                <w:color w:val="auto"/>
              </w:rPr>
            </w:pPr>
          </w:p>
        </w:tc>
        <w:tc>
          <w:tcPr>
            <w:tcW w:w="5160" w:type="dxa"/>
            <w:vAlign w:val="bottom"/>
          </w:tcPr>
          <w:p>
            <w:pPr>
              <w:ind w:left="180"/>
              <w:spacing w:after="0" w:line="157" w:lineRule="exact"/>
              <w:rPr>
                <w:sz w:val="20"/>
                <w:szCs w:val="20"/>
                <w:color w:val="auto"/>
              </w:rPr>
            </w:pPr>
            <w:r>
              <w:rPr>
                <w:rFonts w:ascii="Arial" w:cs="Arial" w:eastAsia="Arial" w:hAnsi="Arial"/>
                <w:sz w:val="14"/>
                <w:szCs w:val="14"/>
                <w:color w:val="auto"/>
              </w:rPr>
              <w:t>CD3) in R/R multiple myeloma</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small cell lung cancer (“NSCLC”)</w:t>
            </w:r>
          </w:p>
        </w:tc>
        <w:tc>
          <w:tcPr>
            <w:tcW w:w="260" w:type="dxa"/>
            <w:vAlign w:val="bottom"/>
          </w:tcPr>
          <w:p>
            <w:pPr>
              <w:spacing w:after="0"/>
              <w:rPr>
                <w:sz w:val="15"/>
                <w:szCs w:val="15"/>
                <w:color w:val="auto"/>
              </w:rPr>
            </w:pPr>
          </w:p>
        </w:tc>
        <w:tc>
          <w:tcPr>
            <w:tcW w:w="5160" w:type="dxa"/>
            <w:vAlign w:val="bottom"/>
            <w:vMerge w:val="restart"/>
          </w:tcPr>
          <w:p>
            <w:pPr>
              <w:ind w:left="60"/>
              <w:spacing w:after="0"/>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color w:val="000000"/>
              </w:rPr>
              <w:t>Presented positive data from Phase 1 trial of fianlimab (in combination with</w:t>
            </w:r>
          </w:p>
        </w:tc>
        <w:tc>
          <w:tcPr>
            <w:tcW w:w="0" w:type="dxa"/>
            <w:vAlign w:val="bottom"/>
          </w:tcPr>
          <w:p>
            <w:pPr>
              <w:spacing w:after="0"/>
              <w:rPr>
                <w:sz w:val="1"/>
                <w:szCs w:val="1"/>
                <w:color w:val="auto"/>
              </w:rPr>
            </w:pPr>
          </w:p>
        </w:tc>
      </w:tr>
      <w:tr>
        <w:trPr>
          <w:trHeight w:val="38"/>
        </w:trPr>
        <w:tc>
          <w:tcPr>
            <w:tcW w:w="100" w:type="dxa"/>
            <w:vAlign w:val="bottom"/>
            <w:vMerge w:val="restart"/>
          </w:tcPr>
          <w:p>
            <w:pPr>
              <w:spacing w:after="0"/>
              <w:rPr>
                <w:sz w:val="20"/>
                <w:szCs w:val="20"/>
                <w:color w:val="auto"/>
              </w:rPr>
            </w:pPr>
            <w:r>
              <w:rPr>
                <w:rFonts w:ascii="Arial" w:cs="Arial" w:eastAsia="Arial" w:hAnsi="Arial"/>
                <w:sz w:val="14"/>
                <w:szCs w:val="14"/>
                <w:color w:val="215AA8"/>
              </w:rPr>
              <w:t>•</w:t>
            </w:r>
          </w:p>
        </w:tc>
        <w:tc>
          <w:tcPr>
            <w:tcW w:w="5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Veopoz: </w:t>
            </w:r>
            <w:r>
              <w:rPr>
                <w:rFonts w:ascii="Arial" w:cs="Arial" w:eastAsia="Arial" w:hAnsi="Arial"/>
                <w:sz w:val="14"/>
                <w:szCs w:val="14"/>
                <w:color w:val="auto"/>
              </w:rPr>
              <w:t>Obtained FDA approval for the treatment of CHAPLE disease</w:t>
            </w:r>
          </w:p>
        </w:tc>
        <w:tc>
          <w:tcPr>
            <w:tcW w:w="260" w:type="dxa"/>
            <w:vAlign w:val="bottom"/>
          </w:tcPr>
          <w:p>
            <w:pPr>
              <w:spacing w:after="0"/>
              <w:rPr>
                <w:sz w:val="3"/>
                <w:szCs w:val="3"/>
                <w:color w:val="auto"/>
              </w:rPr>
            </w:pPr>
          </w:p>
        </w:tc>
        <w:tc>
          <w:tcPr>
            <w:tcW w:w="5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00" w:type="dxa"/>
            <w:vAlign w:val="bottom"/>
            <w:vMerge w:val="continue"/>
          </w:tcPr>
          <w:p>
            <w:pPr>
              <w:spacing w:after="0"/>
              <w:rPr>
                <w:sz w:val="16"/>
                <w:szCs w:val="16"/>
                <w:color w:val="auto"/>
              </w:rPr>
            </w:pPr>
          </w:p>
        </w:tc>
        <w:tc>
          <w:tcPr>
            <w:tcW w:w="5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160" w:type="dxa"/>
            <w:vAlign w:val="bottom"/>
          </w:tcPr>
          <w:p>
            <w:pPr>
              <w:ind w:left="180"/>
              <w:spacing w:after="0"/>
              <w:rPr>
                <w:sz w:val="20"/>
                <w:szCs w:val="20"/>
                <w:color w:val="auto"/>
              </w:rPr>
            </w:pPr>
            <w:r>
              <w:rPr>
                <w:rFonts w:ascii="Arial" w:cs="Arial" w:eastAsia="Arial" w:hAnsi="Arial"/>
                <w:sz w:val="14"/>
                <w:szCs w:val="14"/>
                <w:color w:val="auto"/>
              </w:rPr>
              <w:t>Libtayo) in advanced melanoma</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420" w:type="dxa"/>
            <w:vAlign w:val="bottom"/>
            <w:gridSpan w:val="2"/>
          </w:tcPr>
          <w:p>
            <w:pPr>
              <w:ind w:left="180"/>
              <w:spacing w:after="0"/>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b w:val="1"/>
                <w:bCs w:val="1"/>
                <w:color w:val="000000"/>
              </w:rPr>
              <w:t>Pipeline Growth:</w:t>
            </w:r>
            <w:r>
              <w:rPr>
                <w:rFonts w:ascii="Arial" w:cs="Arial" w:eastAsia="Arial" w:hAnsi="Arial"/>
                <w:sz w:val="14"/>
                <w:szCs w:val="14"/>
                <w:color w:val="215AA8"/>
              </w:rPr>
              <w:t xml:space="preserve"> </w:t>
            </w:r>
            <w:r>
              <w:rPr>
                <w:rFonts w:ascii="Arial" w:cs="Arial" w:eastAsia="Arial" w:hAnsi="Arial"/>
                <w:sz w:val="14"/>
                <w:szCs w:val="14"/>
                <w:color w:val="000000"/>
              </w:rPr>
              <w:t>Initiated 27 clinical trials for new or existing programs</w:t>
            </w:r>
          </w:p>
        </w:tc>
        <w:tc>
          <w:tcPr>
            <w:tcW w:w="0" w:type="dxa"/>
            <w:vAlign w:val="bottom"/>
          </w:tcPr>
          <w:p>
            <w:pPr>
              <w:spacing w:after="0"/>
              <w:rPr>
                <w:sz w:val="1"/>
                <w:szCs w:val="1"/>
                <w:color w:val="auto"/>
              </w:rPr>
            </w:pPr>
          </w:p>
        </w:tc>
      </w:tr>
    </w:tbl>
    <w:p>
      <w:pPr>
        <w:spacing w:after="0" w:line="231" w:lineRule="exact"/>
        <w:rPr>
          <w:sz w:val="20"/>
          <w:szCs w:val="20"/>
          <w:color w:val="auto"/>
        </w:rPr>
      </w:pPr>
    </w:p>
    <w:tbl>
      <w:tblPr>
        <w:tblLayout w:type="fixed"/>
        <w:tblInd w:w="230" w:type="dxa"/>
        <w:tblCellMar>
          <w:top w:w="0" w:type="dxa"/>
          <w:left w:w="0" w:type="dxa"/>
          <w:bottom w:w="0" w:type="dxa"/>
          <w:right w:w="0" w:type="dxa"/>
        </w:tblCellMar>
      </w:tblPr>
      <w:tr>
        <w:trPr>
          <w:trHeight w:val="247"/>
        </w:trPr>
        <w:tc>
          <w:tcPr>
            <w:tcW w:w="5380" w:type="dxa"/>
            <w:vAlign w:val="bottom"/>
            <w:gridSpan w:val="2"/>
          </w:tcPr>
          <w:p>
            <w:pPr>
              <w:spacing w:after="0"/>
              <w:rPr>
                <w:sz w:val="20"/>
                <w:szCs w:val="20"/>
                <w:color w:val="auto"/>
              </w:rPr>
            </w:pPr>
            <w:r>
              <w:rPr>
                <w:rFonts w:ascii="Arial" w:cs="Arial" w:eastAsia="Arial" w:hAnsi="Arial"/>
                <w:sz w:val="18"/>
                <w:szCs w:val="18"/>
                <w:b w:val="1"/>
                <w:bCs w:val="1"/>
                <w:color w:val="215AA8"/>
              </w:rPr>
              <w:t>Commercial and Operational Execution</w:t>
            </w:r>
          </w:p>
        </w:tc>
        <w:tc>
          <w:tcPr>
            <w:tcW w:w="5360" w:type="dxa"/>
            <w:vAlign w:val="bottom"/>
            <w:gridSpan w:val="4"/>
          </w:tcPr>
          <w:p>
            <w:pPr>
              <w:ind w:left="200"/>
              <w:spacing w:after="0"/>
              <w:rPr>
                <w:sz w:val="20"/>
                <w:szCs w:val="20"/>
                <w:color w:val="auto"/>
              </w:rPr>
            </w:pPr>
            <w:r>
              <w:rPr>
                <w:rFonts w:ascii="Arial" w:cs="Arial" w:eastAsia="Arial" w:hAnsi="Arial"/>
                <w:sz w:val="18"/>
                <w:szCs w:val="18"/>
                <w:b w:val="1"/>
                <w:bCs w:val="1"/>
                <w:color w:val="215AA8"/>
              </w:rPr>
              <w:t>Financial Execution and Talent Management</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20"/>
                <w:szCs w:val="20"/>
                <w:color w:val="auto"/>
              </w:rPr>
            </w:pPr>
            <w:r>
              <w:rPr>
                <w:rFonts w:ascii="Arial" w:cs="Arial" w:eastAsia="Arial" w:hAnsi="Arial"/>
                <w:sz w:val="14"/>
                <w:szCs w:val="14"/>
                <w:color w:val="215AA8"/>
              </w:rPr>
              <w:t>•</w:t>
            </w:r>
          </w:p>
        </w:tc>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 xml:space="preserve">EYLEA HD and EYLEA: </w:t>
            </w:r>
            <w:r>
              <w:rPr>
                <w:rFonts w:ascii="Arial" w:cs="Arial" w:eastAsia="Arial" w:hAnsi="Arial"/>
                <w:sz w:val="14"/>
                <w:szCs w:val="14"/>
                <w:color w:val="auto"/>
              </w:rPr>
              <w:t>Recorded full-year 2023 U.S. net product sales of $5.89</w:t>
            </w:r>
          </w:p>
        </w:tc>
        <w:tc>
          <w:tcPr>
            <w:tcW w:w="280" w:type="dxa"/>
            <w:vAlign w:val="bottom"/>
          </w:tcPr>
          <w:p>
            <w:pPr>
              <w:ind w:left="200"/>
              <w:spacing w:after="0"/>
              <w:rPr>
                <w:sz w:val="20"/>
                <w:szCs w:val="20"/>
                <w:color w:val="auto"/>
              </w:rPr>
            </w:pPr>
            <w:r>
              <w:rPr>
                <w:rFonts w:ascii="Arial" w:cs="Arial" w:eastAsia="Arial" w:hAnsi="Arial"/>
                <w:sz w:val="14"/>
                <w:szCs w:val="14"/>
                <w:color w:val="215AA8"/>
              </w:rPr>
              <w:t>•</w:t>
            </w:r>
          </w:p>
        </w:tc>
        <w:tc>
          <w:tcPr>
            <w:tcW w:w="5080" w:type="dxa"/>
            <w:vAlign w:val="bottom"/>
            <w:gridSpan w:val="3"/>
          </w:tcPr>
          <w:p>
            <w:pPr>
              <w:ind w:left="60"/>
              <w:spacing w:after="0"/>
              <w:rPr>
                <w:sz w:val="20"/>
                <w:szCs w:val="20"/>
                <w:color w:val="auto"/>
              </w:rPr>
            </w:pPr>
            <w:r>
              <w:rPr>
                <w:rFonts w:ascii="Arial" w:cs="Arial" w:eastAsia="Arial" w:hAnsi="Arial"/>
                <w:sz w:val="14"/>
                <w:szCs w:val="14"/>
                <w:b w:val="1"/>
                <w:bCs w:val="1"/>
                <w:color w:val="auto"/>
              </w:rPr>
              <w:t xml:space="preserve">Revenue: </w:t>
            </w:r>
            <w:r>
              <w:rPr>
                <w:rFonts w:ascii="Arial" w:cs="Arial" w:eastAsia="Arial" w:hAnsi="Arial"/>
                <w:sz w:val="14"/>
                <w:szCs w:val="14"/>
                <w:color w:val="auto"/>
              </w:rPr>
              <w:t>Increased full-year 2023 revenues 8% to $13.12 billion versus 2022;</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5280" w:type="dxa"/>
            <w:vAlign w:val="bottom"/>
          </w:tcPr>
          <w:p>
            <w:pPr>
              <w:ind w:left="40"/>
              <w:spacing w:after="0"/>
              <w:rPr>
                <w:sz w:val="20"/>
                <w:szCs w:val="20"/>
                <w:color w:val="auto"/>
              </w:rPr>
            </w:pPr>
            <w:r>
              <w:rPr>
                <w:rFonts w:ascii="Arial" w:cs="Arial" w:eastAsia="Arial" w:hAnsi="Arial"/>
                <w:sz w:val="14"/>
                <w:szCs w:val="14"/>
                <w:color w:val="auto"/>
              </w:rPr>
              <w:t>billion in the aggregate, including $166 million from EYLEA HD following its August</w:t>
            </w:r>
          </w:p>
        </w:tc>
        <w:tc>
          <w:tcPr>
            <w:tcW w:w="280" w:type="dxa"/>
            <w:vAlign w:val="bottom"/>
          </w:tcPr>
          <w:p>
            <w:pPr>
              <w:spacing w:after="0"/>
              <w:rPr>
                <w:sz w:val="14"/>
                <w:szCs w:val="14"/>
                <w:color w:val="auto"/>
              </w:rPr>
            </w:pPr>
          </w:p>
        </w:tc>
        <w:tc>
          <w:tcPr>
            <w:tcW w:w="5080" w:type="dxa"/>
            <w:vAlign w:val="bottom"/>
            <w:gridSpan w:val="3"/>
          </w:tcPr>
          <w:p>
            <w:pPr>
              <w:ind w:left="60"/>
              <w:spacing w:after="0" w:line="168" w:lineRule="exact"/>
              <w:rPr>
                <w:sz w:val="20"/>
                <w:szCs w:val="20"/>
                <w:color w:val="auto"/>
              </w:rPr>
            </w:pPr>
            <w:r>
              <w:rPr>
                <w:rFonts w:ascii="Arial" w:cs="Arial" w:eastAsia="Arial" w:hAnsi="Arial"/>
                <w:sz w:val="12"/>
                <w:szCs w:val="12"/>
                <w:color w:val="auto"/>
              </w:rPr>
              <w:t>excluding Ronapreve,</w:t>
            </w:r>
            <w:r>
              <w:rPr>
                <w:rFonts w:ascii="Arial" w:cs="Arial" w:eastAsia="Arial" w:hAnsi="Arial"/>
                <w:sz w:val="19"/>
                <w:szCs w:val="19"/>
                <w:color w:val="auto"/>
                <w:vertAlign w:val="superscript"/>
              </w:rPr>
              <w:t>2</w:t>
            </w:r>
            <w:r>
              <w:rPr>
                <w:rFonts w:ascii="Arial" w:cs="Arial" w:eastAsia="Arial" w:hAnsi="Arial"/>
                <w:sz w:val="12"/>
                <w:szCs w:val="12"/>
                <w:color w:val="auto"/>
              </w:rPr>
              <w:t xml:space="preserve"> increased revenues 12%</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5280" w:type="dxa"/>
            <w:vAlign w:val="bottom"/>
          </w:tcPr>
          <w:p>
            <w:pPr>
              <w:ind w:left="40"/>
              <w:spacing w:after="0"/>
              <w:rPr>
                <w:sz w:val="20"/>
                <w:szCs w:val="20"/>
                <w:color w:val="auto"/>
              </w:rPr>
            </w:pPr>
            <w:r>
              <w:rPr>
                <w:rFonts w:ascii="Arial" w:cs="Arial" w:eastAsia="Arial" w:hAnsi="Arial"/>
                <w:sz w:val="14"/>
                <w:szCs w:val="14"/>
                <w:color w:val="auto"/>
              </w:rPr>
              <w:t>2023 FDA approval</w:t>
            </w:r>
          </w:p>
        </w:tc>
        <w:tc>
          <w:tcPr>
            <w:tcW w:w="280" w:type="dxa"/>
            <w:vAlign w:val="bottom"/>
            <w:vMerge w:val="restart"/>
          </w:tcPr>
          <w:p>
            <w:pPr>
              <w:ind w:left="200"/>
              <w:spacing w:after="0"/>
              <w:rPr>
                <w:sz w:val="20"/>
                <w:szCs w:val="20"/>
                <w:color w:val="auto"/>
              </w:rPr>
            </w:pPr>
            <w:r>
              <w:rPr>
                <w:rFonts w:ascii="Arial" w:cs="Arial" w:eastAsia="Arial" w:hAnsi="Arial"/>
                <w:sz w:val="14"/>
                <w:szCs w:val="14"/>
                <w:color w:val="215AA8"/>
              </w:rPr>
              <w:t>•</w:t>
            </w:r>
          </w:p>
        </w:tc>
        <w:tc>
          <w:tcPr>
            <w:tcW w:w="5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6"/>
              </w:rPr>
              <w:t xml:space="preserve">EPS: </w:t>
            </w:r>
            <w:r>
              <w:rPr>
                <w:rFonts w:ascii="Arial" w:cs="Arial" w:eastAsia="Arial" w:hAnsi="Arial"/>
                <w:sz w:val="14"/>
                <w:szCs w:val="14"/>
                <w:color w:val="auto"/>
                <w:w w:val="96"/>
              </w:rPr>
              <w:t>Reported GAAP and non-GAAP diluted net income per share, or EPS, for full-</w:t>
            </w:r>
          </w:p>
        </w:tc>
        <w:tc>
          <w:tcPr>
            <w:tcW w:w="0" w:type="dxa"/>
            <w:vAlign w:val="bottom"/>
          </w:tcPr>
          <w:p>
            <w:pPr>
              <w:spacing w:after="0"/>
              <w:rPr>
                <w:sz w:val="1"/>
                <w:szCs w:val="1"/>
                <w:color w:val="auto"/>
              </w:rPr>
            </w:pPr>
          </w:p>
        </w:tc>
      </w:tr>
      <w:tr>
        <w:trPr>
          <w:trHeight w:val="68"/>
        </w:trPr>
        <w:tc>
          <w:tcPr>
            <w:tcW w:w="5380" w:type="dxa"/>
            <w:vAlign w:val="bottom"/>
            <w:gridSpan w:val="2"/>
            <w:vMerge w:val="restart"/>
          </w:tcPr>
          <w:p>
            <w:pPr>
              <w:spacing w:after="0" w:line="191" w:lineRule="exact"/>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b w:val="1"/>
                <w:bCs w:val="1"/>
                <w:color w:val="000000"/>
              </w:rPr>
              <w:t>Dupixent:</w:t>
            </w:r>
            <w:r>
              <w:rPr>
                <w:rFonts w:ascii="Arial" w:cs="Arial" w:eastAsia="Arial" w:hAnsi="Arial"/>
                <w:sz w:val="14"/>
                <w:szCs w:val="14"/>
                <w:color w:val="215AA8"/>
              </w:rPr>
              <w:t xml:space="preserve"> </w:t>
            </w:r>
            <w:r>
              <w:rPr>
                <w:rFonts w:ascii="Arial" w:cs="Arial" w:eastAsia="Arial" w:hAnsi="Arial"/>
                <w:sz w:val="14"/>
                <w:szCs w:val="14"/>
                <w:color w:val="000000"/>
              </w:rPr>
              <w:t>Increased full-year 2023 global net product sales 33% to $11.59 billion</w:t>
            </w:r>
            <w:r>
              <w:rPr>
                <w:rFonts w:ascii="Arial" w:cs="Arial" w:eastAsia="Arial" w:hAnsi="Arial"/>
                <w:sz w:val="22"/>
                <w:szCs w:val="22"/>
                <w:color w:val="000000"/>
                <w:vertAlign w:val="superscript"/>
              </w:rPr>
              <w:t>1</w:t>
            </w:r>
          </w:p>
        </w:tc>
        <w:tc>
          <w:tcPr>
            <w:tcW w:w="280" w:type="dxa"/>
            <w:vAlign w:val="bottom"/>
            <w:vMerge w:val="continue"/>
          </w:tcPr>
          <w:p>
            <w:pPr>
              <w:spacing w:after="0"/>
              <w:rPr>
                <w:sz w:val="5"/>
                <w:szCs w:val="5"/>
                <w:color w:val="auto"/>
              </w:rPr>
            </w:pPr>
          </w:p>
        </w:tc>
        <w:tc>
          <w:tcPr>
            <w:tcW w:w="5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53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vMerge w:val="restart"/>
          </w:tcPr>
          <w:p>
            <w:pPr>
              <w:ind w:left="60"/>
              <w:spacing w:after="0"/>
              <w:rPr>
                <w:sz w:val="20"/>
                <w:szCs w:val="20"/>
                <w:color w:val="auto"/>
              </w:rPr>
            </w:pPr>
            <w:r>
              <w:rPr>
                <w:rFonts w:ascii="Arial" w:cs="Arial" w:eastAsia="Arial" w:hAnsi="Arial"/>
                <w:sz w:val="14"/>
                <w:szCs w:val="14"/>
                <w:color w:val="auto"/>
                <w:w w:val="94"/>
              </w:rPr>
              <w:t>year 2023 of $34.77 and $43.79,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3</w:t>
            </w: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respectively</w:t>
            </w: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280" w:type="dxa"/>
            <w:vAlign w:val="bottom"/>
            <w:vMerge w:val="restart"/>
          </w:tcPr>
          <w:p>
            <w:pPr>
              <w:ind w:left="40"/>
              <w:spacing w:after="0"/>
              <w:rPr>
                <w:sz w:val="20"/>
                <w:szCs w:val="20"/>
                <w:color w:val="auto"/>
              </w:rPr>
            </w:pPr>
            <w:r>
              <w:rPr>
                <w:rFonts w:ascii="Arial" w:cs="Arial" w:eastAsia="Arial" w:hAnsi="Arial"/>
                <w:sz w:val="14"/>
                <w:szCs w:val="14"/>
                <w:color w:val="auto"/>
              </w:rPr>
              <w:t>versus 2022</w:t>
            </w:r>
          </w:p>
        </w:tc>
        <w:tc>
          <w:tcPr>
            <w:tcW w:w="28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5280" w:type="dxa"/>
            <w:vAlign w:val="bottom"/>
            <w:vMerge w:val="continue"/>
          </w:tcPr>
          <w:p>
            <w:pPr>
              <w:spacing w:after="0"/>
              <w:rPr>
                <w:sz w:val="7"/>
                <w:szCs w:val="7"/>
                <w:color w:val="auto"/>
              </w:rPr>
            </w:pPr>
          </w:p>
        </w:tc>
        <w:tc>
          <w:tcPr>
            <w:tcW w:w="280" w:type="dxa"/>
            <w:vAlign w:val="bottom"/>
            <w:vMerge w:val="restart"/>
          </w:tcPr>
          <w:p>
            <w:pPr>
              <w:ind w:left="200"/>
              <w:spacing w:after="0"/>
              <w:rPr>
                <w:sz w:val="20"/>
                <w:szCs w:val="20"/>
                <w:color w:val="auto"/>
              </w:rPr>
            </w:pPr>
            <w:r>
              <w:rPr>
                <w:rFonts w:ascii="Arial" w:cs="Arial" w:eastAsia="Arial" w:hAnsi="Arial"/>
                <w:sz w:val="14"/>
                <w:szCs w:val="14"/>
                <w:color w:val="215AA8"/>
              </w:rPr>
              <w:t>•</w:t>
            </w:r>
          </w:p>
        </w:tc>
        <w:tc>
          <w:tcPr>
            <w:tcW w:w="5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xml:space="preserve">Share Repurchase Programs: </w:t>
            </w:r>
            <w:r>
              <w:rPr>
                <w:rFonts w:ascii="Arial" w:cs="Arial" w:eastAsia="Arial" w:hAnsi="Arial"/>
                <w:sz w:val="14"/>
                <w:szCs w:val="14"/>
                <w:color w:val="auto"/>
              </w:rPr>
              <w:t>Repurchased $2.2 billion of common stock</w:t>
            </w:r>
          </w:p>
        </w:tc>
        <w:tc>
          <w:tcPr>
            <w:tcW w:w="0" w:type="dxa"/>
            <w:vAlign w:val="bottom"/>
          </w:tcPr>
          <w:p>
            <w:pPr>
              <w:spacing w:after="0"/>
              <w:rPr>
                <w:sz w:val="1"/>
                <w:szCs w:val="1"/>
                <w:color w:val="auto"/>
              </w:rPr>
            </w:pPr>
          </w:p>
        </w:tc>
      </w:tr>
      <w:tr>
        <w:trPr>
          <w:trHeight w:val="121"/>
        </w:trPr>
        <w:tc>
          <w:tcPr>
            <w:tcW w:w="100" w:type="dxa"/>
            <w:vAlign w:val="bottom"/>
            <w:vMerge w:val="restart"/>
          </w:tcPr>
          <w:p>
            <w:pPr>
              <w:spacing w:after="0"/>
              <w:rPr>
                <w:sz w:val="20"/>
                <w:szCs w:val="20"/>
                <w:color w:val="auto"/>
              </w:rPr>
            </w:pPr>
            <w:r>
              <w:rPr>
                <w:rFonts w:ascii="Arial" w:cs="Arial" w:eastAsia="Arial" w:hAnsi="Arial"/>
                <w:sz w:val="14"/>
                <w:szCs w:val="14"/>
                <w:color w:val="215AA8"/>
              </w:rPr>
              <w:t>•</w:t>
            </w:r>
          </w:p>
        </w:tc>
        <w:tc>
          <w:tcPr>
            <w:tcW w:w="5280" w:type="dxa"/>
            <w:vAlign w:val="bottom"/>
            <w:vMerge w:val="restart"/>
          </w:tcPr>
          <w:p>
            <w:pPr>
              <w:ind w:left="40"/>
              <w:spacing w:after="0" w:line="195" w:lineRule="exact"/>
              <w:rPr>
                <w:sz w:val="20"/>
                <w:szCs w:val="20"/>
                <w:color w:val="auto"/>
              </w:rPr>
            </w:pPr>
            <w:r>
              <w:rPr>
                <w:rFonts w:ascii="Arial" w:cs="Arial" w:eastAsia="Arial" w:hAnsi="Arial"/>
                <w:sz w:val="14"/>
                <w:szCs w:val="14"/>
                <w:b w:val="1"/>
                <w:bCs w:val="1"/>
                <w:color w:val="auto"/>
              </w:rPr>
              <w:t xml:space="preserve">Libtayo: </w:t>
            </w:r>
            <w:r>
              <w:rPr>
                <w:rFonts w:ascii="Arial" w:cs="Arial" w:eastAsia="Arial" w:hAnsi="Arial"/>
                <w:sz w:val="14"/>
                <w:szCs w:val="14"/>
                <w:color w:val="auto"/>
              </w:rPr>
              <w:t>Increased full-year 2023 global net product sales 50% to $869 million</w:t>
            </w:r>
            <w:r>
              <w:rPr>
                <w:rFonts w:ascii="Arial" w:cs="Arial" w:eastAsia="Arial" w:hAnsi="Arial"/>
                <w:sz w:val="22"/>
                <w:szCs w:val="22"/>
                <w:color w:val="auto"/>
                <w:vertAlign w:val="superscript"/>
              </w:rPr>
              <w:t>1</w:t>
            </w:r>
          </w:p>
        </w:tc>
        <w:tc>
          <w:tcPr>
            <w:tcW w:w="280" w:type="dxa"/>
            <w:vAlign w:val="bottom"/>
            <w:vMerge w:val="continue"/>
          </w:tcPr>
          <w:p>
            <w:pPr>
              <w:spacing w:after="0"/>
              <w:rPr>
                <w:sz w:val="10"/>
                <w:szCs w:val="10"/>
                <w:color w:val="auto"/>
              </w:rPr>
            </w:pPr>
          </w:p>
        </w:tc>
        <w:tc>
          <w:tcPr>
            <w:tcW w:w="5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00" w:type="dxa"/>
            <w:vAlign w:val="bottom"/>
            <w:vMerge w:val="continue"/>
          </w:tcPr>
          <w:p>
            <w:pPr>
              <w:spacing w:after="0"/>
              <w:rPr>
                <w:sz w:val="6"/>
                <w:szCs w:val="6"/>
                <w:color w:val="auto"/>
              </w:rPr>
            </w:pPr>
          </w:p>
        </w:tc>
        <w:tc>
          <w:tcPr>
            <w:tcW w:w="5280" w:type="dxa"/>
            <w:vAlign w:val="bottom"/>
            <w:vMerge w:val="continue"/>
          </w:tcPr>
          <w:p>
            <w:pPr>
              <w:spacing w:after="0"/>
              <w:rPr>
                <w:sz w:val="6"/>
                <w:szCs w:val="6"/>
                <w:color w:val="auto"/>
              </w:rPr>
            </w:pPr>
          </w:p>
        </w:tc>
        <w:tc>
          <w:tcPr>
            <w:tcW w:w="280" w:type="dxa"/>
            <w:vAlign w:val="bottom"/>
            <w:vMerge w:val="restart"/>
          </w:tcPr>
          <w:p>
            <w:pPr>
              <w:ind w:left="200"/>
              <w:spacing w:after="0"/>
              <w:rPr>
                <w:sz w:val="20"/>
                <w:szCs w:val="20"/>
                <w:color w:val="auto"/>
              </w:rPr>
            </w:pPr>
            <w:r>
              <w:rPr>
                <w:rFonts w:ascii="Arial" w:cs="Arial" w:eastAsia="Arial" w:hAnsi="Arial"/>
                <w:sz w:val="14"/>
                <w:szCs w:val="14"/>
                <w:color w:val="215AA8"/>
              </w:rPr>
              <w:t>•</w:t>
            </w:r>
          </w:p>
        </w:tc>
        <w:tc>
          <w:tcPr>
            <w:tcW w:w="2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Talent Management:</w:t>
            </w:r>
          </w:p>
        </w:tc>
        <w:tc>
          <w:tcPr>
            <w:tcW w:w="80" w:type="dxa"/>
            <w:vAlign w:val="bottom"/>
          </w:tcPr>
          <w:p>
            <w:pPr>
              <w:spacing w:after="0"/>
              <w:rPr>
                <w:sz w:val="6"/>
                <w:szCs w:val="6"/>
                <w:color w:val="auto"/>
              </w:rPr>
            </w:pPr>
          </w:p>
        </w:tc>
        <w:tc>
          <w:tcPr>
            <w:tcW w:w="3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5280" w:type="dxa"/>
            <w:vAlign w:val="bottom"/>
          </w:tcPr>
          <w:p>
            <w:pPr>
              <w:ind w:left="40"/>
              <w:spacing w:after="0" w:line="157" w:lineRule="exact"/>
              <w:rPr>
                <w:sz w:val="20"/>
                <w:szCs w:val="20"/>
                <w:color w:val="auto"/>
              </w:rPr>
            </w:pPr>
            <w:r>
              <w:rPr>
                <w:rFonts w:ascii="Arial" w:cs="Arial" w:eastAsia="Arial" w:hAnsi="Arial"/>
                <w:sz w:val="14"/>
                <w:szCs w:val="14"/>
                <w:color w:val="auto"/>
              </w:rPr>
              <w:t>versus 2022</w:t>
            </w:r>
          </w:p>
        </w:tc>
        <w:tc>
          <w:tcPr>
            <w:tcW w:w="2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20"/>
                <w:szCs w:val="20"/>
                <w:color w:val="auto"/>
              </w:rPr>
            </w:pPr>
            <w:r>
              <w:rPr>
                <w:rFonts w:ascii="Arial" w:cs="Arial" w:eastAsia="Arial" w:hAnsi="Arial"/>
                <w:sz w:val="14"/>
                <w:szCs w:val="14"/>
                <w:color w:val="215AA8"/>
              </w:rPr>
              <w:t>•</w:t>
            </w:r>
          </w:p>
        </w:tc>
        <w:tc>
          <w:tcPr>
            <w:tcW w:w="5280" w:type="dxa"/>
            <w:vAlign w:val="bottom"/>
          </w:tcPr>
          <w:p>
            <w:pPr>
              <w:ind w:left="40"/>
              <w:spacing w:after="0"/>
              <w:rPr>
                <w:sz w:val="20"/>
                <w:szCs w:val="20"/>
                <w:color w:val="auto"/>
              </w:rPr>
            </w:pPr>
            <w:r>
              <w:rPr>
                <w:rFonts w:ascii="Arial" w:cs="Arial" w:eastAsia="Arial" w:hAnsi="Arial"/>
                <w:sz w:val="14"/>
                <w:szCs w:val="14"/>
                <w:b w:val="1"/>
                <w:bCs w:val="1"/>
                <w:color w:val="auto"/>
                <w:w w:val="99"/>
              </w:rPr>
              <w:t xml:space="preserve">Commercial Expansion: </w:t>
            </w:r>
            <w:r>
              <w:rPr>
                <w:rFonts w:ascii="Arial" w:cs="Arial" w:eastAsia="Arial" w:hAnsi="Arial"/>
                <w:sz w:val="14"/>
                <w:szCs w:val="14"/>
                <w:color w:val="auto"/>
                <w:w w:val="99"/>
              </w:rPr>
              <w:t>Established commercial capabilities in additional countries</w:t>
            </w:r>
          </w:p>
        </w:tc>
        <w:tc>
          <w:tcPr>
            <w:tcW w:w="280" w:type="dxa"/>
            <w:vAlign w:val="bottom"/>
          </w:tcPr>
          <w:p>
            <w:pPr>
              <w:spacing w:after="0"/>
              <w:rPr>
                <w:sz w:val="16"/>
                <w:szCs w:val="16"/>
                <w:color w:val="auto"/>
              </w:rPr>
            </w:pPr>
          </w:p>
        </w:tc>
        <w:tc>
          <w:tcPr>
            <w:tcW w:w="5080" w:type="dxa"/>
            <w:vAlign w:val="bottom"/>
            <w:gridSpan w:val="3"/>
          </w:tcPr>
          <w:p>
            <w:pPr>
              <w:ind w:left="60"/>
              <w:spacing w:after="0"/>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color w:val="000000"/>
              </w:rPr>
              <w:t>Reached headcount of nearly 13,500 employees across 12 countries, up 13%</w:t>
            </w: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280" w:type="dxa"/>
            <w:vAlign w:val="bottom"/>
            <w:vMerge w:val="restart"/>
          </w:tcPr>
          <w:p>
            <w:pPr>
              <w:ind w:left="40"/>
              <w:spacing w:after="0"/>
              <w:rPr>
                <w:sz w:val="20"/>
                <w:szCs w:val="20"/>
                <w:color w:val="auto"/>
              </w:rPr>
            </w:pPr>
            <w:r>
              <w:rPr>
                <w:rFonts w:ascii="Arial" w:cs="Arial" w:eastAsia="Arial" w:hAnsi="Arial"/>
                <w:sz w:val="14"/>
                <w:szCs w:val="14"/>
                <w:color w:val="auto"/>
              </w:rPr>
              <w:t>outside the United States</w:t>
            </w:r>
          </w:p>
        </w:tc>
        <w:tc>
          <w:tcPr>
            <w:tcW w:w="280" w:type="dxa"/>
            <w:vAlign w:val="bottom"/>
          </w:tcPr>
          <w:p>
            <w:pPr>
              <w:spacing w:after="0"/>
              <w:rPr>
                <w:sz w:val="11"/>
                <w:szCs w:val="11"/>
                <w:color w:val="auto"/>
              </w:rPr>
            </w:pPr>
          </w:p>
        </w:tc>
        <w:tc>
          <w:tcPr>
            <w:tcW w:w="5080" w:type="dxa"/>
            <w:vAlign w:val="bottom"/>
            <w:gridSpan w:val="3"/>
          </w:tcPr>
          <w:p>
            <w:pPr>
              <w:ind w:left="180"/>
              <w:spacing w:after="0" w:line="136" w:lineRule="exact"/>
              <w:rPr>
                <w:sz w:val="20"/>
                <w:szCs w:val="20"/>
                <w:color w:val="auto"/>
              </w:rPr>
            </w:pPr>
            <w:r>
              <w:rPr>
                <w:rFonts w:ascii="Arial" w:cs="Arial" w:eastAsia="Arial" w:hAnsi="Arial"/>
                <w:sz w:val="14"/>
                <w:szCs w:val="14"/>
                <w:color w:val="auto"/>
                <w:w w:val="97"/>
              </w:rPr>
              <w:t>year-over-year, while maintaining turnover rate of less than one-third the industry</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2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000" w:type="dxa"/>
            <w:vAlign w:val="bottom"/>
            <w:vMerge w:val="restart"/>
          </w:tcPr>
          <w:p>
            <w:pPr>
              <w:ind w:left="180"/>
              <w:spacing w:after="0"/>
              <w:rPr>
                <w:sz w:val="20"/>
                <w:szCs w:val="20"/>
                <w:color w:val="auto"/>
              </w:rPr>
            </w:pPr>
            <w:r>
              <w:rPr>
                <w:rFonts w:ascii="Arial" w:cs="Arial" w:eastAsia="Arial" w:hAnsi="Arial"/>
                <w:sz w:val="14"/>
                <w:szCs w:val="14"/>
                <w:color w:val="auto"/>
              </w:rPr>
              <w:t>average</w:t>
            </w:r>
          </w:p>
        </w:tc>
        <w:tc>
          <w:tcPr>
            <w:tcW w:w="80" w:type="dxa"/>
            <w:vAlign w:val="bottom"/>
          </w:tcPr>
          <w:p>
            <w:pPr>
              <w:spacing w:after="0"/>
              <w:rPr>
                <w:sz w:val="5"/>
                <w:szCs w:val="5"/>
                <w:color w:val="auto"/>
              </w:rPr>
            </w:pPr>
          </w:p>
        </w:tc>
        <w:tc>
          <w:tcPr>
            <w:tcW w:w="3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00" w:type="dxa"/>
            <w:vAlign w:val="bottom"/>
            <w:vMerge w:val="restart"/>
          </w:tcPr>
          <w:p>
            <w:pPr>
              <w:spacing w:after="0"/>
              <w:rPr>
                <w:sz w:val="20"/>
                <w:szCs w:val="20"/>
                <w:color w:val="auto"/>
              </w:rPr>
            </w:pPr>
            <w:r>
              <w:rPr>
                <w:rFonts w:ascii="Arial" w:cs="Arial" w:eastAsia="Arial" w:hAnsi="Arial"/>
                <w:sz w:val="14"/>
                <w:szCs w:val="14"/>
                <w:color w:val="215AA8"/>
              </w:rPr>
              <w:t>•</w:t>
            </w:r>
          </w:p>
        </w:tc>
        <w:tc>
          <w:tcPr>
            <w:tcW w:w="5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Industrial Operations and Product Supply: </w:t>
            </w:r>
            <w:r>
              <w:rPr>
                <w:rFonts w:ascii="Arial" w:cs="Arial" w:eastAsia="Arial" w:hAnsi="Arial"/>
                <w:sz w:val="14"/>
                <w:szCs w:val="14"/>
                <w:color w:val="auto"/>
              </w:rPr>
              <w:t>Expanded manufacturing capabilities</w:t>
            </w:r>
          </w:p>
        </w:tc>
        <w:tc>
          <w:tcPr>
            <w:tcW w:w="28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00" w:type="dxa"/>
            <w:vAlign w:val="bottom"/>
            <w:vMerge w:val="continue"/>
          </w:tcPr>
          <w:p>
            <w:pPr>
              <w:spacing w:after="0"/>
              <w:rPr>
                <w:sz w:val="6"/>
                <w:szCs w:val="6"/>
                <w:color w:val="auto"/>
              </w:rPr>
            </w:pPr>
          </w:p>
        </w:tc>
        <w:tc>
          <w:tcPr>
            <w:tcW w:w="52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080" w:type="dxa"/>
            <w:vAlign w:val="bottom"/>
            <w:gridSpan w:val="3"/>
            <w:vMerge w:val="restart"/>
          </w:tcPr>
          <w:p>
            <w:pPr>
              <w:ind w:left="60"/>
              <w:spacing w:after="0"/>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color w:val="000000"/>
              </w:rPr>
              <w:t>Received overwhelmingly positive employee feedback, with 88% of employees</w:t>
            </w:r>
          </w:p>
        </w:tc>
        <w:tc>
          <w:tcPr>
            <w:tcW w:w="0" w:type="dxa"/>
            <w:vAlign w:val="bottom"/>
          </w:tcPr>
          <w:p>
            <w:pPr>
              <w:spacing w:after="0"/>
              <w:rPr>
                <w:sz w:val="1"/>
                <w:szCs w:val="1"/>
                <w:color w:val="auto"/>
              </w:rPr>
            </w:pPr>
          </w:p>
        </w:tc>
      </w:tr>
      <w:tr>
        <w:trPr>
          <w:trHeight w:val="113"/>
        </w:trPr>
        <w:tc>
          <w:tcPr>
            <w:tcW w:w="100" w:type="dxa"/>
            <w:vAlign w:val="bottom"/>
          </w:tcPr>
          <w:p>
            <w:pPr>
              <w:spacing w:after="0"/>
              <w:rPr>
                <w:sz w:val="9"/>
                <w:szCs w:val="9"/>
                <w:color w:val="auto"/>
              </w:rPr>
            </w:pPr>
          </w:p>
        </w:tc>
        <w:tc>
          <w:tcPr>
            <w:tcW w:w="5280" w:type="dxa"/>
            <w:vAlign w:val="bottom"/>
            <w:vMerge w:val="restart"/>
          </w:tcPr>
          <w:p>
            <w:pPr>
              <w:ind w:left="40"/>
              <w:spacing w:after="0"/>
              <w:rPr>
                <w:sz w:val="20"/>
                <w:szCs w:val="20"/>
                <w:color w:val="auto"/>
              </w:rPr>
            </w:pPr>
            <w:r>
              <w:rPr>
                <w:rFonts w:ascii="Arial" w:cs="Arial" w:eastAsia="Arial" w:hAnsi="Arial"/>
                <w:sz w:val="14"/>
                <w:szCs w:val="14"/>
                <w:color w:val="auto"/>
              </w:rPr>
              <w:t>and constructed the Company’s first fill/finish facility</w:t>
            </w:r>
          </w:p>
        </w:tc>
        <w:tc>
          <w:tcPr>
            <w:tcW w:w="280" w:type="dxa"/>
            <w:vAlign w:val="bottom"/>
          </w:tcPr>
          <w:p>
            <w:pPr>
              <w:spacing w:after="0"/>
              <w:rPr>
                <w:sz w:val="9"/>
                <w:szCs w:val="9"/>
                <w:color w:val="auto"/>
              </w:rPr>
            </w:pPr>
          </w:p>
        </w:tc>
        <w:tc>
          <w:tcPr>
            <w:tcW w:w="5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2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080" w:type="dxa"/>
            <w:vAlign w:val="bottom"/>
            <w:gridSpan w:val="3"/>
            <w:vMerge w:val="restart"/>
          </w:tcPr>
          <w:p>
            <w:pPr>
              <w:ind w:left="180"/>
              <w:spacing w:after="0" w:line="157" w:lineRule="exact"/>
              <w:rPr>
                <w:sz w:val="20"/>
                <w:szCs w:val="20"/>
                <w:color w:val="auto"/>
              </w:rPr>
            </w:pPr>
            <w:r>
              <w:rPr>
                <w:rFonts w:ascii="Arial" w:cs="Arial" w:eastAsia="Arial" w:hAnsi="Arial"/>
                <w:sz w:val="14"/>
                <w:szCs w:val="14"/>
                <w:color w:val="auto"/>
                <w:w w:val="96"/>
              </w:rPr>
              <w:t>indicating in a company-wide survey that Regeneron is a great place to work; and</w:t>
            </w: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80" w:type="dxa"/>
            <w:vAlign w:val="bottom"/>
            <w:gridSpan w:val="3"/>
          </w:tcPr>
          <w:p>
            <w:pPr>
              <w:ind w:left="180"/>
              <w:spacing w:after="0" w:line="191" w:lineRule="exact"/>
              <w:rPr>
                <w:sz w:val="20"/>
                <w:szCs w:val="20"/>
                <w:color w:val="auto"/>
              </w:rPr>
            </w:pPr>
            <w:r>
              <w:rPr>
                <w:rFonts w:ascii="Arial" w:cs="Arial" w:eastAsia="Arial" w:hAnsi="Arial"/>
                <w:sz w:val="14"/>
                <w:szCs w:val="14"/>
                <w:color w:val="auto"/>
                <w:w w:val="95"/>
              </w:rPr>
              <w:t>for the 13</w:t>
            </w:r>
            <w:r>
              <w:rPr>
                <w:rFonts w:ascii="Arial" w:cs="Arial" w:eastAsia="Arial" w:hAnsi="Arial"/>
                <w:sz w:val="22"/>
                <w:szCs w:val="22"/>
                <w:color w:val="auto"/>
                <w:w w:val="95"/>
                <w:vertAlign w:val="superscript"/>
              </w:rPr>
              <w:t>th</w:t>
            </w:r>
            <w:r>
              <w:rPr>
                <w:rFonts w:ascii="Arial" w:cs="Arial" w:eastAsia="Arial" w:hAnsi="Arial"/>
                <w:sz w:val="14"/>
                <w:szCs w:val="14"/>
                <w:color w:val="auto"/>
                <w:w w:val="95"/>
              </w:rPr>
              <w:t xml:space="preserve"> year in a row, placed in the top five in </w:t>
            </w:r>
            <w:r>
              <w:rPr>
                <w:rFonts w:ascii="Arial" w:cs="Arial" w:eastAsia="Arial" w:hAnsi="Arial"/>
                <w:sz w:val="14"/>
                <w:szCs w:val="14"/>
                <w:i w:val="1"/>
                <w:iCs w:val="1"/>
                <w:color w:val="auto"/>
                <w:w w:val="95"/>
              </w:rPr>
              <w:t>Science</w:t>
            </w:r>
            <w:r>
              <w:rPr>
                <w:rFonts w:ascii="Arial" w:cs="Arial" w:eastAsia="Arial" w:hAnsi="Arial"/>
                <w:sz w:val="14"/>
                <w:szCs w:val="14"/>
                <w:color w:val="auto"/>
                <w:w w:val="95"/>
              </w:rPr>
              <w:t xml:space="preserve"> magazine’s annual “Top</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80" w:type="dxa"/>
            <w:vAlign w:val="bottom"/>
            <w:gridSpan w:val="3"/>
          </w:tcPr>
          <w:p>
            <w:pPr>
              <w:ind w:left="180"/>
              <w:spacing w:after="0"/>
              <w:rPr>
                <w:sz w:val="20"/>
                <w:szCs w:val="20"/>
                <w:color w:val="auto"/>
              </w:rPr>
            </w:pPr>
            <w:r>
              <w:rPr>
                <w:rFonts w:ascii="Arial" w:cs="Arial" w:eastAsia="Arial" w:hAnsi="Arial"/>
                <w:sz w:val="14"/>
                <w:szCs w:val="14"/>
                <w:color w:val="auto"/>
              </w:rPr>
              <w:t>Employers Survey” of the global biotechnology and pharmaceutical industry</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70" w:hanging="270"/>
        <w:spacing w:after="0"/>
        <w:tabs>
          <w:tab w:leader="none" w:pos="270" w:val="left"/>
        </w:tabs>
        <w:numPr>
          <w:ilvl w:val="0"/>
          <w:numId w:val="85"/>
        </w:numPr>
        <w:rPr>
          <w:rFonts w:ascii="Arial" w:cs="Arial" w:eastAsia="Arial" w:hAnsi="Arial"/>
          <w:sz w:val="20"/>
          <w:szCs w:val="20"/>
          <w:color w:val="auto"/>
          <w:vertAlign w:val="superscript"/>
        </w:rPr>
      </w:pPr>
      <w:r>
        <w:rPr>
          <w:rFonts w:ascii="Arial" w:cs="Arial" w:eastAsia="Arial" w:hAnsi="Arial"/>
          <w:sz w:val="12"/>
          <w:szCs w:val="12"/>
          <w:color w:val="auto"/>
        </w:rPr>
        <w:t>Our collaborator Sanofi records global net product sales of Dupixent and, prior to July 1, 2022, recorded net product sales of Libtayo outside the United States.</w:t>
      </w:r>
    </w:p>
    <w:p>
      <w:pPr>
        <w:spacing w:after="0" w:line="29" w:lineRule="exact"/>
        <w:rPr>
          <w:sz w:val="20"/>
          <w:szCs w:val="20"/>
          <w:color w:val="auto"/>
        </w:rPr>
      </w:pPr>
    </w:p>
    <w:p>
      <w:pPr>
        <w:ind w:left="270" w:right="320" w:hanging="270"/>
        <w:spacing w:after="0" w:line="201" w:lineRule="auto"/>
        <w:tabs>
          <w:tab w:leader="none" w:pos="270" w:val="left"/>
        </w:tabs>
        <w:numPr>
          <w:ilvl w:val="0"/>
          <w:numId w:val="86"/>
        </w:numPr>
        <w:rPr>
          <w:rFonts w:ascii="Arial" w:cs="Arial" w:eastAsia="Arial" w:hAnsi="Arial"/>
          <w:sz w:val="20"/>
          <w:szCs w:val="20"/>
          <w:color w:val="auto"/>
          <w:vertAlign w:val="superscript"/>
        </w:rPr>
      </w:pPr>
      <w:r>
        <w:rPr>
          <w:rFonts w:ascii="Arial" w:cs="Arial" w:eastAsia="Arial" w:hAnsi="Arial"/>
          <w:sz w:val="12"/>
          <w:szCs w:val="12"/>
          <w:color w:val="auto"/>
        </w:rPr>
        <w:t>The casirivimab and imdevimab antibody cocktail for COVID-19 is known as REGEN-COV</w:t>
      </w:r>
      <w:r>
        <w:rPr>
          <w:rFonts w:ascii="Arial" w:cs="Arial" w:eastAsia="Arial" w:hAnsi="Arial"/>
          <w:sz w:val="19"/>
          <w:szCs w:val="19"/>
          <w:color w:val="auto"/>
          <w:vertAlign w:val="superscript"/>
        </w:rPr>
        <w:t>®</w:t>
      </w:r>
      <w:r>
        <w:rPr>
          <w:rFonts w:ascii="Arial" w:cs="Arial" w:eastAsia="Arial" w:hAnsi="Arial"/>
          <w:sz w:val="12"/>
          <w:szCs w:val="12"/>
          <w:color w:val="auto"/>
        </w:rPr>
        <w:t xml:space="preserve"> in the United States and Ronapreve™ in other countries. Our collaborator Roche records net product sales of Ronapreve outside the United States.</w:t>
      </w:r>
    </w:p>
    <w:p>
      <w:pPr>
        <w:spacing w:after="0" w:line="22" w:lineRule="exact"/>
        <w:rPr>
          <w:sz w:val="20"/>
          <w:szCs w:val="20"/>
          <w:color w:val="auto"/>
        </w:rPr>
      </w:pPr>
    </w:p>
    <w:p>
      <w:pPr>
        <w:ind w:left="270" w:right="440" w:hanging="270"/>
        <w:spacing w:after="0" w:line="191" w:lineRule="auto"/>
        <w:tabs>
          <w:tab w:leader="none" w:pos="270" w:val="left"/>
        </w:tabs>
        <w:numPr>
          <w:ilvl w:val="0"/>
          <w:numId w:val="87"/>
        </w:numPr>
        <w:rPr>
          <w:rFonts w:ascii="Arial" w:cs="Arial" w:eastAsia="Arial" w:hAnsi="Arial"/>
          <w:sz w:val="20"/>
          <w:szCs w:val="20"/>
          <w:color w:val="auto"/>
          <w:vertAlign w:val="superscript"/>
        </w:rPr>
      </w:pPr>
      <w:r>
        <w:rPr>
          <w:rFonts w:ascii="Arial" w:cs="Arial" w:eastAsia="Arial" w:hAnsi="Arial"/>
          <w:sz w:val="12"/>
          <w:szCs w:val="12"/>
          <w:color w:val="auto"/>
        </w:rPr>
        <w:t>Revenues excluding Ronapreve, non-GAAP net income, and non-GAAP net income per share, or EPS, are not measures calculated in accordance with GAAP. See Appendix A for a definition of these measures and a reconciliation of each of these measures to the most directly comparable GAAP financial measure.</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58</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39"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Our stock performed well in 2023, delivering a total shareholder return (“TSR”) of 22%. In addition, our stock outperformed all of the benchmarks shown below over the 3-year, 5-year, and 10-year periods ended December 31, 2023. We believe that our Company’s performance is best assessed from a long-term perspective, consistent with the long-term nature of the drug discovery and development cycle. We also believe that if we continue to deliver pipeline, operational, and financial results, the creation of shareholder value and stock price appreciation will follow, regardless of price fluctuations in any given period.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15AA8"/>
        </w:rPr>
        <w:t>Regeneron TSR vs.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106045</wp:posOffset>
            </wp:positionV>
            <wp:extent cx="5904230" cy="19799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0423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spacing w:after="0"/>
        <w:tabs>
          <w:tab w:leader="none" w:pos="260" w:val="left"/>
        </w:tabs>
        <w:rPr>
          <w:sz w:val="20"/>
          <w:szCs w:val="20"/>
          <w:color w:val="auto"/>
        </w:rPr>
      </w:pPr>
      <w:r>
        <w:rPr>
          <w:rFonts w:ascii="Arial" w:cs="Arial" w:eastAsia="Arial" w:hAnsi="Arial"/>
          <w:sz w:val="12"/>
          <w:szCs w:val="12"/>
          <w:color w:val="auto"/>
        </w:rPr>
        <w:t>*</w:t>
        <w:tab/>
        <w:t>TSR data reflect total returns (stock price appreciation and, if applicable, reinvested dividends).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2023 Compensation Highlights</w:t>
      </w:r>
    </w:p>
    <w:p>
      <w:pPr>
        <w:spacing w:after="0" w:line="174"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We remain committed to our compensation philosophy and strive to design our compensation program to support the long-term success of Regeneron. While our compensation philosophy and program objectives have remained the same, the specific features of our compensation program continue to evolve as the Company grows, our competition changes, and our business and operating environments transform. For example, five years ago, our workforce was just over half the size it is today, and our Company-wide equity compensation program, comprised entirely of stock options at the time, resulted in an annual burn rate of almost 5% of common shares outstanding. In recognition of the impact of our growth on the use of equity and in response to shareholder feedback, in recent years we have incorporated full-value awards as a component of our annual equity grants and recalibrated the sizing of equity grants. As a result, Regeneron’s burn rate declined in each of the last five years despite maintaining one of the broadest equity programs among our peers and growing the Company to nearly 13,500 employees.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59</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70" w:name="page71"/>
    <w:bookmarkEnd w:id="70"/>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39" w:lineRule="exact"/>
        <w:rPr>
          <w:sz w:val="20"/>
          <w:szCs w:val="20"/>
          <w:color w:val="auto"/>
        </w:rPr>
      </w:pPr>
    </w:p>
    <w:p>
      <w:pPr>
        <w:ind w:left="10"/>
        <w:spacing w:after="0"/>
        <w:rPr>
          <w:sz w:val="20"/>
          <w:szCs w:val="20"/>
          <w:color w:val="auto"/>
        </w:rPr>
      </w:pPr>
      <w:r>
        <w:rPr>
          <w:rFonts w:ascii="Arial" w:cs="Arial" w:eastAsia="Arial" w:hAnsi="Arial"/>
          <w:sz w:val="14"/>
          <w:szCs w:val="14"/>
          <w:color w:val="auto"/>
        </w:rPr>
        <w:t>Key compensation decisions and compensation-related outcomes in 2023 are highlighted below.</w:t>
      </w:r>
    </w:p>
    <w:p>
      <w:pPr>
        <w:spacing w:after="0" w:line="152" w:lineRule="exact"/>
        <w:rPr>
          <w:sz w:val="20"/>
          <w:szCs w:val="20"/>
          <w:color w:val="auto"/>
        </w:rPr>
      </w:pPr>
    </w:p>
    <w:p>
      <w:pPr>
        <w:ind w:left="150" w:right="40" w:hanging="150"/>
        <w:spacing w:after="0" w:line="243" w:lineRule="auto"/>
        <w:tabs>
          <w:tab w:leader="none" w:pos="150" w:val="left"/>
        </w:tabs>
        <w:numPr>
          <w:ilvl w:val="0"/>
          <w:numId w:val="88"/>
        </w:numPr>
        <w:rPr>
          <w:rFonts w:ascii="Arial" w:cs="Arial" w:eastAsia="Arial" w:hAnsi="Arial"/>
          <w:sz w:val="14"/>
          <w:szCs w:val="14"/>
          <w:b w:val="1"/>
          <w:bCs w:val="1"/>
          <w:color w:val="215AA8"/>
        </w:rPr>
      </w:pPr>
      <w:r>
        <w:rPr>
          <w:rFonts w:ascii="Arial" w:cs="Arial" w:eastAsia="Arial" w:hAnsi="Arial"/>
          <w:sz w:val="14"/>
          <w:szCs w:val="14"/>
          <w:b w:val="1"/>
          <w:bCs w:val="1"/>
          <w:color w:val="215AA8"/>
        </w:rPr>
        <w:t xml:space="preserve">No Additional Equity Awards for CEO and CSO. </w:t>
      </w:r>
      <w:r>
        <w:rPr>
          <w:rFonts w:ascii="Arial" w:cs="Arial" w:eastAsia="Arial" w:hAnsi="Arial"/>
          <w:sz w:val="14"/>
          <w:szCs w:val="14"/>
          <w:color w:val="000000"/>
        </w:rPr>
        <w:t>Consistent with the commitment of the board and the Compensation Committee in December 2020 when our CEO and CSO were</w:t>
      </w:r>
      <w:r>
        <w:rPr>
          <w:rFonts w:ascii="Arial" w:cs="Arial" w:eastAsia="Arial" w:hAnsi="Arial"/>
          <w:sz w:val="14"/>
          <w:szCs w:val="14"/>
          <w:b w:val="1"/>
          <w:bCs w:val="1"/>
          <w:color w:val="215AA8"/>
        </w:rPr>
        <w:t xml:space="preserve"> </w:t>
      </w:r>
      <w:r>
        <w:rPr>
          <w:rFonts w:ascii="Arial" w:cs="Arial" w:eastAsia="Arial" w:hAnsi="Arial"/>
          <w:sz w:val="14"/>
          <w:szCs w:val="14"/>
          <w:color w:val="000000"/>
        </w:rPr>
        <w:t>each granted front-loaded performance restricted stock units (“PSUs”) in lieu of five years’ worth of annual equity awards (a pledge that was reiterated during our subsequent shareholder engagement), no equity awards were granted to these executives in 2023. See “Compensation Discussion and Analysis – Components of Executive Pay: What We Pay and Why We Pay It – Annual Equity Awards” for more information on these past PSU awards.</w:t>
      </w:r>
    </w:p>
    <w:p>
      <w:pPr>
        <w:spacing w:after="0" w:line="135" w:lineRule="exact"/>
        <w:rPr>
          <w:rFonts w:ascii="Arial" w:cs="Arial" w:eastAsia="Arial" w:hAnsi="Arial"/>
          <w:sz w:val="14"/>
          <w:szCs w:val="14"/>
          <w:b w:val="1"/>
          <w:bCs w:val="1"/>
          <w:color w:val="215AA8"/>
        </w:rPr>
      </w:pPr>
    </w:p>
    <w:p>
      <w:pPr>
        <w:ind w:left="150" w:hanging="150"/>
        <w:spacing w:after="0" w:line="241" w:lineRule="auto"/>
        <w:tabs>
          <w:tab w:leader="none" w:pos="150" w:val="left"/>
        </w:tabs>
        <w:numPr>
          <w:ilvl w:val="0"/>
          <w:numId w:val="88"/>
        </w:numPr>
        <w:rPr>
          <w:rFonts w:ascii="Arial" w:cs="Arial" w:eastAsia="Arial" w:hAnsi="Arial"/>
          <w:sz w:val="14"/>
          <w:szCs w:val="14"/>
          <w:b w:val="1"/>
          <w:bCs w:val="1"/>
          <w:color w:val="215AA8"/>
        </w:rPr>
      </w:pPr>
      <w:r>
        <w:rPr>
          <w:rFonts w:ascii="Arial" w:cs="Arial" w:eastAsia="Arial" w:hAnsi="Arial"/>
          <w:sz w:val="14"/>
          <w:szCs w:val="14"/>
          <w:b w:val="1"/>
          <w:bCs w:val="1"/>
          <w:color w:val="215AA8"/>
        </w:rPr>
        <w:t xml:space="preserve">Further Reduction of Burn Rate. </w:t>
      </w:r>
      <w:r>
        <w:rPr>
          <w:rFonts w:ascii="Arial" w:cs="Arial" w:eastAsia="Arial" w:hAnsi="Arial"/>
          <w:sz w:val="14"/>
          <w:szCs w:val="14"/>
          <w:color w:val="000000"/>
        </w:rPr>
        <w:t>In 2023, our burn rate was 2.69%, which marked the fifth straight year-over-year decrease (and the lowest level in over a decade) despite maintaining</w:t>
      </w:r>
      <w:r>
        <w:rPr>
          <w:rFonts w:ascii="Arial" w:cs="Arial" w:eastAsia="Arial" w:hAnsi="Arial"/>
          <w:sz w:val="14"/>
          <w:szCs w:val="14"/>
          <w:b w:val="1"/>
          <w:bCs w:val="1"/>
          <w:color w:val="215AA8"/>
        </w:rPr>
        <w:t xml:space="preserve"> </w:t>
      </w:r>
      <w:r>
        <w:rPr>
          <w:rFonts w:ascii="Arial" w:cs="Arial" w:eastAsia="Arial" w:hAnsi="Arial"/>
          <w:sz w:val="14"/>
          <w:szCs w:val="14"/>
          <w:color w:val="000000"/>
        </w:rPr>
        <w:t>one of the broadest equity programs among our peers and increasing the number of our employees by 13% year-over-year. As discussed above, this decrease was achieved by incorporating full-value awards as a component of our annual equity grants and recalibrating the sizing of equity grants. The Compensation Committee used a mix of stock options and full-value equity awards for NEOs below the CEO/CSO level and for other employees in 2023, with the full-value awards consisting of restricted stock awards (“RSAs”) and, for employees outside the United States, restricted stock units (“RSUs”).</w:t>
      </w:r>
    </w:p>
    <w:p>
      <w:pPr>
        <w:spacing w:after="0" w:line="137"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215AA8"/>
        </w:rPr>
        <w:t>Regeneron Stock Utilization vs. Headcount (2018-2023)*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718175" cy="19088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718175" cy="190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90" w:right="80" w:hanging="144"/>
        <w:spacing w:after="0" w:line="252" w:lineRule="auto"/>
        <w:tabs>
          <w:tab w:leader="none" w:pos="290" w:val="left"/>
        </w:tabs>
        <w:numPr>
          <w:ilvl w:val="1"/>
          <w:numId w:val="89"/>
        </w:numPr>
        <w:rPr>
          <w:rFonts w:ascii="Arial" w:cs="Arial" w:eastAsia="Arial" w:hAnsi="Arial"/>
          <w:sz w:val="12"/>
          <w:szCs w:val="12"/>
          <w:color w:val="auto"/>
        </w:rPr>
      </w:pPr>
      <w:r>
        <w:rPr>
          <w:rFonts w:ascii="Arial" w:cs="Arial" w:eastAsia="Arial" w:hAnsi="Arial"/>
          <w:sz w:val="12"/>
          <w:szCs w:val="12"/>
          <w:color w:val="auto"/>
        </w:rPr>
        <w:t>Burn rate calculated by dividing (a) the sum of (i) the number of shares subject to equity awards (stock options, RSAs, and RSUs) granted during the year and (ii) PSUs earned during the year (if any), by (b) the basic weighted-average number of shares of common stock and Class A stock outstanding during the year. Headcount numbers based on the number of employees as of December 31 of the applicable year.</w:t>
      </w:r>
    </w:p>
    <w:p>
      <w:pPr>
        <w:spacing w:after="0" w:line="123" w:lineRule="exact"/>
        <w:rPr>
          <w:rFonts w:ascii="Arial" w:cs="Arial" w:eastAsia="Arial" w:hAnsi="Arial"/>
          <w:sz w:val="12"/>
          <w:szCs w:val="12"/>
          <w:color w:val="auto"/>
        </w:rPr>
      </w:pPr>
    </w:p>
    <w:p>
      <w:pPr>
        <w:ind w:left="150" w:hanging="150"/>
        <w:spacing w:after="0" w:line="239" w:lineRule="auto"/>
        <w:tabs>
          <w:tab w:leader="none" w:pos="150" w:val="left"/>
        </w:tabs>
        <w:numPr>
          <w:ilvl w:val="0"/>
          <w:numId w:val="89"/>
        </w:numPr>
        <w:rPr>
          <w:rFonts w:ascii="Arial" w:cs="Arial" w:eastAsia="Arial" w:hAnsi="Arial"/>
          <w:sz w:val="14"/>
          <w:szCs w:val="14"/>
          <w:b w:val="1"/>
          <w:bCs w:val="1"/>
          <w:color w:val="215AA8"/>
        </w:rPr>
      </w:pPr>
      <w:r>
        <w:rPr>
          <w:rFonts w:ascii="Arial" w:cs="Arial" w:eastAsia="Arial" w:hAnsi="Arial"/>
          <w:sz w:val="14"/>
          <w:szCs w:val="14"/>
          <w:b w:val="1"/>
          <w:bCs w:val="1"/>
          <w:color w:val="215AA8"/>
        </w:rPr>
        <w:t xml:space="preserve">Continued Enhancement of Framework for Determining Annual Cash Incentive Awards. </w:t>
      </w:r>
      <w:r>
        <w:rPr>
          <w:rFonts w:ascii="Arial" w:cs="Arial" w:eastAsia="Arial" w:hAnsi="Arial"/>
          <w:sz w:val="14"/>
          <w:szCs w:val="14"/>
          <w:color w:val="000000"/>
        </w:rPr>
        <w:t>In 2023, informed by shareholder feedback, the Committee further enhanced the framework</w:t>
      </w:r>
      <w:r>
        <w:rPr>
          <w:rFonts w:ascii="Arial" w:cs="Arial" w:eastAsia="Arial" w:hAnsi="Arial"/>
          <w:sz w:val="14"/>
          <w:szCs w:val="14"/>
          <w:b w:val="1"/>
          <w:bCs w:val="1"/>
          <w:color w:val="215AA8"/>
        </w:rPr>
        <w:t xml:space="preserve"> </w:t>
      </w:r>
      <w:r>
        <w:rPr>
          <w:rFonts w:ascii="Arial" w:cs="Arial" w:eastAsia="Arial" w:hAnsi="Arial"/>
          <w:sz w:val="14"/>
          <w:szCs w:val="14"/>
          <w:color w:val="000000"/>
        </w:rPr>
        <w:t>for its year-end assessment of Company performance and its determination of the Company performance multiplier for annual cash incentive awards. The enhanced framework was designed to provide more rigor to the Committee’s year-end decision-making process and to foster consistency in its decisions year to year. Under the enhanced framework, the Committee began its assessment with a holistic review of performance across the entire organization in order to establish a baseline for the Company performance multiplier. The Committee then applied the framework’s criteria for upward or downward adjustments to the baseline multiplier. Utilizing this approach, the Committee set the Company performance multiplier at 1.9 for 2023. See the subsection “Components of Executive Pay: What We Pay and Why We Pay It — Annual Cash Incentives” for more information on the Committee’s process in setting the Company performance multiplier for 2023.</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60</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Shareholder Engagement and Feedback</w:t>
      </w:r>
    </w:p>
    <w:p>
      <w:pPr>
        <w:spacing w:after="0" w:line="174" w:lineRule="exact"/>
        <w:rPr>
          <w:sz w:val="20"/>
          <w:szCs w:val="20"/>
          <w:color w:val="auto"/>
        </w:rPr>
      </w:pPr>
    </w:p>
    <w:p>
      <w:pPr>
        <w:ind w:right="160"/>
        <w:spacing w:after="0" w:line="242" w:lineRule="auto"/>
        <w:rPr>
          <w:sz w:val="20"/>
          <w:szCs w:val="20"/>
          <w:color w:val="auto"/>
        </w:rPr>
      </w:pPr>
      <w:r>
        <w:rPr>
          <w:rFonts w:ascii="Arial" w:cs="Arial" w:eastAsia="Arial" w:hAnsi="Arial"/>
          <w:sz w:val="14"/>
          <w:szCs w:val="14"/>
          <w:color w:val="auto"/>
        </w:rPr>
        <w:t>We seek the views of our shareholders on executive compensation and other compensation and governance matters, as well as corporate responsibility, and annually engage with our investors to solicit ideas, input, and direct feedback. We do this not only formally through our annual say-on-pay vote but also through direct discussions with shareholders and informal exchanges in other settings. Feedback from these extensive outreach efforts informs the Compensation Committee’s decision-making when evaluating our current compensation program and considering any potential modifications.</w:t>
      </w:r>
    </w:p>
    <w:p>
      <w:pPr>
        <w:spacing w:after="0" w:line="139"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At our 2023 annual shareholder meeting, our say-on-pay proposal received the support of 87.1% of votes cast, marking the second consecutive year of nearly 90% support. While we believe that Regeneron’s compensation program has been appropriately structured to attract, retain, and motivate our executive team, thus aligning executive interests with those of shareholders, we also believe in the importance of continued shareholder engagement to better understand investor perspectives on our compensation program and philosophy. In 2023, we reached out to shareholders collectively representing approximately 60% of the public shares (i.e., shares of common stock outstanding as of December 31, 2023, excluding shares held by our directors and executive officers). This outreach resulted in one-on-one discussions with shareholders representing approximately 40% of our public shares. As in prior years, we pursued engagement opportunities throughout the year, which allowed us to engage with several shareholders multiple times in 2023. In some cases, shareholders expressed that engagement was not necessary at the time because they had no new significant concerns with our compensation or governance practices.</w:t>
      </w:r>
    </w:p>
    <w:p>
      <w:pPr>
        <w:spacing w:after="0" w:line="143"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The feedback we received in 2023 was generally supportive of our executive pay program. A number of shareholders asked questions about, among other matters, potential use of specific performance metrics in equity awards, the process for determining the Company performance multiplier for annual cash incentive awards, and performance to date under the 2020 PSUs. In some instances, shareholders expressed competing views on specific features of our executive pay program, such as the types of equity awards utilized. The feedback we received in 2023 continued to be an important factor in board and committee discussions. See the subsection “Compensation Discussion and Analysis – Compensation Processes – Shareholder Input and Outreach and the 2023 Say-on-Pay Vote Result” for a more detailed discussion of our shareholder engagement program as well as a summary of recent actions taken in response to shareholder feedback.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61</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8"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How Our Pay Program Works</w:t>
      </w:r>
    </w:p>
    <w:p>
      <w:pPr>
        <w:spacing w:after="0" w:line="174" w:lineRule="exact"/>
        <w:rPr>
          <w:sz w:val="20"/>
          <w:szCs w:val="20"/>
          <w:color w:val="auto"/>
        </w:rPr>
      </w:pPr>
    </w:p>
    <w:p>
      <w:pPr>
        <w:ind w:left="10" w:right="180"/>
        <w:spacing w:after="0" w:line="246" w:lineRule="auto"/>
        <w:rPr>
          <w:sz w:val="20"/>
          <w:szCs w:val="20"/>
          <w:color w:val="auto"/>
        </w:rPr>
      </w:pPr>
      <w:r>
        <w:rPr>
          <w:rFonts w:ascii="Arial" w:cs="Arial" w:eastAsia="Arial" w:hAnsi="Arial"/>
          <w:sz w:val="14"/>
          <w:szCs w:val="14"/>
          <w:color w:val="auto"/>
        </w:rPr>
        <w:t>Our compensation program’s structure and design are shaped by our corporate culture, our company-wide pay philosophy, and our process for seeking and carefully considering valuable shareholder feedback each year. The compensation program for our NEOs follows the same principles we apply throughout the organization, with an even greater emphasis on equity compensation to ensure our leadership’s interests are aligned with our long-term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92710</wp:posOffset>
            </wp:positionV>
            <wp:extent cx="4152900" cy="23088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152900" cy="2308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 w:right="40"/>
        <w:spacing w:after="0" w:line="257" w:lineRule="auto"/>
        <w:rPr>
          <w:sz w:val="20"/>
          <w:szCs w:val="20"/>
          <w:color w:val="auto"/>
        </w:rPr>
      </w:pPr>
      <w:r>
        <w:rPr>
          <w:rFonts w:ascii="Arial" w:cs="Arial" w:eastAsia="Arial" w:hAnsi="Arial"/>
          <w:sz w:val="14"/>
          <w:szCs w:val="14"/>
          <w:color w:val="auto"/>
        </w:rPr>
        <w:t>To create an effective executive compensation structure, our Compensation Committee relied on the following compensation elements for our NEOs in 2023. These compensation elements are generally consistent with the compensation framework utilized in recent years (except that our CEO and CSO did not receive any equity awards in 2023).</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4940" w:type="dxa"/>
            <w:vAlign w:val="bottom"/>
          </w:tcPr>
          <w:p>
            <w:pPr>
              <w:ind w:left="2160"/>
              <w:spacing w:after="0"/>
              <w:rPr>
                <w:sz w:val="20"/>
                <w:szCs w:val="20"/>
                <w:color w:val="auto"/>
              </w:rPr>
            </w:pPr>
            <w:r>
              <w:rPr>
                <w:rFonts w:ascii="Arial" w:cs="Arial" w:eastAsia="Arial" w:hAnsi="Arial"/>
                <w:sz w:val="14"/>
                <w:szCs w:val="14"/>
                <w:b w:val="1"/>
                <w:bCs w:val="1"/>
                <w:color w:val="215AA8"/>
              </w:rPr>
              <w:t>Objective</w:t>
            </w:r>
          </w:p>
        </w:tc>
        <w:tc>
          <w:tcPr>
            <w:tcW w:w="4740" w:type="dxa"/>
            <w:vAlign w:val="bottom"/>
          </w:tcPr>
          <w:p>
            <w:pPr>
              <w:ind w:left="1400"/>
              <w:spacing w:after="0"/>
              <w:rPr>
                <w:sz w:val="20"/>
                <w:szCs w:val="20"/>
                <w:color w:val="auto"/>
              </w:rPr>
            </w:pPr>
            <w:r>
              <w:rPr>
                <w:rFonts w:ascii="Arial" w:cs="Arial" w:eastAsia="Arial" w:hAnsi="Arial"/>
                <w:sz w:val="14"/>
                <w:szCs w:val="14"/>
                <w:b w:val="1"/>
                <w:bCs w:val="1"/>
                <w:color w:val="215AA8"/>
              </w:rPr>
              <w:t>Performance Measured/Rewarded</w:t>
            </w:r>
          </w:p>
        </w:tc>
      </w:tr>
      <w:tr>
        <w:trPr>
          <w:trHeight w:val="29"/>
        </w:trPr>
        <w:tc>
          <w:tcPr>
            <w:tcW w:w="15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28"/>
        </w:trPr>
        <w:tc>
          <w:tcPr>
            <w:tcW w:w="1580" w:type="dxa"/>
            <w:vAlign w:val="bottom"/>
            <w:tcBorders>
              <w:bottom w:val="single" w:sz="8" w:color="8398CC"/>
            </w:tcBorders>
            <w:shd w:val="clear" w:color="auto" w:fill="8398CC"/>
          </w:tcPr>
          <w:p>
            <w:pPr>
              <w:spacing w:after="0"/>
              <w:rPr>
                <w:sz w:val="19"/>
                <w:szCs w:val="19"/>
                <w:color w:val="auto"/>
              </w:rPr>
            </w:pPr>
          </w:p>
        </w:tc>
        <w:tc>
          <w:tcPr>
            <w:tcW w:w="4940" w:type="dxa"/>
            <w:vAlign w:val="bottom"/>
            <w:tcBorders>
              <w:bottom w:val="single" w:sz="8" w:color="8398CC"/>
            </w:tcBorders>
            <w:shd w:val="clear" w:color="auto" w:fill="8398CC"/>
          </w:tcPr>
          <w:p>
            <w:pPr>
              <w:ind w:left="3880"/>
              <w:spacing w:after="0"/>
              <w:rPr>
                <w:sz w:val="20"/>
                <w:szCs w:val="20"/>
                <w:color w:val="auto"/>
              </w:rPr>
            </w:pPr>
            <w:r>
              <w:rPr>
                <w:rFonts w:ascii="Arial" w:cs="Arial" w:eastAsia="Arial" w:hAnsi="Arial"/>
                <w:sz w:val="14"/>
                <w:szCs w:val="14"/>
                <w:b w:val="1"/>
                <w:bCs w:val="1"/>
                <w:color w:val="FFFFFF"/>
              </w:rPr>
              <w:t>Fixed</w:t>
            </w:r>
          </w:p>
        </w:tc>
        <w:tc>
          <w:tcPr>
            <w:tcW w:w="4740" w:type="dxa"/>
            <w:vAlign w:val="bottom"/>
            <w:tcBorders>
              <w:bottom w:val="single" w:sz="8" w:color="8398CC"/>
            </w:tcBorders>
            <w:shd w:val="clear" w:color="auto" w:fill="8398CC"/>
          </w:tcPr>
          <w:p>
            <w:pPr>
              <w:spacing w:after="0"/>
              <w:rPr>
                <w:sz w:val="19"/>
                <w:szCs w:val="19"/>
                <w:color w:val="auto"/>
              </w:rPr>
            </w:pPr>
          </w:p>
        </w:tc>
      </w:tr>
      <w:tr>
        <w:trPr>
          <w:trHeight w:val="228"/>
        </w:trPr>
        <w:tc>
          <w:tcPr>
            <w:tcW w:w="1580" w:type="dxa"/>
            <w:vAlign w:val="bottom"/>
            <w:tcBorders>
              <w:bottom w:val="single" w:sz="8" w:color="ECECED"/>
            </w:tcBorders>
            <w:shd w:val="clear" w:color="auto" w:fill="ECECED"/>
          </w:tcPr>
          <w:p>
            <w:pPr>
              <w:spacing w:after="0"/>
              <w:rPr>
                <w:sz w:val="20"/>
                <w:szCs w:val="20"/>
                <w:color w:val="auto"/>
              </w:rPr>
            </w:pPr>
            <w:r>
              <w:rPr>
                <w:rFonts w:ascii="Arial" w:cs="Arial" w:eastAsia="Arial" w:hAnsi="Arial"/>
                <w:sz w:val="14"/>
                <w:szCs w:val="14"/>
                <w:b w:val="1"/>
                <w:bCs w:val="1"/>
                <w:color w:val="auto"/>
              </w:rPr>
              <w:t>Annual</w:t>
            </w:r>
          </w:p>
        </w:tc>
        <w:tc>
          <w:tcPr>
            <w:tcW w:w="4940" w:type="dxa"/>
            <w:vAlign w:val="bottom"/>
            <w:tcBorders>
              <w:bottom w:val="single" w:sz="8" w:color="ECECED"/>
            </w:tcBorders>
            <w:shd w:val="clear" w:color="auto" w:fill="ECECED"/>
          </w:tcPr>
          <w:p>
            <w:pPr>
              <w:spacing w:after="0"/>
              <w:rPr>
                <w:sz w:val="19"/>
                <w:szCs w:val="19"/>
                <w:color w:val="auto"/>
              </w:rPr>
            </w:pPr>
          </w:p>
        </w:tc>
        <w:tc>
          <w:tcPr>
            <w:tcW w:w="4740" w:type="dxa"/>
            <w:vAlign w:val="bottom"/>
            <w:tcBorders>
              <w:bottom w:val="single" w:sz="8" w:color="ECECED"/>
            </w:tcBorders>
            <w:shd w:val="clear" w:color="auto" w:fill="ECECED"/>
          </w:tcPr>
          <w:p>
            <w:pPr>
              <w:spacing w:after="0"/>
              <w:rPr>
                <w:sz w:val="19"/>
                <w:szCs w:val="19"/>
                <w:color w:val="auto"/>
              </w:rPr>
            </w:pPr>
          </w:p>
        </w:tc>
      </w:tr>
      <w:tr>
        <w:trPr>
          <w:trHeight w:val="192"/>
        </w:trPr>
        <w:tc>
          <w:tcPr>
            <w:tcW w:w="1580" w:type="dxa"/>
            <w:vAlign w:val="bottom"/>
          </w:tcPr>
          <w:p>
            <w:pPr>
              <w:spacing w:after="0"/>
              <w:rPr>
                <w:sz w:val="20"/>
                <w:szCs w:val="20"/>
                <w:color w:val="auto"/>
              </w:rPr>
            </w:pPr>
            <w:r>
              <w:rPr>
                <w:rFonts w:ascii="Arial" w:cs="Arial" w:eastAsia="Arial" w:hAnsi="Arial"/>
                <w:sz w:val="14"/>
                <w:szCs w:val="14"/>
                <w:b w:val="1"/>
                <w:bCs w:val="1"/>
                <w:color w:val="auto"/>
              </w:rPr>
              <w:t>Base Salary</w:t>
            </w:r>
          </w:p>
        </w:tc>
        <w:tc>
          <w:tcPr>
            <w:tcW w:w="4940" w:type="dxa"/>
            <w:vAlign w:val="bottom"/>
          </w:tcPr>
          <w:p>
            <w:pPr>
              <w:ind w:left="220"/>
              <w:spacing w:after="0"/>
              <w:rPr>
                <w:sz w:val="20"/>
                <w:szCs w:val="20"/>
                <w:color w:val="auto"/>
              </w:rPr>
            </w:pPr>
            <w:r>
              <w:rPr>
                <w:rFonts w:ascii="Arial" w:cs="Arial" w:eastAsia="Arial" w:hAnsi="Arial"/>
                <w:sz w:val="14"/>
                <w:szCs w:val="14"/>
                <w:color w:val="auto"/>
              </w:rPr>
              <w:t>Recognizes an individual’s role and responsibilities and serves as an</w:t>
            </w:r>
          </w:p>
        </w:tc>
        <w:tc>
          <w:tcPr>
            <w:tcW w:w="4740" w:type="dxa"/>
            <w:vAlign w:val="bottom"/>
          </w:tcPr>
          <w:p>
            <w:pPr>
              <w:ind w:left="240"/>
              <w:spacing w:after="0"/>
              <w:rPr>
                <w:sz w:val="20"/>
                <w:szCs w:val="20"/>
                <w:color w:val="auto"/>
              </w:rPr>
            </w:pPr>
            <w:r>
              <w:rPr>
                <w:rFonts w:ascii="Arial" w:cs="Arial" w:eastAsia="Arial" w:hAnsi="Arial"/>
                <w:sz w:val="14"/>
                <w:szCs w:val="14"/>
                <w:color w:val="auto"/>
              </w:rPr>
              <w:t>Reviewed annually and set based on market competitiveness, individual</w:t>
            </w:r>
          </w:p>
        </w:tc>
      </w:tr>
      <w:tr>
        <w:trPr>
          <w:trHeight w:val="176"/>
        </w:trPr>
        <w:tc>
          <w:tcPr>
            <w:tcW w:w="1580" w:type="dxa"/>
            <w:vAlign w:val="bottom"/>
          </w:tcPr>
          <w:p>
            <w:pPr>
              <w:spacing w:after="0"/>
              <w:rPr>
                <w:sz w:val="15"/>
                <w:szCs w:val="15"/>
                <w:color w:val="auto"/>
              </w:rPr>
            </w:pPr>
          </w:p>
        </w:tc>
        <w:tc>
          <w:tcPr>
            <w:tcW w:w="4940" w:type="dxa"/>
            <w:vAlign w:val="bottom"/>
          </w:tcPr>
          <w:p>
            <w:pPr>
              <w:ind w:left="220"/>
              <w:spacing w:after="0"/>
              <w:rPr>
                <w:sz w:val="20"/>
                <w:szCs w:val="20"/>
                <w:color w:val="auto"/>
              </w:rPr>
            </w:pPr>
            <w:r>
              <w:rPr>
                <w:rFonts w:ascii="Arial" w:cs="Arial" w:eastAsia="Arial" w:hAnsi="Arial"/>
                <w:sz w:val="14"/>
                <w:szCs w:val="14"/>
                <w:color w:val="auto"/>
              </w:rPr>
              <w:t>important retention vehicle</w:t>
            </w:r>
          </w:p>
        </w:tc>
        <w:tc>
          <w:tcPr>
            <w:tcW w:w="4740" w:type="dxa"/>
            <w:vAlign w:val="bottom"/>
          </w:tcPr>
          <w:p>
            <w:pPr>
              <w:ind w:left="240"/>
              <w:spacing w:after="0"/>
              <w:rPr>
                <w:sz w:val="20"/>
                <w:szCs w:val="20"/>
                <w:color w:val="auto"/>
              </w:rPr>
            </w:pPr>
            <w:r>
              <w:rPr>
                <w:rFonts w:ascii="Arial" w:cs="Arial" w:eastAsia="Arial" w:hAnsi="Arial"/>
                <w:sz w:val="14"/>
                <w:szCs w:val="14"/>
                <w:color w:val="auto"/>
              </w:rPr>
              <w:t>performance, and other internal considerations</w:t>
            </w:r>
          </w:p>
        </w:tc>
      </w:tr>
      <w:tr>
        <w:trPr>
          <w:trHeight w:val="37"/>
        </w:trPr>
        <w:tc>
          <w:tcPr>
            <w:tcW w:w="1580" w:type="dxa"/>
            <w:vAlign w:val="bottom"/>
          </w:tcPr>
          <w:p>
            <w:pPr>
              <w:spacing w:after="0"/>
              <w:rPr>
                <w:sz w:val="3"/>
                <w:szCs w:val="3"/>
                <w:color w:val="auto"/>
              </w:rPr>
            </w:pPr>
          </w:p>
        </w:tc>
        <w:tc>
          <w:tcPr>
            <w:tcW w:w="494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28"/>
        </w:trPr>
        <w:tc>
          <w:tcPr>
            <w:tcW w:w="1580" w:type="dxa"/>
            <w:vAlign w:val="bottom"/>
            <w:tcBorders>
              <w:bottom w:val="single" w:sz="8" w:color="8398CC"/>
            </w:tcBorders>
            <w:shd w:val="clear" w:color="auto" w:fill="8398CC"/>
          </w:tcPr>
          <w:p>
            <w:pPr>
              <w:spacing w:after="0"/>
              <w:rPr>
                <w:sz w:val="19"/>
                <w:szCs w:val="19"/>
                <w:color w:val="auto"/>
              </w:rPr>
            </w:pPr>
          </w:p>
        </w:tc>
        <w:tc>
          <w:tcPr>
            <w:tcW w:w="4940" w:type="dxa"/>
            <w:vAlign w:val="bottom"/>
            <w:tcBorders>
              <w:bottom w:val="single" w:sz="8" w:color="8398CC"/>
            </w:tcBorders>
            <w:shd w:val="clear" w:color="auto" w:fill="8398CC"/>
          </w:tcPr>
          <w:p>
            <w:pPr>
              <w:ind w:left="3420"/>
              <w:spacing w:after="0"/>
              <w:rPr>
                <w:sz w:val="20"/>
                <w:szCs w:val="20"/>
                <w:color w:val="auto"/>
              </w:rPr>
            </w:pPr>
            <w:r>
              <w:rPr>
                <w:rFonts w:ascii="Arial" w:cs="Arial" w:eastAsia="Arial" w:hAnsi="Arial"/>
                <w:sz w:val="14"/>
                <w:szCs w:val="14"/>
                <w:b w:val="1"/>
                <w:bCs w:val="1"/>
                <w:color w:val="FFFFFF"/>
              </w:rPr>
              <w:t>Performance-Based</w:t>
            </w:r>
          </w:p>
        </w:tc>
        <w:tc>
          <w:tcPr>
            <w:tcW w:w="4740" w:type="dxa"/>
            <w:vAlign w:val="bottom"/>
            <w:tcBorders>
              <w:bottom w:val="single" w:sz="8" w:color="8398CC"/>
            </w:tcBorders>
            <w:shd w:val="clear" w:color="auto" w:fill="8398CC"/>
          </w:tcPr>
          <w:p>
            <w:pPr>
              <w:spacing w:after="0"/>
              <w:rPr>
                <w:sz w:val="19"/>
                <w:szCs w:val="19"/>
                <w:color w:val="auto"/>
              </w:rPr>
            </w:pPr>
          </w:p>
        </w:tc>
      </w:tr>
      <w:tr>
        <w:trPr>
          <w:trHeight w:val="228"/>
        </w:trPr>
        <w:tc>
          <w:tcPr>
            <w:tcW w:w="1580" w:type="dxa"/>
            <w:vAlign w:val="bottom"/>
            <w:tcBorders>
              <w:bottom w:val="single" w:sz="8" w:color="ECECED"/>
            </w:tcBorders>
            <w:shd w:val="clear" w:color="auto" w:fill="ECECED"/>
          </w:tcPr>
          <w:p>
            <w:pPr>
              <w:spacing w:after="0"/>
              <w:rPr>
                <w:sz w:val="20"/>
                <w:szCs w:val="20"/>
                <w:color w:val="auto"/>
              </w:rPr>
            </w:pPr>
            <w:r>
              <w:rPr>
                <w:rFonts w:ascii="Arial" w:cs="Arial" w:eastAsia="Arial" w:hAnsi="Arial"/>
                <w:sz w:val="14"/>
                <w:szCs w:val="14"/>
                <w:b w:val="1"/>
                <w:bCs w:val="1"/>
                <w:color w:val="auto"/>
              </w:rPr>
              <w:t>Annual</w:t>
            </w:r>
          </w:p>
        </w:tc>
        <w:tc>
          <w:tcPr>
            <w:tcW w:w="4940" w:type="dxa"/>
            <w:vAlign w:val="bottom"/>
            <w:tcBorders>
              <w:bottom w:val="single" w:sz="8" w:color="ECECED"/>
            </w:tcBorders>
            <w:shd w:val="clear" w:color="auto" w:fill="ECECED"/>
          </w:tcPr>
          <w:p>
            <w:pPr>
              <w:spacing w:after="0"/>
              <w:rPr>
                <w:sz w:val="19"/>
                <w:szCs w:val="19"/>
                <w:color w:val="auto"/>
              </w:rPr>
            </w:pPr>
          </w:p>
        </w:tc>
        <w:tc>
          <w:tcPr>
            <w:tcW w:w="4740" w:type="dxa"/>
            <w:vAlign w:val="bottom"/>
            <w:tcBorders>
              <w:bottom w:val="single" w:sz="8" w:color="ECECED"/>
            </w:tcBorders>
            <w:shd w:val="clear" w:color="auto" w:fill="ECECED"/>
          </w:tcPr>
          <w:p>
            <w:pPr>
              <w:spacing w:after="0"/>
              <w:rPr>
                <w:sz w:val="19"/>
                <w:szCs w:val="19"/>
                <w:color w:val="auto"/>
              </w:rPr>
            </w:pPr>
          </w:p>
        </w:tc>
      </w:tr>
      <w:tr>
        <w:trPr>
          <w:trHeight w:val="190"/>
        </w:trPr>
        <w:tc>
          <w:tcPr>
            <w:tcW w:w="1580" w:type="dxa"/>
            <w:vAlign w:val="bottom"/>
          </w:tcPr>
          <w:p>
            <w:pPr>
              <w:spacing w:after="0"/>
              <w:rPr>
                <w:sz w:val="20"/>
                <w:szCs w:val="20"/>
                <w:color w:val="auto"/>
              </w:rPr>
            </w:pPr>
            <w:r>
              <w:rPr>
                <w:rFonts w:ascii="Arial" w:cs="Arial" w:eastAsia="Arial" w:hAnsi="Arial"/>
                <w:sz w:val="14"/>
                <w:szCs w:val="14"/>
                <w:b w:val="1"/>
                <w:bCs w:val="1"/>
                <w:color w:val="auto"/>
              </w:rPr>
              <w:t>Annual Cash</w:t>
            </w:r>
          </w:p>
        </w:tc>
        <w:tc>
          <w:tcPr>
            <w:tcW w:w="4940" w:type="dxa"/>
            <w:vAlign w:val="bottom"/>
          </w:tcPr>
          <w:p>
            <w:pPr>
              <w:ind w:left="220"/>
              <w:spacing w:after="0"/>
              <w:rPr>
                <w:sz w:val="20"/>
                <w:szCs w:val="20"/>
                <w:color w:val="auto"/>
              </w:rPr>
            </w:pPr>
            <w:r>
              <w:rPr>
                <w:rFonts w:ascii="Arial" w:cs="Arial" w:eastAsia="Arial" w:hAnsi="Arial"/>
                <w:sz w:val="14"/>
                <w:szCs w:val="14"/>
                <w:color w:val="auto"/>
              </w:rPr>
              <w:t>Motivates and rewards our executives for short-term achievements and</w:t>
            </w:r>
          </w:p>
        </w:tc>
        <w:tc>
          <w:tcPr>
            <w:tcW w:w="4740" w:type="dxa"/>
            <w:vAlign w:val="bottom"/>
          </w:tcPr>
          <w:p>
            <w:pPr>
              <w:ind w:left="240"/>
              <w:spacing w:after="0"/>
              <w:rPr>
                <w:sz w:val="20"/>
                <w:szCs w:val="20"/>
                <w:color w:val="auto"/>
              </w:rPr>
            </w:pPr>
            <w:r>
              <w:rPr>
                <w:rFonts w:ascii="Arial" w:cs="Arial" w:eastAsia="Arial" w:hAnsi="Arial"/>
                <w:sz w:val="14"/>
                <w:szCs w:val="14"/>
                <w:color w:val="auto"/>
              </w:rPr>
              <w:t>Corporate performance (CEO and CSO); corporate performance and</w:t>
            </w:r>
          </w:p>
        </w:tc>
      </w:tr>
      <w:tr>
        <w:trPr>
          <w:trHeight w:val="186"/>
        </w:trPr>
        <w:tc>
          <w:tcPr>
            <w:tcW w:w="1580" w:type="dxa"/>
            <w:vAlign w:val="bottom"/>
          </w:tcPr>
          <w:p>
            <w:pPr>
              <w:spacing w:after="0"/>
              <w:rPr>
                <w:sz w:val="20"/>
                <w:szCs w:val="20"/>
                <w:color w:val="auto"/>
              </w:rPr>
            </w:pPr>
            <w:r>
              <w:rPr>
                <w:rFonts w:ascii="Arial" w:cs="Arial" w:eastAsia="Arial" w:hAnsi="Arial"/>
                <w:sz w:val="14"/>
                <w:szCs w:val="14"/>
                <w:b w:val="1"/>
                <w:bCs w:val="1"/>
                <w:color w:val="auto"/>
              </w:rPr>
              <w:t>Incentive</w:t>
            </w:r>
          </w:p>
        </w:tc>
        <w:tc>
          <w:tcPr>
            <w:tcW w:w="4940" w:type="dxa"/>
            <w:vAlign w:val="bottom"/>
          </w:tcPr>
          <w:p>
            <w:pPr>
              <w:ind w:left="220"/>
              <w:spacing w:after="0"/>
              <w:rPr>
                <w:sz w:val="20"/>
                <w:szCs w:val="20"/>
                <w:color w:val="auto"/>
              </w:rPr>
            </w:pPr>
            <w:r>
              <w:rPr>
                <w:rFonts w:ascii="Arial" w:cs="Arial" w:eastAsia="Arial" w:hAnsi="Arial"/>
                <w:sz w:val="14"/>
                <w:szCs w:val="14"/>
                <w:color w:val="auto"/>
              </w:rPr>
              <w:t>progress towards our long-term goals</w:t>
            </w:r>
          </w:p>
        </w:tc>
        <w:tc>
          <w:tcPr>
            <w:tcW w:w="4740" w:type="dxa"/>
            <w:vAlign w:val="bottom"/>
          </w:tcPr>
          <w:p>
            <w:pPr>
              <w:ind w:left="240"/>
              <w:spacing w:after="0"/>
              <w:rPr>
                <w:sz w:val="20"/>
                <w:szCs w:val="20"/>
                <w:color w:val="auto"/>
              </w:rPr>
            </w:pPr>
            <w:r>
              <w:rPr>
                <w:rFonts w:ascii="Arial" w:cs="Arial" w:eastAsia="Arial" w:hAnsi="Arial"/>
                <w:sz w:val="14"/>
                <w:szCs w:val="14"/>
                <w:color w:val="auto"/>
              </w:rPr>
              <w:t>individual contributions to that achievement (other NEOs)</w:t>
            </w:r>
          </w:p>
        </w:tc>
      </w:tr>
      <w:tr>
        <w:trPr>
          <w:trHeight w:val="29"/>
        </w:trPr>
        <w:tc>
          <w:tcPr>
            <w:tcW w:w="15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28"/>
        </w:trPr>
        <w:tc>
          <w:tcPr>
            <w:tcW w:w="1580" w:type="dxa"/>
            <w:vAlign w:val="bottom"/>
            <w:tcBorders>
              <w:bottom w:val="single" w:sz="8" w:color="ECECED"/>
            </w:tcBorders>
            <w:shd w:val="clear" w:color="auto" w:fill="ECECED"/>
          </w:tcPr>
          <w:p>
            <w:pPr>
              <w:spacing w:after="0"/>
              <w:rPr>
                <w:sz w:val="20"/>
                <w:szCs w:val="20"/>
                <w:color w:val="auto"/>
              </w:rPr>
            </w:pPr>
            <w:r>
              <w:rPr>
                <w:rFonts w:ascii="Arial" w:cs="Arial" w:eastAsia="Arial" w:hAnsi="Arial"/>
                <w:sz w:val="14"/>
                <w:szCs w:val="14"/>
                <w:b w:val="1"/>
                <w:bCs w:val="1"/>
                <w:color w:val="auto"/>
              </w:rPr>
              <w:t>Long-Term</w:t>
            </w:r>
          </w:p>
        </w:tc>
        <w:tc>
          <w:tcPr>
            <w:tcW w:w="4940" w:type="dxa"/>
            <w:vAlign w:val="bottom"/>
            <w:tcBorders>
              <w:bottom w:val="single" w:sz="8" w:color="ECECED"/>
            </w:tcBorders>
            <w:shd w:val="clear" w:color="auto" w:fill="ECECED"/>
          </w:tcPr>
          <w:p>
            <w:pPr>
              <w:spacing w:after="0"/>
              <w:rPr>
                <w:sz w:val="19"/>
                <w:szCs w:val="19"/>
                <w:color w:val="auto"/>
              </w:rPr>
            </w:pPr>
          </w:p>
        </w:tc>
        <w:tc>
          <w:tcPr>
            <w:tcW w:w="4740" w:type="dxa"/>
            <w:vAlign w:val="bottom"/>
            <w:tcBorders>
              <w:bottom w:val="single" w:sz="8" w:color="ECECED"/>
            </w:tcBorders>
            <w:shd w:val="clear" w:color="auto" w:fill="ECECED"/>
          </w:tcPr>
          <w:p>
            <w:pPr>
              <w:spacing w:after="0"/>
              <w:rPr>
                <w:sz w:val="19"/>
                <w:szCs w:val="19"/>
                <w:color w:val="auto"/>
              </w:rPr>
            </w:pPr>
          </w:p>
        </w:tc>
      </w:tr>
      <w:tr>
        <w:trPr>
          <w:trHeight w:val="192"/>
        </w:trPr>
        <w:tc>
          <w:tcPr>
            <w:tcW w:w="1580" w:type="dxa"/>
            <w:vAlign w:val="bottom"/>
          </w:tcPr>
          <w:p>
            <w:pPr>
              <w:spacing w:after="0"/>
              <w:rPr>
                <w:sz w:val="20"/>
                <w:szCs w:val="20"/>
                <w:color w:val="auto"/>
              </w:rPr>
            </w:pPr>
            <w:r>
              <w:rPr>
                <w:rFonts w:ascii="Arial" w:cs="Arial" w:eastAsia="Arial" w:hAnsi="Arial"/>
                <w:sz w:val="14"/>
                <w:szCs w:val="14"/>
                <w:b w:val="1"/>
                <w:bCs w:val="1"/>
                <w:color w:val="auto"/>
              </w:rPr>
              <w:t xml:space="preserve">Stock Options </w:t>
            </w:r>
            <w:r>
              <w:rPr>
                <w:rFonts w:ascii="Arial" w:cs="Arial" w:eastAsia="Arial" w:hAnsi="Arial"/>
                <w:sz w:val="14"/>
                <w:szCs w:val="14"/>
                <w:color w:val="auto"/>
              </w:rPr>
              <w:t>(NEOs</w:t>
            </w:r>
          </w:p>
        </w:tc>
        <w:tc>
          <w:tcPr>
            <w:tcW w:w="4940" w:type="dxa"/>
            <w:vAlign w:val="bottom"/>
          </w:tcPr>
          <w:p>
            <w:pPr>
              <w:ind w:left="220"/>
              <w:spacing w:after="0"/>
              <w:rPr>
                <w:sz w:val="20"/>
                <w:szCs w:val="20"/>
                <w:color w:val="auto"/>
              </w:rPr>
            </w:pPr>
            <w:r>
              <w:rPr>
                <w:rFonts w:ascii="Arial" w:cs="Arial" w:eastAsia="Arial" w:hAnsi="Arial"/>
                <w:sz w:val="14"/>
                <w:szCs w:val="14"/>
                <w:color w:val="auto"/>
              </w:rPr>
              <w:t>Aligns the interests of other NEOs with shareholders; rewards shareholder</w:t>
            </w:r>
          </w:p>
        </w:tc>
        <w:tc>
          <w:tcPr>
            <w:tcW w:w="4740" w:type="dxa"/>
            <w:vAlign w:val="bottom"/>
          </w:tcPr>
          <w:p>
            <w:pPr>
              <w:ind w:left="240"/>
              <w:spacing w:after="0"/>
              <w:rPr>
                <w:sz w:val="20"/>
                <w:szCs w:val="20"/>
                <w:color w:val="auto"/>
              </w:rPr>
            </w:pPr>
            <w:r>
              <w:rPr>
                <w:rFonts w:ascii="Arial" w:cs="Arial" w:eastAsia="Arial" w:hAnsi="Arial"/>
                <w:sz w:val="14"/>
                <w:szCs w:val="14"/>
                <w:color w:val="auto"/>
              </w:rPr>
              <w:t>Vest in equal annual increments over four years; 10-year term</w:t>
            </w:r>
          </w:p>
        </w:tc>
      </w:tr>
      <w:tr>
        <w:trPr>
          <w:trHeight w:val="158"/>
        </w:trPr>
        <w:tc>
          <w:tcPr>
            <w:tcW w:w="1580" w:type="dxa"/>
            <w:vAlign w:val="bottom"/>
          </w:tcPr>
          <w:p>
            <w:pPr>
              <w:spacing w:after="0" w:line="157" w:lineRule="exact"/>
              <w:rPr>
                <w:sz w:val="20"/>
                <w:szCs w:val="20"/>
                <w:color w:val="auto"/>
              </w:rPr>
            </w:pPr>
            <w:r>
              <w:rPr>
                <w:rFonts w:ascii="Arial" w:cs="Arial" w:eastAsia="Arial" w:hAnsi="Arial"/>
                <w:sz w:val="14"/>
                <w:szCs w:val="14"/>
                <w:color w:val="auto"/>
              </w:rPr>
              <w:t>other than CEO and</w:t>
            </w:r>
          </w:p>
        </w:tc>
        <w:tc>
          <w:tcPr>
            <w:tcW w:w="4940" w:type="dxa"/>
            <w:vAlign w:val="bottom"/>
          </w:tcPr>
          <w:p>
            <w:pPr>
              <w:ind w:left="220"/>
              <w:spacing w:after="0" w:line="157" w:lineRule="exact"/>
              <w:rPr>
                <w:sz w:val="20"/>
                <w:szCs w:val="20"/>
                <w:color w:val="auto"/>
              </w:rPr>
            </w:pPr>
            <w:r>
              <w:rPr>
                <w:rFonts w:ascii="Arial" w:cs="Arial" w:eastAsia="Arial" w:hAnsi="Arial"/>
                <w:sz w:val="14"/>
                <w:szCs w:val="14"/>
                <w:color w:val="auto"/>
              </w:rPr>
              <w:t>value creation after the date of grant</w:t>
            </w:r>
          </w:p>
        </w:tc>
        <w:tc>
          <w:tcPr>
            <w:tcW w:w="4740" w:type="dxa"/>
            <w:vAlign w:val="bottom"/>
          </w:tcPr>
          <w:p>
            <w:pPr>
              <w:spacing w:after="0"/>
              <w:rPr>
                <w:sz w:val="13"/>
                <w:szCs w:val="13"/>
                <w:color w:val="auto"/>
              </w:rPr>
            </w:pPr>
          </w:p>
        </w:tc>
      </w:tr>
      <w:tr>
        <w:trPr>
          <w:trHeight w:val="176"/>
        </w:trPr>
        <w:tc>
          <w:tcPr>
            <w:tcW w:w="1580" w:type="dxa"/>
            <w:vAlign w:val="bottom"/>
          </w:tcPr>
          <w:p>
            <w:pPr>
              <w:spacing w:after="0"/>
              <w:rPr>
                <w:sz w:val="20"/>
                <w:szCs w:val="20"/>
                <w:color w:val="auto"/>
              </w:rPr>
            </w:pPr>
            <w:r>
              <w:rPr>
                <w:rFonts w:ascii="Arial" w:cs="Arial" w:eastAsia="Arial" w:hAnsi="Arial"/>
                <w:sz w:val="14"/>
                <w:szCs w:val="14"/>
                <w:color w:val="auto"/>
              </w:rPr>
              <w:t>CSO)*</w:t>
            </w:r>
          </w:p>
        </w:tc>
        <w:tc>
          <w:tcPr>
            <w:tcW w:w="4940" w:type="dxa"/>
            <w:vAlign w:val="bottom"/>
          </w:tcPr>
          <w:p>
            <w:pPr>
              <w:spacing w:after="0"/>
              <w:rPr>
                <w:sz w:val="15"/>
                <w:szCs w:val="15"/>
                <w:color w:val="auto"/>
              </w:rPr>
            </w:pPr>
          </w:p>
        </w:tc>
        <w:tc>
          <w:tcPr>
            <w:tcW w:w="4740" w:type="dxa"/>
            <w:vAlign w:val="bottom"/>
          </w:tcPr>
          <w:p>
            <w:pPr>
              <w:spacing w:after="0"/>
              <w:rPr>
                <w:sz w:val="15"/>
                <w:szCs w:val="15"/>
                <w:color w:val="auto"/>
              </w:rPr>
            </w:pPr>
          </w:p>
        </w:tc>
      </w:tr>
      <w:tr>
        <w:trPr>
          <w:trHeight w:val="37"/>
        </w:trPr>
        <w:tc>
          <w:tcPr>
            <w:tcW w:w="1580" w:type="dxa"/>
            <w:vAlign w:val="bottom"/>
            <w:tcBorders>
              <w:bottom w:val="single" w:sz="8" w:color="949599"/>
            </w:tcBorders>
          </w:tcPr>
          <w:p>
            <w:pPr>
              <w:spacing w:after="0"/>
              <w:rPr>
                <w:sz w:val="3"/>
                <w:szCs w:val="3"/>
                <w:color w:val="auto"/>
              </w:rPr>
            </w:pPr>
          </w:p>
        </w:tc>
        <w:tc>
          <w:tcPr>
            <w:tcW w:w="4940" w:type="dxa"/>
            <w:vAlign w:val="bottom"/>
            <w:tcBorders>
              <w:bottom w:val="single" w:sz="8" w:color="949599"/>
            </w:tcBorders>
          </w:tcPr>
          <w:p>
            <w:pPr>
              <w:spacing w:after="0"/>
              <w:rPr>
                <w:sz w:val="3"/>
                <w:szCs w:val="3"/>
                <w:color w:val="auto"/>
              </w:rPr>
            </w:pPr>
          </w:p>
        </w:tc>
        <w:tc>
          <w:tcPr>
            <w:tcW w:w="4740" w:type="dxa"/>
            <w:vAlign w:val="bottom"/>
            <w:tcBorders>
              <w:bottom w:val="single" w:sz="8" w:color="949599"/>
            </w:tcBorders>
          </w:tcPr>
          <w:p>
            <w:pPr>
              <w:spacing w:after="0"/>
              <w:rPr>
                <w:sz w:val="3"/>
                <w:szCs w:val="3"/>
                <w:color w:val="auto"/>
              </w:rPr>
            </w:pPr>
          </w:p>
        </w:tc>
      </w:tr>
      <w:tr>
        <w:trPr>
          <w:trHeight w:val="183"/>
        </w:trPr>
        <w:tc>
          <w:tcPr>
            <w:tcW w:w="1580" w:type="dxa"/>
            <w:vAlign w:val="bottom"/>
          </w:tcPr>
          <w:p>
            <w:pPr>
              <w:spacing w:after="0"/>
              <w:rPr>
                <w:sz w:val="20"/>
                <w:szCs w:val="20"/>
                <w:color w:val="auto"/>
              </w:rPr>
            </w:pPr>
            <w:r>
              <w:rPr>
                <w:rFonts w:ascii="Arial" w:cs="Arial" w:eastAsia="Arial" w:hAnsi="Arial"/>
                <w:sz w:val="14"/>
                <w:szCs w:val="14"/>
                <w:b w:val="1"/>
                <w:bCs w:val="1"/>
                <w:color w:val="auto"/>
              </w:rPr>
              <w:t xml:space="preserve">RSAs </w:t>
            </w:r>
            <w:r>
              <w:rPr>
                <w:rFonts w:ascii="Arial" w:cs="Arial" w:eastAsia="Arial" w:hAnsi="Arial"/>
                <w:sz w:val="14"/>
                <w:szCs w:val="14"/>
                <w:color w:val="auto"/>
              </w:rPr>
              <w:t>(NEOs other</w:t>
            </w:r>
          </w:p>
        </w:tc>
        <w:tc>
          <w:tcPr>
            <w:tcW w:w="4940" w:type="dxa"/>
            <w:vAlign w:val="bottom"/>
          </w:tcPr>
          <w:p>
            <w:pPr>
              <w:ind w:left="220"/>
              <w:spacing w:after="0"/>
              <w:rPr>
                <w:sz w:val="20"/>
                <w:szCs w:val="20"/>
                <w:color w:val="auto"/>
              </w:rPr>
            </w:pPr>
            <w:r>
              <w:rPr>
                <w:rFonts w:ascii="Arial" w:cs="Arial" w:eastAsia="Arial" w:hAnsi="Arial"/>
                <w:sz w:val="14"/>
                <w:szCs w:val="14"/>
                <w:color w:val="auto"/>
              </w:rPr>
              <w:t>Reinforces long-term focus and rewards high performance</w:t>
            </w:r>
          </w:p>
        </w:tc>
        <w:tc>
          <w:tcPr>
            <w:tcW w:w="4740" w:type="dxa"/>
            <w:vAlign w:val="bottom"/>
          </w:tcPr>
          <w:p>
            <w:pPr>
              <w:ind w:left="240"/>
              <w:spacing w:after="0"/>
              <w:rPr>
                <w:sz w:val="20"/>
                <w:szCs w:val="20"/>
                <w:color w:val="auto"/>
              </w:rPr>
            </w:pPr>
            <w:r>
              <w:rPr>
                <w:rFonts w:ascii="Arial" w:cs="Arial" w:eastAsia="Arial" w:hAnsi="Arial"/>
                <w:sz w:val="14"/>
                <w:szCs w:val="14"/>
                <w:color w:val="auto"/>
                <w:w w:val="96"/>
              </w:rPr>
              <w:t>RSAs vest 50% on the second anniversary of the date of grant and 50% on</w:t>
            </w:r>
          </w:p>
        </w:tc>
      </w:tr>
      <w:tr>
        <w:trPr>
          <w:trHeight w:val="176"/>
        </w:trPr>
        <w:tc>
          <w:tcPr>
            <w:tcW w:w="1580" w:type="dxa"/>
            <w:vAlign w:val="bottom"/>
          </w:tcPr>
          <w:p>
            <w:pPr>
              <w:spacing w:after="0"/>
              <w:rPr>
                <w:sz w:val="20"/>
                <w:szCs w:val="20"/>
                <w:color w:val="auto"/>
              </w:rPr>
            </w:pPr>
            <w:r>
              <w:rPr>
                <w:rFonts w:ascii="Arial" w:cs="Arial" w:eastAsia="Arial" w:hAnsi="Arial"/>
                <w:sz w:val="14"/>
                <w:szCs w:val="14"/>
                <w:color w:val="auto"/>
              </w:rPr>
              <w:t>than CEO and CSO)*</w:t>
            </w:r>
          </w:p>
        </w:tc>
        <w:tc>
          <w:tcPr>
            <w:tcW w:w="4940" w:type="dxa"/>
            <w:vAlign w:val="bottom"/>
          </w:tcPr>
          <w:p>
            <w:pPr>
              <w:spacing w:after="0"/>
              <w:rPr>
                <w:sz w:val="15"/>
                <w:szCs w:val="15"/>
                <w:color w:val="auto"/>
              </w:rPr>
            </w:pPr>
          </w:p>
        </w:tc>
        <w:tc>
          <w:tcPr>
            <w:tcW w:w="4740" w:type="dxa"/>
            <w:vAlign w:val="bottom"/>
          </w:tcPr>
          <w:p>
            <w:pPr>
              <w:ind w:left="240"/>
              <w:spacing w:after="0"/>
              <w:rPr>
                <w:sz w:val="20"/>
                <w:szCs w:val="20"/>
                <w:color w:val="auto"/>
              </w:rPr>
            </w:pPr>
            <w:r>
              <w:rPr>
                <w:rFonts w:ascii="Arial" w:cs="Arial" w:eastAsia="Arial" w:hAnsi="Arial"/>
                <w:sz w:val="14"/>
                <w:szCs w:val="14"/>
                <w:color w:val="auto"/>
              </w:rPr>
              <w:t>fourth anniversary of the date of grant</w:t>
            </w:r>
          </w:p>
        </w:tc>
      </w:tr>
      <w:tr>
        <w:trPr>
          <w:trHeight w:val="39"/>
        </w:trPr>
        <w:tc>
          <w:tcPr>
            <w:tcW w:w="1580" w:type="dxa"/>
            <w:vAlign w:val="bottom"/>
            <w:tcBorders>
              <w:bottom w:val="single" w:sz="8" w:color="215AA8"/>
            </w:tcBorders>
          </w:tcPr>
          <w:p>
            <w:pPr>
              <w:spacing w:after="0"/>
              <w:rPr>
                <w:sz w:val="3"/>
                <w:szCs w:val="3"/>
                <w:color w:val="auto"/>
              </w:rPr>
            </w:pPr>
          </w:p>
        </w:tc>
        <w:tc>
          <w:tcPr>
            <w:tcW w:w="4940" w:type="dxa"/>
            <w:vAlign w:val="bottom"/>
            <w:tcBorders>
              <w:bottom w:val="single" w:sz="8" w:color="215AA8"/>
            </w:tcBorders>
          </w:tcPr>
          <w:p>
            <w:pPr>
              <w:spacing w:after="0"/>
              <w:rPr>
                <w:sz w:val="3"/>
                <w:szCs w:val="3"/>
                <w:color w:val="auto"/>
              </w:rPr>
            </w:pPr>
          </w:p>
        </w:tc>
        <w:tc>
          <w:tcPr>
            <w:tcW w:w="4740" w:type="dxa"/>
            <w:vAlign w:val="bottom"/>
            <w:tcBorders>
              <w:bottom w:val="single" w:sz="8" w:color="215AA8"/>
            </w:tcBorders>
          </w:tcPr>
          <w:p>
            <w:pPr>
              <w:spacing w:after="0"/>
              <w:rPr>
                <w:sz w:val="3"/>
                <w:szCs w:val="3"/>
                <w:color w:val="auto"/>
              </w:rPr>
            </w:pPr>
          </w:p>
        </w:tc>
      </w:tr>
    </w:tbl>
    <w:p>
      <w:pPr>
        <w:spacing w:after="0" w:line="71" w:lineRule="exact"/>
        <w:rPr>
          <w:sz w:val="20"/>
          <w:szCs w:val="20"/>
          <w:color w:val="auto"/>
        </w:rPr>
      </w:pPr>
    </w:p>
    <w:p>
      <w:pPr>
        <w:ind w:left="150" w:right="120" w:hanging="150"/>
        <w:spacing w:after="0" w:line="270" w:lineRule="auto"/>
        <w:tabs>
          <w:tab w:leader="none" w:pos="150" w:val="left"/>
        </w:tabs>
        <w:numPr>
          <w:ilvl w:val="0"/>
          <w:numId w:val="90"/>
        </w:numPr>
        <w:rPr>
          <w:rFonts w:ascii="Arial" w:cs="Arial" w:eastAsia="Arial" w:hAnsi="Arial"/>
          <w:sz w:val="12"/>
          <w:szCs w:val="12"/>
          <w:color w:val="auto"/>
        </w:rPr>
      </w:pPr>
      <w:r>
        <w:rPr>
          <w:rFonts w:ascii="Arial" w:cs="Arial" w:eastAsia="Arial" w:hAnsi="Arial"/>
          <w:sz w:val="12"/>
          <w:szCs w:val="12"/>
          <w:color w:val="auto"/>
        </w:rPr>
        <w:t>Robert E. Landry, our former Executive Vice President, Finance and CFO, did not receive any equity awards in 2023 in light of the September 2023 announcement of his planned retirement from the Company effective February 2024.</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62</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Key Governance Features</w:t>
      </w:r>
    </w:p>
    <w:p>
      <w:pPr>
        <w:spacing w:after="0" w:line="174" w:lineRule="exact"/>
        <w:rPr>
          <w:sz w:val="20"/>
          <w:szCs w:val="20"/>
          <w:color w:val="auto"/>
        </w:rPr>
      </w:pPr>
    </w:p>
    <w:p>
      <w:pPr>
        <w:jc w:val="both"/>
        <w:ind w:right="120"/>
        <w:spacing w:after="0" w:line="246" w:lineRule="auto"/>
        <w:rPr>
          <w:sz w:val="20"/>
          <w:szCs w:val="20"/>
          <w:color w:val="auto"/>
        </w:rPr>
      </w:pPr>
      <w:r>
        <w:rPr>
          <w:rFonts w:ascii="Arial" w:cs="Arial" w:eastAsia="Arial" w:hAnsi="Arial"/>
          <w:sz w:val="14"/>
          <w:szCs w:val="14"/>
          <w:color w:val="auto"/>
        </w:rPr>
        <w:t>Our Compensation Committee oversees the executive compensation program with the support of an independent compensation consultant and management. Our compensation program demonstrates strong governance, minimizing inappropriate risk-taking behavior while protecting shareholder rights and interests. The following is a summary of Regeneron’s key executive compensation best practices and policies.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wp:posOffset>
            </wp:positionV>
            <wp:extent cx="7155180" cy="146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28" w:lineRule="exact"/>
        <w:rPr>
          <w:sz w:val="20"/>
          <w:szCs w:val="20"/>
          <w:color w:val="auto"/>
        </w:rPr>
      </w:pPr>
    </w:p>
    <w:p>
      <w:pPr>
        <w:ind w:left="260"/>
        <w:spacing w:after="0"/>
        <w:rPr>
          <w:sz w:val="20"/>
          <w:szCs w:val="20"/>
          <w:color w:val="auto"/>
        </w:rPr>
      </w:pPr>
      <w:r>
        <w:rPr>
          <w:sz w:val="1"/>
          <w:szCs w:val="1"/>
          <w:color w:val="auto"/>
        </w:rPr>
        <w:drawing>
          <wp:inline distT="0" distB="0" distL="0" distR="0">
            <wp:extent cx="128905" cy="12890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4"/>
          <w:szCs w:val="14"/>
          <w:b w:val="1"/>
          <w:bCs w:val="1"/>
          <w:color w:val="215AA8"/>
        </w:rPr>
        <w:t xml:space="preserve"> Align pay with performance</w:t>
      </w:r>
    </w:p>
    <w:p>
      <w:pPr>
        <w:spacing w:after="0" w:line="147" w:lineRule="exact"/>
        <w:rPr>
          <w:sz w:val="20"/>
          <w:szCs w:val="20"/>
          <w:color w:val="auto"/>
        </w:rPr>
      </w:pPr>
    </w:p>
    <w:p>
      <w:pPr>
        <w:ind w:left="480" w:hanging="220"/>
        <w:spacing w:after="0"/>
        <w:tabs>
          <w:tab w:leader="none" w:pos="480" w:val="left"/>
        </w:tabs>
        <w:numPr>
          <w:ilvl w:val="0"/>
          <w:numId w:val="91"/>
        </w:numPr>
        <w:rPr>
          <w:rFonts w:ascii="Arial" w:cs="Arial" w:eastAsia="Arial" w:hAnsi="Arial"/>
          <w:sz w:val="14"/>
          <w:szCs w:val="14"/>
          <w:color w:val="215AA8"/>
        </w:rPr>
      </w:pPr>
      <w:r>
        <w:rPr>
          <w:rFonts w:ascii="Arial" w:cs="Arial" w:eastAsia="Arial" w:hAnsi="Arial"/>
          <w:sz w:val="14"/>
          <w:szCs w:val="14"/>
          <w:color w:val="auto"/>
        </w:rPr>
        <w:t>All CEO and CSO direct pay is performance-based and “at-risk” (except for base salary)</w:t>
      </w:r>
    </w:p>
    <w:p>
      <w:pPr>
        <w:spacing w:after="0" w:line="64" w:lineRule="exact"/>
        <w:rPr>
          <w:rFonts w:ascii="Arial" w:cs="Arial" w:eastAsia="Arial" w:hAnsi="Arial"/>
          <w:sz w:val="14"/>
          <w:szCs w:val="14"/>
          <w:color w:val="215AA8"/>
        </w:rPr>
      </w:pPr>
    </w:p>
    <w:p>
      <w:pPr>
        <w:ind w:left="480" w:hanging="220"/>
        <w:spacing w:after="0"/>
        <w:tabs>
          <w:tab w:leader="none" w:pos="480" w:val="left"/>
        </w:tabs>
        <w:numPr>
          <w:ilvl w:val="0"/>
          <w:numId w:val="91"/>
        </w:numPr>
        <w:rPr>
          <w:rFonts w:ascii="Arial" w:cs="Arial" w:eastAsia="Arial" w:hAnsi="Arial"/>
          <w:sz w:val="14"/>
          <w:szCs w:val="14"/>
          <w:color w:val="215AA8"/>
        </w:rPr>
      </w:pPr>
      <w:r>
        <w:rPr>
          <w:rFonts w:ascii="Arial" w:cs="Arial" w:eastAsia="Arial" w:hAnsi="Arial"/>
          <w:sz w:val="14"/>
          <w:szCs w:val="14"/>
          <w:color w:val="auto"/>
        </w:rPr>
        <w:t>94% of CEO direct pay “at-risk” in 2023 (see next page)</w:t>
      </w:r>
    </w:p>
    <w:p>
      <w:pPr>
        <w:spacing w:after="0" w:line="135" w:lineRule="exact"/>
        <w:rPr>
          <w:sz w:val="20"/>
          <w:szCs w:val="20"/>
          <w:color w:val="auto"/>
        </w:rPr>
      </w:pPr>
    </w:p>
    <w:p>
      <w:pPr>
        <w:ind w:left="260"/>
        <w:spacing w:after="0"/>
        <w:rPr>
          <w:sz w:val="20"/>
          <w:szCs w:val="20"/>
          <w:color w:val="auto"/>
        </w:rPr>
      </w:pPr>
      <w:r>
        <w:rPr>
          <w:sz w:val="1"/>
          <w:szCs w:val="1"/>
          <w:color w:val="auto"/>
        </w:rPr>
        <w:drawing>
          <wp:inline distT="0" distB="0" distL="0" distR="0">
            <wp:extent cx="128905" cy="12890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4"/>
          <w:szCs w:val="14"/>
          <w:b w:val="1"/>
          <w:bCs w:val="1"/>
          <w:color w:val="215AA8"/>
        </w:rPr>
        <w:t xml:space="preserve"> Align management and shareholder interests</w:t>
      </w:r>
    </w:p>
    <w:p>
      <w:pPr>
        <w:spacing w:after="0" w:line="147" w:lineRule="exact"/>
        <w:rPr>
          <w:sz w:val="20"/>
          <w:szCs w:val="20"/>
          <w:color w:val="auto"/>
        </w:rPr>
      </w:pPr>
    </w:p>
    <w:p>
      <w:pPr>
        <w:ind w:left="480" w:hanging="220"/>
        <w:spacing w:after="0"/>
        <w:tabs>
          <w:tab w:leader="none" w:pos="480" w:val="left"/>
        </w:tabs>
        <w:numPr>
          <w:ilvl w:val="0"/>
          <w:numId w:val="92"/>
        </w:numPr>
        <w:rPr>
          <w:rFonts w:ascii="Arial" w:cs="Arial" w:eastAsia="Arial" w:hAnsi="Arial"/>
          <w:sz w:val="14"/>
          <w:szCs w:val="14"/>
          <w:color w:val="215AA8"/>
        </w:rPr>
      </w:pPr>
      <w:r>
        <w:rPr>
          <w:rFonts w:ascii="Arial" w:cs="Arial" w:eastAsia="Arial" w:hAnsi="Arial"/>
          <w:sz w:val="14"/>
          <w:szCs w:val="14"/>
          <w:color w:val="auto"/>
        </w:rPr>
        <w:t>Equity compensation is a key component of our compensation program</w:t>
      </w:r>
    </w:p>
    <w:p>
      <w:pPr>
        <w:spacing w:after="0" w:line="64" w:lineRule="exact"/>
        <w:rPr>
          <w:rFonts w:ascii="Arial" w:cs="Arial" w:eastAsia="Arial" w:hAnsi="Arial"/>
          <w:sz w:val="14"/>
          <w:szCs w:val="14"/>
          <w:color w:val="215AA8"/>
        </w:rPr>
      </w:pPr>
    </w:p>
    <w:p>
      <w:pPr>
        <w:ind w:left="480" w:right="240" w:hanging="220"/>
        <w:spacing w:after="0" w:line="257" w:lineRule="auto"/>
        <w:tabs>
          <w:tab w:leader="none" w:pos="480" w:val="left"/>
        </w:tabs>
        <w:numPr>
          <w:ilvl w:val="0"/>
          <w:numId w:val="92"/>
        </w:numPr>
        <w:rPr>
          <w:rFonts w:ascii="Arial" w:cs="Arial" w:eastAsia="Arial" w:hAnsi="Arial"/>
          <w:sz w:val="14"/>
          <w:szCs w:val="14"/>
          <w:color w:val="215AA8"/>
        </w:rPr>
      </w:pPr>
      <w:r>
        <w:rPr>
          <w:rFonts w:ascii="Arial" w:cs="Arial" w:eastAsia="Arial" w:hAnsi="Arial"/>
          <w:sz w:val="14"/>
          <w:szCs w:val="14"/>
          <w:color w:val="auto"/>
        </w:rPr>
        <w:t>Designed for long-term alignment: stock options vest over four years with a ten-year term; RSAs vest over four or five years; 2020 PSUs (granted to CEO and CSO) include five-year performance and vesting periods and a three-year post-vesting holding period</w:t>
      </w:r>
    </w:p>
    <w:p>
      <w:pPr>
        <w:spacing w:after="0" w:line="109" w:lineRule="exact"/>
        <w:rPr>
          <w:sz w:val="20"/>
          <w:szCs w:val="20"/>
          <w:color w:val="auto"/>
        </w:rPr>
      </w:pPr>
    </w:p>
    <w:p>
      <w:pPr>
        <w:ind w:left="260"/>
        <w:spacing w:after="0"/>
        <w:rPr>
          <w:sz w:val="20"/>
          <w:szCs w:val="20"/>
          <w:color w:val="auto"/>
        </w:rPr>
      </w:pPr>
      <w:r>
        <w:rPr>
          <w:sz w:val="1"/>
          <w:szCs w:val="1"/>
          <w:color w:val="auto"/>
        </w:rPr>
        <w:drawing>
          <wp:inline distT="0" distB="0" distL="0" distR="0">
            <wp:extent cx="128905" cy="12890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4"/>
          <w:szCs w:val="14"/>
          <w:b w:val="1"/>
          <w:bCs w:val="1"/>
          <w:color w:val="215AA8"/>
        </w:rPr>
        <w:t xml:space="preserve"> Maintain robust stock ownership guidelines</w:t>
      </w:r>
    </w:p>
    <w:p>
      <w:pPr>
        <w:spacing w:after="0" w:line="147" w:lineRule="exact"/>
        <w:rPr>
          <w:sz w:val="20"/>
          <w:szCs w:val="20"/>
          <w:color w:val="auto"/>
        </w:rPr>
      </w:pPr>
    </w:p>
    <w:p>
      <w:pPr>
        <w:ind w:left="480" w:hanging="220"/>
        <w:spacing w:after="0"/>
        <w:tabs>
          <w:tab w:leader="none" w:pos="480" w:val="left"/>
        </w:tabs>
        <w:numPr>
          <w:ilvl w:val="0"/>
          <w:numId w:val="93"/>
        </w:numPr>
        <w:rPr>
          <w:rFonts w:ascii="Arial" w:cs="Arial" w:eastAsia="Arial" w:hAnsi="Arial"/>
          <w:sz w:val="14"/>
          <w:szCs w:val="14"/>
          <w:color w:val="215AA8"/>
        </w:rPr>
      </w:pPr>
      <w:r>
        <w:rPr>
          <w:rFonts w:ascii="Arial" w:cs="Arial" w:eastAsia="Arial" w:hAnsi="Arial"/>
          <w:sz w:val="14"/>
          <w:szCs w:val="14"/>
          <w:color w:val="auto"/>
        </w:rPr>
        <w:t>CEO and CSO: Shares with a value at least 6x base salary</w:t>
      </w:r>
    </w:p>
    <w:p>
      <w:pPr>
        <w:spacing w:after="0" w:line="64" w:lineRule="exact"/>
        <w:rPr>
          <w:rFonts w:ascii="Arial" w:cs="Arial" w:eastAsia="Arial" w:hAnsi="Arial"/>
          <w:sz w:val="14"/>
          <w:szCs w:val="14"/>
          <w:color w:val="215AA8"/>
        </w:rPr>
      </w:pPr>
    </w:p>
    <w:p>
      <w:pPr>
        <w:ind w:left="480" w:hanging="220"/>
        <w:spacing w:after="0"/>
        <w:tabs>
          <w:tab w:leader="none" w:pos="480" w:val="left"/>
        </w:tabs>
        <w:numPr>
          <w:ilvl w:val="0"/>
          <w:numId w:val="93"/>
        </w:numPr>
        <w:rPr>
          <w:rFonts w:ascii="Arial" w:cs="Arial" w:eastAsia="Arial" w:hAnsi="Arial"/>
          <w:sz w:val="14"/>
          <w:szCs w:val="14"/>
          <w:color w:val="215AA8"/>
        </w:rPr>
      </w:pPr>
      <w:r>
        <w:rPr>
          <w:rFonts w:ascii="Arial" w:cs="Arial" w:eastAsia="Arial" w:hAnsi="Arial"/>
          <w:sz w:val="14"/>
          <w:szCs w:val="14"/>
          <w:color w:val="auto"/>
        </w:rPr>
        <w:t>Other NEOs: Shares with a value at least 2x base salary</w:t>
      </w:r>
    </w:p>
    <w:p>
      <w:pPr>
        <w:spacing w:after="0" w:line="64" w:lineRule="exact"/>
        <w:rPr>
          <w:rFonts w:ascii="Arial" w:cs="Arial" w:eastAsia="Arial" w:hAnsi="Arial"/>
          <w:sz w:val="14"/>
          <w:szCs w:val="14"/>
          <w:color w:val="215AA8"/>
        </w:rPr>
      </w:pPr>
    </w:p>
    <w:p>
      <w:pPr>
        <w:ind w:left="480" w:hanging="220"/>
        <w:spacing w:after="0"/>
        <w:tabs>
          <w:tab w:leader="none" w:pos="480" w:val="left"/>
        </w:tabs>
        <w:numPr>
          <w:ilvl w:val="0"/>
          <w:numId w:val="93"/>
        </w:numPr>
        <w:rPr>
          <w:rFonts w:ascii="Arial" w:cs="Arial" w:eastAsia="Arial" w:hAnsi="Arial"/>
          <w:sz w:val="14"/>
          <w:szCs w:val="14"/>
          <w:color w:val="215AA8"/>
        </w:rPr>
      </w:pPr>
      <w:r>
        <w:rPr>
          <w:rFonts w:ascii="Arial" w:cs="Arial" w:eastAsia="Arial" w:hAnsi="Arial"/>
          <w:sz w:val="14"/>
          <w:szCs w:val="14"/>
          <w:color w:val="auto"/>
        </w:rPr>
        <w:t>See “The Company -- Corporate Governance -- Stock Ownership Guidelines” for more information</w:t>
      </w:r>
    </w:p>
    <w:p>
      <w:pPr>
        <w:spacing w:after="0" w:line="135" w:lineRule="exact"/>
        <w:rPr>
          <w:sz w:val="20"/>
          <w:szCs w:val="20"/>
          <w:color w:val="auto"/>
        </w:rPr>
      </w:pPr>
    </w:p>
    <w:p>
      <w:pPr>
        <w:ind w:left="260"/>
        <w:spacing w:after="0"/>
        <w:rPr>
          <w:sz w:val="20"/>
          <w:szCs w:val="20"/>
          <w:color w:val="auto"/>
        </w:rPr>
      </w:pPr>
      <w:r>
        <w:rPr>
          <w:sz w:val="1"/>
          <w:szCs w:val="1"/>
          <w:color w:val="auto"/>
        </w:rPr>
        <w:drawing>
          <wp:inline distT="0" distB="0" distL="0" distR="0">
            <wp:extent cx="128905" cy="128905"/>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4"/>
          <w:szCs w:val="14"/>
          <w:b w:val="1"/>
          <w:bCs w:val="1"/>
          <w:color w:val="215AA8"/>
        </w:rPr>
        <w:t xml:space="preserve"> Annual say-on-pay votes</w:t>
      </w:r>
    </w:p>
    <w:p>
      <w:pPr>
        <w:spacing w:after="0" w:line="147" w:lineRule="exact"/>
        <w:rPr>
          <w:sz w:val="20"/>
          <w:szCs w:val="20"/>
          <w:color w:val="auto"/>
        </w:rPr>
      </w:pPr>
    </w:p>
    <w:p>
      <w:pPr>
        <w:ind w:left="480" w:hanging="220"/>
        <w:spacing w:after="0"/>
        <w:tabs>
          <w:tab w:leader="none" w:pos="480" w:val="left"/>
        </w:tabs>
        <w:numPr>
          <w:ilvl w:val="0"/>
          <w:numId w:val="94"/>
        </w:numPr>
        <w:rPr>
          <w:rFonts w:ascii="Arial" w:cs="Arial" w:eastAsia="Arial" w:hAnsi="Arial"/>
          <w:sz w:val="14"/>
          <w:szCs w:val="14"/>
          <w:color w:val="215AA8"/>
        </w:rPr>
      </w:pPr>
      <w:r>
        <w:rPr>
          <w:rFonts w:ascii="Arial" w:cs="Arial" w:eastAsia="Arial" w:hAnsi="Arial"/>
          <w:sz w:val="14"/>
          <w:szCs w:val="14"/>
          <w:color w:val="auto"/>
        </w:rPr>
        <w:t>Say-on-pay votes held annually in recognition of shareholder feedback and preference</w:t>
      </w:r>
    </w:p>
    <w:p>
      <w:pPr>
        <w:spacing w:after="0" w:line="135" w:lineRule="exact"/>
        <w:rPr>
          <w:sz w:val="20"/>
          <w:szCs w:val="20"/>
          <w:color w:val="auto"/>
        </w:rPr>
      </w:pPr>
    </w:p>
    <w:p>
      <w:pPr>
        <w:ind w:left="260"/>
        <w:spacing w:after="0"/>
        <w:rPr>
          <w:sz w:val="20"/>
          <w:szCs w:val="20"/>
          <w:color w:val="auto"/>
        </w:rPr>
      </w:pPr>
      <w:r>
        <w:rPr>
          <w:sz w:val="1"/>
          <w:szCs w:val="1"/>
          <w:color w:val="auto"/>
        </w:rPr>
        <w:drawing>
          <wp:inline distT="0" distB="0" distL="0" distR="0">
            <wp:extent cx="128905" cy="12890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4"/>
          <w:szCs w:val="14"/>
          <w:b w:val="1"/>
          <w:bCs w:val="1"/>
          <w:color w:val="215AA8"/>
        </w:rPr>
        <w:t xml:space="preserve"> Align our compensation philosophy and program design with our culture and business strategy</w:t>
      </w:r>
    </w:p>
    <w:p>
      <w:pPr>
        <w:spacing w:after="0" w:line="147" w:lineRule="exact"/>
        <w:rPr>
          <w:sz w:val="20"/>
          <w:szCs w:val="20"/>
          <w:color w:val="auto"/>
        </w:rPr>
      </w:pPr>
    </w:p>
    <w:p>
      <w:pPr>
        <w:ind w:left="480" w:hanging="220"/>
        <w:spacing w:after="0"/>
        <w:tabs>
          <w:tab w:leader="none" w:pos="480" w:val="left"/>
        </w:tabs>
        <w:numPr>
          <w:ilvl w:val="0"/>
          <w:numId w:val="95"/>
        </w:numPr>
        <w:rPr>
          <w:rFonts w:ascii="Arial" w:cs="Arial" w:eastAsia="Arial" w:hAnsi="Arial"/>
          <w:sz w:val="14"/>
          <w:szCs w:val="14"/>
          <w:color w:val="215AA8"/>
        </w:rPr>
      </w:pPr>
      <w:r>
        <w:rPr>
          <w:rFonts w:ascii="Arial" w:cs="Arial" w:eastAsia="Arial" w:hAnsi="Arial"/>
          <w:sz w:val="14"/>
          <w:szCs w:val="14"/>
          <w:color w:val="auto"/>
        </w:rPr>
        <w:t>Long-term oriented</w:t>
      </w:r>
    </w:p>
    <w:p>
      <w:pPr>
        <w:spacing w:after="0" w:line="64" w:lineRule="exact"/>
        <w:rPr>
          <w:rFonts w:ascii="Arial" w:cs="Arial" w:eastAsia="Arial" w:hAnsi="Arial"/>
          <w:sz w:val="14"/>
          <w:szCs w:val="14"/>
          <w:color w:val="215AA8"/>
        </w:rPr>
      </w:pPr>
    </w:p>
    <w:p>
      <w:pPr>
        <w:ind w:left="480" w:hanging="220"/>
        <w:spacing w:after="0"/>
        <w:tabs>
          <w:tab w:leader="none" w:pos="480" w:val="left"/>
        </w:tabs>
        <w:numPr>
          <w:ilvl w:val="0"/>
          <w:numId w:val="95"/>
        </w:numPr>
        <w:rPr>
          <w:rFonts w:ascii="Arial" w:cs="Arial" w:eastAsia="Arial" w:hAnsi="Arial"/>
          <w:sz w:val="14"/>
          <w:szCs w:val="14"/>
          <w:color w:val="215AA8"/>
        </w:rPr>
      </w:pPr>
      <w:r>
        <w:rPr>
          <w:rFonts w:ascii="Arial" w:cs="Arial" w:eastAsia="Arial" w:hAnsi="Arial"/>
          <w:sz w:val="14"/>
          <w:szCs w:val="14"/>
          <w:color w:val="auto"/>
        </w:rPr>
        <w:t>Focused on product pipeline</w:t>
      </w:r>
    </w:p>
    <w:p>
      <w:pPr>
        <w:spacing w:after="0" w:line="64" w:lineRule="exact"/>
        <w:rPr>
          <w:rFonts w:ascii="Arial" w:cs="Arial" w:eastAsia="Arial" w:hAnsi="Arial"/>
          <w:sz w:val="14"/>
          <w:szCs w:val="14"/>
          <w:color w:val="215AA8"/>
        </w:rPr>
      </w:pPr>
    </w:p>
    <w:p>
      <w:pPr>
        <w:ind w:left="480" w:hanging="220"/>
        <w:spacing w:after="0"/>
        <w:tabs>
          <w:tab w:leader="none" w:pos="480" w:val="left"/>
        </w:tabs>
        <w:numPr>
          <w:ilvl w:val="0"/>
          <w:numId w:val="95"/>
        </w:numPr>
        <w:rPr>
          <w:rFonts w:ascii="Arial" w:cs="Arial" w:eastAsia="Arial" w:hAnsi="Arial"/>
          <w:sz w:val="14"/>
          <w:szCs w:val="14"/>
          <w:color w:val="215AA8"/>
        </w:rPr>
      </w:pPr>
      <w:r>
        <w:rPr>
          <w:rFonts w:ascii="Arial" w:cs="Arial" w:eastAsia="Arial" w:hAnsi="Arial"/>
          <w:sz w:val="14"/>
          <w:szCs w:val="14"/>
          <w:color w:val="auto"/>
        </w:rPr>
        <w:t>Employee/shareholder mindset</w:t>
      </w:r>
    </w:p>
    <w:p>
      <w:pPr>
        <w:spacing w:after="0" w:line="135" w:lineRule="exact"/>
        <w:rPr>
          <w:sz w:val="20"/>
          <w:szCs w:val="20"/>
          <w:color w:val="auto"/>
        </w:rPr>
      </w:pPr>
    </w:p>
    <w:p>
      <w:pPr>
        <w:ind w:left="260"/>
        <w:spacing w:after="0"/>
        <w:rPr>
          <w:sz w:val="20"/>
          <w:szCs w:val="20"/>
          <w:color w:val="auto"/>
        </w:rPr>
      </w:pPr>
      <w:r>
        <w:rPr>
          <w:sz w:val="1"/>
          <w:szCs w:val="1"/>
          <w:color w:val="auto"/>
        </w:rPr>
        <w:drawing>
          <wp:inline distT="0" distB="0" distL="0" distR="0">
            <wp:extent cx="128905" cy="12890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4"/>
          <w:szCs w:val="14"/>
          <w:b w:val="1"/>
          <w:bCs w:val="1"/>
          <w:color w:val="215AA8"/>
        </w:rPr>
        <w:t xml:space="preserve"> Maintain a strong recoupment (clawback) policy</w:t>
      </w:r>
    </w:p>
    <w:p>
      <w:pPr>
        <w:spacing w:after="0" w:line="147" w:lineRule="exact"/>
        <w:rPr>
          <w:sz w:val="20"/>
          <w:szCs w:val="20"/>
          <w:color w:val="auto"/>
        </w:rPr>
      </w:pPr>
    </w:p>
    <w:p>
      <w:pPr>
        <w:ind w:left="480" w:right="260" w:hanging="220"/>
        <w:spacing w:after="0" w:line="257" w:lineRule="auto"/>
        <w:tabs>
          <w:tab w:leader="none" w:pos="480" w:val="left"/>
        </w:tabs>
        <w:numPr>
          <w:ilvl w:val="0"/>
          <w:numId w:val="96"/>
        </w:numPr>
        <w:rPr>
          <w:rFonts w:ascii="Arial" w:cs="Arial" w:eastAsia="Arial" w:hAnsi="Arial"/>
          <w:sz w:val="14"/>
          <w:szCs w:val="14"/>
          <w:color w:val="215AA8"/>
        </w:rPr>
      </w:pPr>
      <w:r>
        <w:rPr>
          <w:rFonts w:ascii="Arial" w:cs="Arial" w:eastAsia="Arial" w:hAnsi="Arial"/>
          <w:sz w:val="14"/>
          <w:szCs w:val="14"/>
          <w:color w:val="auto"/>
        </w:rPr>
        <w:t>Primary policy applies to bonus and other incentive compensation of our officers and certain other specified employees, regardless of whether paid or payable in cash, equity, or otherwise and regardless of whether earned or vested</w:t>
      </w:r>
    </w:p>
    <w:p>
      <w:pPr>
        <w:spacing w:after="0" w:line="37" w:lineRule="exact"/>
        <w:rPr>
          <w:rFonts w:ascii="Arial" w:cs="Arial" w:eastAsia="Arial" w:hAnsi="Arial"/>
          <w:sz w:val="14"/>
          <w:szCs w:val="14"/>
          <w:color w:val="215AA8"/>
        </w:rPr>
      </w:pPr>
    </w:p>
    <w:p>
      <w:pPr>
        <w:ind w:left="480" w:right="100" w:hanging="220"/>
        <w:spacing w:after="0" w:line="257" w:lineRule="auto"/>
        <w:tabs>
          <w:tab w:leader="none" w:pos="480" w:val="left"/>
        </w:tabs>
        <w:numPr>
          <w:ilvl w:val="0"/>
          <w:numId w:val="96"/>
        </w:numPr>
        <w:rPr>
          <w:rFonts w:ascii="Arial" w:cs="Arial" w:eastAsia="Arial" w:hAnsi="Arial"/>
          <w:sz w:val="14"/>
          <w:szCs w:val="14"/>
          <w:color w:val="215AA8"/>
        </w:rPr>
      </w:pPr>
      <w:r>
        <w:rPr>
          <w:rFonts w:ascii="Arial" w:cs="Arial" w:eastAsia="Arial" w:hAnsi="Arial"/>
          <w:sz w:val="14"/>
          <w:szCs w:val="14"/>
          <w:color w:val="auto"/>
        </w:rPr>
        <w:t>Supplemented in 2023 (as required by amended listing standards of the Nasdaq Stock Market LLC) to provide for recovery of incentive-based compensation of specified officers in the event an accounting restatement renders such compensation erroneously received</w:t>
      </w:r>
    </w:p>
    <w:p>
      <w:pPr>
        <w:spacing w:after="0" w:line="109" w:lineRule="exact"/>
        <w:rPr>
          <w:sz w:val="20"/>
          <w:szCs w:val="20"/>
          <w:color w:val="auto"/>
        </w:rPr>
      </w:pPr>
    </w:p>
    <w:p>
      <w:pPr>
        <w:ind w:left="260"/>
        <w:spacing w:after="0"/>
        <w:rPr>
          <w:sz w:val="20"/>
          <w:szCs w:val="20"/>
          <w:color w:val="auto"/>
        </w:rPr>
      </w:pPr>
      <w:r>
        <w:rPr>
          <w:sz w:val="1"/>
          <w:szCs w:val="1"/>
          <w:color w:val="auto"/>
        </w:rPr>
        <w:drawing>
          <wp:inline distT="0" distB="0" distL="0" distR="0">
            <wp:extent cx="128905" cy="128905"/>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4"/>
          <w:szCs w:val="14"/>
          <w:b w:val="1"/>
          <w:bCs w:val="1"/>
          <w:color w:val="215AA8"/>
        </w:rPr>
        <w:t xml:space="preserve"> Retain an independent compensation consultant</w:t>
      </w:r>
    </w:p>
    <w:p>
      <w:pPr>
        <w:spacing w:after="0" w:line="147" w:lineRule="exact"/>
        <w:rPr>
          <w:sz w:val="20"/>
          <w:szCs w:val="20"/>
          <w:color w:val="auto"/>
        </w:rPr>
      </w:pPr>
    </w:p>
    <w:p>
      <w:pPr>
        <w:ind w:left="480" w:right="140" w:hanging="220"/>
        <w:spacing w:after="0" w:line="257" w:lineRule="auto"/>
        <w:tabs>
          <w:tab w:leader="none" w:pos="480" w:val="left"/>
        </w:tabs>
        <w:numPr>
          <w:ilvl w:val="0"/>
          <w:numId w:val="97"/>
        </w:numPr>
        <w:rPr>
          <w:rFonts w:ascii="Arial" w:cs="Arial" w:eastAsia="Arial" w:hAnsi="Arial"/>
          <w:sz w:val="14"/>
          <w:szCs w:val="14"/>
          <w:color w:val="215AA8"/>
        </w:rPr>
      </w:pPr>
      <w:r>
        <w:rPr>
          <w:rFonts w:ascii="Arial" w:cs="Arial" w:eastAsia="Arial" w:hAnsi="Arial"/>
          <w:sz w:val="14"/>
          <w:szCs w:val="14"/>
          <w:color w:val="auto"/>
        </w:rPr>
        <w:t>Independent compensation consultant provides advice directly to the Compensation Committee on all key compensation decisions, as well as recommendations for compensation plans, budgets, and strategies</w:t>
      </w:r>
    </w:p>
    <w:p>
      <w:pPr>
        <w:spacing w:after="0" w:line="109" w:lineRule="exact"/>
        <w:rPr>
          <w:sz w:val="20"/>
          <w:szCs w:val="20"/>
          <w:color w:val="auto"/>
        </w:rPr>
      </w:pPr>
    </w:p>
    <w:p>
      <w:pPr>
        <w:ind w:left="260"/>
        <w:spacing w:after="0"/>
        <w:rPr>
          <w:sz w:val="20"/>
          <w:szCs w:val="20"/>
          <w:color w:val="auto"/>
        </w:rPr>
      </w:pPr>
      <w:r>
        <w:rPr>
          <w:sz w:val="1"/>
          <w:szCs w:val="1"/>
          <w:color w:val="auto"/>
        </w:rPr>
        <w:drawing>
          <wp:inline distT="0" distB="0" distL="0" distR="0">
            <wp:extent cx="128905" cy="128905"/>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4"/>
          <w:szCs w:val="14"/>
          <w:b w:val="1"/>
          <w:bCs w:val="1"/>
          <w:color w:val="215AA8"/>
        </w:rPr>
        <w:t xml:space="preserve"> Actively and regularly engage with shareholders on executive compensation matters</w:t>
      </w:r>
    </w:p>
    <w:p>
      <w:pPr>
        <w:spacing w:after="0" w:line="147" w:lineRule="exact"/>
        <w:rPr>
          <w:sz w:val="20"/>
          <w:szCs w:val="20"/>
          <w:color w:val="auto"/>
        </w:rPr>
      </w:pPr>
    </w:p>
    <w:p>
      <w:pPr>
        <w:ind w:left="480" w:hanging="220"/>
        <w:spacing w:after="0"/>
        <w:tabs>
          <w:tab w:leader="none" w:pos="480" w:val="left"/>
        </w:tabs>
        <w:numPr>
          <w:ilvl w:val="0"/>
          <w:numId w:val="98"/>
        </w:numPr>
        <w:rPr>
          <w:rFonts w:ascii="Arial" w:cs="Arial" w:eastAsia="Arial" w:hAnsi="Arial"/>
          <w:sz w:val="14"/>
          <w:szCs w:val="14"/>
          <w:color w:val="215AA8"/>
        </w:rPr>
      </w:pPr>
      <w:r>
        <w:rPr>
          <w:rFonts w:ascii="Arial" w:cs="Arial" w:eastAsia="Arial" w:hAnsi="Arial"/>
          <w:sz w:val="14"/>
          <w:szCs w:val="14"/>
          <w:color w:val="auto"/>
        </w:rPr>
        <w:t>Robust engagement program in the last decade</w:t>
      </w:r>
    </w:p>
    <w:p>
      <w:pPr>
        <w:spacing w:after="0" w:line="64" w:lineRule="exact"/>
        <w:rPr>
          <w:rFonts w:ascii="Arial" w:cs="Arial" w:eastAsia="Arial" w:hAnsi="Arial"/>
          <w:sz w:val="14"/>
          <w:szCs w:val="14"/>
          <w:color w:val="215AA8"/>
        </w:rPr>
      </w:pPr>
    </w:p>
    <w:p>
      <w:pPr>
        <w:ind w:left="480" w:right="140" w:hanging="220"/>
        <w:spacing w:after="0" w:line="257" w:lineRule="auto"/>
        <w:tabs>
          <w:tab w:leader="none" w:pos="480" w:val="left"/>
        </w:tabs>
        <w:numPr>
          <w:ilvl w:val="0"/>
          <w:numId w:val="98"/>
        </w:numPr>
        <w:rPr>
          <w:rFonts w:ascii="Arial" w:cs="Arial" w:eastAsia="Arial" w:hAnsi="Arial"/>
          <w:sz w:val="14"/>
          <w:szCs w:val="14"/>
          <w:color w:val="215AA8"/>
        </w:rPr>
      </w:pPr>
      <w:r>
        <w:rPr>
          <w:rFonts w:ascii="Arial" w:cs="Arial" w:eastAsia="Arial" w:hAnsi="Arial"/>
          <w:sz w:val="14"/>
          <w:szCs w:val="14"/>
          <w:color w:val="auto"/>
        </w:rPr>
        <w:t>In 2023, reached out to shareholders collectively representing approximately 60% of public shares and held one-on-one discussions with shareholders representing approximately 40% of public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D60058"/>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wp:posOffset>
            </wp:positionV>
            <wp:extent cx="7155180" cy="146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ind w:left="540"/>
              <w:spacing w:after="0"/>
              <w:rPr>
                <w:sz w:val="20"/>
                <w:szCs w:val="20"/>
                <w:color w:val="auto"/>
              </w:rPr>
            </w:pPr>
            <w:r>
              <w:rPr>
                <w:rFonts w:ascii="Arial" w:cs="Arial" w:eastAsia="Arial" w:hAnsi="Arial"/>
                <w:sz w:val="14"/>
                <w:szCs w:val="14"/>
                <w:b w:val="1"/>
                <w:bCs w:val="1"/>
                <w:color w:val="D60058"/>
              </w:rPr>
              <w:t>Reprice, exchange, or “spring-load” stock options</w:t>
            </w:r>
          </w:p>
        </w:tc>
        <w:tc>
          <w:tcPr>
            <w:tcW w:w="2960" w:type="dxa"/>
            <w:vAlign w:val="bottom"/>
          </w:tcPr>
          <w:p>
            <w:pPr>
              <w:spacing w:after="0"/>
              <w:rPr>
                <w:sz w:val="16"/>
                <w:szCs w:val="16"/>
                <w:color w:val="auto"/>
              </w:rPr>
            </w:pPr>
          </w:p>
        </w:tc>
      </w:tr>
      <w:tr>
        <w:trPr>
          <w:trHeight w:val="371"/>
        </w:trPr>
        <w:tc>
          <w:tcPr>
            <w:tcW w:w="8280" w:type="dxa"/>
            <w:vAlign w:val="bottom"/>
          </w:tcPr>
          <w:p>
            <w:pPr>
              <w:ind w:left="540"/>
              <w:spacing w:after="0"/>
              <w:rPr>
                <w:sz w:val="20"/>
                <w:szCs w:val="20"/>
                <w:color w:val="auto"/>
              </w:rPr>
            </w:pPr>
            <w:r>
              <w:rPr>
                <w:rFonts w:ascii="Arial" w:cs="Arial" w:eastAsia="Arial" w:hAnsi="Arial"/>
                <w:sz w:val="14"/>
                <w:szCs w:val="14"/>
                <w:b w:val="1"/>
                <w:bCs w:val="1"/>
                <w:color w:val="D60058"/>
              </w:rPr>
              <w:t>Provide excessive perquisites without a compelling business rationale</w:t>
            </w:r>
          </w:p>
        </w:tc>
        <w:tc>
          <w:tcPr>
            <w:tcW w:w="2960" w:type="dxa"/>
            <w:vAlign w:val="bottom"/>
          </w:tcPr>
          <w:p>
            <w:pPr>
              <w:spacing w:after="0"/>
              <w:rPr>
                <w:sz w:val="24"/>
                <w:szCs w:val="24"/>
                <w:color w:val="auto"/>
              </w:rPr>
            </w:pPr>
          </w:p>
        </w:tc>
      </w:tr>
      <w:tr>
        <w:trPr>
          <w:trHeight w:val="371"/>
        </w:trPr>
        <w:tc>
          <w:tcPr>
            <w:tcW w:w="8280" w:type="dxa"/>
            <w:vAlign w:val="bottom"/>
          </w:tcPr>
          <w:p>
            <w:pPr>
              <w:ind w:left="540"/>
              <w:spacing w:after="0"/>
              <w:rPr>
                <w:sz w:val="20"/>
                <w:szCs w:val="20"/>
                <w:color w:val="auto"/>
              </w:rPr>
            </w:pPr>
            <w:r>
              <w:rPr>
                <w:rFonts w:ascii="Arial" w:cs="Arial" w:eastAsia="Arial" w:hAnsi="Arial"/>
                <w:sz w:val="14"/>
                <w:szCs w:val="14"/>
                <w:b w:val="1"/>
                <w:bCs w:val="1"/>
                <w:color w:val="D60058"/>
              </w:rPr>
              <w:t>Provide excise tax gross-ups in any new compensation plans or arrangements</w:t>
            </w:r>
          </w:p>
        </w:tc>
        <w:tc>
          <w:tcPr>
            <w:tcW w:w="2960" w:type="dxa"/>
            <w:vAlign w:val="bottom"/>
          </w:tcPr>
          <w:p>
            <w:pPr>
              <w:spacing w:after="0"/>
              <w:rPr>
                <w:sz w:val="24"/>
                <w:szCs w:val="24"/>
                <w:color w:val="auto"/>
              </w:rPr>
            </w:pPr>
          </w:p>
        </w:tc>
      </w:tr>
      <w:tr>
        <w:trPr>
          <w:trHeight w:val="371"/>
        </w:trPr>
        <w:tc>
          <w:tcPr>
            <w:tcW w:w="8280" w:type="dxa"/>
            <w:vAlign w:val="bottom"/>
          </w:tcPr>
          <w:p>
            <w:pPr>
              <w:ind w:left="540"/>
              <w:spacing w:after="0"/>
              <w:rPr>
                <w:sz w:val="20"/>
                <w:szCs w:val="20"/>
                <w:color w:val="auto"/>
              </w:rPr>
            </w:pPr>
            <w:r>
              <w:rPr>
                <w:rFonts w:ascii="Arial" w:cs="Arial" w:eastAsia="Arial" w:hAnsi="Arial"/>
                <w:sz w:val="14"/>
                <w:szCs w:val="14"/>
                <w:b w:val="1"/>
                <w:bCs w:val="1"/>
                <w:color w:val="D60058"/>
              </w:rPr>
              <w:t>Allow hedging or pledging of securities</w:t>
            </w:r>
          </w:p>
        </w:tc>
        <w:tc>
          <w:tcPr>
            <w:tcW w:w="2960" w:type="dxa"/>
            <w:vAlign w:val="bottom"/>
          </w:tcPr>
          <w:p>
            <w:pPr>
              <w:spacing w:after="0"/>
              <w:rPr>
                <w:sz w:val="24"/>
                <w:szCs w:val="24"/>
                <w:color w:val="auto"/>
              </w:rPr>
            </w:pPr>
          </w:p>
        </w:tc>
      </w:tr>
      <w:tr>
        <w:trPr>
          <w:trHeight w:val="371"/>
        </w:trPr>
        <w:tc>
          <w:tcPr>
            <w:tcW w:w="82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296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7155180" cy="285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5180" cy="2857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-1053465</wp:posOffset>
            </wp:positionV>
            <wp:extent cx="128905" cy="135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8905" cy="135890"/>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-817245</wp:posOffset>
            </wp:positionV>
            <wp:extent cx="128905" cy="135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8905" cy="135890"/>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-581660</wp:posOffset>
            </wp:positionV>
            <wp:extent cx="128905" cy="135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8905" cy="135890"/>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-345440</wp:posOffset>
            </wp:positionV>
            <wp:extent cx="128905" cy="135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8905" cy="135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-95250</wp:posOffset>
            </wp:positionV>
            <wp:extent cx="629285" cy="717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2"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Compensation Program Objectives</w:t>
      </w:r>
    </w:p>
    <w:p>
      <w:pPr>
        <w:spacing w:after="0" w:line="180" w:lineRule="exact"/>
        <w:rPr>
          <w:sz w:val="20"/>
          <w:szCs w:val="20"/>
          <w:color w:val="auto"/>
        </w:rPr>
      </w:pPr>
    </w:p>
    <w:p>
      <w:pPr>
        <w:ind w:left="10" w:right="40"/>
        <w:spacing w:after="0" w:line="239" w:lineRule="auto"/>
        <w:rPr>
          <w:sz w:val="20"/>
          <w:szCs w:val="20"/>
          <w:color w:val="auto"/>
        </w:rPr>
      </w:pPr>
      <w:r>
        <w:rPr>
          <w:rFonts w:ascii="Arial" w:cs="Arial" w:eastAsia="Arial" w:hAnsi="Arial"/>
          <w:sz w:val="14"/>
          <w:szCs w:val="14"/>
          <w:color w:val="auto"/>
        </w:rPr>
        <w:t>Regeneron’s executive compensation program is designed to pay for performance, drive the creation of long-term, sustainable shareholder value, deliver compensation that is competitively positioned amongst Regeneron’s peers, encourage a shareholder mindset, and align with the pursuit and achievement of both our short-term and long-term strategic goals. Managing our business for the long term is core to our culture, as demonstrated by our history of growing through innovation and through a pipeline of internally developed medicines. The pay program at Regeneron must also attract and retain talented leaders who can innovate and execute. The compensation program must further support the board’s and management’s broader objectives, such as those relating to research and product development; access to our medicines; quality and compliance; and human capital management, including promotion of a diverse and inclusive workplace.</w:t>
      </w:r>
    </w:p>
    <w:p>
      <w:pPr>
        <w:spacing w:after="0" w:line="141" w:lineRule="exact"/>
        <w:rPr>
          <w:sz w:val="20"/>
          <w:szCs w:val="20"/>
          <w:color w:val="auto"/>
        </w:rPr>
      </w:pPr>
    </w:p>
    <w:p>
      <w:pPr>
        <w:ind w:left="10"/>
        <w:spacing w:after="0"/>
        <w:rPr>
          <w:sz w:val="20"/>
          <w:szCs w:val="20"/>
          <w:color w:val="auto"/>
        </w:rPr>
      </w:pPr>
      <w:r>
        <w:rPr>
          <w:rFonts w:ascii="Arial" w:cs="Arial" w:eastAsia="Arial" w:hAnsi="Arial"/>
          <w:sz w:val="14"/>
          <w:szCs w:val="14"/>
          <w:color w:val="auto"/>
        </w:rPr>
        <w:t>We strive to achieve these objectives by considering the following key compensation program tenets when designing and determining appropriate compensation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73595" cy="21697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3595" cy="216979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p>
      <w:pPr>
        <w:spacing w:after="0" w:line="265" w:lineRule="exact"/>
        <w:rPr>
          <w:sz w:val="20"/>
          <w:szCs w:val="20"/>
          <w:color w:val="auto"/>
        </w:rPr>
      </w:pPr>
    </w:p>
    <w:p>
      <w:pPr>
        <w:ind w:left="230"/>
        <w:spacing w:after="0"/>
        <w:rPr>
          <w:sz w:val="20"/>
          <w:szCs w:val="20"/>
          <w:color w:val="auto"/>
        </w:rPr>
      </w:pPr>
      <w:r>
        <w:rPr>
          <w:rFonts w:ascii="Arial" w:cs="Arial" w:eastAsia="Arial" w:hAnsi="Arial"/>
          <w:sz w:val="18"/>
          <w:szCs w:val="18"/>
          <w:b w:val="1"/>
          <w:bCs w:val="1"/>
          <w:color w:val="215AA8"/>
        </w:rPr>
        <w:t>Drive innovation through ownership culture</w:t>
      </w:r>
    </w:p>
    <w:p>
      <w:pPr>
        <w:spacing w:after="0" w:line="87" w:lineRule="exact"/>
        <w:rPr>
          <w:sz w:val="20"/>
          <w:szCs w:val="20"/>
          <w:color w:val="auto"/>
        </w:rPr>
      </w:pPr>
    </w:p>
    <w:p>
      <w:pPr>
        <w:ind w:left="230"/>
        <w:spacing w:after="0"/>
        <w:rPr>
          <w:sz w:val="20"/>
          <w:szCs w:val="20"/>
          <w:color w:val="auto"/>
        </w:rPr>
      </w:pPr>
      <w:r>
        <w:rPr>
          <w:rFonts w:ascii="Arial" w:cs="Arial" w:eastAsia="Arial" w:hAnsi="Arial"/>
          <w:sz w:val="14"/>
          <w:szCs w:val="14"/>
          <w:color w:val="auto"/>
        </w:rPr>
        <w:t>Our objective is to create and reinforce a culture where employees think and act like owners, are empowered to pursue fulfilling careers, and focus on our mission of drug discovery and development. We believe a broad-based equity program that incentivizes long-term performance and promotes employee retention is a key ingredient in achieving this culture of ownership and innovation.</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Prioritize design simplicity and long-term orientation</w:t>
      </w:r>
    </w:p>
    <w:p>
      <w:pPr>
        <w:spacing w:after="0" w:line="87" w:lineRule="exact"/>
        <w:rPr>
          <w:sz w:val="20"/>
          <w:szCs w:val="20"/>
          <w:color w:val="auto"/>
        </w:rPr>
      </w:pPr>
    </w:p>
    <w:p>
      <w:pPr>
        <w:ind w:right="300"/>
        <w:spacing w:after="0" w:line="239" w:lineRule="auto"/>
        <w:rPr>
          <w:sz w:val="20"/>
          <w:szCs w:val="20"/>
          <w:color w:val="auto"/>
        </w:rPr>
      </w:pPr>
      <w:r>
        <w:rPr>
          <w:rFonts w:ascii="Arial" w:cs="Arial" w:eastAsia="Arial" w:hAnsi="Arial"/>
          <w:sz w:val="14"/>
          <w:szCs w:val="14"/>
          <w:color w:val="auto"/>
        </w:rPr>
        <w:t>Tying compensation to long-term, Company-wide success and straightforward Company goals has enabled us to encourage decision-making that we believe is consistent with the long-term sustainability of our Company and our reputation. Our objective is to remain nimble, to encourage evolutionary ideas when strategies need to change, and to have the ability to pivot quickly if needed, without being hindered by overly complex compensation structures.</w:t>
      </w:r>
    </w:p>
    <w:p>
      <w:pPr>
        <w:spacing w:after="0" w:line="151" w:lineRule="exact"/>
        <w:rPr>
          <w:sz w:val="20"/>
          <w:szCs w:val="20"/>
          <w:color w:val="auto"/>
        </w:rPr>
      </w:pPr>
    </w:p>
    <w:p>
      <w:pPr>
        <w:sectPr>
          <w:pgSz w:w="11900" w:h="16838" w:orient="portrait"/>
          <w:cols w:equalWidth="0" w:num="2">
            <w:col w:w="5470" w:space="340"/>
            <w:col w:w="5460"/>
          </w:cols>
          <w:pgMar w:left="310" w:top="215" w:right="319" w:bottom="1440" w:gutter="0" w:footer="0" w:header="0"/>
          <w:type w:val="continuous"/>
        </w:sectPr>
      </w:pPr>
    </w:p>
    <w:p>
      <w:pPr>
        <w:ind w:left="230"/>
        <w:spacing w:after="0"/>
        <w:rPr>
          <w:sz w:val="20"/>
          <w:szCs w:val="20"/>
          <w:color w:val="auto"/>
        </w:rPr>
      </w:pPr>
      <w:r>
        <w:rPr>
          <w:rFonts w:ascii="Arial" w:cs="Arial" w:eastAsia="Arial" w:hAnsi="Arial"/>
          <w:sz w:val="18"/>
          <w:szCs w:val="18"/>
          <w:b w:val="1"/>
          <w:bCs w:val="1"/>
          <w:color w:val="215AA8"/>
        </w:rPr>
        <w:t>Provide at-risk, performance-based equity to all employees</w:t>
      </w:r>
    </w:p>
    <w:p>
      <w:pPr>
        <w:spacing w:after="0" w:line="87" w:lineRule="exact"/>
        <w:rPr>
          <w:sz w:val="20"/>
          <w:szCs w:val="20"/>
          <w:color w:val="auto"/>
        </w:rPr>
      </w:pPr>
    </w:p>
    <w:p>
      <w:pPr>
        <w:ind w:left="230"/>
        <w:spacing w:after="0" w:line="238" w:lineRule="auto"/>
        <w:rPr>
          <w:sz w:val="20"/>
          <w:szCs w:val="20"/>
          <w:color w:val="auto"/>
        </w:rPr>
      </w:pPr>
      <w:r>
        <w:rPr>
          <w:rFonts w:ascii="Arial" w:cs="Arial" w:eastAsia="Arial" w:hAnsi="Arial"/>
          <w:sz w:val="14"/>
          <w:szCs w:val="14"/>
          <w:color w:val="auto"/>
        </w:rPr>
        <w:t>A key part of our pay philosophy since our inception has been to award equity-based pay to all employees, not just senior executives, to ensure that when we deliver for patients and for shareholders, everyone shares in our success. In line with this goal, approximately 90% of the employee equity grants in each of the last five years were awarded to our employees other than our NEOs. We believe this approach represents one of our competitive advantages and has resulted in an engaged workforce and high retention 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215AA8"/>
        </w:rPr>
        <w:t>Align with shareholder interests</w:t>
      </w:r>
    </w:p>
    <w:p>
      <w:pPr>
        <w:spacing w:after="0" w:line="87" w:lineRule="exact"/>
        <w:rPr>
          <w:sz w:val="20"/>
          <w:szCs w:val="20"/>
          <w:color w:val="auto"/>
        </w:rPr>
      </w:pPr>
    </w:p>
    <w:p>
      <w:pPr>
        <w:ind w:right="240"/>
        <w:spacing w:after="0" w:line="278" w:lineRule="auto"/>
        <w:rPr>
          <w:sz w:val="20"/>
          <w:szCs w:val="20"/>
          <w:color w:val="auto"/>
        </w:rPr>
      </w:pPr>
      <w:r>
        <w:rPr>
          <w:rFonts w:ascii="Arial" w:cs="Arial" w:eastAsia="Arial" w:hAnsi="Arial"/>
          <w:sz w:val="12"/>
          <w:szCs w:val="12"/>
          <w:color w:val="auto"/>
        </w:rPr>
        <w:t>Our objective has always been to ensure close alignment with shareholder interests. All of the direct pay of our CEO and CSO, except for base salary, depends on performance and is “at-risk.” For our CEO, at-risk pay comprised 94% of his direct pay in 2023, which is significantly higher than the percentage of at-risk compensation for CEOs in</w:t>
      </w:r>
    </w:p>
    <w:p>
      <w:pPr>
        <w:spacing w:after="0" w:line="1" w:lineRule="exact"/>
        <w:rPr>
          <w:sz w:val="20"/>
          <w:szCs w:val="20"/>
          <w:color w:val="auto"/>
        </w:rPr>
      </w:pPr>
    </w:p>
    <w:p>
      <w:pPr>
        <w:jc w:val="both"/>
        <w:ind w:right="300"/>
        <w:spacing w:after="0" w:line="237" w:lineRule="auto"/>
        <w:rPr>
          <w:sz w:val="20"/>
          <w:szCs w:val="20"/>
          <w:color w:val="auto"/>
        </w:rPr>
      </w:pPr>
      <w:r>
        <w:rPr>
          <w:rFonts w:ascii="Arial" w:cs="Arial" w:eastAsia="Arial" w:hAnsi="Arial"/>
          <w:sz w:val="13"/>
          <w:szCs w:val="13"/>
          <w:color w:val="auto"/>
        </w:rPr>
        <w:t>our Peer Group, as shown in the charts below.</w:t>
      </w:r>
      <w:r>
        <w:rPr>
          <w:rFonts w:ascii="Arial" w:cs="Arial" w:eastAsia="Arial" w:hAnsi="Arial"/>
          <w:sz w:val="21"/>
          <w:szCs w:val="21"/>
          <w:color w:val="auto"/>
          <w:vertAlign w:val="superscript"/>
        </w:rPr>
        <w:t>4</w:t>
      </w:r>
      <w:r>
        <w:rPr>
          <w:rFonts w:ascii="Arial" w:cs="Arial" w:eastAsia="Arial" w:hAnsi="Arial"/>
          <w:sz w:val="13"/>
          <w:szCs w:val="13"/>
          <w:color w:val="auto"/>
        </w:rPr>
        <w:t xml:space="preserve"> More broadly, the long-term nature of our equity program is consistent with the drug discovery and development cycle, and, therefore, helps drive the creation of long-term shareholder value. Further information about pay-versus-performance alignment is provided in the subsection “Compensation Dashboard—Additional Compensation Information— Pay Versus Performance.”</w:t>
      </w:r>
    </w:p>
    <w:p>
      <w:pPr>
        <w:spacing w:after="0" w:line="200" w:lineRule="exact"/>
        <w:rPr>
          <w:sz w:val="20"/>
          <w:szCs w:val="20"/>
          <w:color w:val="auto"/>
        </w:rPr>
      </w:pPr>
    </w:p>
    <w:p>
      <w:pPr>
        <w:sectPr>
          <w:pgSz w:w="11900" w:h="16838" w:orient="portrait"/>
          <w:cols w:equalWidth="0" w:num="2">
            <w:col w:w="5410" w:space="400"/>
            <w:col w:w="5460"/>
          </w:cols>
          <w:pgMar w:left="310" w:top="215" w:right="319" w:bottom="1440" w:gutter="0" w:footer="0" w:header="0"/>
          <w:type w:val="continuous"/>
        </w:sectPr>
      </w:pPr>
    </w:p>
    <w:p>
      <w:pPr>
        <w:spacing w:after="0" w:line="51" w:lineRule="exact"/>
        <w:rPr>
          <w:sz w:val="20"/>
          <w:szCs w:val="20"/>
          <w:color w:val="auto"/>
        </w:rPr>
      </w:pPr>
    </w:p>
    <w:p>
      <w:pPr>
        <w:ind w:left="1590"/>
        <w:spacing w:after="0"/>
        <w:tabs>
          <w:tab w:leader="none" w:pos="6470" w:val="left"/>
        </w:tabs>
        <w:rPr>
          <w:sz w:val="20"/>
          <w:szCs w:val="20"/>
          <w:color w:val="auto"/>
        </w:rPr>
      </w:pPr>
      <w:r>
        <w:rPr>
          <w:rFonts w:ascii="Arial" w:cs="Arial" w:eastAsia="Arial" w:hAnsi="Arial"/>
          <w:sz w:val="18"/>
          <w:szCs w:val="18"/>
          <w:b w:val="1"/>
          <w:bCs w:val="1"/>
          <w:color w:val="215AA8"/>
        </w:rPr>
        <w:t>Regeneron CEO Pay Mix*</w:t>
      </w:r>
      <w:r>
        <w:rPr>
          <w:sz w:val="20"/>
          <w:szCs w:val="20"/>
          <w:color w:val="auto"/>
        </w:rPr>
        <w:tab/>
      </w:r>
      <w:r>
        <w:rPr>
          <w:rFonts w:ascii="Arial" w:cs="Arial" w:eastAsia="Arial" w:hAnsi="Arial"/>
          <w:sz w:val="17"/>
          <w:szCs w:val="17"/>
          <w:b w:val="1"/>
          <w:bCs w:val="1"/>
          <w:color w:val="215AA8"/>
        </w:rPr>
        <w:t>Peer Group Average CEO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132830" cy="1529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132830" cy="152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70" w:right="80" w:hanging="270"/>
        <w:spacing w:after="0" w:line="243" w:lineRule="auto"/>
        <w:tabs>
          <w:tab w:leader="none" w:pos="270" w:val="left"/>
        </w:tabs>
        <w:numPr>
          <w:ilvl w:val="0"/>
          <w:numId w:val="99"/>
        </w:numPr>
        <w:rPr>
          <w:rFonts w:ascii="Arial" w:cs="Arial" w:eastAsia="Arial" w:hAnsi="Arial"/>
          <w:sz w:val="12"/>
          <w:szCs w:val="12"/>
          <w:color w:val="auto"/>
        </w:rPr>
      </w:pPr>
      <w:r>
        <w:rPr>
          <w:rFonts w:ascii="Arial" w:cs="Arial" w:eastAsia="Arial" w:hAnsi="Arial"/>
          <w:sz w:val="12"/>
          <w:szCs w:val="12"/>
          <w:color w:val="auto"/>
        </w:rPr>
        <w:t>“At-risk Equity” consists of stock options and any equity awards with performance-based vesting conditions (such as PSUs). For purposes of this chart, we annualized the five-year, front-loaded PSU award that was granted to our CEO in 2020. “Other Equity” consists of all other equity awards, such as time-based RSAs and RSUs. “At-risk Equity” and “Other Equity” reflect the grant date fair value of such equity awards. “STIP” consists of bonus and/or other applicable compensation provided under short-term, non-equity incentive plans. “At-risk” compensation consists of STIP and At-risk Equity. Total compensation amounts reflect direct compensation (total reported compensation, other than amounts reported as “All other compensation” and (if applicable) amounts reported under “Change in pension value and nonqualified deferred compensation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5518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38" w:lineRule="exact"/>
        <w:rPr>
          <w:sz w:val="20"/>
          <w:szCs w:val="20"/>
          <w:color w:val="auto"/>
        </w:rPr>
      </w:pPr>
    </w:p>
    <w:p>
      <w:pPr>
        <w:ind w:left="270" w:right="420" w:hanging="270"/>
        <w:spacing w:after="0" w:line="203" w:lineRule="auto"/>
        <w:tabs>
          <w:tab w:leader="none" w:pos="270" w:val="left"/>
        </w:tabs>
        <w:numPr>
          <w:ilvl w:val="0"/>
          <w:numId w:val="100"/>
        </w:numPr>
        <w:rPr>
          <w:rFonts w:ascii="Arial" w:cs="Arial" w:eastAsia="Arial" w:hAnsi="Arial"/>
          <w:sz w:val="20"/>
          <w:szCs w:val="20"/>
          <w:color w:val="auto"/>
          <w:vertAlign w:val="superscript"/>
        </w:rPr>
      </w:pPr>
      <w:r>
        <w:rPr>
          <w:rFonts w:ascii="Arial" w:cs="Arial" w:eastAsia="Arial" w:hAnsi="Arial"/>
          <w:sz w:val="12"/>
          <w:szCs w:val="12"/>
          <w:color w:val="auto"/>
        </w:rPr>
        <w:t>We define “direct pay” or “direct compensation” as total compensation as reported in the Summary Compensation Table in the applicable proxy statement, other than the amounts reported as “All other compensation” and (if applicable) amounts reported under “Change in pension value and nonqualified deferred compensation earnings.” Peer Group CEO pay mix is based on the median for each compensation component using data reported for 2022.</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64</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Components of Executive Pay: What We Pay and Why We Pay It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Our NEO compensation has five principal components:</w:t>
      </w:r>
    </w:p>
    <w:p>
      <w:pPr>
        <w:spacing w:after="0" w:line="152"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215AA8"/>
        </w:rPr>
        <w:t>1.</w:t>
      </w:r>
      <w:r>
        <w:rPr>
          <w:sz w:val="20"/>
          <w:szCs w:val="20"/>
          <w:color w:val="auto"/>
        </w:rPr>
        <w:tab/>
      </w:r>
      <w:r>
        <w:rPr>
          <w:rFonts w:ascii="Arial" w:cs="Arial" w:eastAsia="Arial" w:hAnsi="Arial"/>
          <w:sz w:val="14"/>
          <w:szCs w:val="14"/>
          <w:color w:val="auto"/>
        </w:rPr>
        <w:t>Base salaries</w:t>
      </w:r>
    </w:p>
    <w:p>
      <w:pPr>
        <w:spacing w:after="0" w:line="15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215AA8"/>
        </w:rPr>
        <w:t>2.</w:t>
      </w:r>
      <w:r>
        <w:rPr>
          <w:sz w:val="20"/>
          <w:szCs w:val="20"/>
          <w:color w:val="auto"/>
        </w:rPr>
        <w:tab/>
      </w:r>
      <w:r>
        <w:rPr>
          <w:rFonts w:ascii="Arial" w:cs="Arial" w:eastAsia="Arial" w:hAnsi="Arial"/>
          <w:sz w:val="14"/>
          <w:szCs w:val="14"/>
          <w:color w:val="auto"/>
        </w:rPr>
        <w:t>Annual cash incentives</w:t>
      </w:r>
    </w:p>
    <w:p>
      <w:pPr>
        <w:spacing w:after="0" w:line="15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215AA8"/>
        </w:rPr>
        <w:t>3.</w:t>
      </w:r>
      <w:r>
        <w:rPr>
          <w:sz w:val="20"/>
          <w:szCs w:val="20"/>
          <w:color w:val="auto"/>
        </w:rPr>
        <w:tab/>
      </w:r>
      <w:r>
        <w:rPr>
          <w:rFonts w:ascii="Arial" w:cs="Arial" w:eastAsia="Arial" w:hAnsi="Arial"/>
          <w:sz w:val="14"/>
          <w:szCs w:val="14"/>
          <w:color w:val="auto"/>
        </w:rPr>
        <w:t>Annual equity awards</w:t>
      </w:r>
    </w:p>
    <w:p>
      <w:pPr>
        <w:spacing w:after="0" w:line="15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215AA8"/>
        </w:rPr>
        <w:t>4.</w:t>
      </w:r>
      <w:r>
        <w:rPr>
          <w:sz w:val="20"/>
          <w:szCs w:val="20"/>
          <w:color w:val="auto"/>
        </w:rPr>
        <w:tab/>
      </w:r>
      <w:r>
        <w:rPr>
          <w:rFonts w:ascii="Arial" w:cs="Arial" w:eastAsia="Arial" w:hAnsi="Arial"/>
          <w:sz w:val="14"/>
          <w:szCs w:val="14"/>
          <w:color w:val="auto"/>
        </w:rPr>
        <w:t>Perquisites and personal benefits</w:t>
      </w:r>
    </w:p>
    <w:p>
      <w:pPr>
        <w:spacing w:after="0" w:line="15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215AA8"/>
        </w:rPr>
        <w:t>5.</w:t>
      </w:r>
      <w:r>
        <w:rPr>
          <w:sz w:val="20"/>
          <w:szCs w:val="20"/>
          <w:color w:val="auto"/>
        </w:rPr>
        <w:tab/>
      </w:r>
      <w:r>
        <w:rPr>
          <w:rFonts w:ascii="Arial" w:cs="Arial" w:eastAsia="Arial" w:hAnsi="Arial"/>
          <w:sz w:val="14"/>
          <w:szCs w:val="14"/>
          <w:color w:val="auto"/>
        </w:rPr>
        <w:t>Potential severance benefits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20"/>
                <w:szCs w:val="20"/>
                <w:color w:val="auto"/>
              </w:rPr>
            </w:pPr>
            <w:r>
              <w:rPr>
                <w:rFonts w:ascii="Arial" w:cs="Arial" w:eastAsia="Arial" w:hAnsi="Arial"/>
                <w:sz w:val="14"/>
                <w:szCs w:val="14"/>
                <w:color w:val="auto"/>
              </w:rPr>
              <w:t>We use these pay components to achieve the following objectives:</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5660" w:type="dxa"/>
            <w:vAlign w:val="bottom"/>
          </w:tcPr>
          <w:p>
            <w:pPr>
              <w:spacing w:after="0"/>
              <w:rPr>
                <w:sz w:val="24"/>
                <w:szCs w:val="24"/>
                <w:color w:val="auto"/>
              </w:rPr>
            </w:pPr>
          </w:p>
        </w:tc>
        <w:tc>
          <w:tcPr>
            <w:tcW w:w="640" w:type="dxa"/>
            <w:vAlign w:val="bottom"/>
            <w:tcBorders>
              <w:bottom w:val="single" w:sz="8" w:color="215AA8"/>
            </w:tcBorders>
          </w:tcPr>
          <w:p>
            <w:pPr>
              <w:spacing w:after="0"/>
              <w:rPr>
                <w:sz w:val="24"/>
                <w:szCs w:val="24"/>
                <w:color w:val="auto"/>
              </w:rPr>
            </w:pPr>
          </w:p>
        </w:tc>
        <w:tc>
          <w:tcPr>
            <w:tcW w:w="1060" w:type="dxa"/>
            <w:vAlign w:val="bottom"/>
            <w:tcBorders>
              <w:bottom w:val="single" w:sz="8" w:color="215AA8"/>
            </w:tcBorders>
          </w:tcPr>
          <w:p>
            <w:pPr>
              <w:spacing w:after="0"/>
              <w:rPr>
                <w:sz w:val="24"/>
                <w:szCs w:val="24"/>
                <w:color w:val="auto"/>
              </w:rPr>
            </w:pPr>
          </w:p>
        </w:tc>
        <w:tc>
          <w:tcPr>
            <w:tcW w:w="2500" w:type="dxa"/>
            <w:vAlign w:val="bottom"/>
            <w:tcBorders>
              <w:bottom w:val="single" w:sz="8" w:color="215AA8"/>
            </w:tcBorders>
            <w:gridSpan w:val="2"/>
          </w:tcPr>
          <w:p>
            <w:pPr>
              <w:ind w:left="260"/>
              <w:spacing w:after="0"/>
              <w:rPr>
                <w:sz w:val="20"/>
                <w:szCs w:val="20"/>
                <w:color w:val="auto"/>
              </w:rPr>
            </w:pPr>
            <w:r>
              <w:rPr>
                <w:rFonts w:ascii="Arial" w:cs="Arial" w:eastAsia="Arial" w:hAnsi="Arial"/>
                <w:sz w:val="14"/>
                <w:szCs w:val="14"/>
                <w:color w:val="215AA8"/>
              </w:rPr>
              <w:t>Compensation Components</w:t>
            </w:r>
          </w:p>
        </w:tc>
        <w:tc>
          <w:tcPr>
            <w:tcW w:w="1400" w:type="dxa"/>
            <w:vAlign w:val="bottom"/>
            <w:tcBorders>
              <w:bottom w:val="single" w:sz="8" w:color="215AA8"/>
            </w:tcBorders>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215AA8"/>
              </w:rPr>
              <w:t>Objective</w:t>
            </w:r>
          </w:p>
        </w:tc>
        <w:tc>
          <w:tcPr>
            <w:tcW w:w="640" w:type="dxa"/>
            <w:vAlign w:val="bottom"/>
          </w:tcPr>
          <w:p>
            <w:pPr>
              <w:jc w:val="center"/>
              <w:ind w:right="92"/>
              <w:spacing w:after="0" w:line="139" w:lineRule="exact"/>
              <w:rPr>
                <w:sz w:val="20"/>
                <w:szCs w:val="20"/>
                <w:color w:val="auto"/>
              </w:rPr>
            </w:pPr>
            <w:r>
              <w:rPr>
                <w:rFonts w:ascii="Arial" w:cs="Arial" w:eastAsia="Arial" w:hAnsi="Arial"/>
                <w:sz w:val="14"/>
                <w:szCs w:val="14"/>
                <w:color w:val="215AA8"/>
              </w:rPr>
              <w:t>Base</w:t>
            </w:r>
          </w:p>
        </w:tc>
        <w:tc>
          <w:tcPr>
            <w:tcW w:w="1060" w:type="dxa"/>
            <w:vAlign w:val="bottom"/>
          </w:tcPr>
          <w:p>
            <w:pPr>
              <w:jc w:val="center"/>
              <w:spacing w:after="0" w:line="139" w:lineRule="exact"/>
              <w:rPr>
                <w:sz w:val="20"/>
                <w:szCs w:val="20"/>
                <w:color w:val="auto"/>
              </w:rPr>
            </w:pPr>
            <w:r>
              <w:rPr>
                <w:rFonts w:ascii="Arial" w:cs="Arial" w:eastAsia="Arial" w:hAnsi="Arial"/>
                <w:sz w:val="14"/>
                <w:szCs w:val="14"/>
                <w:color w:val="215AA8"/>
                <w:w w:val="97"/>
              </w:rPr>
              <w:t>Annual Cash</w:t>
            </w:r>
          </w:p>
        </w:tc>
        <w:tc>
          <w:tcPr>
            <w:tcW w:w="1140" w:type="dxa"/>
            <w:vAlign w:val="bottom"/>
          </w:tcPr>
          <w:p>
            <w:pPr>
              <w:jc w:val="center"/>
              <w:spacing w:after="0" w:line="139" w:lineRule="exact"/>
              <w:rPr>
                <w:sz w:val="20"/>
                <w:szCs w:val="20"/>
                <w:color w:val="auto"/>
              </w:rPr>
            </w:pPr>
            <w:r>
              <w:rPr>
                <w:rFonts w:ascii="Arial" w:cs="Arial" w:eastAsia="Arial" w:hAnsi="Arial"/>
                <w:sz w:val="14"/>
                <w:szCs w:val="14"/>
                <w:color w:val="215AA8"/>
                <w:w w:val="94"/>
              </w:rPr>
              <w:t>Annual Equity</w:t>
            </w:r>
          </w:p>
        </w:tc>
        <w:tc>
          <w:tcPr>
            <w:tcW w:w="1360" w:type="dxa"/>
            <w:vAlign w:val="bottom"/>
          </w:tcPr>
          <w:p>
            <w:pPr>
              <w:jc w:val="center"/>
              <w:spacing w:after="0" w:line="139" w:lineRule="exact"/>
              <w:rPr>
                <w:sz w:val="20"/>
                <w:szCs w:val="20"/>
                <w:color w:val="auto"/>
              </w:rPr>
            </w:pPr>
            <w:r>
              <w:rPr>
                <w:rFonts w:ascii="Arial" w:cs="Arial" w:eastAsia="Arial" w:hAnsi="Arial"/>
                <w:sz w:val="14"/>
                <w:szCs w:val="14"/>
                <w:color w:val="215AA8"/>
                <w:w w:val="95"/>
              </w:rPr>
              <w:t>Perquisites and</w:t>
            </w:r>
          </w:p>
        </w:tc>
        <w:tc>
          <w:tcPr>
            <w:tcW w:w="1400" w:type="dxa"/>
            <w:vAlign w:val="bottom"/>
          </w:tcPr>
          <w:p>
            <w:pPr>
              <w:jc w:val="center"/>
              <w:ind w:left="52"/>
              <w:spacing w:after="0" w:line="139" w:lineRule="exact"/>
              <w:rPr>
                <w:sz w:val="20"/>
                <w:szCs w:val="20"/>
                <w:color w:val="auto"/>
              </w:rPr>
            </w:pPr>
            <w:r>
              <w:rPr>
                <w:rFonts w:ascii="Arial" w:cs="Arial" w:eastAsia="Arial" w:hAnsi="Arial"/>
                <w:sz w:val="14"/>
                <w:szCs w:val="14"/>
                <w:color w:val="215AA8"/>
                <w:w w:val="95"/>
              </w:rPr>
              <w:t>Potential Severance</w:t>
            </w:r>
          </w:p>
        </w:tc>
        <w:tc>
          <w:tcPr>
            <w:tcW w:w="0" w:type="dxa"/>
            <w:vAlign w:val="bottom"/>
          </w:tcPr>
          <w:p>
            <w:pPr>
              <w:spacing w:after="0"/>
              <w:rPr>
                <w:sz w:val="1"/>
                <w:szCs w:val="1"/>
                <w:color w:val="auto"/>
              </w:rPr>
            </w:pPr>
          </w:p>
        </w:tc>
      </w:tr>
      <w:tr>
        <w:trPr>
          <w:trHeight w:val="171"/>
        </w:trPr>
        <w:tc>
          <w:tcPr>
            <w:tcW w:w="5660" w:type="dxa"/>
            <w:vAlign w:val="bottom"/>
            <w:tcBorders>
              <w:bottom w:val="single" w:sz="8" w:color="215AA8"/>
            </w:tcBorders>
            <w:vMerge w:val="continue"/>
          </w:tcPr>
          <w:p>
            <w:pPr>
              <w:spacing w:after="0"/>
              <w:rPr>
                <w:sz w:val="14"/>
                <w:szCs w:val="14"/>
                <w:color w:val="auto"/>
              </w:rPr>
            </w:pPr>
          </w:p>
        </w:tc>
        <w:tc>
          <w:tcPr>
            <w:tcW w:w="640" w:type="dxa"/>
            <w:vAlign w:val="bottom"/>
            <w:tcBorders>
              <w:bottom w:val="single" w:sz="8" w:color="215AA8"/>
            </w:tcBorders>
          </w:tcPr>
          <w:p>
            <w:pPr>
              <w:jc w:val="center"/>
              <w:ind w:right="92"/>
              <w:spacing w:after="0"/>
              <w:rPr>
                <w:sz w:val="20"/>
                <w:szCs w:val="20"/>
                <w:color w:val="auto"/>
              </w:rPr>
            </w:pPr>
            <w:r>
              <w:rPr>
                <w:rFonts w:ascii="Arial" w:cs="Arial" w:eastAsia="Arial" w:hAnsi="Arial"/>
                <w:sz w:val="14"/>
                <w:szCs w:val="14"/>
                <w:color w:val="215AA8"/>
                <w:w w:val="94"/>
              </w:rPr>
              <w:t>Salaries</w:t>
            </w:r>
          </w:p>
        </w:tc>
        <w:tc>
          <w:tcPr>
            <w:tcW w:w="1060" w:type="dxa"/>
            <w:vAlign w:val="bottom"/>
            <w:tcBorders>
              <w:bottom w:val="single" w:sz="8" w:color="215AA8"/>
            </w:tcBorders>
          </w:tcPr>
          <w:p>
            <w:pPr>
              <w:jc w:val="center"/>
              <w:spacing w:after="0"/>
              <w:rPr>
                <w:sz w:val="20"/>
                <w:szCs w:val="20"/>
                <w:color w:val="auto"/>
              </w:rPr>
            </w:pPr>
            <w:r>
              <w:rPr>
                <w:rFonts w:ascii="Arial" w:cs="Arial" w:eastAsia="Arial" w:hAnsi="Arial"/>
                <w:sz w:val="14"/>
                <w:szCs w:val="14"/>
                <w:color w:val="215AA8"/>
                <w:w w:val="98"/>
              </w:rPr>
              <w:t>Incentives</w:t>
            </w:r>
          </w:p>
        </w:tc>
        <w:tc>
          <w:tcPr>
            <w:tcW w:w="1140" w:type="dxa"/>
            <w:vAlign w:val="bottom"/>
            <w:tcBorders>
              <w:bottom w:val="single" w:sz="8" w:color="215AA8"/>
            </w:tcBorders>
          </w:tcPr>
          <w:p>
            <w:pPr>
              <w:jc w:val="center"/>
              <w:spacing w:after="0"/>
              <w:rPr>
                <w:sz w:val="20"/>
                <w:szCs w:val="20"/>
                <w:color w:val="auto"/>
              </w:rPr>
            </w:pPr>
            <w:r>
              <w:rPr>
                <w:rFonts w:ascii="Arial" w:cs="Arial" w:eastAsia="Arial" w:hAnsi="Arial"/>
                <w:sz w:val="14"/>
                <w:szCs w:val="14"/>
                <w:color w:val="215AA8"/>
                <w:w w:val="98"/>
              </w:rPr>
              <w:t>Awards</w:t>
            </w:r>
          </w:p>
        </w:tc>
        <w:tc>
          <w:tcPr>
            <w:tcW w:w="1360" w:type="dxa"/>
            <w:vAlign w:val="bottom"/>
            <w:tcBorders>
              <w:bottom w:val="single" w:sz="8" w:color="215AA8"/>
            </w:tcBorders>
          </w:tcPr>
          <w:p>
            <w:pPr>
              <w:jc w:val="center"/>
              <w:spacing w:after="0"/>
              <w:rPr>
                <w:sz w:val="20"/>
                <w:szCs w:val="20"/>
                <w:color w:val="auto"/>
              </w:rPr>
            </w:pPr>
            <w:r>
              <w:rPr>
                <w:rFonts w:ascii="Arial" w:cs="Arial" w:eastAsia="Arial" w:hAnsi="Arial"/>
                <w:sz w:val="14"/>
                <w:szCs w:val="14"/>
                <w:color w:val="215AA8"/>
                <w:w w:val="96"/>
              </w:rPr>
              <w:t>Personal Benefits</w:t>
            </w:r>
          </w:p>
        </w:tc>
        <w:tc>
          <w:tcPr>
            <w:tcW w:w="1400" w:type="dxa"/>
            <w:vAlign w:val="bottom"/>
            <w:tcBorders>
              <w:bottom w:val="single" w:sz="8" w:color="215AA8"/>
            </w:tcBorders>
          </w:tcPr>
          <w:p>
            <w:pPr>
              <w:jc w:val="center"/>
              <w:ind w:left="52"/>
              <w:spacing w:after="0"/>
              <w:rPr>
                <w:sz w:val="20"/>
                <w:szCs w:val="20"/>
                <w:color w:val="auto"/>
              </w:rPr>
            </w:pPr>
            <w:r>
              <w:rPr>
                <w:rFonts w:ascii="Arial" w:cs="Arial" w:eastAsia="Arial" w:hAnsi="Arial"/>
                <w:sz w:val="14"/>
                <w:szCs w:val="14"/>
                <w:color w:val="215AA8"/>
                <w:w w:val="96"/>
              </w:rPr>
              <w:t>Payments</w:t>
            </w:r>
          </w:p>
        </w:tc>
        <w:tc>
          <w:tcPr>
            <w:tcW w:w="0" w:type="dxa"/>
            <w:vAlign w:val="bottom"/>
          </w:tcPr>
          <w:p>
            <w:pPr>
              <w:spacing w:after="0"/>
              <w:rPr>
                <w:sz w:val="1"/>
                <w:szCs w:val="1"/>
                <w:color w:val="auto"/>
              </w:rPr>
            </w:pPr>
          </w:p>
        </w:tc>
      </w:tr>
      <w:tr>
        <w:trPr>
          <w:trHeight w:val="158"/>
        </w:trPr>
        <w:tc>
          <w:tcPr>
            <w:tcW w:w="5660" w:type="dxa"/>
            <w:vAlign w:val="bottom"/>
          </w:tcPr>
          <w:p>
            <w:pPr>
              <w:ind w:left="20"/>
              <w:spacing w:after="0" w:line="157" w:lineRule="exact"/>
              <w:rPr>
                <w:sz w:val="20"/>
                <w:szCs w:val="20"/>
                <w:color w:val="auto"/>
              </w:rPr>
            </w:pPr>
            <w:r>
              <w:rPr>
                <w:rFonts w:ascii="Arial" w:cs="Arial" w:eastAsia="Arial" w:hAnsi="Arial"/>
                <w:sz w:val="14"/>
                <w:szCs w:val="14"/>
                <w:color w:val="auto"/>
              </w:rPr>
              <w:t>Attract and retain top talent</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60" w:type="dxa"/>
            <w:vAlign w:val="bottom"/>
            <w:shd w:val="clear" w:color="auto" w:fill="ECECED"/>
          </w:tcPr>
          <w:p>
            <w:pPr>
              <w:ind w:left="20"/>
              <w:spacing w:after="0" w:line="157" w:lineRule="exact"/>
              <w:rPr>
                <w:sz w:val="20"/>
                <w:szCs w:val="20"/>
                <w:color w:val="auto"/>
              </w:rPr>
            </w:pPr>
            <w:r>
              <w:rPr>
                <w:rFonts w:ascii="Arial" w:cs="Arial" w:eastAsia="Arial" w:hAnsi="Arial"/>
                <w:sz w:val="14"/>
                <w:szCs w:val="14"/>
                <w:color w:val="auto"/>
              </w:rPr>
              <w:t>Provide stability and manage risk</w:t>
            </w:r>
          </w:p>
        </w:tc>
        <w:tc>
          <w:tcPr>
            <w:tcW w:w="640" w:type="dxa"/>
            <w:vAlign w:val="bottom"/>
            <w:shd w:val="clear" w:color="auto" w:fill="ECECED"/>
          </w:tcPr>
          <w:p>
            <w:pPr>
              <w:spacing w:after="0"/>
              <w:rPr>
                <w:sz w:val="13"/>
                <w:szCs w:val="13"/>
                <w:color w:val="auto"/>
              </w:rPr>
            </w:pPr>
          </w:p>
        </w:tc>
        <w:tc>
          <w:tcPr>
            <w:tcW w:w="1060" w:type="dxa"/>
            <w:vAlign w:val="bottom"/>
            <w:shd w:val="clear" w:color="auto" w:fill="ECECED"/>
          </w:tcPr>
          <w:p>
            <w:pPr>
              <w:spacing w:after="0"/>
              <w:rPr>
                <w:sz w:val="13"/>
                <w:szCs w:val="13"/>
                <w:color w:val="auto"/>
              </w:rPr>
            </w:pPr>
          </w:p>
        </w:tc>
        <w:tc>
          <w:tcPr>
            <w:tcW w:w="1140" w:type="dxa"/>
            <w:vAlign w:val="bottom"/>
            <w:shd w:val="clear" w:color="auto" w:fill="ECECED"/>
          </w:tcPr>
          <w:p>
            <w:pPr>
              <w:spacing w:after="0"/>
              <w:rPr>
                <w:sz w:val="13"/>
                <w:szCs w:val="13"/>
                <w:color w:val="auto"/>
              </w:rPr>
            </w:pPr>
          </w:p>
        </w:tc>
        <w:tc>
          <w:tcPr>
            <w:tcW w:w="1360" w:type="dxa"/>
            <w:vAlign w:val="bottom"/>
            <w:shd w:val="clear" w:color="auto" w:fill="ECECED"/>
          </w:tcPr>
          <w:p>
            <w:pPr>
              <w:spacing w:after="0"/>
              <w:rPr>
                <w:sz w:val="13"/>
                <w:szCs w:val="13"/>
                <w:color w:val="auto"/>
              </w:rPr>
            </w:pPr>
          </w:p>
        </w:tc>
        <w:tc>
          <w:tcPr>
            <w:tcW w:w="1400" w:type="dxa"/>
            <w:vAlign w:val="bottom"/>
            <w:shd w:val="clear" w:color="auto" w:fill="ECECED"/>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60" w:type="dxa"/>
            <w:vAlign w:val="bottom"/>
          </w:tcPr>
          <w:p>
            <w:pPr>
              <w:ind w:left="20"/>
              <w:spacing w:after="0" w:line="157" w:lineRule="exact"/>
              <w:rPr>
                <w:sz w:val="20"/>
                <w:szCs w:val="20"/>
                <w:color w:val="auto"/>
              </w:rPr>
            </w:pPr>
            <w:r>
              <w:rPr>
                <w:rFonts w:ascii="Arial" w:cs="Arial" w:eastAsia="Arial" w:hAnsi="Arial"/>
                <w:sz w:val="14"/>
                <w:szCs w:val="14"/>
                <w:color w:val="auto"/>
              </w:rPr>
              <w:t>Reward annual performance</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60" w:type="dxa"/>
            <w:vAlign w:val="bottom"/>
            <w:shd w:val="clear" w:color="auto" w:fill="ECECED"/>
          </w:tcPr>
          <w:p>
            <w:pPr>
              <w:ind w:left="20"/>
              <w:spacing w:after="0" w:line="157" w:lineRule="exact"/>
              <w:rPr>
                <w:sz w:val="20"/>
                <w:szCs w:val="20"/>
                <w:color w:val="auto"/>
              </w:rPr>
            </w:pPr>
            <w:r>
              <w:rPr>
                <w:rFonts w:ascii="Arial" w:cs="Arial" w:eastAsia="Arial" w:hAnsi="Arial"/>
                <w:sz w:val="14"/>
                <w:szCs w:val="14"/>
                <w:color w:val="auto"/>
              </w:rPr>
              <w:t>Balance immediate focus with pursuit of sustainable long-term performance</w:t>
            </w:r>
          </w:p>
        </w:tc>
        <w:tc>
          <w:tcPr>
            <w:tcW w:w="640" w:type="dxa"/>
            <w:vAlign w:val="bottom"/>
            <w:shd w:val="clear" w:color="auto" w:fill="ECECED"/>
          </w:tcPr>
          <w:p>
            <w:pPr>
              <w:spacing w:after="0"/>
              <w:rPr>
                <w:sz w:val="13"/>
                <w:szCs w:val="13"/>
                <w:color w:val="auto"/>
              </w:rPr>
            </w:pPr>
          </w:p>
        </w:tc>
        <w:tc>
          <w:tcPr>
            <w:tcW w:w="1060" w:type="dxa"/>
            <w:vAlign w:val="bottom"/>
            <w:shd w:val="clear" w:color="auto" w:fill="ECECED"/>
          </w:tcPr>
          <w:p>
            <w:pPr>
              <w:spacing w:after="0"/>
              <w:rPr>
                <w:sz w:val="13"/>
                <w:szCs w:val="13"/>
                <w:color w:val="auto"/>
              </w:rPr>
            </w:pPr>
          </w:p>
        </w:tc>
        <w:tc>
          <w:tcPr>
            <w:tcW w:w="1140" w:type="dxa"/>
            <w:vAlign w:val="bottom"/>
            <w:shd w:val="clear" w:color="auto" w:fill="ECECED"/>
          </w:tcPr>
          <w:p>
            <w:pPr>
              <w:spacing w:after="0"/>
              <w:rPr>
                <w:sz w:val="13"/>
                <w:szCs w:val="13"/>
                <w:color w:val="auto"/>
              </w:rPr>
            </w:pPr>
          </w:p>
        </w:tc>
        <w:tc>
          <w:tcPr>
            <w:tcW w:w="1360" w:type="dxa"/>
            <w:vAlign w:val="bottom"/>
            <w:shd w:val="clear" w:color="auto" w:fill="ECECED"/>
          </w:tcPr>
          <w:p>
            <w:pPr>
              <w:spacing w:after="0"/>
              <w:rPr>
                <w:sz w:val="13"/>
                <w:szCs w:val="13"/>
                <w:color w:val="auto"/>
              </w:rPr>
            </w:pPr>
          </w:p>
        </w:tc>
        <w:tc>
          <w:tcPr>
            <w:tcW w:w="1400" w:type="dxa"/>
            <w:vAlign w:val="bottom"/>
            <w:shd w:val="clear" w:color="auto" w:fill="ECECED"/>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660" w:type="dxa"/>
            <w:vAlign w:val="bottom"/>
          </w:tcPr>
          <w:p>
            <w:pPr>
              <w:ind w:left="20"/>
              <w:spacing w:after="0" w:line="147" w:lineRule="exact"/>
              <w:rPr>
                <w:sz w:val="20"/>
                <w:szCs w:val="20"/>
                <w:color w:val="auto"/>
              </w:rPr>
            </w:pPr>
            <w:r>
              <w:rPr>
                <w:rFonts w:ascii="Arial" w:cs="Arial" w:eastAsia="Arial" w:hAnsi="Arial"/>
                <w:sz w:val="14"/>
                <w:szCs w:val="14"/>
                <w:color w:val="auto"/>
              </w:rPr>
              <w:t>Align our employees’ interests with those of shareholders and reward exceptional</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66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660" w:type="dxa"/>
            <w:vAlign w:val="bottom"/>
            <w:tcBorders>
              <w:bottom w:val="single" w:sz="8" w:color="215AA8"/>
            </w:tcBorders>
            <w:shd w:val="clear" w:color="auto" w:fill="ECECED"/>
          </w:tcPr>
          <w:p>
            <w:pPr>
              <w:ind w:left="20"/>
              <w:spacing w:after="0" w:line="157" w:lineRule="exact"/>
              <w:rPr>
                <w:sz w:val="20"/>
                <w:szCs w:val="20"/>
                <w:color w:val="auto"/>
              </w:rPr>
            </w:pPr>
            <w:r>
              <w:rPr>
                <w:rFonts w:ascii="Arial" w:cs="Arial" w:eastAsia="Arial" w:hAnsi="Arial"/>
                <w:sz w:val="14"/>
                <w:szCs w:val="14"/>
                <w:color w:val="auto"/>
              </w:rPr>
              <w:t>Promote a culture of scientific innovation, teamwork, and ethical behavior</w:t>
            </w:r>
          </w:p>
        </w:tc>
        <w:tc>
          <w:tcPr>
            <w:tcW w:w="640" w:type="dxa"/>
            <w:vAlign w:val="bottom"/>
            <w:tcBorders>
              <w:bottom w:val="single" w:sz="8" w:color="215AA8"/>
            </w:tcBorders>
            <w:shd w:val="clear" w:color="auto" w:fill="ECECED"/>
          </w:tcPr>
          <w:p>
            <w:pPr>
              <w:spacing w:after="0"/>
              <w:rPr>
                <w:sz w:val="13"/>
                <w:szCs w:val="13"/>
                <w:color w:val="auto"/>
              </w:rPr>
            </w:pPr>
          </w:p>
        </w:tc>
        <w:tc>
          <w:tcPr>
            <w:tcW w:w="1060" w:type="dxa"/>
            <w:vAlign w:val="bottom"/>
            <w:tcBorders>
              <w:bottom w:val="single" w:sz="8" w:color="215AA8"/>
            </w:tcBorders>
            <w:shd w:val="clear" w:color="auto" w:fill="ECECED"/>
          </w:tcPr>
          <w:p>
            <w:pPr>
              <w:spacing w:after="0"/>
              <w:rPr>
                <w:sz w:val="13"/>
                <w:szCs w:val="13"/>
                <w:color w:val="auto"/>
              </w:rPr>
            </w:pPr>
          </w:p>
        </w:tc>
        <w:tc>
          <w:tcPr>
            <w:tcW w:w="1140" w:type="dxa"/>
            <w:vAlign w:val="bottom"/>
            <w:tcBorders>
              <w:bottom w:val="single" w:sz="8" w:color="215AA8"/>
            </w:tcBorders>
            <w:shd w:val="clear" w:color="auto" w:fill="ECECED"/>
          </w:tcPr>
          <w:p>
            <w:pPr>
              <w:spacing w:after="0"/>
              <w:rPr>
                <w:sz w:val="13"/>
                <w:szCs w:val="13"/>
                <w:color w:val="auto"/>
              </w:rPr>
            </w:pPr>
          </w:p>
        </w:tc>
        <w:tc>
          <w:tcPr>
            <w:tcW w:w="1360" w:type="dxa"/>
            <w:vAlign w:val="bottom"/>
            <w:tcBorders>
              <w:bottom w:val="single" w:sz="8" w:color="215AA8"/>
            </w:tcBorders>
            <w:shd w:val="clear" w:color="auto" w:fill="ECECED"/>
          </w:tcPr>
          <w:p>
            <w:pPr>
              <w:spacing w:after="0"/>
              <w:rPr>
                <w:sz w:val="13"/>
                <w:szCs w:val="13"/>
                <w:color w:val="auto"/>
              </w:rPr>
            </w:pPr>
          </w:p>
        </w:tc>
        <w:tc>
          <w:tcPr>
            <w:tcW w:w="1400" w:type="dxa"/>
            <w:vAlign w:val="bottom"/>
            <w:tcBorders>
              <w:bottom w:val="single" w:sz="8" w:color="215AA8"/>
            </w:tcBorders>
            <w:shd w:val="clear" w:color="auto" w:fill="ECECED"/>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566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65</w:t>
            </w:r>
          </w:p>
        </w:tc>
        <w:tc>
          <w:tcPr>
            <w:tcW w:w="0" w:type="dxa"/>
            <w:vAlign w:val="bottom"/>
          </w:tcPr>
          <w:p>
            <w:pPr>
              <w:spacing w:after="0"/>
              <w:rPr>
                <w:sz w:val="1"/>
                <w:szCs w:val="1"/>
                <w:color w:val="auto"/>
              </w:rPr>
            </w:pPr>
          </w:p>
        </w:tc>
      </w:tr>
      <w:tr>
        <w:trPr>
          <w:trHeight w:val="211"/>
        </w:trPr>
        <w:tc>
          <w:tcPr>
            <w:tcW w:w="5660" w:type="dxa"/>
            <w:vAlign w:val="bottom"/>
            <w:tcBorders>
              <w:bottom w:val="single" w:sz="8" w:color="C0C0C0"/>
            </w:tcBorders>
          </w:tcPr>
          <w:p>
            <w:pPr>
              <w:spacing w:after="0"/>
              <w:rPr>
                <w:sz w:val="18"/>
                <w:szCs w:val="18"/>
                <w:color w:val="auto"/>
              </w:rPr>
            </w:pPr>
          </w:p>
        </w:tc>
        <w:tc>
          <w:tcPr>
            <w:tcW w:w="640" w:type="dxa"/>
            <w:vAlign w:val="bottom"/>
            <w:tcBorders>
              <w:bottom w:val="single" w:sz="8" w:color="C0C0C0"/>
            </w:tcBorders>
          </w:tcPr>
          <w:p>
            <w:pPr>
              <w:spacing w:after="0"/>
              <w:rPr>
                <w:sz w:val="18"/>
                <w:szCs w:val="18"/>
                <w:color w:val="auto"/>
              </w:rPr>
            </w:pPr>
          </w:p>
        </w:tc>
        <w:tc>
          <w:tcPr>
            <w:tcW w:w="1060" w:type="dxa"/>
            <w:vAlign w:val="bottom"/>
            <w:tcBorders>
              <w:bottom w:val="single" w:sz="8" w:color="C0C0C0"/>
            </w:tcBorders>
          </w:tcPr>
          <w:p>
            <w:pPr>
              <w:spacing w:after="0"/>
              <w:rPr>
                <w:sz w:val="18"/>
                <w:szCs w:val="18"/>
                <w:color w:val="auto"/>
              </w:rPr>
            </w:pPr>
          </w:p>
        </w:tc>
        <w:tc>
          <w:tcPr>
            <w:tcW w:w="1140" w:type="dxa"/>
            <w:vAlign w:val="bottom"/>
            <w:tcBorders>
              <w:bottom w:val="single" w:sz="8" w:color="C0C0C0"/>
            </w:tcBorders>
          </w:tcPr>
          <w:p>
            <w:pPr>
              <w:spacing w:after="0"/>
              <w:rPr>
                <w:sz w:val="18"/>
                <w:szCs w:val="18"/>
                <w:color w:val="auto"/>
              </w:rPr>
            </w:pPr>
          </w:p>
        </w:tc>
        <w:tc>
          <w:tcPr>
            <w:tcW w:w="1360" w:type="dxa"/>
            <w:vAlign w:val="bottom"/>
            <w:tcBorders>
              <w:bottom w:val="single" w:sz="8" w:color="C0C0C0"/>
            </w:tcBorders>
          </w:tcPr>
          <w:p>
            <w:pPr>
              <w:spacing w:after="0"/>
              <w:rPr>
                <w:sz w:val="18"/>
                <w:szCs w:val="18"/>
                <w:color w:val="auto"/>
              </w:rPr>
            </w:pPr>
          </w:p>
        </w:tc>
        <w:tc>
          <w:tcPr>
            <w:tcW w:w="1400" w:type="dxa"/>
            <w:vAlign w:val="bottom"/>
            <w:tcBorders>
              <w:bottom w:val="single" w:sz="8" w:color="C0C0C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-1057275</wp:posOffset>
            </wp:positionV>
            <wp:extent cx="57150" cy="641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-1057275</wp:posOffset>
            </wp:positionV>
            <wp:extent cx="57150" cy="641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-1057275</wp:posOffset>
            </wp:positionV>
            <wp:extent cx="57150" cy="641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-1057275</wp:posOffset>
            </wp:positionV>
            <wp:extent cx="57150" cy="641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6712585</wp:posOffset>
            </wp:positionH>
            <wp:positionV relativeFrom="paragraph">
              <wp:posOffset>-1057275</wp:posOffset>
            </wp:positionV>
            <wp:extent cx="57150" cy="641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-956945</wp:posOffset>
            </wp:positionV>
            <wp:extent cx="57150" cy="641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-956945</wp:posOffset>
            </wp:positionV>
            <wp:extent cx="57150" cy="641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6712585</wp:posOffset>
            </wp:positionH>
            <wp:positionV relativeFrom="paragraph">
              <wp:posOffset>-956945</wp:posOffset>
            </wp:positionV>
            <wp:extent cx="57150" cy="641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-857250</wp:posOffset>
            </wp:positionV>
            <wp:extent cx="57150" cy="641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-756920</wp:posOffset>
            </wp:positionV>
            <wp:extent cx="57150" cy="641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6712585</wp:posOffset>
            </wp:positionH>
            <wp:positionV relativeFrom="paragraph">
              <wp:posOffset>-756920</wp:posOffset>
            </wp:positionV>
            <wp:extent cx="57150" cy="641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-607060</wp:posOffset>
            </wp:positionV>
            <wp:extent cx="57150" cy="641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-607060</wp:posOffset>
            </wp:positionV>
            <wp:extent cx="57150" cy="641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-456565</wp:posOffset>
            </wp:positionV>
            <wp:extent cx="57150" cy="641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-456565</wp:posOffset>
            </wp:positionV>
            <wp:extent cx="57150" cy="641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-456565</wp:posOffset>
            </wp:positionV>
            <wp:extent cx="57150" cy="641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6712585</wp:posOffset>
            </wp:positionH>
            <wp:positionV relativeFrom="paragraph">
              <wp:posOffset>-456565</wp:posOffset>
            </wp:positionV>
            <wp:extent cx="57150" cy="641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150" cy="6413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76" w:name="page77"/>
    <w:bookmarkEnd w:id="76"/>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8"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Base Salaries</w:t>
      </w:r>
    </w:p>
    <w:p>
      <w:pPr>
        <w:spacing w:after="0" w:line="174"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The base salary component of NEO pay generally comprises a steadily smaller percentage of overall compensation as executives’ level of responsibility rises.</w:t>
      </w:r>
    </w:p>
    <w:p>
      <w:pPr>
        <w:spacing w:after="0" w:line="154" w:lineRule="exact"/>
        <w:rPr>
          <w:sz w:val="20"/>
          <w:szCs w:val="20"/>
          <w:color w:val="auto"/>
        </w:rPr>
      </w:pPr>
    </w:p>
    <w:p>
      <w:pPr>
        <w:ind w:left="10" w:right="160"/>
        <w:spacing w:after="0" w:line="242" w:lineRule="auto"/>
        <w:rPr>
          <w:sz w:val="20"/>
          <w:szCs w:val="20"/>
          <w:color w:val="auto"/>
        </w:rPr>
      </w:pPr>
      <w:r>
        <w:rPr>
          <w:rFonts w:ascii="Arial" w:cs="Arial" w:eastAsia="Arial" w:hAnsi="Arial"/>
          <w:sz w:val="14"/>
          <w:szCs w:val="14"/>
          <w:color w:val="auto"/>
        </w:rPr>
        <w:t>We consider factors including the executive’s scope of responsibilities, experience, and annual performance when setting base salaries. We also consider base salaries of comparable positions among our peers and in the broader biopharmaceutical industry. See the subsections “Compensation Processes—Independent Compensation Consultant” and “Compensation Processes—Peer Data” for further information regarding the role of the Compensation Committee’s independent compensation consultant and our use of Peer Group data for purposes of setting compensation of our NEOs.</w:t>
      </w:r>
    </w:p>
    <w:p>
      <w:pPr>
        <w:spacing w:after="0" w:line="22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2023 – 2024 Base Salaries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760" w:type="dxa"/>
            <w:vAlign w:val="bottom"/>
          </w:tcPr>
          <w:p>
            <w:pPr>
              <w:jc w:val="right"/>
              <w:ind w:right="152"/>
              <w:spacing w:after="0"/>
              <w:rPr>
                <w:sz w:val="20"/>
                <w:szCs w:val="20"/>
                <w:color w:val="auto"/>
              </w:rPr>
            </w:pPr>
            <w:r>
              <w:rPr>
                <w:rFonts w:ascii="Arial" w:cs="Arial" w:eastAsia="Arial" w:hAnsi="Arial"/>
                <w:sz w:val="14"/>
                <w:szCs w:val="14"/>
                <w:color w:val="215AA8"/>
              </w:rPr>
              <w:t>2023 Base</w:t>
            </w:r>
          </w:p>
        </w:tc>
        <w:tc>
          <w:tcPr>
            <w:tcW w:w="1080" w:type="dxa"/>
            <w:vAlign w:val="bottom"/>
          </w:tcPr>
          <w:p>
            <w:pPr>
              <w:jc w:val="right"/>
              <w:ind w:right="152"/>
              <w:spacing w:after="0"/>
              <w:rPr>
                <w:sz w:val="20"/>
                <w:szCs w:val="20"/>
                <w:color w:val="auto"/>
              </w:rPr>
            </w:pPr>
            <w:r>
              <w:rPr>
                <w:rFonts w:ascii="Arial" w:cs="Arial" w:eastAsia="Arial" w:hAnsi="Arial"/>
                <w:sz w:val="14"/>
                <w:szCs w:val="14"/>
                <w:color w:val="215AA8"/>
              </w:rPr>
              <w:t>2024 Base</w:t>
            </w:r>
          </w:p>
        </w:tc>
        <w:tc>
          <w:tcPr>
            <w:tcW w:w="1180" w:type="dxa"/>
            <w:vAlign w:val="bottom"/>
          </w:tcPr>
          <w:p>
            <w:pPr>
              <w:jc w:val="right"/>
              <w:ind w:right="56"/>
              <w:spacing w:after="0"/>
              <w:rPr>
                <w:sz w:val="20"/>
                <w:szCs w:val="20"/>
                <w:color w:val="auto"/>
              </w:rPr>
            </w:pPr>
            <w:r>
              <w:rPr>
                <w:rFonts w:ascii="Arial" w:cs="Arial" w:eastAsia="Arial" w:hAnsi="Arial"/>
                <w:sz w:val="14"/>
                <w:szCs w:val="14"/>
                <w:color w:val="215AA8"/>
              </w:rPr>
              <w:t>2024 vs. 2023</w:t>
            </w:r>
          </w:p>
        </w:tc>
      </w:tr>
      <w:tr>
        <w:trPr>
          <w:trHeight w:val="171"/>
        </w:trPr>
        <w:tc>
          <w:tcPr>
            <w:tcW w:w="5240" w:type="dxa"/>
            <w:vAlign w:val="bottom"/>
            <w:tcBorders>
              <w:bottom w:val="single" w:sz="8" w:color="215AA8"/>
            </w:tcBorders>
          </w:tcPr>
          <w:p>
            <w:pPr>
              <w:ind w:left="40"/>
              <w:spacing w:after="0"/>
              <w:rPr>
                <w:sz w:val="20"/>
                <w:szCs w:val="20"/>
                <w:color w:val="auto"/>
              </w:rPr>
            </w:pPr>
            <w:r>
              <w:rPr>
                <w:rFonts w:ascii="Arial" w:cs="Arial" w:eastAsia="Arial" w:hAnsi="Arial"/>
                <w:sz w:val="14"/>
                <w:szCs w:val="14"/>
                <w:color w:val="215AA8"/>
              </w:rPr>
              <w:t>Named Executive Officer</w:t>
            </w:r>
          </w:p>
        </w:tc>
        <w:tc>
          <w:tcPr>
            <w:tcW w:w="3760" w:type="dxa"/>
            <w:vAlign w:val="bottom"/>
            <w:tcBorders>
              <w:bottom w:val="single" w:sz="8" w:color="215AA8"/>
            </w:tcBorders>
          </w:tcPr>
          <w:p>
            <w:pPr>
              <w:jc w:val="right"/>
              <w:ind w:right="152"/>
              <w:spacing w:after="0"/>
              <w:rPr>
                <w:sz w:val="20"/>
                <w:szCs w:val="20"/>
                <w:color w:val="auto"/>
              </w:rPr>
            </w:pPr>
            <w:r>
              <w:rPr>
                <w:rFonts w:ascii="Arial" w:cs="Arial" w:eastAsia="Arial" w:hAnsi="Arial"/>
                <w:sz w:val="14"/>
                <w:szCs w:val="14"/>
                <w:color w:val="215AA8"/>
              </w:rPr>
              <w:t>Salary ($)</w:t>
            </w:r>
          </w:p>
        </w:tc>
        <w:tc>
          <w:tcPr>
            <w:tcW w:w="1080" w:type="dxa"/>
            <w:vAlign w:val="bottom"/>
            <w:tcBorders>
              <w:bottom w:val="single" w:sz="8" w:color="215AA8"/>
            </w:tcBorders>
          </w:tcPr>
          <w:p>
            <w:pPr>
              <w:jc w:val="right"/>
              <w:ind w:right="152"/>
              <w:spacing w:after="0"/>
              <w:rPr>
                <w:sz w:val="20"/>
                <w:szCs w:val="20"/>
                <w:color w:val="auto"/>
              </w:rPr>
            </w:pPr>
            <w:r>
              <w:rPr>
                <w:rFonts w:ascii="Arial" w:cs="Arial" w:eastAsia="Arial" w:hAnsi="Arial"/>
                <w:sz w:val="14"/>
                <w:szCs w:val="14"/>
                <w:color w:val="215AA8"/>
              </w:rPr>
              <w:t>Salary ($)</w:t>
            </w:r>
          </w:p>
        </w:tc>
        <w:tc>
          <w:tcPr>
            <w:tcW w:w="1180" w:type="dxa"/>
            <w:vAlign w:val="bottom"/>
            <w:tcBorders>
              <w:bottom w:val="single" w:sz="8" w:color="215AA8"/>
            </w:tcBorders>
          </w:tcPr>
          <w:p>
            <w:pPr>
              <w:jc w:val="right"/>
              <w:ind w:right="56"/>
              <w:spacing w:after="0"/>
              <w:rPr>
                <w:sz w:val="20"/>
                <w:szCs w:val="20"/>
                <w:color w:val="auto"/>
              </w:rPr>
            </w:pPr>
            <w:r>
              <w:rPr>
                <w:rFonts w:ascii="Arial" w:cs="Arial" w:eastAsia="Arial" w:hAnsi="Arial"/>
                <w:sz w:val="14"/>
                <w:szCs w:val="14"/>
                <w:color w:val="215AA8"/>
              </w:rPr>
              <w:t>Change (%)</w:t>
            </w:r>
          </w:p>
        </w:tc>
      </w:tr>
      <w:tr>
        <w:trPr>
          <w:trHeight w:val="191"/>
        </w:trPr>
        <w:tc>
          <w:tcPr>
            <w:tcW w:w="5240" w:type="dxa"/>
            <w:vAlign w:val="bottom"/>
            <w:tcBorders>
              <w:bottom w:val="single" w:sz="8" w:color="949599"/>
            </w:tcBorders>
          </w:tcPr>
          <w:p>
            <w:pPr>
              <w:ind w:left="40"/>
              <w:spacing w:after="0"/>
              <w:rPr>
                <w:sz w:val="20"/>
                <w:szCs w:val="20"/>
                <w:color w:val="auto"/>
              </w:rPr>
            </w:pPr>
            <w:r>
              <w:rPr>
                <w:rFonts w:ascii="Arial" w:cs="Arial" w:eastAsia="Arial" w:hAnsi="Arial"/>
                <w:sz w:val="14"/>
                <w:szCs w:val="14"/>
                <w:b w:val="1"/>
                <w:bCs w:val="1"/>
                <w:color w:val="215AA8"/>
              </w:rPr>
              <w:t>Leonard S. Schleifer, M.D., Ph.D.</w:t>
            </w:r>
          </w:p>
        </w:tc>
        <w:tc>
          <w:tcPr>
            <w:tcW w:w="3760" w:type="dxa"/>
            <w:vAlign w:val="bottom"/>
            <w:tcBorders>
              <w:bottom w:val="single" w:sz="8" w:color="949599"/>
            </w:tcBorders>
          </w:tcPr>
          <w:p>
            <w:pPr>
              <w:jc w:val="right"/>
              <w:ind w:right="152"/>
              <w:spacing w:after="0"/>
              <w:rPr>
                <w:sz w:val="20"/>
                <w:szCs w:val="20"/>
                <w:color w:val="auto"/>
              </w:rPr>
            </w:pPr>
            <w:r>
              <w:rPr>
                <w:rFonts w:ascii="Arial" w:cs="Arial" w:eastAsia="Arial" w:hAnsi="Arial"/>
                <w:sz w:val="14"/>
                <w:szCs w:val="14"/>
                <w:color w:val="auto"/>
              </w:rPr>
              <w:t>1,875,415</w:t>
            </w:r>
          </w:p>
        </w:tc>
        <w:tc>
          <w:tcPr>
            <w:tcW w:w="1080" w:type="dxa"/>
            <w:vAlign w:val="bottom"/>
            <w:tcBorders>
              <w:bottom w:val="single" w:sz="8" w:color="949599"/>
            </w:tcBorders>
          </w:tcPr>
          <w:p>
            <w:pPr>
              <w:jc w:val="right"/>
              <w:ind w:right="152"/>
              <w:spacing w:after="0"/>
              <w:rPr>
                <w:sz w:val="20"/>
                <w:szCs w:val="20"/>
                <w:color w:val="auto"/>
              </w:rPr>
            </w:pPr>
            <w:r>
              <w:rPr>
                <w:rFonts w:ascii="Arial" w:cs="Arial" w:eastAsia="Arial" w:hAnsi="Arial"/>
                <w:sz w:val="14"/>
                <w:szCs w:val="14"/>
                <w:color w:val="auto"/>
              </w:rPr>
              <w:t>1,941,100</w:t>
            </w:r>
          </w:p>
        </w:tc>
        <w:tc>
          <w:tcPr>
            <w:tcW w:w="1180" w:type="dxa"/>
            <w:vAlign w:val="bottom"/>
            <w:tcBorders>
              <w:bottom w:val="single" w:sz="8" w:color="949599"/>
            </w:tcBorders>
          </w:tcPr>
          <w:p>
            <w:pPr>
              <w:jc w:val="right"/>
              <w:spacing w:after="0" w:line="191" w:lineRule="exact"/>
              <w:rPr>
                <w:sz w:val="20"/>
                <w:szCs w:val="20"/>
                <w:color w:val="auto"/>
              </w:rPr>
            </w:pPr>
            <w:r>
              <w:rPr>
                <w:rFonts w:ascii="Arial" w:cs="Arial" w:eastAsia="Arial" w:hAnsi="Arial"/>
                <w:sz w:val="14"/>
                <w:szCs w:val="14"/>
                <w:color w:val="auto"/>
              </w:rPr>
              <w:t>3.5</w:t>
            </w:r>
            <w:r>
              <w:rPr>
                <w:rFonts w:ascii="Arial" w:cs="Arial" w:eastAsia="Arial" w:hAnsi="Arial"/>
                <w:sz w:val="22"/>
                <w:szCs w:val="22"/>
                <w:color w:val="auto"/>
                <w:vertAlign w:val="superscript"/>
              </w:rPr>
              <w:t>1</w:t>
            </w:r>
          </w:p>
        </w:tc>
      </w:tr>
      <w:tr>
        <w:trPr>
          <w:trHeight w:val="183"/>
        </w:trPr>
        <w:tc>
          <w:tcPr>
            <w:tcW w:w="5240" w:type="dxa"/>
            <w:vAlign w:val="bottom"/>
            <w:tcBorders>
              <w:bottom w:val="single" w:sz="8" w:color="949599"/>
            </w:tcBorders>
            <w:shd w:val="clear" w:color="auto" w:fill="ECEDED"/>
          </w:tcPr>
          <w:p>
            <w:pPr>
              <w:ind w:left="40"/>
              <w:spacing w:after="0"/>
              <w:rPr>
                <w:sz w:val="20"/>
                <w:szCs w:val="20"/>
                <w:color w:val="auto"/>
              </w:rPr>
            </w:pPr>
            <w:r>
              <w:rPr>
                <w:rFonts w:ascii="Arial" w:cs="Arial" w:eastAsia="Arial" w:hAnsi="Arial"/>
                <w:sz w:val="14"/>
                <w:szCs w:val="14"/>
                <w:b w:val="1"/>
                <w:bCs w:val="1"/>
                <w:color w:val="215AA8"/>
              </w:rPr>
              <w:t>George D. Yancopoulos, M.D., Ph.D.</w:t>
            </w:r>
          </w:p>
        </w:tc>
        <w:tc>
          <w:tcPr>
            <w:tcW w:w="3760" w:type="dxa"/>
            <w:vAlign w:val="bottom"/>
            <w:tcBorders>
              <w:bottom w:val="single" w:sz="8" w:color="949599"/>
            </w:tcBorders>
            <w:shd w:val="clear" w:color="auto" w:fill="ECEDED"/>
          </w:tcPr>
          <w:p>
            <w:pPr>
              <w:jc w:val="right"/>
              <w:ind w:right="152"/>
              <w:spacing w:after="0"/>
              <w:rPr>
                <w:sz w:val="20"/>
                <w:szCs w:val="20"/>
                <w:color w:val="auto"/>
              </w:rPr>
            </w:pPr>
            <w:r>
              <w:rPr>
                <w:rFonts w:ascii="Arial" w:cs="Arial" w:eastAsia="Arial" w:hAnsi="Arial"/>
                <w:sz w:val="14"/>
                <w:szCs w:val="14"/>
                <w:color w:val="auto"/>
              </w:rPr>
              <w:t>1,875,415</w:t>
            </w:r>
          </w:p>
        </w:tc>
        <w:tc>
          <w:tcPr>
            <w:tcW w:w="1080" w:type="dxa"/>
            <w:vAlign w:val="bottom"/>
            <w:tcBorders>
              <w:bottom w:val="single" w:sz="8" w:color="949599"/>
            </w:tcBorders>
            <w:shd w:val="clear" w:color="auto" w:fill="ECEDED"/>
          </w:tcPr>
          <w:p>
            <w:pPr>
              <w:jc w:val="right"/>
              <w:ind w:right="152"/>
              <w:spacing w:after="0"/>
              <w:rPr>
                <w:sz w:val="20"/>
                <w:szCs w:val="20"/>
                <w:color w:val="auto"/>
              </w:rPr>
            </w:pPr>
            <w:r>
              <w:rPr>
                <w:rFonts w:ascii="Arial" w:cs="Arial" w:eastAsia="Arial" w:hAnsi="Arial"/>
                <w:sz w:val="14"/>
                <w:szCs w:val="14"/>
                <w:color w:val="auto"/>
              </w:rPr>
              <w:t>1,941,100</w:t>
            </w:r>
          </w:p>
        </w:tc>
        <w:tc>
          <w:tcPr>
            <w:tcW w:w="1180" w:type="dxa"/>
            <w:vAlign w:val="bottom"/>
            <w:tcBorders>
              <w:bottom w:val="single" w:sz="8" w:color="949599"/>
            </w:tcBorders>
            <w:shd w:val="clear" w:color="auto" w:fill="ECEDED"/>
          </w:tcPr>
          <w:p>
            <w:pPr>
              <w:jc w:val="right"/>
              <w:spacing w:after="0" w:line="183" w:lineRule="exact"/>
              <w:rPr>
                <w:sz w:val="20"/>
                <w:szCs w:val="20"/>
                <w:color w:val="auto"/>
              </w:rPr>
            </w:pPr>
            <w:r>
              <w:rPr>
                <w:rFonts w:ascii="Arial" w:cs="Arial" w:eastAsia="Arial" w:hAnsi="Arial"/>
                <w:sz w:val="13"/>
                <w:szCs w:val="13"/>
                <w:color w:val="auto"/>
              </w:rPr>
              <w:t>3.5</w:t>
            </w:r>
            <w:r>
              <w:rPr>
                <w:rFonts w:ascii="Arial" w:cs="Arial" w:eastAsia="Arial" w:hAnsi="Arial"/>
                <w:sz w:val="21"/>
                <w:szCs w:val="21"/>
                <w:color w:val="auto"/>
                <w:vertAlign w:val="superscript"/>
              </w:rPr>
              <w:t>1</w:t>
            </w:r>
          </w:p>
        </w:tc>
      </w:tr>
      <w:tr>
        <w:trPr>
          <w:trHeight w:val="183"/>
        </w:trPr>
        <w:tc>
          <w:tcPr>
            <w:tcW w:w="5240" w:type="dxa"/>
            <w:vAlign w:val="bottom"/>
            <w:tcBorders>
              <w:bottom w:val="single" w:sz="8" w:color="949599"/>
            </w:tcBorders>
          </w:tcPr>
          <w:p>
            <w:pPr>
              <w:ind w:left="40"/>
              <w:spacing w:after="0"/>
              <w:rPr>
                <w:sz w:val="20"/>
                <w:szCs w:val="20"/>
                <w:color w:val="auto"/>
              </w:rPr>
            </w:pPr>
            <w:r>
              <w:rPr>
                <w:rFonts w:ascii="Arial" w:cs="Arial" w:eastAsia="Arial" w:hAnsi="Arial"/>
                <w:sz w:val="14"/>
                <w:szCs w:val="14"/>
                <w:b w:val="1"/>
                <w:bCs w:val="1"/>
                <w:color w:val="215AA8"/>
              </w:rPr>
              <w:t>Robert E. Landry (</w:t>
            </w:r>
            <w:r>
              <w:rPr>
                <w:rFonts w:ascii="Arial" w:cs="Arial" w:eastAsia="Arial" w:hAnsi="Arial"/>
                <w:sz w:val="14"/>
                <w:szCs w:val="14"/>
                <w:b w:val="1"/>
                <w:bCs w:val="1"/>
                <w:i w:val="1"/>
                <w:iCs w:val="1"/>
                <w:color w:val="215AA8"/>
              </w:rPr>
              <w:t>retired</w:t>
            </w:r>
            <w:r>
              <w:rPr>
                <w:rFonts w:ascii="Arial" w:cs="Arial" w:eastAsia="Arial" w:hAnsi="Arial"/>
                <w:sz w:val="14"/>
                <w:szCs w:val="14"/>
                <w:b w:val="1"/>
                <w:bCs w:val="1"/>
                <w:color w:val="215AA8"/>
              </w:rPr>
              <w:t>)</w:t>
            </w:r>
          </w:p>
        </w:tc>
        <w:tc>
          <w:tcPr>
            <w:tcW w:w="3760" w:type="dxa"/>
            <w:vAlign w:val="bottom"/>
            <w:tcBorders>
              <w:bottom w:val="single" w:sz="8" w:color="949599"/>
            </w:tcBorders>
          </w:tcPr>
          <w:p>
            <w:pPr>
              <w:jc w:val="right"/>
              <w:ind w:right="152"/>
              <w:spacing w:after="0"/>
              <w:rPr>
                <w:sz w:val="20"/>
                <w:szCs w:val="20"/>
                <w:color w:val="auto"/>
              </w:rPr>
            </w:pPr>
            <w:r>
              <w:rPr>
                <w:rFonts w:ascii="Arial" w:cs="Arial" w:eastAsia="Arial" w:hAnsi="Arial"/>
                <w:sz w:val="14"/>
                <w:szCs w:val="14"/>
                <w:color w:val="auto"/>
              </w:rPr>
              <w:t>881,406</w:t>
            </w:r>
          </w:p>
        </w:tc>
        <w:tc>
          <w:tcPr>
            <w:tcW w:w="1080" w:type="dxa"/>
            <w:vAlign w:val="bottom"/>
            <w:tcBorders>
              <w:bottom w:val="single" w:sz="8" w:color="949599"/>
            </w:tcBorders>
          </w:tcPr>
          <w:p>
            <w:pPr>
              <w:jc w:val="right"/>
              <w:ind w:right="152"/>
              <w:spacing w:after="0"/>
              <w:rPr>
                <w:sz w:val="20"/>
                <w:szCs w:val="20"/>
                <w:color w:val="auto"/>
              </w:rPr>
            </w:pPr>
            <w:r>
              <w:rPr>
                <w:rFonts w:ascii="Arial" w:cs="Arial" w:eastAsia="Arial" w:hAnsi="Arial"/>
                <w:sz w:val="14"/>
                <w:szCs w:val="14"/>
                <w:color w:val="auto"/>
              </w:rPr>
              <w:t>881,406</w:t>
            </w:r>
          </w:p>
        </w:tc>
        <w:tc>
          <w:tcPr>
            <w:tcW w:w="1180" w:type="dxa"/>
            <w:vAlign w:val="bottom"/>
            <w:tcBorders>
              <w:bottom w:val="single" w:sz="8" w:color="949599"/>
            </w:tcBorders>
          </w:tcPr>
          <w:p>
            <w:pPr>
              <w:jc w:val="right"/>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2</w:t>
            </w:r>
          </w:p>
        </w:tc>
      </w:tr>
      <w:tr>
        <w:trPr>
          <w:trHeight w:val="183"/>
        </w:trPr>
        <w:tc>
          <w:tcPr>
            <w:tcW w:w="5240" w:type="dxa"/>
            <w:vAlign w:val="bottom"/>
            <w:tcBorders>
              <w:bottom w:val="single" w:sz="8" w:color="949599"/>
            </w:tcBorders>
            <w:shd w:val="clear" w:color="auto" w:fill="ECEDED"/>
          </w:tcPr>
          <w:p>
            <w:pPr>
              <w:ind w:left="40"/>
              <w:spacing w:after="0"/>
              <w:rPr>
                <w:sz w:val="20"/>
                <w:szCs w:val="20"/>
                <w:color w:val="auto"/>
              </w:rPr>
            </w:pPr>
            <w:r>
              <w:rPr>
                <w:rFonts w:ascii="Arial" w:cs="Arial" w:eastAsia="Arial" w:hAnsi="Arial"/>
                <w:sz w:val="14"/>
                <w:szCs w:val="14"/>
                <w:b w:val="1"/>
                <w:bCs w:val="1"/>
                <w:color w:val="215AA8"/>
              </w:rPr>
              <w:t>Daniel P. Van Plew</w:t>
            </w:r>
          </w:p>
        </w:tc>
        <w:tc>
          <w:tcPr>
            <w:tcW w:w="3760" w:type="dxa"/>
            <w:vAlign w:val="bottom"/>
            <w:tcBorders>
              <w:bottom w:val="single" w:sz="8" w:color="949599"/>
            </w:tcBorders>
            <w:shd w:val="clear" w:color="auto" w:fill="ECEDED"/>
          </w:tcPr>
          <w:p>
            <w:pPr>
              <w:jc w:val="right"/>
              <w:ind w:right="152"/>
              <w:spacing w:after="0"/>
              <w:rPr>
                <w:sz w:val="20"/>
                <w:szCs w:val="20"/>
                <w:color w:val="auto"/>
              </w:rPr>
            </w:pPr>
            <w:r>
              <w:rPr>
                <w:rFonts w:ascii="Arial" w:cs="Arial" w:eastAsia="Arial" w:hAnsi="Arial"/>
                <w:sz w:val="14"/>
                <w:szCs w:val="14"/>
                <w:color w:val="auto"/>
              </w:rPr>
              <w:t>931,500</w:t>
            </w:r>
          </w:p>
        </w:tc>
        <w:tc>
          <w:tcPr>
            <w:tcW w:w="1080" w:type="dxa"/>
            <w:vAlign w:val="bottom"/>
            <w:tcBorders>
              <w:bottom w:val="single" w:sz="8" w:color="949599"/>
            </w:tcBorders>
            <w:shd w:val="clear" w:color="auto" w:fill="ECEDED"/>
          </w:tcPr>
          <w:p>
            <w:pPr>
              <w:jc w:val="right"/>
              <w:ind w:right="152"/>
              <w:spacing w:after="0"/>
              <w:rPr>
                <w:sz w:val="20"/>
                <w:szCs w:val="20"/>
                <w:color w:val="auto"/>
              </w:rPr>
            </w:pPr>
            <w:r>
              <w:rPr>
                <w:rFonts w:ascii="Arial" w:cs="Arial" w:eastAsia="Arial" w:hAnsi="Arial"/>
                <w:sz w:val="14"/>
                <w:szCs w:val="14"/>
                <w:color w:val="auto"/>
              </w:rPr>
              <w:t>964,100</w:t>
            </w:r>
          </w:p>
        </w:tc>
        <w:tc>
          <w:tcPr>
            <w:tcW w:w="1180" w:type="dxa"/>
            <w:vAlign w:val="bottom"/>
            <w:tcBorders>
              <w:bottom w:val="single" w:sz="8" w:color="949599"/>
            </w:tcBorders>
            <w:shd w:val="clear" w:color="auto" w:fill="ECEDED"/>
          </w:tcPr>
          <w:p>
            <w:pPr>
              <w:jc w:val="right"/>
              <w:spacing w:after="0" w:line="183" w:lineRule="exact"/>
              <w:rPr>
                <w:sz w:val="20"/>
                <w:szCs w:val="20"/>
                <w:color w:val="auto"/>
              </w:rPr>
            </w:pPr>
            <w:r>
              <w:rPr>
                <w:rFonts w:ascii="Arial" w:cs="Arial" w:eastAsia="Arial" w:hAnsi="Arial"/>
                <w:sz w:val="13"/>
                <w:szCs w:val="13"/>
                <w:color w:val="auto"/>
              </w:rPr>
              <w:t>3.5</w:t>
            </w:r>
            <w:r>
              <w:rPr>
                <w:rFonts w:ascii="Arial" w:cs="Arial" w:eastAsia="Arial" w:hAnsi="Arial"/>
                <w:sz w:val="21"/>
                <w:szCs w:val="21"/>
                <w:color w:val="auto"/>
                <w:vertAlign w:val="superscript"/>
              </w:rPr>
              <w:t>1</w:t>
            </w:r>
          </w:p>
        </w:tc>
      </w:tr>
      <w:tr>
        <w:trPr>
          <w:trHeight w:val="185"/>
        </w:trPr>
        <w:tc>
          <w:tcPr>
            <w:tcW w:w="5240" w:type="dxa"/>
            <w:vAlign w:val="bottom"/>
            <w:tcBorders>
              <w:bottom w:val="single" w:sz="8" w:color="215AA8"/>
            </w:tcBorders>
          </w:tcPr>
          <w:p>
            <w:pPr>
              <w:ind w:left="40"/>
              <w:spacing w:after="0"/>
              <w:rPr>
                <w:sz w:val="20"/>
                <w:szCs w:val="20"/>
                <w:color w:val="auto"/>
              </w:rPr>
            </w:pPr>
            <w:r>
              <w:rPr>
                <w:rFonts w:ascii="Arial" w:cs="Arial" w:eastAsia="Arial" w:hAnsi="Arial"/>
                <w:sz w:val="14"/>
                <w:szCs w:val="14"/>
                <w:b w:val="1"/>
                <w:bCs w:val="1"/>
                <w:color w:val="215AA8"/>
              </w:rPr>
              <w:t>Andrew J. Murphy, Ph.D.</w:t>
            </w:r>
          </w:p>
        </w:tc>
        <w:tc>
          <w:tcPr>
            <w:tcW w:w="3760" w:type="dxa"/>
            <w:vAlign w:val="bottom"/>
            <w:tcBorders>
              <w:bottom w:val="single" w:sz="8" w:color="215AA8"/>
            </w:tcBorders>
          </w:tcPr>
          <w:p>
            <w:pPr>
              <w:jc w:val="right"/>
              <w:ind w:right="152"/>
              <w:spacing w:after="0"/>
              <w:rPr>
                <w:sz w:val="20"/>
                <w:szCs w:val="20"/>
                <w:color w:val="auto"/>
              </w:rPr>
            </w:pPr>
            <w:r>
              <w:rPr>
                <w:rFonts w:ascii="Arial" w:cs="Arial" w:eastAsia="Arial" w:hAnsi="Arial"/>
                <w:sz w:val="14"/>
                <w:szCs w:val="14"/>
                <w:color w:val="auto"/>
              </w:rPr>
              <w:t>776,250</w:t>
            </w:r>
          </w:p>
        </w:tc>
        <w:tc>
          <w:tcPr>
            <w:tcW w:w="1080" w:type="dxa"/>
            <w:vAlign w:val="bottom"/>
            <w:tcBorders>
              <w:bottom w:val="single" w:sz="8" w:color="215AA8"/>
            </w:tcBorders>
          </w:tcPr>
          <w:p>
            <w:pPr>
              <w:jc w:val="right"/>
              <w:ind w:right="152"/>
              <w:spacing w:after="0"/>
              <w:rPr>
                <w:sz w:val="20"/>
                <w:szCs w:val="20"/>
                <w:color w:val="auto"/>
              </w:rPr>
            </w:pPr>
            <w:r>
              <w:rPr>
                <w:rFonts w:ascii="Arial" w:cs="Arial" w:eastAsia="Arial" w:hAnsi="Arial"/>
                <w:sz w:val="14"/>
                <w:szCs w:val="14"/>
                <w:color w:val="auto"/>
              </w:rPr>
              <w:t>803,600</w:t>
            </w:r>
          </w:p>
        </w:tc>
        <w:tc>
          <w:tcPr>
            <w:tcW w:w="1180" w:type="dxa"/>
            <w:vAlign w:val="bottom"/>
            <w:tcBorders>
              <w:bottom w:val="single" w:sz="8" w:color="215AA8"/>
            </w:tcBorders>
          </w:tcPr>
          <w:p>
            <w:pPr>
              <w:jc w:val="right"/>
              <w:spacing w:after="0" w:line="183" w:lineRule="exact"/>
              <w:rPr>
                <w:sz w:val="20"/>
                <w:szCs w:val="20"/>
                <w:color w:val="auto"/>
              </w:rPr>
            </w:pPr>
            <w:r>
              <w:rPr>
                <w:rFonts w:ascii="Arial" w:cs="Arial" w:eastAsia="Arial" w:hAnsi="Arial"/>
                <w:sz w:val="13"/>
                <w:szCs w:val="13"/>
                <w:color w:val="auto"/>
              </w:rPr>
              <w:t>3.5</w:t>
            </w:r>
            <w:r>
              <w:rPr>
                <w:rFonts w:ascii="Arial" w:cs="Arial" w:eastAsia="Arial" w:hAnsi="Arial"/>
                <w:sz w:val="21"/>
                <w:szCs w:val="21"/>
                <w:color w:val="auto"/>
                <w:vertAlign w:val="superscript"/>
              </w:rPr>
              <w:t>1</w:t>
            </w:r>
          </w:p>
        </w:tc>
      </w:tr>
    </w:tbl>
    <w:p>
      <w:pPr>
        <w:ind w:left="270" w:hanging="270"/>
        <w:spacing w:after="0" w:line="215" w:lineRule="auto"/>
        <w:tabs>
          <w:tab w:leader="none" w:pos="270" w:val="left"/>
        </w:tabs>
        <w:numPr>
          <w:ilvl w:val="0"/>
          <w:numId w:val="101"/>
        </w:numPr>
        <w:rPr>
          <w:rFonts w:ascii="Arial" w:cs="Arial" w:eastAsia="Arial" w:hAnsi="Arial"/>
          <w:sz w:val="20"/>
          <w:szCs w:val="20"/>
          <w:color w:val="auto"/>
          <w:vertAlign w:val="superscript"/>
        </w:rPr>
      </w:pPr>
      <w:r>
        <w:rPr>
          <w:rFonts w:ascii="Arial" w:cs="Arial" w:eastAsia="Arial" w:hAnsi="Arial"/>
          <w:sz w:val="12"/>
          <w:szCs w:val="12"/>
          <w:color w:val="auto"/>
        </w:rPr>
        <w:t>Reflects a 3.5% merit increase consistent with the Company’s overall salary budget, as informed by market practice.</w:t>
      </w:r>
    </w:p>
    <w:p>
      <w:pPr>
        <w:ind w:left="270" w:hanging="270"/>
        <w:spacing w:after="0" w:line="188" w:lineRule="auto"/>
        <w:tabs>
          <w:tab w:leader="none" w:pos="270" w:val="left"/>
        </w:tabs>
        <w:numPr>
          <w:ilvl w:val="0"/>
          <w:numId w:val="102"/>
        </w:numPr>
        <w:rPr>
          <w:rFonts w:ascii="Arial" w:cs="Arial" w:eastAsia="Arial" w:hAnsi="Arial"/>
          <w:sz w:val="20"/>
          <w:szCs w:val="20"/>
          <w:color w:val="auto"/>
          <w:vertAlign w:val="superscript"/>
        </w:rPr>
      </w:pPr>
      <w:r>
        <w:rPr>
          <w:rFonts w:ascii="Arial" w:cs="Arial" w:eastAsia="Arial" w:hAnsi="Arial"/>
          <w:sz w:val="12"/>
          <w:szCs w:val="12"/>
          <w:color w:val="auto"/>
        </w:rPr>
        <w:t>Mr. Landry’s 2024 base salary was unchanged in light of the September 2023 announcement of his planned retirement from the Company effective February 2024.</w:t>
      </w:r>
    </w:p>
    <w:p>
      <w:pPr>
        <w:spacing w:after="0" w:line="223"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Annual Cash Incentives</w:t>
      </w:r>
    </w:p>
    <w:p>
      <w:pPr>
        <w:spacing w:after="0" w:line="174" w:lineRule="exact"/>
        <w:rPr>
          <w:sz w:val="20"/>
          <w:szCs w:val="20"/>
          <w:color w:val="auto"/>
        </w:rPr>
      </w:pPr>
    </w:p>
    <w:p>
      <w:pPr>
        <w:ind w:left="10" w:right="100"/>
        <w:spacing w:after="0" w:line="257" w:lineRule="auto"/>
        <w:rPr>
          <w:sz w:val="20"/>
          <w:szCs w:val="20"/>
          <w:color w:val="auto"/>
        </w:rPr>
      </w:pPr>
      <w:r>
        <w:rPr>
          <w:rFonts w:ascii="Arial" w:cs="Arial" w:eastAsia="Arial" w:hAnsi="Arial"/>
          <w:sz w:val="14"/>
          <w:szCs w:val="14"/>
          <w:color w:val="auto"/>
        </w:rPr>
        <w:t>Our NEOs are eligible for cash incentives based on annual performance. We use these annual incentive opportunities to reward short-term achievements and milestones towards our long-term goals.</w:t>
      </w:r>
    </w:p>
    <w:p>
      <w:pPr>
        <w:spacing w:after="0" w:line="128" w:lineRule="exact"/>
        <w:rPr>
          <w:sz w:val="20"/>
          <w:szCs w:val="20"/>
          <w:color w:val="auto"/>
        </w:rPr>
      </w:pPr>
    </w:p>
    <w:p>
      <w:pPr>
        <w:ind w:left="10" w:right="20"/>
        <w:spacing w:after="0" w:line="242" w:lineRule="auto"/>
        <w:rPr>
          <w:sz w:val="20"/>
          <w:szCs w:val="20"/>
          <w:color w:val="auto"/>
        </w:rPr>
      </w:pPr>
      <w:r>
        <w:rPr>
          <w:rFonts w:ascii="Arial" w:cs="Arial" w:eastAsia="Arial" w:hAnsi="Arial"/>
          <w:sz w:val="14"/>
          <w:szCs w:val="14"/>
          <w:color w:val="auto"/>
        </w:rPr>
        <w:t>We focus on our overall corporate performance to determine the cash incentive payouts of our CEO and our CSO. Our other NEOs’ cash incentive payouts are assessed on both our overall corporate performance and on their individual contributions. As shown in the table below, the annual cash incentive opportunity for each NEO in 2023 was a function of the NEO’s cash incentive target (as a percentage of base salary); the weight and multiplier for the corporate performance component; and, if applicable, the weight and multiplier for the individual performance component. Each NEO’s cash incentive target as a percentage of base salary has remained the same for the last three years.</w:t>
      </w:r>
    </w:p>
    <w:p>
      <w:pPr>
        <w:spacing w:after="0" w:line="22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How We Calculate Our Cash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440170" cy="18224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440170" cy="182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50" w:right="220" w:hanging="150"/>
        <w:spacing w:after="0" w:line="191" w:lineRule="auto"/>
        <w:tabs>
          <w:tab w:leader="none" w:pos="150" w:val="left"/>
        </w:tabs>
        <w:numPr>
          <w:ilvl w:val="0"/>
          <w:numId w:val="103"/>
        </w:numPr>
        <w:rPr>
          <w:rFonts w:ascii="Arial" w:cs="Arial" w:eastAsia="Arial" w:hAnsi="Arial"/>
          <w:sz w:val="20"/>
          <w:szCs w:val="20"/>
          <w:color w:val="auto"/>
          <w:vertAlign w:val="superscript"/>
        </w:rPr>
      </w:pPr>
      <w:r>
        <w:rPr>
          <w:rFonts w:ascii="Arial" w:cs="Arial" w:eastAsia="Arial" w:hAnsi="Arial"/>
          <w:sz w:val="12"/>
          <w:szCs w:val="12"/>
          <w:color w:val="auto"/>
        </w:rPr>
        <w:t>Reflects the historical range used by the Compensation Committee. In extraordinary cases, the Committee may exceed this range. The range for the corporate performance multiplier shown above has been exceeded only once in the last decade.</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66</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37" w:lineRule="exact"/>
        <w:rPr>
          <w:sz w:val="20"/>
          <w:szCs w:val="20"/>
          <w:color w:val="auto"/>
        </w:rPr>
      </w:pPr>
    </w:p>
    <w:p>
      <w:pPr>
        <w:jc w:val="both"/>
        <w:ind w:right="100"/>
        <w:spacing w:after="0" w:line="309" w:lineRule="auto"/>
        <w:rPr>
          <w:sz w:val="20"/>
          <w:szCs w:val="20"/>
          <w:color w:val="auto"/>
        </w:rPr>
      </w:pPr>
      <w:r>
        <w:rPr>
          <w:rFonts w:ascii="Arial" w:cs="Arial" w:eastAsia="Arial" w:hAnsi="Arial"/>
          <w:sz w:val="12"/>
          <w:szCs w:val="12"/>
          <w:b w:val="1"/>
          <w:bCs w:val="1"/>
          <w:color w:val="auto"/>
        </w:rPr>
        <w:t xml:space="preserve">Using this formula, cash incentives are typically capped at 200% of target for our CEO and CSO and 180% of target for our other NEOs. </w:t>
      </w:r>
      <w:r>
        <w:rPr>
          <w:rFonts w:ascii="Arial" w:cs="Arial" w:eastAsia="Arial" w:hAnsi="Arial"/>
          <w:sz w:val="12"/>
          <w:szCs w:val="12"/>
          <w:color w:val="auto"/>
        </w:rPr>
        <w:t>In addition, cash incentives for each NEO</w:t>
      </w:r>
      <w:r>
        <w:rPr>
          <w:rFonts w:ascii="Arial" w:cs="Arial" w:eastAsia="Arial" w:hAnsi="Arial"/>
          <w:sz w:val="12"/>
          <w:szCs w:val="12"/>
          <w:b w:val="1"/>
          <w:bCs w:val="1"/>
          <w:color w:val="auto"/>
        </w:rPr>
        <w:t xml:space="preserve"> </w:t>
      </w:r>
      <w:r>
        <w:rPr>
          <w:rFonts w:ascii="Arial" w:cs="Arial" w:eastAsia="Arial" w:hAnsi="Arial"/>
          <w:sz w:val="12"/>
          <w:szCs w:val="12"/>
          <w:color w:val="auto"/>
        </w:rPr>
        <w:t>and certain other senior executives are capped at the amounts previously allocated to such executives by the Compensation Committee when setting up the cash incentive pool under the Cash Incentive Bonus Plan toward the beginning of every calendar year. See “Compensation Dashboard—Additional Compensation Information—Annual Cash Incentives.”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Corporate Performance</w:t>
      </w:r>
    </w:p>
    <w:p>
      <w:pPr>
        <w:spacing w:after="0" w:line="166" w:lineRule="exact"/>
        <w:rPr>
          <w:sz w:val="20"/>
          <w:szCs w:val="20"/>
          <w:color w:val="auto"/>
        </w:rPr>
      </w:pPr>
    </w:p>
    <w:p>
      <w:pPr>
        <w:ind w:right="240"/>
        <w:spacing w:after="0" w:line="257" w:lineRule="auto"/>
        <w:rPr>
          <w:sz w:val="20"/>
          <w:szCs w:val="20"/>
          <w:color w:val="auto"/>
        </w:rPr>
      </w:pPr>
      <w:r>
        <w:rPr>
          <w:rFonts w:ascii="Arial" w:cs="Arial" w:eastAsia="Arial" w:hAnsi="Arial"/>
          <w:sz w:val="14"/>
          <w:szCs w:val="14"/>
          <w:color w:val="auto"/>
        </w:rPr>
        <w:t>The Compensation Committee utilizes an in-depth process to review the Company’s performance every year, culminating in the Committee’s determination of the Company performance multiplier for cash incentives awarded at year-end. As discussed further below, this process was further enhanced in 2023 in response to 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87630</wp:posOffset>
            </wp:positionV>
            <wp:extent cx="5360670" cy="16370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36067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At the regularly scheduled meeting of the board of directors in January of each year, our CEO presents a targeted selection of potential milestones for the upcoming year that, if achieved, would have a substantial impact on the short-, medium-, and/or long-term success of the Company. These milestones are generally focused on our product pipeline and development in recognition of the importance of innovation as a key component of the Company’s business strategy and valuation, as well as the critical role of the development pipeline in the Company’s long-term success. Throughout the year, the board of directors is apprised of key developments related to these milestones. At the end of the year, the Committee receives a final presentation on Company performance for the year, which includes a discussion of whether and to what extent the select milestones have been achieved in the given year as well as a more detailed overview of achievements and developments across the organization. This presentation is accompanied by management’s assessment of Company performance for the year. The Committee then conducts its own, holistic assessment of the Company’s performance and determines the Company performance multiplier for the year.</w:t>
      </w:r>
    </w:p>
    <w:p>
      <w:pPr>
        <w:spacing w:after="0" w:line="274"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In 2023, informed by shareholder feedback, the Committee established and utilized an enhanced framework for its year-end assessment of Company performance and its determination of the Company performance multiplier. The enhanced framework was designed to provide more rigor to the Committee’s decision-making process and to foster consistency in its decisions year to year.</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67</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39" w:lineRule="exact"/>
        <w:rPr>
          <w:sz w:val="20"/>
          <w:szCs w:val="20"/>
          <w:color w:val="auto"/>
        </w:rPr>
      </w:pPr>
    </w:p>
    <w:p>
      <w:pPr>
        <w:ind w:right="40"/>
        <w:spacing w:after="0"/>
        <w:rPr>
          <w:sz w:val="20"/>
          <w:szCs w:val="20"/>
          <w:color w:val="auto"/>
        </w:rPr>
      </w:pPr>
      <w:r>
        <w:rPr>
          <w:rFonts w:ascii="Arial" w:cs="Arial" w:eastAsia="Arial" w:hAnsi="Arial"/>
          <w:sz w:val="14"/>
          <w:szCs w:val="14"/>
          <w:color w:val="auto"/>
        </w:rPr>
        <w:t>Under the enhanced framework, the Committee begins its assessment with a holistic review of performance across the entire organization in order to establish a baseline for the Company performance multiplier, taking into account the Company milestones for the year in review. As part of the baseline assessment, the Committee also considers additional performance factors in the following three categories: (i) product pipeline and development (primary factors); (ii) finance and operations (secondary factors); and (iii) talent, culture, and corporate responsibility (secondary factors) (see the subsection “Compensation Dashboard—Additional Compensation Information—Annual Cash Incentives” for additional information regarding the types of additional performance factors considered).</w:t>
      </w:r>
    </w:p>
    <w:p>
      <w:pPr>
        <w:spacing w:after="0" w:line="141"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The Committee then applies the framework’s criteria for upward or downward adjustments to the baseline multiplier. In general, the enhanced framework provides for an upward adjustment for “transformational” achievements – i.e., those the Committee considers to have significantly impacted, or which the Committee expects will significantly impact, the practice of medicine or standard of care, patient access to medicine, or the ability to treat or cure patients of disease for which no such treatment or cure currently exists. The enhanced framework also generally requires that the Committee make a downward adjustment in the event the Company underperforms in an area that adversely affects the business in a significant manner.</w:t>
      </w:r>
    </w:p>
    <w:p>
      <w:pPr>
        <w:spacing w:after="0" w:line="107" w:lineRule="exact"/>
        <w:rPr>
          <w:sz w:val="20"/>
          <w:szCs w:val="20"/>
          <w:color w:val="auto"/>
        </w:rPr>
      </w:pPr>
    </w:p>
    <w:p>
      <w:pPr>
        <w:jc w:val="both"/>
        <w:ind w:right="100"/>
        <w:spacing w:after="0" w:line="246" w:lineRule="auto"/>
        <w:rPr>
          <w:sz w:val="20"/>
          <w:szCs w:val="20"/>
          <w:color w:val="auto"/>
        </w:rPr>
      </w:pPr>
      <w:r>
        <w:rPr>
          <w:rFonts w:ascii="Arial" w:cs="Arial" w:eastAsia="Arial" w:hAnsi="Arial"/>
          <w:sz w:val="14"/>
          <w:szCs w:val="14"/>
          <w:color w:val="auto"/>
        </w:rPr>
        <w:t>While the milestones presented to the board of directors every January serve as a reference point for the Committee in identifying potential “transformational” achievements, the framework does not limit the Committee’s consideration to those milestones because the board and the Committee recognize that the Company needs flexibility to “follow the science” while pursuing its mission over the course of a given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92710</wp:posOffset>
            </wp:positionV>
            <wp:extent cx="5360670" cy="19659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360670" cy="196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68</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79" w:name="page80"/>
    <w:bookmarkEnd w:id="79"/>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39" w:lineRule="exact"/>
        <w:rPr>
          <w:sz w:val="20"/>
          <w:szCs w:val="20"/>
          <w:color w:val="auto"/>
        </w:rPr>
      </w:pPr>
    </w:p>
    <w:p>
      <w:pPr>
        <w:ind w:left="10" w:right="60"/>
        <w:spacing w:after="0" w:line="246" w:lineRule="auto"/>
        <w:rPr>
          <w:sz w:val="20"/>
          <w:szCs w:val="20"/>
          <w:color w:val="auto"/>
        </w:rPr>
      </w:pPr>
      <w:r>
        <w:rPr>
          <w:rFonts w:ascii="Arial" w:cs="Arial" w:eastAsia="Arial" w:hAnsi="Arial"/>
          <w:sz w:val="14"/>
          <w:szCs w:val="14"/>
          <w:color w:val="auto"/>
        </w:rPr>
        <w:t>Shown below are the most significant of the 2023 milestones identified at the beginning of the year and Regeneron’s 2023 progress toward achieving them. The table below also separately identifies the Company’s achievements with respect to these milestones that were viewed as “transformational” by the Committee for purposes of its determination of the Company performance multiplier.</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2260" w:type="dxa"/>
            <w:vAlign w:val="bottom"/>
            <w:tcBorders>
              <w:bottom w:val="single" w:sz="8" w:color="215AA8"/>
            </w:tcBorders>
          </w:tcPr>
          <w:p>
            <w:pPr>
              <w:ind w:left="40"/>
              <w:spacing w:after="0"/>
              <w:rPr>
                <w:sz w:val="20"/>
                <w:szCs w:val="20"/>
                <w:color w:val="auto"/>
              </w:rPr>
            </w:pPr>
            <w:r>
              <w:rPr>
                <w:rFonts w:ascii="Arial" w:cs="Arial" w:eastAsia="Arial" w:hAnsi="Arial"/>
                <w:sz w:val="14"/>
                <w:szCs w:val="14"/>
                <w:color w:val="215AA8"/>
              </w:rPr>
              <w:t>Program</w:t>
            </w:r>
          </w:p>
        </w:tc>
        <w:tc>
          <w:tcPr>
            <w:tcW w:w="6180" w:type="dxa"/>
            <w:vAlign w:val="bottom"/>
            <w:tcBorders>
              <w:bottom w:val="single" w:sz="8" w:color="215AA8"/>
            </w:tcBorders>
          </w:tcPr>
          <w:p>
            <w:pPr>
              <w:spacing w:after="0"/>
              <w:rPr>
                <w:sz w:val="20"/>
                <w:szCs w:val="20"/>
                <w:color w:val="auto"/>
              </w:rPr>
            </w:pPr>
            <w:r>
              <w:rPr>
                <w:rFonts w:ascii="Arial" w:cs="Arial" w:eastAsia="Arial" w:hAnsi="Arial"/>
                <w:sz w:val="14"/>
                <w:szCs w:val="14"/>
                <w:color w:val="215AA8"/>
              </w:rPr>
              <w:t>Milestone</w:t>
            </w:r>
          </w:p>
        </w:tc>
        <w:tc>
          <w:tcPr>
            <w:tcW w:w="2820" w:type="dxa"/>
            <w:vAlign w:val="bottom"/>
            <w:tcBorders>
              <w:bottom w:val="single" w:sz="8" w:color="215AA8"/>
            </w:tcBorders>
            <w:shd w:val="clear" w:color="auto" w:fill="215AA8"/>
          </w:tcPr>
          <w:p>
            <w:pPr>
              <w:ind w:left="40"/>
              <w:spacing w:after="0"/>
              <w:rPr>
                <w:sz w:val="20"/>
                <w:szCs w:val="20"/>
                <w:color w:val="auto"/>
              </w:rPr>
            </w:pPr>
            <w:r>
              <w:rPr>
                <w:rFonts w:ascii="Arial" w:cs="Arial" w:eastAsia="Arial" w:hAnsi="Arial"/>
                <w:sz w:val="14"/>
                <w:szCs w:val="14"/>
                <w:color w:val="FFFFFF"/>
              </w:rPr>
              <w:t>Status</w:t>
            </w:r>
          </w:p>
        </w:tc>
        <w:tc>
          <w:tcPr>
            <w:tcW w:w="0" w:type="dxa"/>
            <w:vAlign w:val="bottom"/>
          </w:tcPr>
          <w:p>
            <w:pPr>
              <w:spacing w:after="0"/>
              <w:rPr>
                <w:sz w:val="1"/>
                <w:szCs w:val="1"/>
                <w:color w:val="auto"/>
              </w:rPr>
            </w:pPr>
          </w:p>
        </w:tc>
      </w:tr>
      <w:tr>
        <w:trPr>
          <w:trHeight w:val="147"/>
        </w:trPr>
        <w:tc>
          <w:tcPr>
            <w:tcW w:w="2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EYLEA HD</w:t>
            </w:r>
          </w:p>
        </w:tc>
        <w:tc>
          <w:tcPr>
            <w:tcW w:w="6180" w:type="dxa"/>
            <w:vAlign w:val="bottom"/>
            <w:vMerge w:val="restart"/>
          </w:tcPr>
          <w:p>
            <w:pPr>
              <w:spacing w:after="0"/>
              <w:rPr>
                <w:sz w:val="20"/>
                <w:szCs w:val="20"/>
                <w:color w:val="auto"/>
              </w:rPr>
            </w:pPr>
            <w:r>
              <w:rPr>
                <w:rFonts w:ascii="Arial" w:cs="Arial" w:eastAsia="Arial" w:hAnsi="Arial"/>
                <w:sz w:val="14"/>
                <w:szCs w:val="14"/>
                <w:color w:val="auto"/>
              </w:rPr>
              <w:t>FDA approval of BLA for treatment of wAMD and DME</w:t>
            </w:r>
          </w:p>
        </w:tc>
        <w:tc>
          <w:tcPr>
            <w:tcW w:w="2820" w:type="dxa"/>
            <w:vAlign w:val="bottom"/>
            <w:shd w:val="clear" w:color="auto" w:fill="F8E7EC"/>
          </w:tcPr>
          <w:p>
            <w:pPr>
              <w:ind w:left="40"/>
              <w:spacing w:after="0" w:line="147" w:lineRule="exact"/>
              <w:rPr>
                <w:sz w:val="20"/>
                <w:szCs w:val="20"/>
                <w:color w:val="auto"/>
              </w:rPr>
            </w:pPr>
            <w:r>
              <w:rPr>
                <w:rFonts w:ascii="Arial" w:cs="Arial" w:eastAsia="Arial" w:hAnsi="Arial"/>
                <w:sz w:val="14"/>
                <w:szCs w:val="14"/>
                <w:b w:val="1"/>
                <w:bCs w:val="1"/>
                <w:color w:val="D60058"/>
              </w:rPr>
              <w:t>Achieved</w:t>
            </w:r>
          </w:p>
        </w:tc>
        <w:tc>
          <w:tcPr>
            <w:tcW w:w="0" w:type="dxa"/>
            <w:vAlign w:val="bottom"/>
          </w:tcPr>
          <w:p>
            <w:pPr>
              <w:spacing w:after="0"/>
              <w:rPr>
                <w:sz w:val="1"/>
                <w:szCs w:val="1"/>
                <w:color w:val="auto"/>
              </w:rPr>
            </w:pPr>
          </w:p>
        </w:tc>
      </w:tr>
      <w:tr>
        <w:trPr>
          <w:trHeight w:val="117"/>
        </w:trPr>
        <w:tc>
          <w:tcPr>
            <w:tcW w:w="2260" w:type="dxa"/>
            <w:vAlign w:val="bottom"/>
            <w:vMerge w:val="continue"/>
          </w:tcPr>
          <w:p>
            <w:pPr>
              <w:spacing w:after="0"/>
              <w:rPr>
                <w:sz w:val="10"/>
                <w:szCs w:val="10"/>
                <w:color w:val="auto"/>
              </w:rPr>
            </w:pPr>
          </w:p>
        </w:tc>
        <w:tc>
          <w:tcPr>
            <w:tcW w:w="6180" w:type="dxa"/>
            <w:vAlign w:val="bottom"/>
            <w:vMerge w:val="continue"/>
          </w:tcPr>
          <w:p>
            <w:pPr>
              <w:spacing w:after="0"/>
              <w:rPr>
                <w:sz w:val="10"/>
                <w:szCs w:val="10"/>
                <w:color w:val="auto"/>
              </w:rPr>
            </w:pPr>
          </w:p>
        </w:tc>
        <w:tc>
          <w:tcPr>
            <w:tcW w:w="2820" w:type="dxa"/>
            <w:vAlign w:val="bottom"/>
            <w:vMerge w:val="restart"/>
            <w:shd w:val="clear" w:color="auto" w:fill="F8E7EC"/>
          </w:tcPr>
          <w:p>
            <w:pPr>
              <w:ind w:left="220"/>
              <w:spacing w:after="0" w:line="202" w:lineRule="exact"/>
              <w:rPr>
                <w:sz w:val="20"/>
                <w:szCs w:val="20"/>
                <w:color w:val="auto"/>
              </w:rPr>
            </w:pPr>
            <w:r>
              <w:rPr>
                <w:rFonts w:ascii="Arial" w:cs="Arial" w:eastAsia="Arial" w:hAnsi="Arial"/>
                <w:sz w:val="14"/>
                <w:szCs w:val="14"/>
                <w:b w:val="1"/>
                <w:bCs w:val="1"/>
                <w:color w:val="D60058"/>
              </w:rPr>
              <w:t>Transformational</w:t>
            </w:r>
            <w:r>
              <w:rPr>
                <w:rFonts w:ascii="Arial" w:cs="Arial" w:eastAsia="Arial" w:hAnsi="Arial"/>
                <w:sz w:val="22"/>
                <w:szCs w:val="22"/>
                <w:b w:val="1"/>
                <w:bCs w:val="1"/>
                <w:color w:val="D60058"/>
                <w:vertAlign w:val="superscript"/>
              </w:rPr>
              <w:t>1</w:t>
            </w:r>
          </w:p>
        </w:tc>
        <w:tc>
          <w:tcPr>
            <w:tcW w:w="0" w:type="dxa"/>
            <w:vAlign w:val="bottom"/>
          </w:tcPr>
          <w:p>
            <w:pPr>
              <w:spacing w:after="0"/>
              <w:rPr>
                <w:sz w:val="1"/>
                <w:szCs w:val="1"/>
                <w:color w:val="auto"/>
              </w:rPr>
            </w:pPr>
          </w:p>
        </w:tc>
      </w:tr>
      <w:tr>
        <w:trPr>
          <w:trHeight w:val="85"/>
        </w:trPr>
        <w:tc>
          <w:tcPr>
            <w:tcW w:w="2260" w:type="dxa"/>
            <w:vAlign w:val="bottom"/>
            <w:tcBorders>
              <w:bottom w:val="single" w:sz="8" w:color="949599"/>
            </w:tcBorders>
          </w:tcPr>
          <w:p>
            <w:pPr>
              <w:spacing w:after="0"/>
              <w:rPr>
                <w:sz w:val="7"/>
                <w:szCs w:val="7"/>
                <w:color w:val="auto"/>
              </w:rPr>
            </w:pPr>
          </w:p>
        </w:tc>
        <w:tc>
          <w:tcPr>
            <w:tcW w:w="6180" w:type="dxa"/>
            <w:vAlign w:val="bottom"/>
            <w:tcBorders>
              <w:bottom w:val="single" w:sz="8" w:color="949599"/>
            </w:tcBorders>
          </w:tcPr>
          <w:p>
            <w:pPr>
              <w:spacing w:after="0"/>
              <w:rPr>
                <w:sz w:val="7"/>
                <w:szCs w:val="7"/>
                <w:color w:val="auto"/>
              </w:rPr>
            </w:pPr>
          </w:p>
        </w:tc>
        <w:tc>
          <w:tcPr>
            <w:tcW w:w="2820" w:type="dxa"/>
            <w:vAlign w:val="bottom"/>
            <w:tcBorders>
              <w:bottom w:val="single" w:sz="8" w:color="949599"/>
            </w:tcBorders>
            <w:vMerge w:val="continue"/>
            <w:shd w:val="clear" w:color="auto" w:fill="F8E7EC"/>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260" w:type="dxa"/>
            <w:vAlign w:val="bottom"/>
            <w:tcBorders>
              <w:bottom w:val="single" w:sz="8" w:color="ECEDED"/>
            </w:tcBorders>
            <w:vMerge w:val="restart"/>
            <w:shd w:val="clear" w:color="auto" w:fill="ECEDED"/>
          </w:tcPr>
          <w:p>
            <w:pPr>
              <w:ind w:left="40"/>
              <w:spacing w:after="0"/>
              <w:rPr>
                <w:sz w:val="20"/>
                <w:szCs w:val="20"/>
                <w:color w:val="auto"/>
              </w:rPr>
            </w:pPr>
            <w:r>
              <w:rPr>
                <w:rFonts w:ascii="Arial" w:cs="Arial" w:eastAsia="Arial" w:hAnsi="Arial"/>
                <w:sz w:val="14"/>
                <w:szCs w:val="14"/>
                <w:b w:val="1"/>
                <w:bCs w:val="1"/>
                <w:color w:val="auto"/>
              </w:rPr>
              <w:t>Dupixent (dupilumab)</w:t>
            </w:r>
          </w:p>
        </w:tc>
        <w:tc>
          <w:tcPr>
            <w:tcW w:w="6180" w:type="dxa"/>
            <w:vAlign w:val="bottom"/>
            <w:tcBorders>
              <w:bottom w:val="single" w:sz="8" w:color="949599"/>
            </w:tcBorders>
            <w:shd w:val="clear" w:color="auto" w:fill="ECEDED"/>
          </w:tcPr>
          <w:p>
            <w:pPr>
              <w:spacing w:after="0"/>
              <w:rPr>
                <w:sz w:val="20"/>
                <w:szCs w:val="20"/>
                <w:color w:val="auto"/>
              </w:rPr>
            </w:pPr>
            <w:r>
              <w:rPr>
                <w:rFonts w:ascii="Arial" w:cs="Arial" w:eastAsia="Arial" w:hAnsi="Arial"/>
                <w:sz w:val="14"/>
                <w:szCs w:val="14"/>
                <w:color w:val="auto"/>
              </w:rPr>
              <w:t>$11 billion in global net product sales</w:t>
            </w:r>
          </w:p>
        </w:tc>
        <w:tc>
          <w:tcPr>
            <w:tcW w:w="2820" w:type="dxa"/>
            <w:vAlign w:val="bottom"/>
            <w:tcBorders>
              <w:bottom w:val="single" w:sz="8" w:color="949599"/>
            </w:tcBorders>
            <w:shd w:val="clear" w:color="auto" w:fill="E8ECF5"/>
          </w:tcPr>
          <w:p>
            <w:pPr>
              <w:ind w:left="40"/>
              <w:spacing w:after="0" w:line="183" w:lineRule="exact"/>
              <w:rPr>
                <w:sz w:val="20"/>
                <w:szCs w:val="20"/>
                <w:color w:val="auto"/>
              </w:rPr>
            </w:pPr>
            <w:r>
              <w:rPr>
                <w:rFonts w:ascii="Arial" w:cs="Arial" w:eastAsia="Arial" w:hAnsi="Arial"/>
                <w:sz w:val="13"/>
                <w:szCs w:val="13"/>
                <w:b w:val="1"/>
                <w:bCs w:val="1"/>
                <w:color w:val="D60058"/>
              </w:rPr>
              <w:t>Achieved</w:t>
            </w:r>
            <w:r>
              <w:rPr>
                <w:rFonts w:ascii="Arial" w:cs="Arial" w:eastAsia="Arial" w:hAnsi="Arial"/>
                <w:sz w:val="21"/>
                <w:szCs w:val="21"/>
                <w:b w:val="1"/>
                <w:bCs w:val="1"/>
                <w:color w:val="D60058"/>
                <w:vertAlign w:val="superscript"/>
              </w:rPr>
              <w:t>2</w:t>
            </w:r>
          </w:p>
        </w:tc>
        <w:tc>
          <w:tcPr>
            <w:tcW w:w="0" w:type="dxa"/>
            <w:vAlign w:val="bottom"/>
          </w:tcPr>
          <w:p>
            <w:pPr>
              <w:spacing w:after="0"/>
              <w:rPr>
                <w:sz w:val="1"/>
                <w:szCs w:val="1"/>
                <w:color w:val="auto"/>
              </w:rPr>
            </w:pPr>
          </w:p>
        </w:tc>
      </w:tr>
      <w:tr>
        <w:trPr>
          <w:trHeight w:val="138"/>
        </w:trPr>
        <w:tc>
          <w:tcPr>
            <w:tcW w:w="2260" w:type="dxa"/>
            <w:vAlign w:val="bottom"/>
            <w:vMerge w:val="continue"/>
            <w:shd w:val="clear" w:color="auto" w:fill="ECEDED"/>
          </w:tcPr>
          <w:p>
            <w:pPr>
              <w:spacing w:after="0"/>
              <w:rPr>
                <w:sz w:val="12"/>
                <w:szCs w:val="12"/>
                <w:color w:val="auto"/>
              </w:rPr>
            </w:pPr>
          </w:p>
        </w:tc>
        <w:tc>
          <w:tcPr>
            <w:tcW w:w="6180" w:type="dxa"/>
            <w:vAlign w:val="bottom"/>
            <w:shd w:val="clear" w:color="auto" w:fill="ECEDED"/>
          </w:tcPr>
          <w:p>
            <w:pPr>
              <w:spacing w:after="0" w:line="139" w:lineRule="exact"/>
              <w:rPr>
                <w:sz w:val="20"/>
                <w:szCs w:val="20"/>
                <w:color w:val="auto"/>
              </w:rPr>
            </w:pPr>
            <w:r>
              <w:rPr>
                <w:rFonts w:ascii="Arial" w:cs="Arial" w:eastAsia="Arial" w:hAnsi="Arial"/>
                <w:sz w:val="14"/>
                <w:szCs w:val="14"/>
                <w:color w:val="auto"/>
              </w:rPr>
              <w:t>Positive results from first Phase 3 study (BOREAS) in COPD (also considered positive results from</w:t>
            </w:r>
          </w:p>
        </w:tc>
        <w:tc>
          <w:tcPr>
            <w:tcW w:w="2820" w:type="dxa"/>
            <w:vAlign w:val="bottom"/>
            <w:shd w:val="clear" w:color="auto" w:fill="F8E7EC"/>
          </w:tcPr>
          <w:p>
            <w:pPr>
              <w:ind w:left="40"/>
              <w:spacing w:after="0" w:line="139" w:lineRule="exact"/>
              <w:rPr>
                <w:sz w:val="20"/>
                <w:szCs w:val="20"/>
                <w:color w:val="auto"/>
              </w:rPr>
            </w:pPr>
            <w:r>
              <w:rPr>
                <w:rFonts w:ascii="Arial" w:cs="Arial" w:eastAsia="Arial" w:hAnsi="Arial"/>
                <w:sz w:val="14"/>
                <w:szCs w:val="14"/>
                <w:b w:val="1"/>
                <w:bCs w:val="1"/>
                <w:color w:val="D60058"/>
              </w:rPr>
              <w:t>Achieved</w:t>
            </w:r>
          </w:p>
        </w:tc>
        <w:tc>
          <w:tcPr>
            <w:tcW w:w="0" w:type="dxa"/>
            <w:vAlign w:val="bottom"/>
          </w:tcPr>
          <w:p>
            <w:pPr>
              <w:spacing w:after="0"/>
              <w:rPr>
                <w:sz w:val="1"/>
                <w:szCs w:val="1"/>
                <w:color w:val="auto"/>
              </w:rPr>
            </w:pPr>
          </w:p>
        </w:tc>
      </w:tr>
      <w:tr>
        <w:trPr>
          <w:trHeight w:val="202"/>
        </w:trPr>
        <w:tc>
          <w:tcPr>
            <w:tcW w:w="2260" w:type="dxa"/>
            <w:vAlign w:val="bottom"/>
            <w:tcBorders>
              <w:bottom w:val="single" w:sz="8" w:color="949599"/>
            </w:tcBorders>
            <w:shd w:val="clear" w:color="auto" w:fill="ECEDED"/>
          </w:tcPr>
          <w:p>
            <w:pPr>
              <w:spacing w:after="0"/>
              <w:rPr>
                <w:sz w:val="17"/>
                <w:szCs w:val="17"/>
                <w:color w:val="auto"/>
              </w:rPr>
            </w:pPr>
          </w:p>
        </w:tc>
        <w:tc>
          <w:tcPr>
            <w:tcW w:w="6180" w:type="dxa"/>
            <w:vAlign w:val="bottom"/>
            <w:tcBorders>
              <w:bottom w:val="single" w:sz="8" w:color="949599"/>
            </w:tcBorders>
            <w:shd w:val="clear" w:color="auto" w:fill="ECEDED"/>
          </w:tcPr>
          <w:p>
            <w:pPr>
              <w:spacing w:after="0"/>
              <w:rPr>
                <w:sz w:val="20"/>
                <w:szCs w:val="20"/>
                <w:color w:val="auto"/>
              </w:rPr>
            </w:pPr>
            <w:r>
              <w:rPr>
                <w:rFonts w:ascii="Arial" w:cs="Arial" w:eastAsia="Arial" w:hAnsi="Arial"/>
                <w:sz w:val="14"/>
                <w:szCs w:val="14"/>
                <w:color w:val="auto"/>
              </w:rPr>
              <w:t>replicate Phase 3 study (NOTUS) and regulatory strategy enabling expedited sBLA submission)</w:t>
            </w:r>
          </w:p>
        </w:tc>
        <w:tc>
          <w:tcPr>
            <w:tcW w:w="2820" w:type="dxa"/>
            <w:vAlign w:val="bottom"/>
            <w:tcBorders>
              <w:bottom w:val="single" w:sz="8" w:color="949599"/>
            </w:tcBorders>
            <w:shd w:val="clear" w:color="auto" w:fill="F8E7EC"/>
          </w:tcPr>
          <w:p>
            <w:pPr>
              <w:ind w:left="220"/>
              <w:spacing w:after="0" w:line="202" w:lineRule="exact"/>
              <w:rPr>
                <w:sz w:val="20"/>
                <w:szCs w:val="20"/>
                <w:color w:val="auto"/>
              </w:rPr>
            </w:pPr>
            <w:r>
              <w:rPr>
                <w:rFonts w:ascii="Arial" w:cs="Arial" w:eastAsia="Arial" w:hAnsi="Arial"/>
                <w:sz w:val="14"/>
                <w:szCs w:val="14"/>
                <w:b w:val="1"/>
                <w:bCs w:val="1"/>
                <w:color w:val="D60058"/>
              </w:rPr>
              <w:t>Transformational</w:t>
            </w:r>
            <w:r>
              <w:rPr>
                <w:rFonts w:ascii="Arial" w:cs="Arial" w:eastAsia="Arial" w:hAnsi="Arial"/>
                <w:sz w:val="22"/>
                <w:szCs w:val="22"/>
                <w:b w:val="1"/>
                <w:bCs w:val="1"/>
                <w:color w:val="D60058"/>
                <w:vertAlign w:val="superscript"/>
              </w:rPr>
              <w:t>3</w:t>
            </w:r>
          </w:p>
        </w:tc>
        <w:tc>
          <w:tcPr>
            <w:tcW w:w="0" w:type="dxa"/>
            <w:vAlign w:val="bottom"/>
          </w:tcPr>
          <w:p>
            <w:pPr>
              <w:spacing w:after="0"/>
              <w:rPr>
                <w:sz w:val="1"/>
                <w:szCs w:val="1"/>
                <w:color w:val="auto"/>
              </w:rPr>
            </w:pPr>
          </w:p>
        </w:tc>
      </w:tr>
      <w:tr>
        <w:trPr>
          <w:trHeight w:val="183"/>
        </w:trPr>
        <w:tc>
          <w:tcPr>
            <w:tcW w:w="2260" w:type="dxa"/>
            <w:vAlign w:val="bottom"/>
            <w:tcBorders>
              <w:bottom w:val="single" w:sz="8" w:color="949599"/>
            </w:tcBorders>
          </w:tcPr>
          <w:p>
            <w:pPr>
              <w:ind w:left="40"/>
              <w:spacing w:after="0"/>
              <w:rPr>
                <w:sz w:val="20"/>
                <w:szCs w:val="20"/>
                <w:color w:val="auto"/>
              </w:rPr>
            </w:pPr>
            <w:r>
              <w:rPr>
                <w:rFonts w:ascii="Arial" w:cs="Arial" w:eastAsia="Arial" w:hAnsi="Arial"/>
                <w:sz w:val="14"/>
                <w:szCs w:val="14"/>
                <w:b w:val="1"/>
                <w:bCs w:val="1"/>
                <w:color w:val="auto"/>
              </w:rPr>
              <w:t>Libtayo (cemiplimab)</w:t>
            </w:r>
          </w:p>
        </w:tc>
        <w:tc>
          <w:tcPr>
            <w:tcW w:w="618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$750 million in global net product sales</w:t>
            </w:r>
          </w:p>
        </w:tc>
        <w:tc>
          <w:tcPr>
            <w:tcW w:w="2820" w:type="dxa"/>
            <w:vAlign w:val="bottom"/>
            <w:tcBorders>
              <w:bottom w:val="single" w:sz="8" w:color="949599"/>
            </w:tcBorders>
            <w:shd w:val="clear" w:color="auto" w:fill="E8ECF5"/>
          </w:tcPr>
          <w:p>
            <w:pPr>
              <w:ind w:left="40"/>
              <w:spacing w:after="0" w:line="183" w:lineRule="exact"/>
              <w:rPr>
                <w:sz w:val="20"/>
                <w:szCs w:val="20"/>
                <w:color w:val="auto"/>
              </w:rPr>
            </w:pPr>
            <w:r>
              <w:rPr>
                <w:rFonts w:ascii="Arial" w:cs="Arial" w:eastAsia="Arial" w:hAnsi="Arial"/>
                <w:sz w:val="13"/>
                <w:szCs w:val="13"/>
                <w:b w:val="1"/>
                <w:bCs w:val="1"/>
                <w:color w:val="D60058"/>
              </w:rPr>
              <w:t>Achieved</w:t>
            </w:r>
            <w:r>
              <w:rPr>
                <w:rFonts w:ascii="Arial" w:cs="Arial" w:eastAsia="Arial" w:hAnsi="Arial"/>
                <w:sz w:val="21"/>
                <w:szCs w:val="21"/>
                <w:b w:val="1"/>
                <w:bCs w:val="1"/>
                <w:color w:val="D60058"/>
                <w:vertAlign w:val="superscript"/>
              </w:rPr>
              <w:t>2</w:t>
            </w:r>
          </w:p>
        </w:tc>
        <w:tc>
          <w:tcPr>
            <w:tcW w:w="0" w:type="dxa"/>
            <w:vAlign w:val="bottom"/>
          </w:tcPr>
          <w:p>
            <w:pPr>
              <w:spacing w:after="0"/>
              <w:rPr>
                <w:sz w:val="1"/>
                <w:szCs w:val="1"/>
                <w:color w:val="auto"/>
              </w:rPr>
            </w:pPr>
          </w:p>
        </w:tc>
      </w:tr>
      <w:tr>
        <w:trPr>
          <w:trHeight w:val="188"/>
        </w:trPr>
        <w:tc>
          <w:tcPr>
            <w:tcW w:w="2260" w:type="dxa"/>
            <w:vAlign w:val="bottom"/>
            <w:tcBorders>
              <w:bottom w:val="single" w:sz="8" w:color="ECEDED"/>
            </w:tcBorders>
            <w:shd w:val="clear" w:color="auto" w:fill="ECEDED"/>
          </w:tcPr>
          <w:p>
            <w:pPr>
              <w:ind w:left="40"/>
              <w:spacing w:after="0" w:line="159" w:lineRule="exact"/>
              <w:rPr>
                <w:sz w:val="20"/>
                <w:szCs w:val="20"/>
                <w:color w:val="auto"/>
              </w:rPr>
            </w:pPr>
            <w:r>
              <w:rPr>
                <w:rFonts w:ascii="Arial" w:cs="Arial" w:eastAsia="Arial" w:hAnsi="Arial"/>
                <w:sz w:val="14"/>
                <w:szCs w:val="14"/>
                <w:b w:val="1"/>
                <w:bCs w:val="1"/>
                <w:color w:val="auto"/>
              </w:rPr>
              <w:t>Linvoseltamab (BCMA and CD3</w:t>
            </w:r>
          </w:p>
        </w:tc>
        <w:tc>
          <w:tcPr>
            <w:tcW w:w="6180" w:type="dxa"/>
            <w:vAlign w:val="bottom"/>
            <w:tcBorders>
              <w:bottom w:val="single" w:sz="8" w:color="ECEDED"/>
            </w:tcBorders>
            <w:shd w:val="clear" w:color="auto" w:fill="ECEDED"/>
          </w:tcPr>
          <w:p>
            <w:pPr>
              <w:spacing w:after="0" w:line="159" w:lineRule="exact"/>
              <w:rPr>
                <w:sz w:val="20"/>
                <w:szCs w:val="20"/>
                <w:color w:val="auto"/>
              </w:rPr>
            </w:pPr>
            <w:r>
              <w:rPr>
                <w:rFonts w:ascii="Arial" w:cs="Arial" w:eastAsia="Arial" w:hAnsi="Arial"/>
                <w:sz w:val="14"/>
                <w:szCs w:val="14"/>
                <w:color w:val="auto"/>
              </w:rPr>
              <w:t>Submit BLA for treatment of relapsed/refractory multiple myeloma</w:t>
            </w:r>
          </w:p>
        </w:tc>
        <w:tc>
          <w:tcPr>
            <w:tcW w:w="2820" w:type="dxa"/>
            <w:vAlign w:val="bottom"/>
            <w:tcBorders>
              <w:bottom w:val="single" w:sz="8" w:color="E8ECF5"/>
            </w:tcBorders>
            <w:shd w:val="clear" w:color="auto" w:fill="E8ECF5"/>
          </w:tcPr>
          <w:p>
            <w:pPr>
              <w:ind w:left="40"/>
              <w:spacing w:after="0" w:line="159" w:lineRule="exact"/>
              <w:rPr>
                <w:sz w:val="20"/>
                <w:szCs w:val="20"/>
                <w:color w:val="auto"/>
              </w:rPr>
            </w:pPr>
            <w:r>
              <w:rPr>
                <w:rFonts w:ascii="Arial" w:cs="Arial" w:eastAsia="Arial" w:hAnsi="Arial"/>
                <w:sz w:val="12"/>
                <w:szCs w:val="12"/>
                <w:b w:val="1"/>
                <w:bCs w:val="1"/>
                <w:color w:val="D60058"/>
              </w:rPr>
              <w:t>Achieved</w:t>
            </w:r>
            <w:r>
              <w:rPr>
                <w:rFonts w:ascii="Arial" w:cs="Arial" w:eastAsia="Arial" w:hAnsi="Arial"/>
                <w:sz w:val="18"/>
                <w:szCs w:val="18"/>
                <w:b w:val="1"/>
                <w:bCs w:val="1"/>
                <w:color w:val="D60058"/>
                <w:vertAlign w:val="superscript"/>
              </w:rPr>
              <w:t>2</w:t>
            </w:r>
          </w:p>
        </w:tc>
        <w:tc>
          <w:tcPr>
            <w:tcW w:w="0" w:type="dxa"/>
            <w:vAlign w:val="bottom"/>
          </w:tcPr>
          <w:p>
            <w:pPr>
              <w:spacing w:after="0"/>
              <w:rPr>
                <w:sz w:val="1"/>
                <w:szCs w:val="1"/>
                <w:color w:val="auto"/>
              </w:rPr>
            </w:pPr>
          </w:p>
        </w:tc>
      </w:tr>
      <w:tr>
        <w:trPr>
          <w:trHeight w:val="149"/>
        </w:trPr>
        <w:tc>
          <w:tcPr>
            <w:tcW w:w="2260" w:type="dxa"/>
            <w:vAlign w:val="bottom"/>
            <w:tcBorders>
              <w:top w:val="single" w:sz="8" w:color="ECEDED"/>
              <w:bottom w:val="single" w:sz="8" w:color="949599"/>
            </w:tcBorders>
            <w:shd w:val="clear" w:color="auto" w:fill="ECEDED"/>
          </w:tcPr>
          <w:p>
            <w:pPr>
              <w:ind w:left="40"/>
              <w:spacing w:after="0" w:line="143" w:lineRule="exact"/>
              <w:rPr>
                <w:sz w:val="20"/>
                <w:szCs w:val="20"/>
                <w:color w:val="auto"/>
              </w:rPr>
            </w:pPr>
            <w:r>
              <w:rPr>
                <w:rFonts w:ascii="Arial" w:cs="Arial" w:eastAsia="Arial" w:hAnsi="Arial"/>
                <w:sz w:val="14"/>
                <w:szCs w:val="14"/>
                <w:b w:val="1"/>
                <w:bCs w:val="1"/>
                <w:color w:val="auto"/>
              </w:rPr>
              <w:t>bispecific antibody)</w:t>
            </w:r>
          </w:p>
        </w:tc>
        <w:tc>
          <w:tcPr>
            <w:tcW w:w="6180" w:type="dxa"/>
            <w:vAlign w:val="bottom"/>
            <w:tcBorders>
              <w:top w:val="single" w:sz="8" w:color="949599"/>
              <w:bottom w:val="single" w:sz="8" w:color="949599"/>
            </w:tcBorders>
            <w:shd w:val="clear" w:color="auto" w:fill="ECEDED"/>
          </w:tcPr>
          <w:p>
            <w:pPr>
              <w:spacing w:after="0" w:line="149" w:lineRule="exact"/>
              <w:rPr>
                <w:sz w:val="20"/>
                <w:szCs w:val="20"/>
                <w:color w:val="auto"/>
              </w:rPr>
            </w:pPr>
            <w:r>
              <w:rPr>
                <w:rFonts w:ascii="Arial" w:cs="Arial" w:eastAsia="Arial" w:hAnsi="Arial"/>
                <w:sz w:val="14"/>
                <w:szCs w:val="14"/>
                <w:color w:val="auto"/>
              </w:rPr>
              <w:t>Initiate confirmatory early line registrational studies</w:t>
            </w:r>
          </w:p>
        </w:tc>
        <w:tc>
          <w:tcPr>
            <w:tcW w:w="2820" w:type="dxa"/>
            <w:vAlign w:val="bottom"/>
            <w:tcBorders>
              <w:top w:val="single" w:sz="8" w:color="949599"/>
              <w:bottom w:val="single" w:sz="8" w:color="949599"/>
            </w:tcBorders>
            <w:shd w:val="clear" w:color="auto" w:fill="E8ECF5"/>
          </w:tcPr>
          <w:p>
            <w:pPr>
              <w:ind w:left="40"/>
              <w:spacing w:after="0" w:line="149" w:lineRule="exact"/>
              <w:rPr>
                <w:sz w:val="20"/>
                <w:szCs w:val="20"/>
                <w:color w:val="auto"/>
              </w:rPr>
            </w:pPr>
            <w:r>
              <w:rPr>
                <w:rFonts w:ascii="Arial" w:cs="Arial" w:eastAsia="Arial" w:hAnsi="Arial"/>
                <w:sz w:val="14"/>
                <w:szCs w:val="14"/>
                <w:b w:val="1"/>
                <w:bCs w:val="1"/>
                <w:color w:val="D60058"/>
              </w:rPr>
              <w:t>Achieved</w:t>
            </w:r>
          </w:p>
        </w:tc>
        <w:tc>
          <w:tcPr>
            <w:tcW w:w="0" w:type="dxa"/>
            <w:vAlign w:val="bottom"/>
          </w:tcPr>
          <w:p>
            <w:pPr>
              <w:spacing w:after="0"/>
              <w:rPr>
                <w:sz w:val="1"/>
                <w:szCs w:val="1"/>
                <w:color w:val="auto"/>
              </w:rPr>
            </w:pPr>
          </w:p>
        </w:tc>
      </w:tr>
      <w:tr>
        <w:trPr>
          <w:trHeight w:val="149"/>
        </w:trPr>
        <w:tc>
          <w:tcPr>
            <w:tcW w:w="22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Odronextamab (CD20 and CD3</w:t>
            </w:r>
          </w:p>
        </w:tc>
        <w:tc>
          <w:tcPr>
            <w:tcW w:w="6180" w:type="dxa"/>
            <w:vAlign w:val="bottom"/>
            <w:tcBorders>
              <w:bottom w:val="single" w:sz="8" w:color="949599"/>
            </w:tcBorders>
          </w:tcPr>
          <w:p>
            <w:pPr>
              <w:spacing w:after="0" w:line="149" w:lineRule="exact"/>
              <w:rPr>
                <w:sz w:val="20"/>
                <w:szCs w:val="20"/>
                <w:color w:val="auto"/>
              </w:rPr>
            </w:pPr>
            <w:r>
              <w:rPr>
                <w:rFonts w:ascii="Arial" w:cs="Arial" w:eastAsia="Arial" w:hAnsi="Arial"/>
                <w:sz w:val="14"/>
                <w:szCs w:val="14"/>
                <w:color w:val="auto"/>
              </w:rPr>
              <w:t>Submit BLA and Marketing Authorization Application for relapsed/refractory FL and DLBCL</w:t>
            </w:r>
          </w:p>
        </w:tc>
        <w:tc>
          <w:tcPr>
            <w:tcW w:w="2820" w:type="dxa"/>
            <w:vAlign w:val="bottom"/>
            <w:tcBorders>
              <w:bottom w:val="single" w:sz="8" w:color="949599"/>
            </w:tcBorders>
            <w:shd w:val="clear" w:color="auto" w:fill="E8ECF5"/>
          </w:tcPr>
          <w:p>
            <w:pPr>
              <w:ind w:left="40"/>
              <w:spacing w:after="0" w:line="149" w:lineRule="exact"/>
              <w:rPr>
                <w:sz w:val="20"/>
                <w:szCs w:val="20"/>
                <w:color w:val="auto"/>
              </w:rPr>
            </w:pPr>
            <w:r>
              <w:rPr>
                <w:rFonts w:ascii="Arial" w:cs="Arial" w:eastAsia="Arial" w:hAnsi="Arial"/>
                <w:sz w:val="14"/>
                <w:szCs w:val="14"/>
                <w:b w:val="1"/>
                <w:bCs w:val="1"/>
                <w:color w:val="D60058"/>
              </w:rPr>
              <w:t>Achieved</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949599"/>
            </w:tcBorders>
          </w:tcPr>
          <w:p>
            <w:pPr>
              <w:ind w:left="40"/>
              <w:spacing w:after="0" w:line="149" w:lineRule="exact"/>
              <w:rPr>
                <w:sz w:val="20"/>
                <w:szCs w:val="20"/>
                <w:color w:val="auto"/>
              </w:rPr>
            </w:pPr>
            <w:r>
              <w:rPr>
                <w:rFonts w:ascii="Arial" w:cs="Arial" w:eastAsia="Arial" w:hAnsi="Arial"/>
                <w:sz w:val="14"/>
                <w:szCs w:val="14"/>
                <w:b w:val="1"/>
                <w:bCs w:val="1"/>
                <w:color w:val="auto"/>
              </w:rPr>
              <w:t>bispecific antibody)</w:t>
            </w:r>
          </w:p>
        </w:tc>
        <w:tc>
          <w:tcPr>
            <w:tcW w:w="6180" w:type="dxa"/>
            <w:vAlign w:val="bottom"/>
            <w:tcBorders>
              <w:bottom w:val="single" w:sz="8" w:color="949599"/>
            </w:tcBorders>
          </w:tcPr>
          <w:p>
            <w:pPr>
              <w:spacing w:after="0" w:line="149" w:lineRule="exact"/>
              <w:rPr>
                <w:sz w:val="20"/>
                <w:szCs w:val="20"/>
                <w:color w:val="auto"/>
              </w:rPr>
            </w:pPr>
            <w:r>
              <w:rPr>
                <w:rFonts w:ascii="Arial" w:cs="Arial" w:eastAsia="Arial" w:hAnsi="Arial"/>
                <w:sz w:val="14"/>
                <w:szCs w:val="14"/>
                <w:color w:val="auto"/>
              </w:rPr>
              <w:t>Initiate confirmatory early line registrational studies</w:t>
            </w:r>
          </w:p>
        </w:tc>
        <w:tc>
          <w:tcPr>
            <w:tcW w:w="2820" w:type="dxa"/>
            <w:vAlign w:val="bottom"/>
            <w:tcBorders>
              <w:bottom w:val="single" w:sz="8" w:color="949599"/>
            </w:tcBorders>
            <w:shd w:val="clear" w:color="auto" w:fill="E8ECF5"/>
          </w:tcPr>
          <w:p>
            <w:pPr>
              <w:ind w:left="40"/>
              <w:spacing w:after="0" w:line="149" w:lineRule="exact"/>
              <w:rPr>
                <w:sz w:val="20"/>
                <w:szCs w:val="20"/>
                <w:color w:val="auto"/>
              </w:rPr>
            </w:pPr>
            <w:r>
              <w:rPr>
                <w:rFonts w:ascii="Arial" w:cs="Arial" w:eastAsia="Arial" w:hAnsi="Arial"/>
                <w:sz w:val="14"/>
                <w:szCs w:val="14"/>
                <w:b w:val="1"/>
                <w:bCs w:val="1"/>
                <w:color w:val="D60058"/>
              </w:rPr>
              <w:t>Achieved</w:t>
            </w:r>
          </w:p>
        </w:tc>
        <w:tc>
          <w:tcPr>
            <w:tcW w:w="0" w:type="dxa"/>
            <w:vAlign w:val="bottom"/>
          </w:tcPr>
          <w:p>
            <w:pPr>
              <w:spacing w:after="0"/>
              <w:rPr>
                <w:sz w:val="1"/>
                <w:szCs w:val="1"/>
                <w:color w:val="auto"/>
              </w:rPr>
            </w:pPr>
          </w:p>
        </w:tc>
      </w:tr>
      <w:tr>
        <w:trPr>
          <w:trHeight w:val="183"/>
        </w:trPr>
        <w:tc>
          <w:tcPr>
            <w:tcW w:w="2260" w:type="dxa"/>
            <w:vAlign w:val="bottom"/>
            <w:tcBorders>
              <w:bottom w:val="single" w:sz="8" w:color="ECEDED"/>
            </w:tcBorders>
            <w:shd w:val="clear" w:color="auto" w:fill="ECEDED"/>
          </w:tcPr>
          <w:p>
            <w:pPr>
              <w:spacing w:after="0"/>
              <w:rPr>
                <w:sz w:val="15"/>
                <w:szCs w:val="15"/>
                <w:color w:val="auto"/>
              </w:rPr>
            </w:pPr>
          </w:p>
        </w:tc>
        <w:tc>
          <w:tcPr>
            <w:tcW w:w="6180" w:type="dxa"/>
            <w:vAlign w:val="bottom"/>
            <w:tcBorders>
              <w:bottom w:val="single" w:sz="8" w:color="949599"/>
            </w:tcBorders>
            <w:shd w:val="clear" w:color="auto" w:fill="ECEDED"/>
          </w:tcPr>
          <w:p>
            <w:pPr>
              <w:spacing w:after="0"/>
              <w:rPr>
                <w:sz w:val="20"/>
                <w:szCs w:val="20"/>
                <w:color w:val="auto"/>
              </w:rPr>
            </w:pPr>
            <w:r>
              <w:rPr>
                <w:rFonts w:ascii="Arial" w:cs="Arial" w:eastAsia="Arial" w:hAnsi="Arial"/>
                <w:sz w:val="14"/>
                <w:szCs w:val="14"/>
                <w:color w:val="auto"/>
              </w:rPr>
              <w:t>Fully recruit Phase 2 component of fianlimab melanoma study</w:t>
            </w:r>
          </w:p>
        </w:tc>
        <w:tc>
          <w:tcPr>
            <w:tcW w:w="2820" w:type="dxa"/>
            <w:vAlign w:val="bottom"/>
            <w:tcBorders>
              <w:bottom w:val="single" w:sz="8" w:color="949599"/>
            </w:tcBorders>
            <w:shd w:val="clear" w:color="auto" w:fill="E8ECF5"/>
          </w:tcPr>
          <w:p>
            <w:pPr>
              <w:ind w:left="40"/>
              <w:spacing w:after="0" w:line="183" w:lineRule="exact"/>
              <w:rPr>
                <w:sz w:val="20"/>
                <w:szCs w:val="20"/>
                <w:color w:val="auto"/>
              </w:rPr>
            </w:pPr>
            <w:r>
              <w:rPr>
                <w:rFonts w:ascii="Arial" w:cs="Arial" w:eastAsia="Arial" w:hAnsi="Arial"/>
                <w:sz w:val="13"/>
                <w:szCs w:val="13"/>
                <w:b w:val="1"/>
                <w:bCs w:val="1"/>
                <w:color w:val="D60058"/>
              </w:rPr>
              <w:t>Achieved in Part</w:t>
            </w:r>
            <w:r>
              <w:rPr>
                <w:rFonts w:ascii="Arial" w:cs="Arial" w:eastAsia="Arial" w:hAnsi="Arial"/>
                <w:sz w:val="21"/>
                <w:szCs w:val="21"/>
                <w:b w:val="1"/>
                <w:bCs w:val="1"/>
                <w:color w:val="D60058"/>
                <w:vertAlign w:val="superscript"/>
              </w:rPr>
              <w:t>4</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ECEDED"/>
            </w:tcBorders>
            <w:vMerge w:val="restart"/>
            <w:shd w:val="clear" w:color="auto" w:fill="ECEDED"/>
          </w:tcPr>
          <w:p>
            <w:pPr>
              <w:ind w:left="40"/>
              <w:spacing w:after="0"/>
              <w:rPr>
                <w:sz w:val="20"/>
                <w:szCs w:val="20"/>
                <w:color w:val="auto"/>
              </w:rPr>
            </w:pPr>
            <w:r>
              <w:rPr>
                <w:rFonts w:ascii="Arial" w:cs="Arial" w:eastAsia="Arial" w:hAnsi="Arial"/>
                <w:sz w:val="14"/>
                <w:szCs w:val="14"/>
                <w:b w:val="1"/>
                <w:bCs w:val="1"/>
                <w:color w:val="auto"/>
              </w:rPr>
              <w:t>Other Oncology Programs</w:t>
            </w:r>
          </w:p>
        </w:tc>
        <w:tc>
          <w:tcPr>
            <w:tcW w:w="6180" w:type="dxa"/>
            <w:vAlign w:val="bottom"/>
            <w:tcBorders>
              <w:bottom w:val="single" w:sz="8" w:color="949599"/>
            </w:tcBorders>
            <w:shd w:val="clear" w:color="auto" w:fill="ECEDED"/>
          </w:tcPr>
          <w:p>
            <w:pPr>
              <w:spacing w:after="0" w:line="149" w:lineRule="exact"/>
              <w:rPr>
                <w:sz w:val="20"/>
                <w:szCs w:val="20"/>
                <w:color w:val="auto"/>
              </w:rPr>
            </w:pPr>
            <w:r>
              <w:rPr>
                <w:rFonts w:ascii="Arial" w:cs="Arial" w:eastAsia="Arial" w:hAnsi="Arial"/>
                <w:sz w:val="14"/>
                <w:szCs w:val="14"/>
                <w:color w:val="auto"/>
              </w:rPr>
              <w:t>Demonstrate proof of mechanism for second CD28 costimulatory bispecific antibody</w:t>
            </w:r>
          </w:p>
        </w:tc>
        <w:tc>
          <w:tcPr>
            <w:tcW w:w="2820" w:type="dxa"/>
            <w:vAlign w:val="bottom"/>
            <w:tcBorders>
              <w:bottom w:val="single" w:sz="8" w:color="949599"/>
            </w:tcBorders>
            <w:shd w:val="clear" w:color="auto" w:fill="E8ECF5"/>
          </w:tcPr>
          <w:p>
            <w:pPr>
              <w:ind w:left="40"/>
              <w:spacing w:after="0" w:line="149" w:lineRule="exact"/>
              <w:rPr>
                <w:sz w:val="20"/>
                <w:szCs w:val="20"/>
                <w:color w:val="auto"/>
              </w:rPr>
            </w:pPr>
            <w:r>
              <w:rPr>
                <w:rFonts w:ascii="Arial" w:cs="Arial" w:eastAsia="Arial" w:hAnsi="Arial"/>
                <w:sz w:val="14"/>
                <w:szCs w:val="14"/>
                <w:b w:val="1"/>
                <w:bCs w:val="1"/>
                <w:color w:val="D60058"/>
              </w:rPr>
              <w:t>Achieved</w:t>
            </w:r>
          </w:p>
        </w:tc>
        <w:tc>
          <w:tcPr>
            <w:tcW w:w="0" w:type="dxa"/>
            <w:vAlign w:val="bottom"/>
          </w:tcPr>
          <w:p>
            <w:pPr>
              <w:spacing w:after="0"/>
              <w:rPr>
                <w:sz w:val="1"/>
                <w:szCs w:val="1"/>
                <w:color w:val="auto"/>
              </w:rPr>
            </w:pPr>
          </w:p>
        </w:tc>
      </w:tr>
      <w:tr>
        <w:trPr>
          <w:trHeight w:val="53"/>
        </w:trPr>
        <w:tc>
          <w:tcPr>
            <w:tcW w:w="2260" w:type="dxa"/>
            <w:vAlign w:val="bottom"/>
            <w:vMerge w:val="continue"/>
            <w:shd w:val="clear" w:color="auto" w:fill="ECEDED"/>
          </w:tcPr>
          <w:p>
            <w:pPr>
              <w:spacing w:after="0"/>
              <w:rPr>
                <w:sz w:val="4"/>
                <w:szCs w:val="4"/>
                <w:color w:val="auto"/>
              </w:rPr>
            </w:pPr>
          </w:p>
        </w:tc>
        <w:tc>
          <w:tcPr>
            <w:tcW w:w="6180" w:type="dxa"/>
            <w:vAlign w:val="bottom"/>
            <w:vMerge w:val="restart"/>
            <w:shd w:val="clear" w:color="auto" w:fill="ECEDED"/>
          </w:tcPr>
          <w:p>
            <w:pPr>
              <w:spacing w:after="0" w:line="139" w:lineRule="exact"/>
              <w:rPr>
                <w:sz w:val="20"/>
                <w:szCs w:val="20"/>
                <w:color w:val="auto"/>
              </w:rPr>
            </w:pPr>
            <w:r>
              <w:rPr>
                <w:rFonts w:ascii="Arial" w:cs="Arial" w:eastAsia="Arial" w:hAnsi="Arial"/>
                <w:sz w:val="14"/>
                <w:szCs w:val="14"/>
                <w:color w:val="auto"/>
              </w:rPr>
              <w:t>Identify pivotal dose(s) and initiate registrational intent study for REGN5678 (PSMA and CD28</w:t>
            </w:r>
          </w:p>
        </w:tc>
        <w:tc>
          <w:tcPr>
            <w:tcW w:w="2820" w:type="dxa"/>
            <w:vAlign w:val="bottom"/>
            <w:vMerge w:val="restart"/>
            <w:shd w:val="clear" w:color="auto" w:fill="E8ECF5"/>
          </w:tcPr>
          <w:p>
            <w:pPr>
              <w:ind w:left="40"/>
              <w:spacing w:after="0"/>
              <w:rPr>
                <w:sz w:val="20"/>
                <w:szCs w:val="20"/>
                <w:color w:val="auto"/>
              </w:rPr>
            </w:pPr>
            <w:r>
              <w:rPr>
                <w:rFonts w:ascii="Arial" w:cs="Arial" w:eastAsia="Arial" w:hAnsi="Arial"/>
                <w:sz w:val="14"/>
                <w:szCs w:val="14"/>
                <w:b w:val="1"/>
                <w:bCs w:val="1"/>
                <w:color w:val="auto"/>
              </w:rPr>
              <w:t>Not Achieved</w:t>
            </w:r>
            <w:r>
              <w:rPr>
                <w:rFonts w:ascii="Arial" w:cs="Arial" w:eastAsia="Arial" w:hAnsi="Arial"/>
                <w:sz w:val="22"/>
                <w:szCs w:val="22"/>
                <w:b w:val="1"/>
                <w:bCs w:val="1"/>
                <w:color w:val="auto"/>
                <w:vertAlign w:val="superscript"/>
              </w:rPr>
              <w:t>5</w:t>
            </w:r>
          </w:p>
        </w:tc>
        <w:tc>
          <w:tcPr>
            <w:tcW w:w="0" w:type="dxa"/>
            <w:vAlign w:val="bottom"/>
          </w:tcPr>
          <w:p>
            <w:pPr>
              <w:spacing w:after="0"/>
              <w:rPr>
                <w:sz w:val="1"/>
                <w:szCs w:val="1"/>
                <w:color w:val="auto"/>
              </w:rPr>
            </w:pPr>
          </w:p>
        </w:tc>
      </w:tr>
      <w:tr>
        <w:trPr>
          <w:trHeight w:val="86"/>
        </w:trPr>
        <w:tc>
          <w:tcPr>
            <w:tcW w:w="2260" w:type="dxa"/>
            <w:vAlign w:val="bottom"/>
            <w:shd w:val="clear" w:color="auto" w:fill="ECEDED"/>
          </w:tcPr>
          <w:p>
            <w:pPr>
              <w:spacing w:after="0"/>
              <w:rPr>
                <w:sz w:val="7"/>
                <w:szCs w:val="7"/>
                <w:color w:val="auto"/>
              </w:rPr>
            </w:pPr>
          </w:p>
        </w:tc>
        <w:tc>
          <w:tcPr>
            <w:tcW w:w="6180" w:type="dxa"/>
            <w:vAlign w:val="bottom"/>
            <w:vMerge w:val="continue"/>
            <w:shd w:val="clear" w:color="auto" w:fill="ECEDED"/>
          </w:tcPr>
          <w:p>
            <w:pPr>
              <w:spacing w:after="0"/>
              <w:rPr>
                <w:sz w:val="7"/>
                <w:szCs w:val="7"/>
                <w:color w:val="auto"/>
              </w:rPr>
            </w:pPr>
          </w:p>
        </w:tc>
        <w:tc>
          <w:tcPr>
            <w:tcW w:w="2820" w:type="dxa"/>
            <w:vAlign w:val="bottom"/>
            <w:vMerge w:val="continue"/>
            <w:shd w:val="clear" w:color="auto" w:fill="E8ECF5"/>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260" w:type="dxa"/>
            <w:vAlign w:val="bottom"/>
            <w:tcBorders>
              <w:bottom w:val="single" w:sz="8" w:color="ECEDED"/>
            </w:tcBorders>
            <w:shd w:val="clear" w:color="auto" w:fill="ECEDED"/>
          </w:tcPr>
          <w:p>
            <w:pPr>
              <w:spacing w:after="0"/>
              <w:rPr>
                <w:sz w:val="14"/>
                <w:szCs w:val="14"/>
                <w:color w:val="auto"/>
              </w:rPr>
            </w:pPr>
          </w:p>
        </w:tc>
        <w:tc>
          <w:tcPr>
            <w:tcW w:w="6180" w:type="dxa"/>
            <w:vAlign w:val="bottom"/>
            <w:tcBorders>
              <w:bottom w:val="single" w:sz="8" w:color="ECEDED"/>
            </w:tcBorders>
            <w:shd w:val="clear" w:color="auto" w:fill="ECEDED"/>
          </w:tcPr>
          <w:p>
            <w:pPr>
              <w:spacing w:after="0"/>
              <w:rPr>
                <w:sz w:val="20"/>
                <w:szCs w:val="20"/>
                <w:color w:val="auto"/>
              </w:rPr>
            </w:pPr>
            <w:r>
              <w:rPr>
                <w:rFonts w:ascii="Arial" w:cs="Arial" w:eastAsia="Arial" w:hAnsi="Arial"/>
                <w:sz w:val="14"/>
                <w:szCs w:val="14"/>
                <w:color w:val="auto"/>
              </w:rPr>
              <w:t>bispecific antibody)</w:t>
            </w:r>
          </w:p>
        </w:tc>
        <w:tc>
          <w:tcPr>
            <w:tcW w:w="2820" w:type="dxa"/>
            <w:vAlign w:val="bottom"/>
            <w:tcBorders>
              <w:bottom w:val="single" w:sz="8" w:color="E8ECF5"/>
            </w:tcBorders>
            <w:vMerge w:val="continue"/>
            <w:shd w:val="clear" w:color="auto" w:fill="E8ECF5"/>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Borders>
              <w:top w:val="single" w:sz="8" w:color="949599"/>
              <w:bottom w:val="single" w:sz="8" w:color="949599"/>
            </w:tcBorders>
          </w:tcPr>
          <w:p>
            <w:pPr>
              <w:ind w:left="40"/>
              <w:spacing w:after="0" w:line="149" w:lineRule="exact"/>
              <w:rPr>
                <w:sz w:val="20"/>
                <w:szCs w:val="20"/>
                <w:color w:val="auto"/>
              </w:rPr>
            </w:pPr>
            <w:r>
              <w:rPr>
                <w:rFonts w:ascii="Arial" w:cs="Arial" w:eastAsia="Arial" w:hAnsi="Arial"/>
                <w:sz w:val="14"/>
                <w:szCs w:val="14"/>
                <w:b w:val="1"/>
                <w:bCs w:val="1"/>
                <w:color w:val="auto"/>
              </w:rPr>
              <w:t>ALN-APP</w:t>
            </w:r>
          </w:p>
        </w:tc>
        <w:tc>
          <w:tcPr>
            <w:tcW w:w="6180" w:type="dxa"/>
            <w:vAlign w:val="bottom"/>
            <w:tcBorders>
              <w:top w:val="single" w:sz="8" w:color="949599"/>
              <w:bottom w:val="single" w:sz="8" w:color="949599"/>
            </w:tcBorders>
          </w:tcPr>
          <w:p>
            <w:pPr>
              <w:spacing w:after="0" w:line="149" w:lineRule="exact"/>
              <w:rPr>
                <w:sz w:val="20"/>
                <w:szCs w:val="20"/>
                <w:color w:val="auto"/>
              </w:rPr>
            </w:pPr>
            <w:r>
              <w:rPr>
                <w:rFonts w:ascii="Arial" w:cs="Arial" w:eastAsia="Arial" w:hAnsi="Arial"/>
                <w:sz w:val="14"/>
                <w:szCs w:val="14"/>
                <w:color w:val="auto"/>
              </w:rPr>
              <w:t>Obtain proof of concept for RNAi therapeutic in diseases of the central nervous system</w:t>
            </w:r>
          </w:p>
        </w:tc>
        <w:tc>
          <w:tcPr>
            <w:tcW w:w="2820" w:type="dxa"/>
            <w:vAlign w:val="bottom"/>
            <w:tcBorders>
              <w:top w:val="single" w:sz="8" w:color="949599"/>
              <w:bottom w:val="single" w:sz="8" w:color="949599"/>
            </w:tcBorders>
            <w:shd w:val="clear" w:color="auto" w:fill="E8ECF5"/>
          </w:tcPr>
          <w:p>
            <w:pPr>
              <w:ind w:left="40"/>
              <w:spacing w:after="0" w:line="149" w:lineRule="exact"/>
              <w:rPr>
                <w:sz w:val="20"/>
                <w:szCs w:val="20"/>
                <w:color w:val="auto"/>
              </w:rPr>
            </w:pPr>
            <w:r>
              <w:rPr>
                <w:rFonts w:ascii="Arial" w:cs="Arial" w:eastAsia="Arial" w:hAnsi="Arial"/>
                <w:sz w:val="14"/>
                <w:szCs w:val="14"/>
                <w:b w:val="1"/>
                <w:bCs w:val="1"/>
                <w:color w:val="D60058"/>
              </w:rPr>
              <w:t>Achieved</w:t>
            </w:r>
          </w:p>
        </w:tc>
        <w:tc>
          <w:tcPr>
            <w:tcW w:w="0" w:type="dxa"/>
            <w:vAlign w:val="bottom"/>
          </w:tcPr>
          <w:p>
            <w:pPr>
              <w:spacing w:after="0"/>
              <w:rPr>
                <w:sz w:val="1"/>
                <w:szCs w:val="1"/>
                <w:color w:val="auto"/>
              </w:rPr>
            </w:pPr>
          </w:p>
        </w:tc>
      </w:tr>
      <w:tr>
        <w:trPr>
          <w:trHeight w:val="160"/>
        </w:trPr>
        <w:tc>
          <w:tcPr>
            <w:tcW w:w="2260" w:type="dxa"/>
            <w:vAlign w:val="bottom"/>
            <w:tcBorders>
              <w:bottom w:val="single" w:sz="8" w:color="ECEDED"/>
            </w:tcBorders>
            <w:shd w:val="clear" w:color="auto" w:fill="ECEDED"/>
          </w:tcPr>
          <w:p>
            <w:pPr>
              <w:ind w:left="40"/>
              <w:spacing w:after="0"/>
              <w:rPr>
                <w:sz w:val="20"/>
                <w:szCs w:val="20"/>
                <w:color w:val="auto"/>
              </w:rPr>
            </w:pPr>
            <w:r>
              <w:rPr>
                <w:rFonts w:ascii="Arial" w:cs="Arial" w:eastAsia="Arial" w:hAnsi="Arial"/>
                <w:sz w:val="14"/>
                <w:szCs w:val="14"/>
                <w:b w:val="1"/>
                <w:bCs w:val="1"/>
                <w:color w:val="auto"/>
              </w:rPr>
              <w:t>Other</w:t>
            </w:r>
          </w:p>
        </w:tc>
        <w:tc>
          <w:tcPr>
            <w:tcW w:w="6180" w:type="dxa"/>
            <w:vAlign w:val="bottom"/>
            <w:tcBorders>
              <w:bottom w:val="single" w:sz="8" w:color="949599"/>
            </w:tcBorders>
            <w:shd w:val="clear" w:color="auto" w:fill="ECEDED"/>
          </w:tcPr>
          <w:p>
            <w:pPr>
              <w:spacing w:after="0"/>
              <w:rPr>
                <w:sz w:val="20"/>
                <w:szCs w:val="20"/>
                <w:color w:val="auto"/>
              </w:rPr>
            </w:pPr>
            <w:r>
              <w:rPr>
                <w:rFonts w:ascii="Arial" w:cs="Arial" w:eastAsia="Arial" w:hAnsi="Arial"/>
                <w:sz w:val="14"/>
                <w:szCs w:val="14"/>
                <w:color w:val="auto"/>
              </w:rPr>
              <w:t>Demonstrate restoration of hearing using first-in-class AAV-based gene therapy, DB-OTO</w:t>
            </w:r>
          </w:p>
        </w:tc>
        <w:tc>
          <w:tcPr>
            <w:tcW w:w="2820" w:type="dxa"/>
            <w:vAlign w:val="bottom"/>
            <w:tcBorders>
              <w:bottom w:val="single" w:sz="8" w:color="949599"/>
            </w:tcBorders>
            <w:shd w:val="clear" w:color="auto" w:fill="E8ECF5"/>
          </w:tcPr>
          <w:p>
            <w:pPr>
              <w:ind w:left="40"/>
              <w:spacing w:after="0"/>
              <w:rPr>
                <w:sz w:val="20"/>
                <w:szCs w:val="20"/>
                <w:color w:val="auto"/>
              </w:rPr>
            </w:pPr>
            <w:r>
              <w:rPr>
                <w:rFonts w:ascii="Arial" w:cs="Arial" w:eastAsia="Arial" w:hAnsi="Arial"/>
                <w:sz w:val="14"/>
                <w:szCs w:val="14"/>
                <w:b w:val="1"/>
                <w:bCs w:val="1"/>
                <w:color w:val="D60058"/>
              </w:rPr>
              <w:t>Achieved</w:t>
            </w:r>
          </w:p>
        </w:tc>
        <w:tc>
          <w:tcPr>
            <w:tcW w:w="0" w:type="dxa"/>
            <w:vAlign w:val="bottom"/>
          </w:tcPr>
          <w:p>
            <w:pPr>
              <w:spacing w:after="0"/>
              <w:rPr>
                <w:sz w:val="1"/>
                <w:szCs w:val="1"/>
                <w:color w:val="auto"/>
              </w:rPr>
            </w:pPr>
          </w:p>
        </w:tc>
      </w:tr>
      <w:tr>
        <w:trPr>
          <w:trHeight w:val="194"/>
        </w:trPr>
        <w:tc>
          <w:tcPr>
            <w:tcW w:w="2260" w:type="dxa"/>
            <w:vAlign w:val="bottom"/>
            <w:shd w:val="clear" w:color="auto" w:fill="ECEDED"/>
          </w:tcPr>
          <w:p>
            <w:pPr>
              <w:spacing w:after="0"/>
              <w:rPr>
                <w:sz w:val="16"/>
                <w:szCs w:val="16"/>
                <w:color w:val="auto"/>
              </w:rPr>
            </w:pPr>
          </w:p>
        </w:tc>
        <w:tc>
          <w:tcPr>
            <w:tcW w:w="6180" w:type="dxa"/>
            <w:vAlign w:val="bottom"/>
            <w:shd w:val="clear" w:color="auto" w:fill="ECEDED"/>
          </w:tcPr>
          <w:p>
            <w:pPr>
              <w:spacing w:after="0"/>
              <w:rPr>
                <w:sz w:val="20"/>
                <w:szCs w:val="20"/>
                <w:color w:val="auto"/>
              </w:rPr>
            </w:pPr>
            <w:r>
              <w:rPr>
                <w:rFonts w:ascii="Arial" w:cs="Arial" w:eastAsia="Arial" w:hAnsi="Arial"/>
                <w:sz w:val="14"/>
                <w:szCs w:val="14"/>
                <w:color w:val="auto"/>
                <w:w w:val="97"/>
              </w:rPr>
              <w:t>Progress siRNA product candidate targeting CIDEB for the treatment of nonalcoholic steatohepatitis to</w:t>
            </w:r>
          </w:p>
        </w:tc>
        <w:tc>
          <w:tcPr>
            <w:tcW w:w="2820" w:type="dxa"/>
            <w:vAlign w:val="bottom"/>
            <w:shd w:val="clear" w:color="auto" w:fill="E8ECF5"/>
          </w:tcPr>
          <w:p>
            <w:pPr>
              <w:ind w:left="40"/>
              <w:spacing w:after="0"/>
              <w:rPr>
                <w:sz w:val="20"/>
                <w:szCs w:val="20"/>
                <w:color w:val="auto"/>
              </w:rPr>
            </w:pPr>
            <w:r>
              <w:rPr>
                <w:rFonts w:ascii="Arial" w:cs="Arial" w:eastAsia="Arial" w:hAnsi="Arial"/>
                <w:sz w:val="14"/>
                <w:szCs w:val="14"/>
                <w:b w:val="1"/>
                <w:bCs w:val="1"/>
                <w:color w:val="D60058"/>
              </w:rPr>
              <w:t>Achieved</w:t>
            </w:r>
          </w:p>
        </w:tc>
        <w:tc>
          <w:tcPr>
            <w:tcW w:w="0" w:type="dxa"/>
            <w:vAlign w:val="bottom"/>
          </w:tcPr>
          <w:p>
            <w:pPr>
              <w:spacing w:after="0"/>
              <w:rPr>
                <w:sz w:val="1"/>
                <w:szCs w:val="1"/>
                <w:color w:val="auto"/>
              </w:rPr>
            </w:pPr>
          </w:p>
        </w:tc>
      </w:tr>
      <w:tr>
        <w:trPr>
          <w:trHeight w:val="113"/>
        </w:trPr>
        <w:tc>
          <w:tcPr>
            <w:tcW w:w="2260" w:type="dxa"/>
            <w:vAlign w:val="bottom"/>
            <w:tcBorders>
              <w:bottom w:val="single" w:sz="8" w:color="ECEDED"/>
            </w:tcBorders>
            <w:shd w:val="clear" w:color="auto" w:fill="ECEDED"/>
          </w:tcPr>
          <w:p>
            <w:pPr>
              <w:spacing w:after="0"/>
              <w:rPr>
                <w:sz w:val="9"/>
                <w:szCs w:val="9"/>
                <w:color w:val="auto"/>
              </w:rPr>
            </w:pPr>
          </w:p>
        </w:tc>
        <w:tc>
          <w:tcPr>
            <w:tcW w:w="6180" w:type="dxa"/>
            <w:vAlign w:val="bottom"/>
            <w:tcBorders>
              <w:bottom w:val="single" w:sz="8" w:color="949599"/>
            </w:tcBorders>
            <w:shd w:val="clear" w:color="auto" w:fill="ECEDED"/>
          </w:tcPr>
          <w:p>
            <w:pPr>
              <w:spacing w:after="0" w:line="113" w:lineRule="exact"/>
              <w:rPr>
                <w:sz w:val="20"/>
                <w:szCs w:val="20"/>
                <w:color w:val="auto"/>
              </w:rPr>
            </w:pPr>
            <w:r>
              <w:rPr>
                <w:rFonts w:ascii="Arial" w:cs="Arial" w:eastAsia="Arial" w:hAnsi="Arial"/>
                <w:sz w:val="12"/>
                <w:szCs w:val="12"/>
                <w:color w:val="auto"/>
              </w:rPr>
              <w:t>Investigational New Drug Application (“IND”) enabling activities</w:t>
            </w:r>
          </w:p>
        </w:tc>
        <w:tc>
          <w:tcPr>
            <w:tcW w:w="2820" w:type="dxa"/>
            <w:vAlign w:val="bottom"/>
            <w:tcBorders>
              <w:bottom w:val="single" w:sz="8" w:color="949599"/>
            </w:tcBorders>
            <w:shd w:val="clear" w:color="auto" w:fill="E8ECF5"/>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Borders>
              <w:bottom w:val="single" w:sz="8" w:color="ECEDED"/>
            </w:tcBorders>
            <w:shd w:val="clear" w:color="auto" w:fill="ECEDED"/>
          </w:tcPr>
          <w:p>
            <w:pPr>
              <w:spacing w:after="0"/>
              <w:rPr>
                <w:sz w:val="13"/>
                <w:szCs w:val="13"/>
                <w:color w:val="auto"/>
              </w:rPr>
            </w:pPr>
          </w:p>
        </w:tc>
        <w:tc>
          <w:tcPr>
            <w:tcW w:w="6180" w:type="dxa"/>
            <w:vAlign w:val="bottom"/>
            <w:tcBorders>
              <w:bottom w:val="single" w:sz="8" w:color="949599"/>
            </w:tcBorders>
            <w:shd w:val="clear" w:color="auto" w:fill="ECEDED"/>
          </w:tcPr>
          <w:p>
            <w:pPr>
              <w:spacing w:after="0"/>
              <w:rPr>
                <w:sz w:val="20"/>
                <w:szCs w:val="20"/>
                <w:color w:val="auto"/>
              </w:rPr>
            </w:pPr>
            <w:r>
              <w:rPr>
                <w:rFonts w:ascii="Arial" w:cs="Arial" w:eastAsia="Arial" w:hAnsi="Arial"/>
                <w:sz w:val="14"/>
                <w:szCs w:val="14"/>
                <w:color w:val="auto"/>
              </w:rPr>
              <w:t>Obtain preliminary proof of concept for agonist antibody to NPR1 in heart failure</w:t>
            </w:r>
          </w:p>
        </w:tc>
        <w:tc>
          <w:tcPr>
            <w:tcW w:w="2820" w:type="dxa"/>
            <w:vAlign w:val="bottom"/>
            <w:tcBorders>
              <w:bottom w:val="single" w:sz="8" w:color="949599"/>
            </w:tcBorders>
            <w:shd w:val="clear" w:color="auto" w:fill="E8ECF5"/>
          </w:tcPr>
          <w:p>
            <w:pPr>
              <w:ind w:left="40"/>
              <w:spacing w:after="0"/>
              <w:rPr>
                <w:sz w:val="20"/>
                <w:szCs w:val="20"/>
                <w:color w:val="auto"/>
              </w:rPr>
            </w:pPr>
            <w:r>
              <w:rPr>
                <w:rFonts w:ascii="Arial" w:cs="Arial" w:eastAsia="Arial" w:hAnsi="Arial"/>
                <w:sz w:val="14"/>
                <w:szCs w:val="14"/>
                <w:b w:val="1"/>
                <w:bCs w:val="1"/>
                <w:color w:val="D60058"/>
              </w:rPr>
              <w:t>Achieved</w:t>
            </w:r>
          </w:p>
        </w:tc>
        <w:tc>
          <w:tcPr>
            <w:tcW w:w="0" w:type="dxa"/>
            <w:vAlign w:val="bottom"/>
          </w:tcPr>
          <w:p>
            <w:pPr>
              <w:spacing w:after="0"/>
              <w:rPr>
                <w:sz w:val="1"/>
                <w:szCs w:val="1"/>
                <w:color w:val="auto"/>
              </w:rPr>
            </w:pPr>
          </w:p>
        </w:tc>
      </w:tr>
      <w:tr>
        <w:trPr>
          <w:trHeight w:val="151"/>
        </w:trPr>
        <w:tc>
          <w:tcPr>
            <w:tcW w:w="2260" w:type="dxa"/>
            <w:vAlign w:val="bottom"/>
            <w:tcBorders>
              <w:bottom w:val="single" w:sz="8" w:color="215AA8"/>
            </w:tcBorders>
            <w:shd w:val="clear" w:color="auto" w:fill="ECEDED"/>
          </w:tcPr>
          <w:p>
            <w:pPr>
              <w:spacing w:after="0"/>
              <w:rPr>
                <w:sz w:val="13"/>
                <w:szCs w:val="13"/>
                <w:color w:val="auto"/>
              </w:rPr>
            </w:pPr>
          </w:p>
        </w:tc>
        <w:tc>
          <w:tcPr>
            <w:tcW w:w="6180" w:type="dxa"/>
            <w:vAlign w:val="bottom"/>
            <w:tcBorders>
              <w:bottom w:val="single" w:sz="8" w:color="215AA8"/>
            </w:tcBorders>
            <w:shd w:val="clear" w:color="auto" w:fill="ECEDED"/>
          </w:tcPr>
          <w:p>
            <w:pPr>
              <w:spacing w:after="0" w:line="149" w:lineRule="exact"/>
              <w:rPr>
                <w:sz w:val="20"/>
                <w:szCs w:val="20"/>
                <w:color w:val="auto"/>
              </w:rPr>
            </w:pPr>
            <w:r>
              <w:rPr>
                <w:rFonts w:ascii="Arial" w:cs="Arial" w:eastAsia="Arial" w:hAnsi="Arial"/>
                <w:sz w:val="14"/>
                <w:szCs w:val="14"/>
                <w:color w:val="auto"/>
              </w:rPr>
              <w:t>Progress six or more new product candidates to IND/ first-in-human stage</w:t>
            </w:r>
          </w:p>
        </w:tc>
        <w:tc>
          <w:tcPr>
            <w:tcW w:w="2820" w:type="dxa"/>
            <w:vAlign w:val="bottom"/>
            <w:tcBorders>
              <w:bottom w:val="single" w:sz="8" w:color="215AA8"/>
            </w:tcBorders>
            <w:shd w:val="clear" w:color="auto" w:fill="E8ECF5"/>
          </w:tcPr>
          <w:p>
            <w:pPr>
              <w:ind w:left="40"/>
              <w:spacing w:after="0" w:line="149" w:lineRule="exact"/>
              <w:rPr>
                <w:sz w:val="20"/>
                <w:szCs w:val="20"/>
                <w:color w:val="auto"/>
              </w:rPr>
            </w:pPr>
            <w:r>
              <w:rPr>
                <w:rFonts w:ascii="Arial" w:cs="Arial" w:eastAsia="Arial" w:hAnsi="Arial"/>
                <w:sz w:val="14"/>
                <w:szCs w:val="14"/>
                <w:b w:val="1"/>
                <w:bCs w:val="1"/>
                <w:color w:val="D60058"/>
              </w:rPr>
              <w:t>Achieved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-2136775</wp:posOffset>
            </wp:positionV>
            <wp:extent cx="85725" cy="717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5725" cy="717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-1779270</wp:posOffset>
            </wp:positionV>
            <wp:extent cx="85725" cy="717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725" cy="71755"/>
                    </a:xfrm>
                    <a:prstGeom prst="rect">
                      <a:avLst/>
                    </a:prstGeom>
                    <a:noFill/>
                  </pic:spPr>
                </pic:pic>
              </a:graphicData>
            </a:graphic>
          </wp:anchor>
        </w:drawing>
      </w:r>
    </w:p>
    <w:p>
      <w:pPr>
        <w:spacing w:after="0" w:line="28" w:lineRule="exact"/>
        <w:rPr>
          <w:sz w:val="20"/>
          <w:szCs w:val="20"/>
          <w:color w:val="auto"/>
        </w:rPr>
      </w:pPr>
    </w:p>
    <w:p>
      <w:pPr>
        <w:ind w:left="270" w:right="720" w:hanging="270"/>
        <w:spacing w:after="0" w:line="191" w:lineRule="auto"/>
        <w:tabs>
          <w:tab w:leader="none" w:pos="270" w:val="left"/>
        </w:tabs>
        <w:numPr>
          <w:ilvl w:val="0"/>
          <w:numId w:val="104"/>
        </w:numPr>
        <w:rPr>
          <w:rFonts w:ascii="Arial" w:cs="Arial" w:eastAsia="Arial" w:hAnsi="Arial"/>
          <w:sz w:val="20"/>
          <w:szCs w:val="20"/>
          <w:color w:val="auto"/>
          <w:vertAlign w:val="superscript"/>
        </w:rPr>
      </w:pPr>
      <w:r>
        <w:rPr>
          <w:rFonts w:ascii="Arial" w:cs="Arial" w:eastAsia="Arial" w:hAnsi="Arial"/>
          <w:sz w:val="12"/>
          <w:szCs w:val="12"/>
          <w:color w:val="auto"/>
        </w:rPr>
        <w:t>The Committee noted that while FDA approval was delayed, management was able to efficiently and expeditiously resolve the pre-approval inspection issues identified by the FDA at a third-party manufacturing organization, resulting in approval within two months of the FDA’s initial target action date.</w:t>
      </w:r>
    </w:p>
    <w:p>
      <w:pPr>
        <w:ind w:left="270" w:hanging="270"/>
        <w:spacing w:after="0" w:line="188" w:lineRule="auto"/>
        <w:tabs>
          <w:tab w:leader="none" w:pos="270" w:val="left"/>
        </w:tabs>
        <w:numPr>
          <w:ilvl w:val="0"/>
          <w:numId w:val="105"/>
        </w:numPr>
        <w:rPr>
          <w:rFonts w:ascii="Arial" w:cs="Arial" w:eastAsia="Arial" w:hAnsi="Arial"/>
          <w:sz w:val="20"/>
          <w:szCs w:val="20"/>
          <w:color w:val="auto"/>
          <w:vertAlign w:val="superscript"/>
        </w:rPr>
      </w:pPr>
      <w:r>
        <w:rPr>
          <w:rFonts w:ascii="Arial" w:cs="Arial" w:eastAsia="Arial" w:hAnsi="Arial"/>
          <w:sz w:val="12"/>
          <w:szCs w:val="12"/>
          <w:color w:val="auto"/>
        </w:rPr>
        <w:t>This milestone, which was achieved by the end of 2023, was on track to be achieved by year-end as of the time the Committee made its final assessment of Company performance.</w:t>
      </w:r>
    </w:p>
    <w:p>
      <w:pPr>
        <w:spacing w:after="0" w:line="30" w:lineRule="exact"/>
        <w:rPr>
          <w:sz w:val="20"/>
          <w:szCs w:val="20"/>
          <w:color w:val="auto"/>
        </w:rPr>
      </w:pPr>
    </w:p>
    <w:p>
      <w:pPr>
        <w:ind w:left="270" w:right="220" w:hanging="270"/>
        <w:spacing w:after="0" w:line="186" w:lineRule="auto"/>
        <w:tabs>
          <w:tab w:leader="none" w:pos="270" w:val="left"/>
        </w:tabs>
        <w:numPr>
          <w:ilvl w:val="0"/>
          <w:numId w:val="106"/>
        </w:numPr>
        <w:rPr>
          <w:rFonts w:ascii="Arial" w:cs="Arial" w:eastAsia="Arial" w:hAnsi="Arial"/>
          <w:sz w:val="20"/>
          <w:szCs w:val="20"/>
          <w:color w:val="auto"/>
          <w:vertAlign w:val="superscript"/>
        </w:rPr>
      </w:pPr>
      <w:r>
        <w:rPr>
          <w:rFonts w:ascii="Arial" w:cs="Arial" w:eastAsia="Arial" w:hAnsi="Arial"/>
          <w:sz w:val="12"/>
          <w:szCs w:val="12"/>
          <w:color w:val="auto"/>
        </w:rPr>
        <w:t>The Committee viewed as transformational not only these Phase 3 BOREAS results (identified as a 2023 milestone at the beginning of the year), but also the positive results from an interim analysis of the replicate Phase 3 study (NOTUS) and the Company’s regulatory strategy that was instrumental in enabling the Company to submit an sBLA to the FDA on an expedited basis before the end of 2023.</w:t>
      </w:r>
    </w:p>
    <w:p>
      <w:pPr>
        <w:ind w:left="270" w:hanging="270"/>
        <w:spacing w:after="0" w:line="188" w:lineRule="auto"/>
        <w:tabs>
          <w:tab w:leader="none" w:pos="270" w:val="left"/>
        </w:tabs>
        <w:numPr>
          <w:ilvl w:val="0"/>
          <w:numId w:val="107"/>
        </w:numPr>
        <w:rPr>
          <w:rFonts w:ascii="Arial" w:cs="Arial" w:eastAsia="Arial" w:hAnsi="Arial"/>
          <w:sz w:val="20"/>
          <w:szCs w:val="20"/>
          <w:color w:val="auto"/>
          <w:vertAlign w:val="superscript"/>
        </w:rPr>
      </w:pPr>
      <w:r>
        <w:rPr>
          <w:rFonts w:ascii="Arial" w:cs="Arial" w:eastAsia="Arial" w:hAnsi="Arial"/>
          <w:sz w:val="12"/>
          <w:szCs w:val="12"/>
          <w:color w:val="auto"/>
        </w:rPr>
        <w:t>Original enrollment goal achieved for the study as initially designed; current Phase 2/3 study has been expanded and enrollment is continuing.</w:t>
      </w:r>
    </w:p>
    <w:p>
      <w:pPr>
        <w:ind w:left="270" w:hanging="270"/>
        <w:spacing w:after="0" w:line="188" w:lineRule="auto"/>
        <w:tabs>
          <w:tab w:leader="none" w:pos="270" w:val="left"/>
        </w:tabs>
        <w:numPr>
          <w:ilvl w:val="0"/>
          <w:numId w:val="108"/>
        </w:numPr>
        <w:rPr>
          <w:rFonts w:ascii="Arial" w:cs="Arial" w:eastAsia="Arial" w:hAnsi="Arial"/>
          <w:sz w:val="20"/>
          <w:szCs w:val="20"/>
          <w:color w:val="auto"/>
          <w:vertAlign w:val="superscript"/>
        </w:rPr>
      </w:pPr>
      <w:r>
        <w:rPr>
          <w:rFonts w:ascii="Arial" w:cs="Arial" w:eastAsia="Arial" w:hAnsi="Arial"/>
          <w:sz w:val="12"/>
          <w:szCs w:val="12"/>
          <w:color w:val="auto"/>
        </w:rPr>
        <w:t>Discontinued enrollment in cohorts in combination with full-dose Libtayo; expanded enrollment in monotherapy cohort.</w:t>
      </w:r>
    </w:p>
    <w:p>
      <w:pPr>
        <w:spacing w:after="0" w:line="132" w:lineRule="exact"/>
        <w:rPr>
          <w:sz w:val="20"/>
          <w:szCs w:val="20"/>
          <w:color w:val="auto"/>
        </w:rPr>
      </w:pPr>
    </w:p>
    <w:p>
      <w:pPr>
        <w:ind w:left="10" w:right="140"/>
        <w:spacing w:after="0" w:line="242" w:lineRule="auto"/>
        <w:rPr>
          <w:sz w:val="20"/>
          <w:szCs w:val="20"/>
          <w:color w:val="auto"/>
        </w:rPr>
      </w:pPr>
      <w:r>
        <w:rPr>
          <w:rFonts w:ascii="Arial" w:cs="Arial" w:eastAsia="Arial" w:hAnsi="Arial"/>
          <w:sz w:val="14"/>
          <w:szCs w:val="14"/>
          <w:color w:val="auto"/>
        </w:rPr>
        <w:t>Applying the enhanced framework described above, the Compensation Committee determined that Company had reached a baseline level of performance in 2023 based on achieving the key milestones shown in the table above and the additional performance factors reviewed by the Committee, and that the additional “transformational” accomplishments should be recognized by setting the overall Company performance multiplier at 1.9. See the subsection “Compensation Dashboard—Additional Compensation Information—Annual Cash Incentives” for additional information.</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69</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Individual Performance</w:t>
      </w:r>
    </w:p>
    <w:p>
      <w:pPr>
        <w:spacing w:after="0" w:line="166" w:lineRule="exact"/>
        <w:rPr>
          <w:sz w:val="20"/>
          <w:szCs w:val="20"/>
          <w:color w:val="auto"/>
        </w:rPr>
      </w:pPr>
    </w:p>
    <w:p>
      <w:pPr>
        <w:ind w:right="500"/>
        <w:spacing w:after="0" w:line="257" w:lineRule="auto"/>
        <w:rPr>
          <w:sz w:val="20"/>
          <w:szCs w:val="20"/>
          <w:color w:val="auto"/>
        </w:rPr>
      </w:pPr>
      <w:r>
        <w:rPr>
          <w:rFonts w:ascii="Arial" w:cs="Arial" w:eastAsia="Arial" w:hAnsi="Arial"/>
          <w:sz w:val="14"/>
          <w:szCs w:val="14"/>
          <w:color w:val="auto"/>
        </w:rPr>
        <w:t>The personal performance multiplier may range from 0 to 1.5. For the explanation of individual factors considered in the cash incentive decisions, see the subsection “Compensation Dashboard—Additional Compensation Information—Annual Cash Incentives.”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2023 Earned Cash Incentives</w:t>
      </w:r>
    </w:p>
    <w:p>
      <w:pPr>
        <w:spacing w:after="0" w:line="166"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In determining the level of 2023 cash incentives earned, we calculated the NEOs’ respective target cash incentive amounts (which, for our CEO, was set approximately at the median of the Peer Group) and applied the Company performance multiplier based on the Company’s achievement of 2023 objectives; and, for the three NEOs who also have a personal performance component, we applied a personal performance multiplier. For the three NEOs with a personal performance component, the personal performance component had a 40% weighting and the Company performance component had a 60% weighting.</w:t>
      </w:r>
    </w:p>
    <w:p>
      <w:pPr>
        <w:spacing w:after="0" w:line="139" w:lineRule="exact"/>
        <w:rPr>
          <w:sz w:val="20"/>
          <w:szCs w:val="20"/>
          <w:color w:val="auto"/>
        </w:rPr>
      </w:pPr>
    </w:p>
    <w:p>
      <w:pPr>
        <w:ind w:right="520"/>
        <w:spacing w:after="0" w:line="257" w:lineRule="auto"/>
        <w:rPr>
          <w:sz w:val="20"/>
          <w:szCs w:val="20"/>
          <w:color w:val="auto"/>
        </w:rPr>
      </w:pPr>
      <w:r>
        <w:rPr>
          <w:rFonts w:ascii="Arial" w:cs="Arial" w:eastAsia="Arial" w:hAnsi="Arial"/>
          <w:sz w:val="14"/>
          <w:szCs w:val="14"/>
          <w:color w:val="auto"/>
        </w:rPr>
        <w:t>Based on the achievement of corporate goals and, where applicable, individual goals (discussed above and in the subsection “Compensation Dashboard—Additional Compensation Information—Annual Cash Incentives”) in the past year, our NEOs earned the followed cash incentives in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0" w:type="dxa"/>
            <w:vAlign w:val="bottom"/>
          </w:tcPr>
          <w:p>
            <w:pPr>
              <w:jc w:val="right"/>
              <w:ind w:right="152"/>
              <w:spacing w:after="0"/>
              <w:rPr>
                <w:sz w:val="20"/>
                <w:szCs w:val="20"/>
                <w:color w:val="auto"/>
              </w:rPr>
            </w:pPr>
            <w:r>
              <w:rPr>
                <w:rFonts w:ascii="Arial" w:cs="Arial" w:eastAsia="Arial" w:hAnsi="Arial"/>
                <w:sz w:val="14"/>
                <w:szCs w:val="14"/>
                <w:color w:val="215AA8"/>
                <w:w w:val="99"/>
              </w:rPr>
              <w:t>Cash Incentive Target</w:t>
            </w:r>
          </w:p>
        </w:tc>
        <w:tc>
          <w:tcPr>
            <w:tcW w:w="940" w:type="dxa"/>
            <w:vAlign w:val="bottom"/>
          </w:tcPr>
          <w:p>
            <w:pPr>
              <w:jc w:val="right"/>
              <w:ind w:right="12"/>
              <w:spacing w:after="0"/>
              <w:rPr>
                <w:sz w:val="20"/>
                <w:szCs w:val="20"/>
                <w:color w:val="auto"/>
              </w:rPr>
            </w:pPr>
            <w:r>
              <w:rPr>
                <w:rFonts w:ascii="Arial" w:cs="Arial" w:eastAsia="Arial" w:hAnsi="Arial"/>
                <w:sz w:val="14"/>
                <w:szCs w:val="14"/>
                <w:color w:val="215AA8"/>
              </w:rPr>
              <w:t>Personal</w:t>
            </w:r>
          </w:p>
        </w:tc>
        <w:tc>
          <w:tcPr>
            <w:tcW w:w="1040" w:type="dxa"/>
            <w:vAlign w:val="bottom"/>
          </w:tcPr>
          <w:p>
            <w:pPr>
              <w:jc w:val="right"/>
              <w:ind w:right="112"/>
              <w:spacing w:after="0"/>
              <w:rPr>
                <w:sz w:val="20"/>
                <w:szCs w:val="20"/>
                <w:color w:val="auto"/>
              </w:rPr>
            </w:pPr>
            <w:r>
              <w:rPr>
                <w:rFonts w:ascii="Arial" w:cs="Arial" w:eastAsia="Arial" w:hAnsi="Arial"/>
                <w:sz w:val="14"/>
                <w:szCs w:val="14"/>
                <w:color w:val="215AA8"/>
              </w:rPr>
              <w:t>Company</w:t>
            </w:r>
          </w:p>
        </w:tc>
        <w:tc>
          <w:tcPr>
            <w:tcW w:w="1040" w:type="dxa"/>
            <w:vAlign w:val="bottom"/>
            <w:shd w:val="clear" w:color="auto" w:fill="215AA8"/>
          </w:tcPr>
          <w:p>
            <w:pPr>
              <w:jc w:val="right"/>
              <w:ind w:right="32"/>
              <w:spacing w:after="0"/>
              <w:rPr>
                <w:sz w:val="20"/>
                <w:szCs w:val="20"/>
                <w:color w:val="auto"/>
              </w:rPr>
            </w:pPr>
            <w:r>
              <w:rPr>
                <w:rFonts w:ascii="Arial" w:cs="Arial" w:eastAsia="Arial" w:hAnsi="Arial"/>
                <w:sz w:val="14"/>
                <w:szCs w:val="14"/>
                <w:color w:val="FFFFFF"/>
              </w:rPr>
              <w:t>2023 Total</w:t>
            </w:r>
          </w:p>
        </w:tc>
      </w:tr>
      <w:tr>
        <w:trPr>
          <w:trHeight w:val="158"/>
        </w:trPr>
        <w:tc>
          <w:tcPr>
            <w:tcW w:w="4120" w:type="dxa"/>
            <w:vAlign w:val="bottom"/>
          </w:tcPr>
          <w:p>
            <w:pPr>
              <w:spacing w:after="0"/>
              <w:rPr>
                <w:sz w:val="13"/>
                <w:szCs w:val="13"/>
                <w:color w:val="auto"/>
              </w:rPr>
            </w:pPr>
          </w:p>
        </w:tc>
        <w:tc>
          <w:tcPr>
            <w:tcW w:w="252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2023 Base</w:t>
            </w:r>
          </w:p>
        </w:tc>
        <w:tc>
          <w:tcPr>
            <w:tcW w:w="1600" w:type="dxa"/>
            <w:vAlign w:val="bottom"/>
          </w:tcPr>
          <w:p>
            <w:pPr>
              <w:jc w:val="right"/>
              <w:ind w:right="152"/>
              <w:spacing w:after="0" w:line="157" w:lineRule="exact"/>
              <w:rPr>
                <w:sz w:val="20"/>
                <w:szCs w:val="20"/>
                <w:color w:val="auto"/>
              </w:rPr>
            </w:pPr>
            <w:r>
              <w:rPr>
                <w:rFonts w:ascii="Arial" w:cs="Arial" w:eastAsia="Arial" w:hAnsi="Arial"/>
                <w:sz w:val="14"/>
                <w:szCs w:val="14"/>
                <w:color w:val="215AA8"/>
              </w:rPr>
              <w:t>(as percentage</w:t>
            </w:r>
          </w:p>
        </w:tc>
        <w:tc>
          <w:tcPr>
            <w:tcW w:w="940" w:type="dxa"/>
            <w:vAlign w:val="bottom"/>
          </w:tcPr>
          <w:p>
            <w:pPr>
              <w:jc w:val="right"/>
              <w:ind w:right="12"/>
              <w:spacing w:after="0" w:line="157" w:lineRule="exact"/>
              <w:rPr>
                <w:sz w:val="20"/>
                <w:szCs w:val="20"/>
                <w:color w:val="auto"/>
              </w:rPr>
            </w:pPr>
            <w:r>
              <w:rPr>
                <w:rFonts w:ascii="Arial" w:cs="Arial" w:eastAsia="Arial" w:hAnsi="Arial"/>
                <w:sz w:val="14"/>
                <w:szCs w:val="14"/>
                <w:color w:val="215AA8"/>
              </w:rPr>
              <w:t>Performance</w:t>
            </w:r>
          </w:p>
        </w:tc>
        <w:tc>
          <w:tcPr>
            <w:tcW w:w="1040" w:type="dxa"/>
            <w:vAlign w:val="bottom"/>
          </w:tcPr>
          <w:p>
            <w:pPr>
              <w:jc w:val="right"/>
              <w:ind w:right="112"/>
              <w:spacing w:after="0" w:line="157" w:lineRule="exact"/>
              <w:rPr>
                <w:sz w:val="20"/>
                <w:szCs w:val="20"/>
                <w:color w:val="auto"/>
              </w:rPr>
            </w:pPr>
            <w:r>
              <w:rPr>
                <w:rFonts w:ascii="Arial" w:cs="Arial" w:eastAsia="Arial" w:hAnsi="Arial"/>
                <w:sz w:val="14"/>
                <w:szCs w:val="14"/>
                <w:color w:val="215AA8"/>
              </w:rPr>
              <w:t>Performance</w:t>
            </w:r>
          </w:p>
        </w:tc>
        <w:tc>
          <w:tcPr>
            <w:tcW w:w="1040" w:type="dxa"/>
            <w:vAlign w:val="bottom"/>
            <w:shd w:val="clear" w:color="auto" w:fill="215AA8"/>
          </w:tcPr>
          <w:p>
            <w:pPr>
              <w:jc w:val="right"/>
              <w:ind w:right="32"/>
              <w:spacing w:after="0" w:line="157" w:lineRule="exact"/>
              <w:rPr>
                <w:sz w:val="20"/>
                <w:szCs w:val="20"/>
                <w:color w:val="auto"/>
              </w:rPr>
            </w:pPr>
            <w:r>
              <w:rPr>
                <w:rFonts w:ascii="Arial" w:cs="Arial" w:eastAsia="Arial" w:hAnsi="Arial"/>
                <w:sz w:val="14"/>
                <w:szCs w:val="14"/>
                <w:color w:val="FFFFFF"/>
                <w:w w:val="99"/>
              </w:rPr>
              <w:t>Cash Incentive</w:t>
            </w:r>
          </w:p>
        </w:tc>
      </w:tr>
      <w:tr>
        <w:trPr>
          <w:trHeight w:val="171"/>
        </w:trPr>
        <w:tc>
          <w:tcPr>
            <w:tcW w:w="4120" w:type="dxa"/>
            <w:vAlign w:val="bottom"/>
            <w:tcBorders>
              <w:bottom w:val="single" w:sz="8" w:color="215AA8"/>
            </w:tcBorders>
          </w:tcPr>
          <w:p>
            <w:pPr>
              <w:ind w:left="40"/>
              <w:spacing w:after="0"/>
              <w:rPr>
                <w:sz w:val="20"/>
                <w:szCs w:val="20"/>
                <w:color w:val="auto"/>
              </w:rPr>
            </w:pPr>
            <w:r>
              <w:rPr>
                <w:rFonts w:ascii="Arial" w:cs="Arial" w:eastAsia="Arial" w:hAnsi="Arial"/>
                <w:sz w:val="14"/>
                <w:szCs w:val="14"/>
                <w:color w:val="215AA8"/>
              </w:rPr>
              <w:t>Named Executive Officer</w:t>
            </w:r>
          </w:p>
        </w:tc>
        <w:tc>
          <w:tcPr>
            <w:tcW w:w="2520" w:type="dxa"/>
            <w:vAlign w:val="bottom"/>
            <w:tcBorders>
              <w:bottom w:val="single" w:sz="8" w:color="215AA8"/>
            </w:tcBorders>
          </w:tcPr>
          <w:p>
            <w:pPr>
              <w:jc w:val="right"/>
              <w:ind w:right="32"/>
              <w:spacing w:after="0"/>
              <w:rPr>
                <w:sz w:val="20"/>
                <w:szCs w:val="20"/>
                <w:color w:val="auto"/>
              </w:rPr>
            </w:pPr>
            <w:r>
              <w:rPr>
                <w:rFonts w:ascii="Arial" w:cs="Arial" w:eastAsia="Arial" w:hAnsi="Arial"/>
                <w:sz w:val="14"/>
                <w:szCs w:val="14"/>
                <w:color w:val="215AA8"/>
              </w:rPr>
              <w:t>Salary ($)</w:t>
            </w:r>
          </w:p>
        </w:tc>
        <w:tc>
          <w:tcPr>
            <w:tcW w:w="1600" w:type="dxa"/>
            <w:vAlign w:val="bottom"/>
            <w:tcBorders>
              <w:bottom w:val="single" w:sz="8" w:color="215AA8"/>
            </w:tcBorders>
          </w:tcPr>
          <w:p>
            <w:pPr>
              <w:jc w:val="right"/>
              <w:ind w:right="152"/>
              <w:spacing w:after="0"/>
              <w:rPr>
                <w:sz w:val="20"/>
                <w:szCs w:val="20"/>
                <w:color w:val="auto"/>
              </w:rPr>
            </w:pPr>
            <w:r>
              <w:rPr>
                <w:rFonts w:ascii="Arial" w:cs="Arial" w:eastAsia="Arial" w:hAnsi="Arial"/>
                <w:sz w:val="14"/>
                <w:szCs w:val="14"/>
                <w:color w:val="215AA8"/>
              </w:rPr>
              <w:t>of base salary)</w:t>
            </w:r>
          </w:p>
        </w:tc>
        <w:tc>
          <w:tcPr>
            <w:tcW w:w="940" w:type="dxa"/>
            <w:vAlign w:val="bottom"/>
            <w:tcBorders>
              <w:bottom w:val="single" w:sz="8" w:color="215AA8"/>
            </w:tcBorders>
          </w:tcPr>
          <w:p>
            <w:pPr>
              <w:jc w:val="right"/>
              <w:ind w:right="12"/>
              <w:spacing w:after="0"/>
              <w:rPr>
                <w:sz w:val="20"/>
                <w:szCs w:val="20"/>
                <w:color w:val="auto"/>
              </w:rPr>
            </w:pPr>
            <w:r>
              <w:rPr>
                <w:rFonts w:ascii="Arial" w:cs="Arial" w:eastAsia="Arial" w:hAnsi="Arial"/>
                <w:sz w:val="14"/>
                <w:szCs w:val="14"/>
                <w:color w:val="215AA8"/>
              </w:rPr>
              <w:t>Multiplier</w:t>
            </w:r>
          </w:p>
        </w:tc>
        <w:tc>
          <w:tcPr>
            <w:tcW w:w="1040" w:type="dxa"/>
            <w:vAlign w:val="bottom"/>
            <w:tcBorders>
              <w:bottom w:val="single" w:sz="8" w:color="215AA8"/>
            </w:tcBorders>
          </w:tcPr>
          <w:p>
            <w:pPr>
              <w:jc w:val="right"/>
              <w:ind w:right="112"/>
              <w:spacing w:after="0"/>
              <w:rPr>
                <w:sz w:val="20"/>
                <w:szCs w:val="20"/>
                <w:color w:val="auto"/>
              </w:rPr>
            </w:pPr>
            <w:r>
              <w:rPr>
                <w:rFonts w:ascii="Arial" w:cs="Arial" w:eastAsia="Arial" w:hAnsi="Arial"/>
                <w:sz w:val="14"/>
                <w:szCs w:val="14"/>
                <w:color w:val="215AA8"/>
              </w:rPr>
              <w:t>Multiplier</w:t>
            </w:r>
          </w:p>
        </w:tc>
        <w:tc>
          <w:tcPr>
            <w:tcW w:w="1040" w:type="dxa"/>
            <w:vAlign w:val="bottom"/>
            <w:tcBorders>
              <w:bottom w:val="single" w:sz="8" w:color="215AA8"/>
            </w:tcBorders>
            <w:shd w:val="clear" w:color="auto" w:fill="215AA8"/>
          </w:tcPr>
          <w:p>
            <w:pPr>
              <w:jc w:val="right"/>
              <w:ind w:right="32"/>
              <w:spacing w:after="0"/>
              <w:rPr>
                <w:sz w:val="20"/>
                <w:szCs w:val="20"/>
                <w:color w:val="auto"/>
              </w:rPr>
            </w:pPr>
            <w:r>
              <w:rPr>
                <w:rFonts w:ascii="Arial" w:cs="Arial" w:eastAsia="Arial" w:hAnsi="Arial"/>
                <w:sz w:val="14"/>
                <w:szCs w:val="14"/>
                <w:color w:val="FFFFFF"/>
              </w:rPr>
              <w:t>Payout ($)</w:t>
            </w:r>
          </w:p>
        </w:tc>
      </w:tr>
      <w:tr>
        <w:trPr>
          <w:trHeight w:val="158"/>
        </w:trPr>
        <w:tc>
          <w:tcPr>
            <w:tcW w:w="4120" w:type="dxa"/>
            <w:vAlign w:val="bottom"/>
            <w:tcBorders>
              <w:bottom w:val="single" w:sz="8" w:color="949599"/>
            </w:tcBorders>
          </w:tcPr>
          <w:p>
            <w:pPr>
              <w:ind w:left="40"/>
              <w:spacing w:after="0" w:line="157" w:lineRule="exact"/>
              <w:rPr>
                <w:sz w:val="20"/>
                <w:szCs w:val="20"/>
                <w:color w:val="auto"/>
              </w:rPr>
            </w:pPr>
            <w:r>
              <w:rPr>
                <w:rFonts w:ascii="Arial" w:cs="Arial" w:eastAsia="Arial" w:hAnsi="Arial"/>
                <w:sz w:val="14"/>
                <w:szCs w:val="14"/>
                <w:b w:val="1"/>
                <w:bCs w:val="1"/>
                <w:color w:val="215AA8"/>
              </w:rPr>
              <w:t>Leonard S. Schleifer, M.D., Ph.D.</w:t>
            </w:r>
          </w:p>
        </w:tc>
        <w:tc>
          <w:tcPr>
            <w:tcW w:w="2520" w:type="dxa"/>
            <w:vAlign w:val="bottom"/>
            <w:tcBorders>
              <w:bottom w:val="single" w:sz="8" w:color="949599"/>
            </w:tcBorders>
          </w:tcPr>
          <w:p>
            <w:pPr>
              <w:jc w:val="right"/>
              <w:ind w:right="32"/>
              <w:spacing w:after="0" w:line="157" w:lineRule="exact"/>
              <w:rPr>
                <w:sz w:val="20"/>
                <w:szCs w:val="20"/>
                <w:color w:val="auto"/>
              </w:rPr>
            </w:pPr>
            <w:r>
              <w:rPr>
                <w:rFonts w:ascii="Arial" w:cs="Arial" w:eastAsia="Arial" w:hAnsi="Arial"/>
                <w:sz w:val="14"/>
                <w:szCs w:val="14"/>
                <w:color w:val="auto"/>
              </w:rPr>
              <w:t>1,875,415</w:t>
            </w:r>
          </w:p>
        </w:tc>
        <w:tc>
          <w:tcPr>
            <w:tcW w:w="1600" w:type="dxa"/>
            <w:vAlign w:val="bottom"/>
            <w:tcBorders>
              <w:bottom w:val="single" w:sz="8" w:color="949599"/>
            </w:tcBorders>
          </w:tcPr>
          <w:p>
            <w:pPr>
              <w:jc w:val="right"/>
              <w:ind w:right="32"/>
              <w:spacing w:after="0" w:line="157" w:lineRule="exact"/>
              <w:rPr>
                <w:sz w:val="20"/>
                <w:szCs w:val="20"/>
                <w:color w:val="auto"/>
              </w:rPr>
            </w:pPr>
            <w:r>
              <w:rPr>
                <w:rFonts w:ascii="Arial" w:cs="Arial" w:eastAsia="Arial" w:hAnsi="Arial"/>
                <w:sz w:val="14"/>
                <w:szCs w:val="14"/>
                <w:color w:val="auto"/>
              </w:rPr>
              <w:t>120%</w:t>
            </w:r>
          </w:p>
        </w:tc>
        <w:tc>
          <w:tcPr>
            <w:tcW w:w="940" w:type="dxa"/>
            <w:vAlign w:val="bottom"/>
            <w:tcBorders>
              <w:bottom w:val="single" w:sz="8" w:color="949599"/>
            </w:tcBorders>
          </w:tcPr>
          <w:p>
            <w:pPr>
              <w:jc w:val="right"/>
              <w:ind w:right="12"/>
              <w:spacing w:after="0" w:line="157" w:lineRule="exact"/>
              <w:rPr>
                <w:sz w:val="20"/>
                <w:szCs w:val="20"/>
                <w:color w:val="auto"/>
              </w:rPr>
            </w:pPr>
            <w:r>
              <w:rPr>
                <w:rFonts w:ascii="Arial" w:cs="Arial" w:eastAsia="Arial" w:hAnsi="Arial"/>
                <w:sz w:val="14"/>
                <w:szCs w:val="14"/>
                <w:color w:val="auto"/>
              </w:rPr>
              <w:t>n/a</w:t>
            </w:r>
          </w:p>
        </w:tc>
        <w:tc>
          <w:tcPr>
            <w:tcW w:w="1040" w:type="dxa"/>
            <w:vAlign w:val="bottom"/>
            <w:tcBorders>
              <w:bottom w:val="single" w:sz="8" w:color="949599"/>
            </w:tcBorders>
          </w:tcPr>
          <w:p>
            <w:pPr>
              <w:jc w:val="right"/>
              <w:ind w:right="112"/>
              <w:spacing w:after="0" w:line="157" w:lineRule="exact"/>
              <w:rPr>
                <w:sz w:val="20"/>
                <w:szCs w:val="20"/>
                <w:color w:val="auto"/>
              </w:rPr>
            </w:pPr>
            <w:r>
              <w:rPr>
                <w:rFonts w:ascii="Arial" w:cs="Arial" w:eastAsia="Arial" w:hAnsi="Arial"/>
                <w:sz w:val="14"/>
                <w:szCs w:val="14"/>
                <w:color w:val="auto"/>
              </w:rPr>
              <w:t>1.9</w:t>
            </w:r>
          </w:p>
        </w:tc>
        <w:tc>
          <w:tcPr>
            <w:tcW w:w="1040" w:type="dxa"/>
            <w:vAlign w:val="bottom"/>
            <w:tcBorders>
              <w:bottom w:val="single" w:sz="8" w:color="949599"/>
            </w:tcBorders>
            <w:shd w:val="clear" w:color="auto" w:fill="E8ECF5"/>
          </w:tcPr>
          <w:p>
            <w:pPr>
              <w:jc w:val="right"/>
              <w:ind w:right="32"/>
              <w:spacing w:after="0" w:line="157" w:lineRule="exact"/>
              <w:rPr>
                <w:sz w:val="20"/>
                <w:szCs w:val="20"/>
                <w:color w:val="auto"/>
              </w:rPr>
            </w:pPr>
            <w:r>
              <w:rPr>
                <w:rFonts w:ascii="Arial" w:cs="Arial" w:eastAsia="Arial" w:hAnsi="Arial"/>
                <w:sz w:val="14"/>
                <w:szCs w:val="14"/>
                <w:color w:val="auto"/>
              </w:rPr>
              <w:t>4,275,946</w:t>
            </w:r>
          </w:p>
        </w:tc>
      </w:tr>
      <w:tr>
        <w:trPr>
          <w:trHeight w:val="149"/>
        </w:trPr>
        <w:tc>
          <w:tcPr>
            <w:tcW w:w="4120" w:type="dxa"/>
            <w:vAlign w:val="bottom"/>
            <w:tcBorders>
              <w:bottom w:val="single" w:sz="8" w:color="949599"/>
            </w:tcBorders>
            <w:shd w:val="clear" w:color="auto" w:fill="ECEDED"/>
          </w:tcPr>
          <w:p>
            <w:pPr>
              <w:ind w:left="40"/>
              <w:spacing w:after="0" w:line="149" w:lineRule="exact"/>
              <w:rPr>
                <w:sz w:val="20"/>
                <w:szCs w:val="20"/>
                <w:color w:val="auto"/>
              </w:rPr>
            </w:pPr>
            <w:r>
              <w:rPr>
                <w:rFonts w:ascii="Arial" w:cs="Arial" w:eastAsia="Arial" w:hAnsi="Arial"/>
                <w:sz w:val="14"/>
                <w:szCs w:val="14"/>
                <w:b w:val="1"/>
                <w:bCs w:val="1"/>
                <w:color w:val="215AA8"/>
              </w:rPr>
              <w:t>George D. Yancopoulos, M.D., Ph.D.</w:t>
            </w:r>
          </w:p>
        </w:tc>
        <w:tc>
          <w:tcPr>
            <w:tcW w:w="2520" w:type="dxa"/>
            <w:vAlign w:val="bottom"/>
            <w:tcBorders>
              <w:bottom w:val="single" w:sz="8" w:color="949599"/>
            </w:tcBorders>
            <w:shd w:val="clear" w:color="auto" w:fill="ECEDED"/>
          </w:tcPr>
          <w:p>
            <w:pPr>
              <w:jc w:val="right"/>
              <w:ind w:right="32"/>
              <w:spacing w:after="0" w:line="149" w:lineRule="exact"/>
              <w:rPr>
                <w:sz w:val="20"/>
                <w:szCs w:val="20"/>
                <w:color w:val="auto"/>
              </w:rPr>
            </w:pPr>
            <w:r>
              <w:rPr>
                <w:rFonts w:ascii="Arial" w:cs="Arial" w:eastAsia="Arial" w:hAnsi="Arial"/>
                <w:sz w:val="14"/>
                <w:szCs w:val="14"/>
                <w:color w:val="auto"/>
              </w:rPr>
              <w:t>1,875,415</w:t>
            </w:r>
          </w:p>
        </w:tc>
        <w:tc>
          <w:tcPr>
            <w:tcW w:w="1600" w:type="dxa"/>
            <w:vAlign w:val="bottom"/>
            <w:tcBorders>
              <w:bottom w:val="single" w:sz="8" w:color="949599"/>
            </w:tcBorders>
            <w:shd w:val="clear" w:color="auto" w:fill="ECEDED"/>
          </w:tcPr>
          <w:p>
            <w:pPr>
              <w:jc w:val="right"/>
              <w:ind w:right="32"/>
              <w:spacing w:after="0" w:line="149" w:lineRule="exact"/>
              <w:rPr>
                <w:sz w:val="20"/>
                <w:szCs w:val="20"/>
                <w:color w:val="auto"/>
              </w:rPr>
            </w:pPr>
            <w:r>
              <w:rPr>
                <w:rFonts w:ascii="Arial" w:cs="Arial" w:eastAsia="Arial" w:hAnsi="Arial"/>
                <w:sz w:val="14"/>
                <w:szCs w:val="14"/>
                <w:color w:val="auto"/>
              </w:rPr>
              <w:t>120%</w:t>
            </w:r>
          </w:p>
        </w:tc>
        <w:tc>
          <w:tcPr>
            <w:tcW w:w="940" w:type="dxa"/>
            <w:vAlign w:val="bottom"/>
            <w:tcBorders>
              <w:bottom w:val="single" w:sz="8" w:color="949599"/>
            </w:tcBorders>
            <w:shd w:val="clear" w:color="auto" w:fill="ECEDED"/>
          </w:tcPr>
          <w:p>
            <w:pPr>
              <w:jc w:val="right"/>
              <w:ind w:right="12"/>
              <w:spacing w:after="0" w:line="149" w:lineRule="exact"/>
              <w:rPr>
                <w:sz w:val="20"/>
                <w:szCs w:val="20"/>
                <w:color w:val="auto"/>
              </w:rPr>
            </w:pPr>
            <w:r>
              <w:rPr>
                <w:rFonts w:ascii="Arial" w:cs="Arial" w:eastAsia="Arial" w:hAnsi="Arial"/>
                <w:sz w:val="14"/>
                <w:szCs w:val="14"/>
                <w:color w:val="auto"/>
              </w:rPr>
              <w:t>n/a</w:t>
            </w:r>
          </w:p>
        </w:tc>
        <w:tc>
          <w:tcPr>
            <w:tcW w:w="1040" w:type="dxa"/>
            <w:vAlign w:val="bottom"/>
            <w:tcBorders>
              <w:bottom w:val="single" w:sz="8" w:color="949599"/>
            </w:tcBorders>
            <w:shd w:val="clear" w:color="auto" w:fill="ECEDED"/>
          </w:tcPr>
          <w:p>
            <w:pPr>
              <w:jc w:val="right"/>
              <w:ind w:right="112"/>
              <w:spacing w:after="0" w:line="149" w:lineRule="exact"/>
              <w:rPr>
                <w:sz w:val="20"/>
                <w:szCs w:val="20"/>
                <w:color w:val="auto"/>
              </w:rPr>
            </w:pPr>
            <w:r>
              <w:rPr>
                <w:rFonts w:ascii="Arial" w:cs="Arial" w:eastAsia="Arial" w:hAnsi="Arial"/>
                <w:sz w:val="14"/>
                <w:szCs w:val="14"/>
                <w:color w:val="auto"/>
              </w:rPr>
              <w:t>1.9</w:t>
            </w:r>
          </w:p>
        </w:tc>
        <w:tc>
          <w:tcPr>
            <w:tcW w:w="1040" w:type="dxa"/>
            <w:vAlign w:val="bottom"/>
            <w:tcBorders>
              <w:bottom w:val="single" w:sz="8" w:color="949599"/>
            </w:tcBorders>
            <w:shd w:val="clear" w:color="auto" w:fill="E8ECF5"/>
          </w:tcPr>
          <w:p>
            <w:pPr>
              <w:jc w:val="right"/>
              <w:ind w:right="32"/>
              <w:spacing w:after="0" w:line="149" w:lineRule="exact"/>
              <w:rPr>
                <w:sz w:val="20"/>
                <w:szCs w:val="20"/>
                <w:color w:val="auto"/>
              </w:rPr>
            </w:pPr>
            <w:r>
              <w:rPr>
                <w:rFonts w:ascii="Arial" w:cs="Arial" w:eastAsia="Arial" w:hAnsi="Arial"/>
                <w:sz w:val="14"/>
                <w:szCs w:val="14"/>
                <w:color w:val="auto"/>
              </w:rPr>
              <w:t>4,275,946</w:t>
            </w:r>
          </w:p>
        </w:tc>
      </w:tr>
      <w:tr>
        <w:trPr>
          <w:trHeight w:val="149"/>
        </w:trPr>
        <w:tc>
          <w:tcPr>
            <w:tcW w:w="4120" w:type="dxa"/>
            <w:vAlign w:val="bottom"/>
            <w:tcBorders>
              <w:bottom w:val="single" w:sz="8" w:color="949599"/>
            </w:tcBorders>
          </w:tcPr>
          <w:p>
            <w:pPr>
              <w:ind w:left="40"/>
              <w:spacing w:after="0" w:line="149" w:lineRule="exact"/>
              <w:rPr>
                <w:sz w:val="20"/>
                <w:szCs w:val="20"/>
                <w:color w:val="auto"/>
              </w:rPr>
            </w:pPr>
            <w:r>
              <w:rPr>
                <w:rFonts w:ascii="Arial" w:cs="Arial" w:eastAsia="Arial" w:hAnsi="Arial"/>
                <w:sz w:val="14"/>
                <w:szCs w:val="14"/>
                <w:b w:val="1"/>
                <w:bCs w:val="1"/>
                <w:color w:val="215AA8"/>
              </w:rPr>
              <w:t>Robert E. Landry (</w:t>
            </w:r>
            <w:r>
              <w:rPr>
                <w:rFonts w:ascii="Arial" w:cs="Arial" w:eastAsia="Arial" w:hAnsi="Arial"/>
                <w:sz w:val="14"/>
                <w:szCs w:val="14"/>
                <w:b w:val="1"/>
                <w:bCs w:val="1"/>
                <w:i w:val="1"/>
                <w:iCs w:val="1"/>
                <w:color w:val="215AA8"/>
              </w:rPr>
              <w:t>retired</w:t>
            </w:r>
            <w:r>
              <w:rPr>
                <w:rFonts w:ascii="Arial" w:cs="Arial" w:eastAsia="Arial" w:hAnsi="Arial"/>
                <w:sz w:val="14"/>
                <w:szCs w:val="14"/>
                <w:b w:val="1"/>
                <w:bCs w:val="1"/>
                <w:color w:val="215AA8"/>
              </w:rPr>
              <w:t>)</w:t>
            </w:r>
          </w:p>
        </w:tc>
        <w:tc>
          <w:tcPr>
            <w:tcW w:w="2520" w:type="dxa"/>
            <w:vAlign w:val="bottom"/>
            <w:tcBorders>
              <w:bottom w:val="single" w:sz="8" w:color="949599"/>
            </w:tcBorders>
          </w:tcPr>
          <w:p>
            <w:pPr>
              <w:jc w:val="right"/>
              <w:ind w:right="32"/>
              <w:spacing w:after="0" w:line="149" w:lineRule="exact"/>
              <w:rPr>
                <w:sz w:val="20"/>
                <w:szCs w:val="20"/>
                <w:color w:val="auto"/>
              </w:rPr>
            </w:pPr>
            <w:r>
              <w:rPr>
                <w:rFonts w:ascii="Arial" w:cs="Arial" w:eastAsia="Arial" w:hAnsi="Arial"/>
                <w:sz w:val="14"/>
                <w:szCs w:val="14"/>
                <w:color w:val="auto"/>
              </w:rPr>
              <w:t>881,406</w:t>
            </w:r>
          </w:p>
        </w:tc>
        <w:tc>
          <w:tcPr>
            <w:tcW w:w="1600" w:type="dxa"/>
            <w:vAlign w:val="bottom"/>
            <w:tcBorders>
              <w:bottom w:val="single" w:sz="8" w:color="949599"/>
            </w:tcBorders>
          </w:tcPr>
          <w:p>
            <w:pPr>
              <w:jc w:val="right"/>
              <w:ind w:right="32"/>
              <w:spacing w:after="0" w:line="149" w:lineRule="exact"/>
              <w:rPr>
                <w:sz w:val="20"/>
                <w:szCs w:val="20"/>
                <w:color w:val="auto"/>
              </w:rPr>
            </w:pPr>
            <w:r>
              <w:rPr>
                <w:rFonts w:ascii="Arial" w:cs="Arial" w:eastAsia="Arial" w:hAnsi="Arial"/>
                <w:sz w:val="14"/>
                <w:szCs w:val="14"/>
                <w:color w:val="auto"/>
              </w:rPr>
              <w:t>65%</w:t>
            </w:r>
          </w:p>
        </w:tc>
        <w:tc>
          <w:tcPr>
            <w:tcW w:w="940" w:type="dxa"/>
            <w:vAlign w:val="bottom"/>
            <w:tcBorders>
              <w:bottom w:val="single" w:sz="8" w:color="949599"/>
            </w:tcBorders>
          </w:tcPr>
          <w:p>
            <w:pPr>
              <w:jc w:val="right"/>
              <w:ind w:right="12"/>
              <w:spacing w:after="0" w:line="149" w:lineRule="exact"/>
              <w:rPr>
                <w:sz w:val="20"/>
                <w:szCs w:val="20"/>
                <w:color w:val="auto"/>
              </w:rPr>
            </w:pPr>
            <w:r>
              <w:rPr>
                <w:rFonts w:ascii="Arial" w:cs="Arial" w:eastAsia="Arial" w:hAnsi="Arial"/>
                <w:sz w:val="14"/>
                <w:szCs w:val="14"/>
                <w:color w:val="auto"/>
              </w:rPr>
              <w:t>1.5</w:t>
            </w:r>
          </w:p>
        </w:tc>
        <w:tc>
          <w:tcPr>
            <w:tcW w:w="1040" w:type="dxa"/>
            <w:vAlign w:val="bottom"/>
            <w:tcBorders>
              <w:bottom w:val="single" w:sz="8" w:color="949599"/>
            </w:tcBorders>
          </w:tcPr>
          <w:p>
            <w:pPr>
              <w:jc w:val="right"/>
              <w:ind w:right="112"/>
              <w:spacing w:after="0" w:line="149" w:lineRule="exact"/>
              <w:rPr>
                <w:sz w:val="20"/>
                <w:szCs w:val="20"/>
                <w:color w:val="auto"/>
              </w:rPr>
            </w:pPr>
            <w:r>
              <w:rPr>
                <w:rFonts w:ascii="Arial" w:cs="Arial" w:eastAsia="Arial" w:hAnsi="Arial"/>
                <w:sz w:val="14"/>
                <w:szCs w:val="14"/>
                <w:color w:val="auto"/>
              </w:rPr>
              <w:t>1.9</w:t>
            </w:r>
          </w:p>
        </w:tc>
        <w:tc>
          <w:tcPr>
            <w:tcW w:w="1040" w:type="dxa"/>
            <w:vAlign w:val="bottom"/>
            <w:tcBorders>
              <w:bottom w:val="single" w:sz="8" w:color="949599"/>
            </w:tcBorders>
            <w:shd w:val="clear" w:color="auto" w:fill="E8ECF5"/>
          </w:tcPr>
          <w:p>
            <w:pPr>
              <w:jc w:val="right"/>
              <w:ind w:right="32"/>
              <w:spacing w:after="0" w:line="149" w:lineRule="exact"/>
              <w:rPr>
                <w:sz w:val="20"/>
                <w:szCs w:val="20"/>
                <w:color w:val="auto"/>
              </w:rPr>
            </w:pPr>
            <w:r>
              <w:rPr>
                <w:rFonts w:ascii="Arial" w:cs="Arial" w:eastAsia="Arial" w:hAnsi="Arial"/>
                <w:sz w:val="14"/>
                <w:szCs w:val="14"/>
                <w:color w:val="auto"/>
              </w:rPr>
              <w:t>996,870</w:t>
            </w:r>
          </w:p>
        </w:tc>
      </w:tr>
      <w:tr>
        <w:trPr>
          <w:trHeight w:val="149"/>
        </w:trPr>
        <w:tc>
          <w:tcPr>
            <w:tcW w:w="4120" w:type="dxa"/>
            <w:vAlign w:val="bottom"/>
            <w:tcBorders>
              <w:bottom w:val="single" w:sz="8" w:color="949599"/>
            </w:tcBorders>
            <w:shd w:val="clear" w:color="auto" w:fill="ECEDED"/>
          </w:tcPr>
          <w:p>
            <w:pPr>
              <w:ind w:left="40"/>
              <w:spacing w:after="0" w:line="149" w:lineRule="exact"/>
              <w:rPr>
                <w:sz w:val="20"/>
                <w:szCs w:val="20"/>
                <w:color w:val="auto"/>
              </w:rPr>
            </w:pPr>
            <w:r>
              <w:rPr>
                <w:rFonts w:ascii="Arial" w:cs="Arial" w:eastAsia="Arial" w:hAnsi="Arial"/>
                <w:sz w:val="14"/>
                <w:szCs w:val="14"/>
                <w:b w:val="1"/>
                <w:bCs w:val="1"/>
                <w:color w:val="215AA8"/>
              </w:rPr>
              <w:t>Daniel P. Van Plew</w:t>
            </w:r>
          </w:p>
        </w:tc>
        <w:tc>
          <w:tcPr>
            <w:tcW w:w="2520" w:type="dxa"/>
            <w:vAlign w:val="bottom"/>
            <w:tcBorders>
              <w:bottom w:val="single" w:sz="8" w:color="949599"/>
            </w:tcBorders>
            <w:shd w:val="clear" w:color="auto" w:fill="ECEDED"/>
          </w:tcPr>
          <w:p>
            <w:pPr>
              <w:jc w:val="right"/>
              <w:ind w:right="32"/>
              <w:spacing w:after="0" w:line="149" w:lineRule="exact"/>
              <w:rPr>
                <w:sz w:val="20"/>
                <w:szCs w:val="20"/>
                <w:color w:val="auto"/>
              </w:rPr>
            </w:pPr>
            <w:r>
              <w:rPr>
                <w:rFonts w:ascii="Arial" w:cs="Arial" w:eastAsia="Arial" w:hAnsi="Arial"/>
                <w:sz w:val="14"/>
                <w:szCs w:val="14"/>
                <w:color w:val="auto"/>
              </w:rPr>
              <w:t>931,500</w:t>
            </w:r>
          </w:p>
        </w:tc>
        <w:tc>
          <w:tcPr>
            <w:tcW w:w="1600" w:type="dxa"/>
            <w:vAlign w:val="bottom"/>
            <w:tcBorders>
              <w:bottom w:val="single" w:sz="8" w:color="949599"/>
            </w:tcBorders>
            <w:shd w:val="clear" w:color="auto" w:fill="ECEDED"/>
          </w:tcPr>
          <w:p>
            <w:pPr>
              <w:jc w:val="right"/>
              <w:ind w:right="32"/>
              <w:spacing w:after="0" w:line="149" w:lineRule="exact"/>
              <w:rPr>
                <w:sz w:val="20"/>
                <w:szCs w:val="20"/>
                <w:color w:val="auto"/>
              </w:rPr>
            </w:pPr>
            <w:r>
              <w:rPr>
                <w:rFonts w:ascii="Arial" w:cs="Arial" w:eastAsia="Arial" w:hAnsi="Arial"/>
                <w:sz w:val="14"/>
                <w:szCs w:val="14"/>
                <w:color w:val="auto"/>
              </w:rPr>
              <w:t>65%</w:t>
            </w:r>
          </w:p>
        </w:tc>
        <w:tc>
          <w:tcPr>
            <w:tcW w:w="940" w:type="dxa"/>
            <w:vAlign w:val="bottom"/>
            <w:tcBorders>
              <w:bottom w:val="single" w:sz="8" w:color="949599"/>
            </w:tcBorders>
            <w:shd w:val="clear" w:color="auto" w:fill="ECEDED"/>
          </w:tcPr>
          <w:p>
            <w:pPr>
              <w:jc w:val="right"/>
              <w:ind w:right="12"/>
              <w:spacing w:after="0" w:line="149" w:lineRule="exact"/>
              <w:rPr>
                <w:sz w:val="20"/>
                <w:szCs w:val="20"/>
                <w:color w:val="auto"/>
              </w:rPr>
            </w:pPr>
            <w:r>
              <w:rPr>
                <w:rFonts w:ascii="Arial" w:cs="Arial" w:eastAsia="Arial" w:hAnsi="Arial"/>
                <w:sz w:val="14"/>
                <w:szCs w:val="14"/>
                <w:color w:val="auto"/>
              </w:rPr>
              <w:t>1.5</w:t>
            </w:r>
          </w:p>
        </w:tc>
        <w:tc>
          <w:tcPr>
            <w:tcW w:w="1040" w:type="dxa"/>
            <w:vAlign w:val="bottom"/>
            <w:tcBorders>
              <w:bottom w:val="single" w:sz="8" w:color="949599"/>
            </w:tcBorders>
            <w:shd w:val="clear" w:color="auto" w:fill="ECEDED"/>
          </w:tcPr>
          <w:p>
            <w:pPr>
              <w:jc w:val="right"/>
              <w:ind w:right="112"/>
              <w:spacing w:after="0" w:line="149" w:lineRule="exact"/>
              <w:rPr>
                <w:sz w:val="20"/>
                <w:szCs w:val="20"/>
                <w:color w:val="auto"/>
              </w:rPr>
            </w:pPr>
            <w:r>
              <w:rPr>
                <w:rFonts w:ascii="Arial" w:cs="Arial" w:eastAsia="Arial" w:hAnsi="Arial"/>
                <w:sz w:val="14"/>
                <w:szCs w:val="14"/>
                <w:color w:val="auto"/>
              </w:rPr>
              <w:t>1.9</w:t>
            </w:r>
          </w:p>
        </w:tc>
        <w:tc>
          <w:tcPr>
            <w:tcW w:w="1040" w:type="dxa"/>
            <w:vAlign w:val="bottom"/>
            <w:tcBorders>
              <w:bottom w:val="single" w:sz="8" w:color="949599"/>
            </w:tcBorders>
            <w:shd w:val="clear" w:color="auto" w:fill="E8ECF5"/>
          </w:tcPr>
          <w:p>
            <w:pPr>
              <w:jc w:val="right"/>
              <w:ind w:right="32"/>
              <w:spacing w:after="0" w:line="149" w:lineRule="exact"/>
              <w:rPr>
                <w:sz w:val="20"/>
                <w:szCs w:val="20"/>
                <w:color w:val="auto"/>
              </w:rPr>
            </w:pPr>
            <w:r>
              <w:rPr>
                <w:rFonts w:ascii="Arial" w:cs="Arial" w:eastAsia="Arial" w:hAnsi="Arial"/>
                <w:sz w:val="14"/>
                <w:szCs w:val="14"/>
                <w:color w:val="auto"/>
              </w:rPr>
              <w:t>1,053,527</w:t>
            </w:r>
          </w:p>
        </w:tc>
      </w:tr>
      <w:tr>
        <w:trPr>
          <w:trHeight w:val="151"/>
        </w:trPr>
        <w:tc>
          <w:tcPr>
            <w:tcW w:w="4120" w:type="dxa"/>
            <w:vAlign w:val="bottom"/>
            <w:tcBorders>
              <w:bottom w:val="single" w:sz="8" w:color="215AA8"/>
            </w:tcBorders>
          </w:tcPr>
          <w:p>
            <w:pPr>
              <w:ind w:left="40"/>
              <w:spacing w:after="0" w:line="149" w:lineRule="exact"/>
              <w:rPr>
                <w:sz w:val="20"/>
                <w:szCs w:val="20"/>
                <w:color w:val="auto"/>
              </w:rPr>
            </w:pPr>
            <w:r>
              <w:rPr>
                <w:rFonts w:ascii="Arial" w:cs="Arial" w:eastAsia="Arial" w:hAnsi="Arial"/>
                <w:sz w:val="14"/>
                <w:szCs w:val="14"/>
                <w:b w:val="1"/>
                <w:bCs w:val="1"/>
                <w:color w:val="215AA8"/>
              </w:rPr>
              <w:t>Andrew J. Murphy, Ph.D.</w:t>
            </w:r>
          </w:p>
        </w:tc>
        <w:tc>
          <w:tcPr>
            <w:tcW w:w="2520" w:type="dxa"/>
            <w:vAlign w:val="bottom"/>
            <w:tcBorders>
              <w:bottom w:val="single" w:sz="8" w:color="215AA8"/>
            </w:tcBorders>
          </w:tcPr>
          <w:p>
            <w:pPr>
              <w:jc w:val="right"/>
              <w:ind w:right="32"/>
              <w:spacing w:after="0" w:line="149" w:lineRule="exact"/>
              <w:rPr>
                <w:sz w:val="20"/>
                <w:szCs w:val="20"/>
                <w:color w:val="auto"/>
              </w:rPr>
            </w:pPr>
            <w:r>
              <w:rPr>
                <w:rFonts w:ascii="Arial" w:cs="Arial" w:eastAsia="Arial" w:hAnsi="Arial"/>
                <w:sz w:val="14"/>
                <w:szCs w:val="14"/>
                <w:color w:val="auto"/>
              </w:rPr>
              <w:t>776,250</w:t>
            </w:r>
          </w:p>
        </w:tc>
        <w:tc>
          <w:tcPr>
            <w:tcW w:w="1600" w:type="dxa"/>
            <w:vAlign w:val="bottom"/>
            <w:tcBorders>
              <w:bottom w:val="single" w:sz="8" w:color="215AA8"/>
            </w:tcBorders>
          </w:tcPr>
          <w:p>
            <w:pPr>
              <w:jc w:val="right"/>
              <w:ind w:right="32"/>
              <w:spacing w:after="0" w:line="149" w:lineRule="exact"/>
              <w:rPr>
                <w:sz w:val="20"/>
                <w:szCs w:val="20"/>
                <w:color w:val="auto"/>
              </w:rPr>
            </w:pPr>
            <w:r>
              <w:rPr>
                <w:rFonts w:ascii="Arial" w:cs="Arial" w:eastAsia="Arial" w:hAnsi="Arial"/>
                <w:sz w:val="14"/>
                <w:szCs w:val="14"/>
                <w:color w:val="auto"/>
              </w:rPr>
              <w:t>65%</w:t>
            </w:r>
          </w:p>
        </w:tc>
        <w:tc>
          <w:tcPr>
            <w:tcW w:w="940" w:type="dxa"/>
            <w:vAlign w:val="bottom"/>
            <w:tcBorders>
              <w:bottom w:val="single" w:sz="8" w:color="215AA8"/>
            </w:tcBorders>
          </w:tcPr>
          <w:p>
            <w:pPr>
              <w:jc w:val="right"/>
              <w:ind w:right="12"/>
              <w:spacing w:after="0" w:line="149" w:lineRule="exact"/>
              <w:rPr>
                <w:sz w:val="20"/>
                <w:szCs w:val="20"/>
                <w:color w:val="auto"/>
              </w:rPr>
            </w:pPr>
            <w:r>
              <w:rPr>
                <w:rFonts w:ascii="Arial" w:cs="Arial" w:eastAsia="Arial" w:hAnsi="Arial"/>
                <w:sz w:val="14"/>
                <w:szCs w:val="14"/>
                <w:color w:val="auto"/>
              </w:rPr>
              <w:t>1.5</w:t>
            </w:r>
          </w:p>
        </w:tc>
        <w:tc>
          <w:tcPr>
            <w:tcW w:w="1040" w:type="dxa"/>
            <w:vAlign w:val="bottom"/>
            <w:tcBorders>
              <w:bottom w:val="single" w:sz="8" w:color="215AA8"/>
            </w:tcBorders>
          </w:tcPr>
          <w:p>
            <w:pPr>
              <w:jc w:val="right"/>
              <w:ind w:right="112"/>
              <w:spacing w:after="0" w:line="149" w:lineRule="exact"/>
              <w:rPr>
                <w:sz w:val="20"/>
                <w:szCs w:val="20"/>
                <w:color w:val="auto"/>
              </w:rPr>
            </w:pPr>
            <w:r>
              <w:rPr>
                <w:rFonts w:ascii="Arial" w:cs="Arial" w:eastAsia="Arial" w:hAnsi="Arial"/>
                <w:sz w:val="14"/>
                <w:szCs w:val="14"/>
                <w:color w:val="auto"/>
              </w:rPr>
              <w:t>1.9</w:t>
            </w:r>
          </w:p>
        </w:tc>
        <w:tc>
          <w:tcPr>
            <w:tcW w:w="1040" w:type="dxa"/>
            <w:vAlign w:val="bottom"/>
            <w:tcBorders>
              <w:bottom w:val="single" w:sz="8" w:color="215AA8"/>
            </w:tcBorders>
            <w:shd w:val="clear" w:color="auto" w:fill="E8ECF5"/>
          </w:tcPr>
          <w:p>
            <w:pPr>
              <w:jc w:val="right"/>
              <w:ind w:right="32"/>
              <w:spacing w:after="0" w:line="149" w:lineRule="exact"/>
              <w:rPr>
                <w:sz w:val="20"/>
                <w:szCs w:val="20"/>
                <w:color w:val="auto"/>
              </w:rPr>
            </w:pPr>
            <w:r>
              <w:rPr>
                <w:rFonts w:ascii="Arial" w:cs="Arial" w:eastAsia="Arial" w:hAnsi="Arial"/>
                <w:sz w:val="14"/>
                <w:szCs w:val="14"/>
                <w:color w:val="auto"/>
              </w:rPr>
              <w:t>877,939</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Annual Equity Awards</w:t>
      </w:r>
    </w:p>
    <w:p>
      <w:pPr>
        <w:spacing w:after="0" w:line="174" w:lineRule="exact"/>
        <w:rPr>
          <w:sz w:val="20"/>
          <w:szCs w:val="20"/>
          <w:color w:val="auto"/>
        </w:rPr>
      </w:pPr>
    </w:p>
    <w:p>
      <w:pPr>
        <w:ind w:right="60"/>
        <w:spacing w:after="0"/>
        <w:rPr>
          <w:sz w:val="20"/>
          <w:szCs w:val="20"/>
          <w:color w:val="auto"/>
        </w:rPr>
      </w:pPr>
      <w:r>
        <w:rPr>
          <w:rFonts w:ascii="Arial" w:cs="Arial" w:eastAsia="Arial" w:hAnsi="Arial"/>
          <w:sz w:val="14"/>
          <w:szCs w:val="14"/>
          <w:color w:val="auto"/>
        </w:rPr>
        <w:t>Equity grants generally represent the largest portion of the compensation opportunity awarded annually to our NEOs. These awards are designed to incentivize delivery of sustainable long-term value, which we believe is created by focusing on the discovery, development, and commercialization of new medicines. Our Compensation Committee utilizes a customized framework for determining the size and mix of the annual equity awards of our NEOs and other executives, which is periodically reassessed in light of our business objectives, feedback from our shareholders, and market practices. This framework and the relevant considerations underlying our equity program and the types of awards we have utilized in recent years are summarized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70</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81" w:name="page82"/>
    <w:bookmarkEnd w:id="81"/>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221615</wp:posOffset>
            </wp:positionV>
            <wp:extent cx="3909695" cy="23018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909695" cy="230187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610"/>
        <w:spacing w:after="0"/>
        <w:rPr>
          <w:sz w:val="20"/>
          <w:szCs w:val="20"/>
          <w:color w:val="auto"/>
        </w:rPr>
      </w:pPr>
      <w:r>
        <w:rPr>
          <w:rFonts w:ascii="Arial" w:cs="Arial" w:eastAsia="Arial" w:hAnsi="Arial"/>
          <w:sz w:val="21"/>
          <w:szCs w:val="21"/>
          <w:b w:val="1"/>
          <w:bCs w:val="1"/>
          <w:color w:val="D60058"/>
        </w:rPr>
        <w:t>Performance-Based Sizing and Value Delivery</w:t>
      </w:r>
    </w:p>
    <w:p>
      <w:pPr>
        <w:spacing w:after="0" w:line="217" w:lineRule="exact"/>
        <w:rPr>
          <w:sz w:val="20"/>
          <w:szCs w:val="20"/>
          <w:color w:val="auto"/>
        </w:rPr>
      </w:pPr>
    </w:p>
    <w:p>
      <w:pPr>
        <w:ind w:left="170" w:hanging="170"/>
        <w:spacing w:after="0"/>
        <w:tabs>
          <w:tab w:leader="none" w:pos="170" w:val="left"/>
        </w:tabs>
        <w:numPr>
          <w:ilvl w:val="0"/>
          <w:numId w:val="109"/>
        </w:numPr>
        <w:rPr>
          <w:rFonts w:ascii="Arial" w:cs="Arial" w:eastAsia="Arial" w:hAnsi="Arial"/>
          <w:sz w:val="14"/>
          <w:szCs w:val="14"/>
          <w:color w:val="215AA8"/>
        </w:rPr>
      </w:pPr>
      <w:r>
        <w:rPr>
          <w:rFonts w:ascii="Arial" w:cs="Arial" w:eastAsia="Arial" w:hAnsi="Arial"/>
          <w:sz w:val="14"/>
          <w:szCs w:val="14"/>
          <w:b w:val="1"/>
          <w:bCs w:val="1"/>
          <w:color w:val="215AA8"/>
        </w:rPr>
        <w:t>In determining the size of equity awards to our NEOs, we take into account:</w:t>
      </w:r>
    </w:p>
    <w:p>
      <w:pPr>
        <w:spacing w:after="0" w:line="77" w:lineRule="exact"/>
        <w:rPr>
          <w:rFonts w:ascii="Arial" w:cs="Arial" w:eastAsia="Arial" w:hAnsi="Arial"/>
          <w:sz w:val="14"/>
          <w:szCs w:val="14"/>
          <w:color w:val="215AA8"/>
        </w:rPr>
      </w:pPr>
    </w:p>
    <w:p>
      <w:pPr>
        <w:ind w:left="330" w:right="180" w:hanging="165"/>
        <w:spacing w:after="0" w:line="257" w:lineRule="auto"/>
        <w:tabs>
          <w:tab w:leader="none" w:pos="325" w:val="left"/>
        </w:tabs>
        <w:numPr>
          <w:ilvl w:val="1"/>
          <w:numId w:val="109"/>
        </w:numPr>
        <w:rPr>
          <w:rFonts w:ascii="Arial" w:cs="Arial" w:eastAsia="Arial" w:hAnsi="Arial"/>
          <w:sz w:val="14"/>
          <w:szCs w:val="14"/>
          <w:color w:val="215AA8"/>
        </w:rPr>
      </w:pPr>
      <w:r>
        <w:rPr>
          <w:rFonts w:ascii="Arial" w:cs="Arial" w:eastAsia="Arial" w:hAnsi="Arial"/>
          <w:sz w:val="14"/>
          <w:szCs w:val="14"/>
          <w:color w:val="auto"/>
        </w:rPr>
        <w:t>Corporate performance (assessment of Regeneron’s corporate accomplishments, particularly as they relate to our product pipeline); and/or</w:t>
      </w:r>
    </w:p>
    <w:p>
      <w:pPr>
        <w:spacing w:after="0" w:line="37" w:lineRule="exact"/>
        <w:rPr>
          <w:rFonts w:ascii="Arial" w:cs="Arial" w:eastAsia="Arial" w:hAnsi="Arial"/>
          <w:sz w:val="14"/>
          <w:szCs w:val="14"/>
          <w:color w:val="215AA8"/>
        </w:rPr>
      </w:pPr>
    </w:p>
    <w:p>
      <w:pPr>
        <w:ind w:left="330" w:right="160" w:hanging="165"/>
        <w:spacing w:after="0" w:line="296" w:lineRule="auto"/>
        <w:tabs>
          <w:tab w:leader="none" w:pos="325" w:val="left"/>
        </w:tabs>
        <w:numPr>
          <w:ilvl w:val="1"/>
          <w:numId w:val="109"/>
        </w:numPr>
        <w:rPr>
          <w:rFonts w:ascii="Arial" w:cs="Arial" w:eastAsia="Arial" w:hAnsi="Arial"/>
          <w:sz w:val="12"/>
          <w:szCs w:val="12"/>
          <w:color w:val="215AA8"/>
        </w:rPr>
      </w:pPr>
      <w:r>
        <w:rPr>
          <w:rFonts w:ascii="Arial" w:cs="Arial" w:eastAsia="Arial" w:hAnsi="Arial"/>
          <w:sz w:val="12"/>
          <w:szCs w:val="12"/>
          <w:color w:val="auto"/>
        </w:rPr>
        <w:t>Individual performance (assessment of performance against the corporate goals established by the board of directors for the CEO and the goals established by the Committee and/ or the CEO for the other NEOs, as well as an assessment of the individual’s importance to the Company’s future performance).</w:t>
      </w:r>
    </w:p>
    <w:p>
      <w:pPr>
        <w:spacing w:after="0" w:line="26" w:lineRule="exact"/>
        <w:rPr>
          <w:rFonts w:ascii="Arial" w:cs="Arial" w:eastAsia="Arial" w:hAnsi="Arial"/>
          <w:sz w:val="12"/>
          <w:szCs w:val="12"/>
          <w:color w:val="215AA8"/>
        </w:rPr>
      </w:pPr>
    </w:p>
    <w:p>
      <w:pPr>
        <w:ind w:left="170" w:hanging="170"/>
        <w:spacing w:after="0"/>
        <w:tabs>
          <w:tab w:leader="none" w:pos="170" w:val="left"/>
        </w:tabs>
        <w:numPr>
          <w:ilvl w:val="0"/>
          <w:numId w:val="109"/>
        </w:numPr>
        <w:rPr>
          <w:rFonts w:ascii="Arial" w:cs="Arial" w:eastAsia="Arial" w:hAnsi="Arial"/>
          <w:sz w:val="14"/>
          <w:szCs w:val="14"/>
          <w:color w:val="215AA8"/>
        </w:rPr>
      </w:pPr>
      <w:r>
        <w:rPr>
          <w:rFonts w:ascii="Arial" w:cs="Arial" w:eastAsia="Arial" w:hAnsi="Arial"/>
          <w:sz w:val="14"/>
          <w:szCs w:val="14"/>
          <w:b w:val="1"/>
          <w:bCs w:val="1"/>
          <w:color w:val="215AA8"/>
        </w:rPr>
        <w:t>Both stock options and PSUs are performance-based:</w:t>
      </w:r>
    </w:p>
    <w:p>
      <w:pPr>
        <w:spacing w:after="0" w:line="77" w:lineRule="exact"/>
        <w:rPr>
          <w:rFonts w:ascii="Arial" w:cs="Arial" w:eastAsia="Arial" w:hAnsi="Arial"/>
          <w:sz w:val="14"/>
          <w:szCs w:val="14"/>
          <w:color w:val="215AA8"/>
        </w:rPr>
      </w:pPr>
    </w:p>
    <w:p>
      <w:pPr>
        <w:ind w:left="330" w:right="300" w:hanging="165"/>
        <w:spacing w:after="0" w:line="246" w:lineRule="auto"/>
        <w:tabs>
          <w:tab w:leader="none" w:pos="325" w:val="left"/>
        </w:tabs>
        <w:numPr>
          <w:ilvl w:val="1"/>
          <w:numId w:val="109"/>
        </w:numPr>
        <w:rPr>
          <w:rFonts w:ascii="Arial" w:cs="Arial" w:eastAsia="Arial" w:hAnsi="Arial"/>
          <w:sz w:val="14"/>
          <w:szCs w:val="14"/>
          <w:color w:val="215AA8"/>
        </w:rPr>
      </w:pPr>
      <w:r>
        <w:rPr>
          <w:rFonts w:ascii="Arial" w:cs="Arial" w:eastAsia="Arial" w:hAnsi="Arial"/>
          <w:sz w:val="14"/>
          <w:szCs w:val="14"/>
          <w:color w:val="auto"/>
        </w:rPr>
        <w:t>Stock options only deliver value if we deliver stock price appreciation for shareholders after grant. No amount of time will make a stock option deliver any value unless the company’s stock price increases.</w:t>
      </w:r>
    </w:p>
    <w:p>
      <w:pPr>
        <w:spacing w:after="0" w:line="45" w:lineRule="exact"/>
        <w:rPr>
          <w:rFonts w:ascii="Arial" w:cs="Arial" w:eastAsia="Arial" w:hAnsi="Arial"/>
          <w:sz w:val="14"/>
          <w:szCs w:val="14"/>
          <w:color w:val="215AA8"/>
        </w:rPr>
      </w:pPr>
    </w:p>
    <w:p>
      <w:pPr>
        <w:ind w:left="330" w:hanging="165"/>
        <w:spacing w:after="0" w:line="239" w:lineRule="auto"/>
        <w:tabs>
          <w:tab w:leader="none" w:pos="325" w:val="left"/>
        </w:tabs>
        <w:numPr>
          <w:ilvl w:val="1"/>
          <w:numId w:val="109"/>
        </w:numPr>
        <w:rPr>
          <w:rFonts w:ascii="Arial" w:cs="Arial" w:eastAsia="Arial" w:hAnsi="Arial"/>
          <w:sz w:val="14"/>
          <w:szCs w:val="14"/>
          <w:color w:val="215AA8"/>
        </w:rPr>
      </w:pPr>
      <w:r>
        <w:rPr>
          <w:rFonts w:ascii="Arial" w:cs="Arial" w:eastAsia="Arial" w:hAnsi="Arial"/>
          <w:sz w:val="14"/>
          <w:szCs w:val="14"/>
          <w:color w:val="auto"/>
        </w:rPr>
        <w:t>PSUs (which were most recently granted in 2020 but not utilized for any NEOs in 2021-2023) only vest if the relevant performance criteria related to TSR are satisfied. They are designed to reward top performance; reward exceptional long-term shareholder value creation; and ensure stability and continuity of leadership to support the achievement of the next phase of Regeneron’s ambitious product, pipeline, and talent development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285750" cy="2857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5750" cy="285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599"/>
        <w:spacing w:after="0"/>
        <w:rPr>
          <w:sz w:val="20"/>
          <w:szCs w:val="20"/>
          <w:color w:val="auto"/>
        </w:rPr>
      </w:pPr>
      <w:r>
        <w:rPr>
          <w:rFonts w:ascii="Arial" w:cs="Arial" w:eastAsia="Arial" w:hAnsi="Arial"/>
          <w:sz w:val="21"/>
          <w:szCs w:val="21"/>
          <w:b w:val="1"/>
          <w:bCs w:val="1"/>
          <w:color w:val="D60058"/>
        </w:rPr>
        <w:t>Long-Term Value Creation</w:t>
      </w:r>
    </w:p>
    <w:p>
      <w:pPr>
        <w:spacing w:after="0" w:line="217" w:lineRule="exact"/>
        <w:rPr>
          <w:sz w:val="20"/>
          <w:szCs w:val="20"/>
          <w:color w:val="auto"/>
        </w:rPr>
      </w:pPr>
    </w:p>
    <w:p>
      <w:pPr>
        <w:ind w:left="159" w:hanging="159"/>
        <w:spacing w:after="0" w:line="253" w:lineRule="auto"/>
        <w:tabs>
          <w:tab w:leader="none" w:pos="154" w:val="left"/>
        </w:tabs>
        <w:numPr>
          <w:ilvl w:val="0"/>
          <w:numId w:val="110"/>
        </w:numPr>
        <w:rPr>
          <w:rFonts w:ascii="Arial" w:cs="Arial" w:eastAsia="Arial" w:hAnsi="Arial"/>
          <w:sz w:val="14"/>
          <w:szCs w:val="14"/>
          <w:color w:val="215AA8"/>
        </w:rPr>
      </w:pPr>
      <w:r>
        <w:rPr>
          <w:rFonts w:ascii="Arial" w:cs="Arial" w:eastAsia="Arial" w:hAnsi="Arial"/>
          <w:sz w:val="14"/>
          <w:szCs w:val="14"/>
          <w:b w:val="1"/>
          <w:bCs w:val="1"/>
          <w:color w:val="215AA8"/>
        </w:rPr>
        <w:t>Stock option grants have ten-year terms and four-year vesting provisions (generally requiring our employees, including our NEOs, to remain employed for four years in order for all options to vest*):</w:t>
      </w:r>
    </w:p>
    <w:p>
      <w:pPr>
        <w:spacing w:after="0" w:line="44" w:lineRule="exact"/>
        <w:rPr>
          <w:rFonts w:ascii="Arial" w:cs="Arial" w:eastAsia="Arial" w:hAnsi="Arial"/>
          <w:sz w:val="14"/>
          <w:szCs w:val="14"/>
          <w:color w:val="215AA8"/>
        </w:rPr>
      </w:pPr>
    </w:p>
    <w:p>
      <w:pPr>
        <w:ind w:left="339" w:right="400" w:hanging="174"/>
        <w:spacing w:after="0" w:line="257" w:lineRule="auto"/>
        <w:tabs>
          <w:tab w:leader="none" w:pos="334" w:val="left"/>
        </w:tabs>
        <w:numPr>
          <w:ilvl w:val="1"/>
          <w:numId w:val="110"/>
        </w:numPr>
        <w:rPr>
          <w:rFonts w:ascii="Arial" w:cs="Arial" w:eastAsia="Arial" w:hAnsi="Arial"/>
          <w:sz w:val="14"/>
          <w:szCs w:val="14"/>
          <w:color w:val="215AA8"/>
        </w:rPr>
      </w:pPr>
      <w:r>
        <w:rPr>
          <w:rFonts w:ascii="Arial" w:cs="Arial" w:eastAsia="Arial" w:hAnsi="Arial"/>
          <w:sz w:val="14"/>
          <w:szCs w:val="14"/>
          <w:color w:val="auto"/>
        </w:rPr>
        <w:t>Designed to align with long-term value creation and the development cycle of our products.</w:t>
      </w:r>
    </w:p>
    <w:p>
      <w:pPr>
        <w:spacing w:after="0" w:line="35" w:lineRule="exact"/>
        <w:rPr>
          <w:rFonts w:ascii="Arial" w:cs="Arial" w:eastAsia="Arial" w:hAnsi="Arial"/>
          <w:sz w:val="14"/>
          <w:szCs w:val="14"/>
          <w:color w:val="215AA8"/>
        </w:rPr>
      </w:pPr>
    </w:p>
    <w:p>
      <w:pPr>
        <w:ind w:left="159" w:right="240" w:hanging="159"/>
        <w:spacing w:after="0" w:line="272" w:lineRule="auto"/>
        <w:tabs>
          <w:tab w:leader="none" w:pos="154" w:val="left"/>
        </w:tabs>
        <w:numPr>
          <w:ilvl w:val="0"/>
          <w:numId w:val="110"/>
        </w:numPr>
        <w:rPr>
          <w:rFonts w:ascii="Arial" w:cs="Arial" w:eastAsia="Arial" w:hAnsi="Arial"/>
          <w:sz w:val="14"/>
          <w:szCs w:val="14"/>
          <w:color w:val="215AA8"/>
        </w:rPr>
      </w:pPr>
      <w:r>
        <w:rPr>
          <w:rFonts w:ascii="Arial" w:cs="Arial" w:eastAsia="Arial" w:hAnsi="Arial"/>
          <w:sz w:val="14"/>
          <w:szCs w:val="14"/>
          <w:b w:val="1"/>
          <w:bCs w:val="1"/>
          <w:color w:val="215AA8"/>
        </w:rPr>
        <w:t>PSUs granted in 2020 incorporate a long-term, five-year performance period and require a three-year deferral and holding period:</w:t>
      </w:r>
    </w:p>
    <w:p>
      <w:pPr>
        <w:spacing w:after="0" w:line="31" w:lineRule="exact"/>
        <w:rPr>
          <w:rFonts w:ascii="Arial" w:cs="Arial" w:eastAsia="Arial" w:hAnsi="Arial"/>
          <w:sz w:val="14"/>
          <w:szCs w:val="14"/>
          <w:color w:val="215AA8"/>
        </w:rPr>
      </w:pPr>
    </w:p>
    <w:p>
      <w:pPr>
        <w:ind w:left="319" w:hanging="154"/>
        <w:spacing w:after="0"/>
        <w:tabs>
          <w:tab w:leader="none" w:pos="319" w:val="left"/>
        </w:tabs>
        <w:numPr>
          <w:ilvl w:val="1"/>
          <w:numId w:val="110"/>
        </w:numPr>
        <w:rPr>
          <w:rFonts w:ascii="Arial" w:cs="Arial" w:eastAsia="Arial" w:hAnsi="Arial"/>
          <w:sz w:val="14"/>
          <w:szCs w:val="14"/>
          <w:color w:val="215AA8"/>
        </w:rPr>
      </w:pPr>
      <w:r>
        <w:rPr>
          <w:rFonts w:ascii="Arial" w:cs="Arial" w:eastAsia="Arial" w:hAnsi="Arial"/>
          <w:sz w:val="14"/>
          <w:szCs w:val="14"/>
          <w:color w:val="auto"/>
        </w:rPr>
        <w:t>Designed to promote and reward value creation over eight years.</w:t>
      </w:r>
    </w:p>
    <w:p>
      <w:pPr>
        <w:spacing w:after="0" w:line="73" w:lineRule="exact"/>
        <w:rPr>
          <w:rFonts w:ascii="Arial" w:cs="Arial" w:eastAsia="Arial" w:hAnsi="Arial"/>
          <w:sz w:val="14"/>
          <w:szCs w:val="14"/>
          <w:color w:val="215AA8"/>
        </w:rPr>
      </w:pPr>
    </w:p>
    <w:p>
      <w:pPr>
        <w:ind w:left="159" w:hanging="159"/>
        <w:spacing w:after="0"/>
        <w:tabs>
          <w:tab w:leader="none" w:pos="159" w:val="left"/>
        </w:tabs>
        <w:numPr>
          <w:ilvl w:val="0"/>
          <w:numId w:val="110"/>
        </w:numPr>
        <w:rPr>
          <w:rFonts w:ascii="Arial" w:cs="Arial" w:eastAsia="Arial" w:hAnsi="Arial"/>
          <w:sz w:val="14"/>
          <w:szCs w:val="14"/>
          <w:color w:val="215AA8"/>
        </w:rPr>
      </w:pPr>
      <w:r>
        <w:rPr>
          <w:rFonts w:ascii="Arial" w:cs="Arial" w:eastAsia="Arial" w:hAnsi="Arial"/>
          <w:sz w:val="14"/>
          <w:szCs w:val="14"/>
          <w:b w:val="1"/>
          <w:bCs w:val="1"/>
          <w:color w:val="215AA8"/>
        </w:rPr>
        <w:t>RSAs/RSUs promote long-term employment:</w:t>
      </w:r>
    </w:p>
    <w:p>
      <w:pPr>
        <w:spacing w:after="0" w:line="66" w:lineRule="exact"/>
        <w:rPr>
          <w:rFonts w:ascii="Arial" w:cs="Arial" w:eastAsia="Arial" w:hAnsi="Arial"/>
          <w:sz w:val="14"/>
          <w:szCs w:val="14"/>
          <w:color w:val="215AA8"/>
        </w:rPr>
      </w:pPr>
    </w:p>
    <w:p>
      <w:pPr>
        <w:ind w:left="339" w:right="100" w:hanging="174"/>
        <w:spacing w:after="0" w:line="307" w:lineRule="auto"/>
        <w:tabs>
          <w:tab w:leader="none" w:pos="334" w:val="left"/>
        </w:tabs>
        <w:numPr>
          <w:ilvl w:val="1"/>
          <w:numId w:val="110"/>
        </w:numPr>
        <w:rPr>
          <w:rFonts w:ascii="Arial" w:cs="Arial" w:eastAsia="Arial" w:hAnsi="Arial"/>
          <w:sz w:val="12"/>
          <w:szCs w:val="12"/>
          <w:color w:val="215AA8"/>
        </w:rPr>
      </w:pPr>
      <w:r>
        <w:rPr>
          <w:rFonts w:ascii="Arial" w:cs="Arial" w:eastAsia="Arial" w:hAnsi="Arial"/>
          <w:sz w:val="12"/>
          <w:szCs w:val="12"/>
          <w:color w:val="auto"/>
        </w:rPr>
        <w:t>RSAs/RSUs awarded as a component of annual equity awards vest 50% on the second anniversary of the date of grant and 50% on the fourth anniversary of the date of grant, which is a more backloaded vesting schedule than is typical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520700</wp:posOffset>
            </wp:positionV>
            <wp:extent cx="715518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910" w:lineRule="exact"/>
        <w:rPr>
          <w:sz w:val="20"/>
          <w:szCs w:val="20"/>
          <w:color w:val="auto"/>
        </w:rPr>
      </w:pPr>
    </w:p>
    <w:p>
      <w:pPr>
        <w:sectPr>
          <w:pgSz w:w="11900" w:h="16838" w:orient="portrait"/>
          <w:cols w:equalWidth="0" w:num="2">
            <w:col w:w="5390" w:space="321"/>
            <w:col w:w="5559"/>
          </w:cols>
          <w:pgMar w:left="310" w:top="215" w:right="319" w:bottom="1440" w:gutter="0" w:footer="0" w:header="0"/>
          <w:type w:val="continuous"/>
        </w:sectPr>
      </w:pPr>
    </w:p>
    <w:tbl>
      <w:tblPr>
        <w:tblLayout w:type="fixed"/>
        <w:tblInd w:w="10" w:type="dxa"/>
        <w:tblCellMar>
          <w:top w:w="0" w:type="dxa"/>
          <w:left w:w="0" w:type="dxa"/>
          <w:bottom w:w="0" w:type="dxa"/>
          <w:right w:w="0" w:type="dxa"/>
        </w:tblCellMar>
      </w:tblPr>
      <w:tr>
        <w:trPr>
          <w:trHeight w:val="371"/>
        </w:trPr>
        <w:tc>
          <w:tcPr>
            <w:tcW w:w="5560" w:type="dxa"/>
            <w:vAlign w:val="bottom"/>
            <w:tcBorders>
              <w:right w:val="single" w:sz="8" w:color="215AA8"/>
            </w:tcBorders>
          </w:tcPr>
          <w:p>
            <w:pPr>
              <w:ind w:left="600"/>
              <w:spacing w:after="0"/>
              <w:rPr>
                <w:sz w:val="20"/>
                <w:szCs w:val="20"/>
                <w:color w:val="auto"/>
              </w:rPr>
            </w:pPr>
            <w:r>
              <w:rPr>
                <w:rFonts w:ascii="Arial" w:cs="Arial" w:eastAsia="Arial" w:hAnsi="Arial"/>
                <w:sz w:val="21"/>
                <w:szCs w:val="21"/>
                <w:b w:val="1"/>
                <w:bCs w:val="1"/>
                <w:color w:val="D60058"/>
              </w:rPr>
              <w:t>Meaningful Holding Requirements</w:t>
            </w:r>
          </w:p>
        </w:tc>
        <w:tc>
          <w:tcPr>
            <w:tcW w:w="5700" w:type="dxa"/>
            <w:vAlign w:val="bottom"/>
          </w:tcPr>
          <w:p>
            <w:pPr>
              <w:ind w:left="740"/>
              <w:spacing w:after="0"/>
              <w:rPr>
                <w:sz w:val="20"/>
                <w:szCs w:val="20"/>
                <w:color w:val="auto"/>
              </w:rPr>
            </w:pPr>
            <w:r>
              <w:rPr>
                <w:rFonts w:ascii="Arial" w:cs="Arial" w:eastAsia="Arial" w:hAnsi="Arial"/>
                <w:sz w:val="21"/>
                <w:szCs w:val="21"/>
                <w:b w:val="1"/>
                <w:bCs w:val="1"/>
                <w:color w:val="D60058"/>
              </w:rPr>
              <w:t>Risk-Mitigating Policies and Practices</w:t>
            </w:r>
          </w:p>
        </w:tc>
        <w:tc>
          <w:tcPr>
            <w:tcW w:w="0" w:type="dxa"/>
            <w:vAlign w:val="bottom"/>
          </w:tcPr>
          <w:p>
            <w:pPr>
              <w:spacing w:after="0"/>
              <w:rPr>
                <w:sz w:val="1"/>
                <w:szCs w:val="1"/>
                <w:color w:val="auto"/>
              </w:rPr>
            </w:pPr>
          </w:p>
        </w:tc>
      </w:tr>
      <w:tr>
        <w:trPr>
          <w:trHeight w:val="304"/>
        </w:trPr>
        <w:tc>
          <w:tcPr>
            <w:tcW w:w="5560" w:type="dxa"/>
            <w:vAlign w:val="bottom"/>
            <w:tcBorders>
              <w:right w:val="single" w:sz="8" w:color="215AA8"/>
            </w:tcBorders>
          </w:tcPr>
          <w:p>
            <w:pPr>
              <w:spacing w:after="0"/>
              <w:rPr>
                <w:sz w:val="20"/>
                <w:szCs w:val="20"/>
                <w:color w:val="auto"/>
              </w:rPr>
            </w:pPr>
            <w:r>
              <w:rPr>
                <w:rFonts w:ascii="Arial" w:cs="Arial" w:eastAsia="Arial" w:hAnsi="Arial"/>
                <w:sz w:val="14"/>
                <w:szCs w:val="14"/>
                <w:color w:val="215AA8"/>
                <w:w w:val="99"/>
              </w:rPr>
              <w:t xml:space="preserve">•  </w:t>
            </w:r>
            <w:r>
              <w:rPr>
                <w:rFonts w:ascii="Arial" w:cs="Arial" w:eastAsia="Arial" w:hAnsi="Arial"/>
                <w:sz w:val="14"/>
                <w:szCs w:val="14"/>
                <w:b w:val="1"/>
                <w:bCs w:val="1"/>
                <w:color w:val="215AA8"/>
                <w:w w:val="99"/>
              </w:rPr>
              <w:t>We require NEOs to retain a significant amount of equity within five years of their</w:t>
            </w:r>
          </w:p>
        </w:tc>
        <w:tc>
          <w:tcPr>
            <w:tcW w:w="5700" w:type="dxa"/>
            <w:vAlign w:val="bottom"/>
          </w:tcPr>
          <w:p>
            <w:pPr>
              <w:ind w:left="140"/>
              <w:spacing w:after="0"/>
              <w:rPr>
                <w:sz w:val="20"/>
                <w:szCs w:val="20"/>
                <w:color w:val="auto"/>
              </w:rPr>
            </w:pPr>
            <w:r>
              <w:rPr>
                <w:rFonts w:ascii="Arial" w:cs="Arial" w:eastAsia="Arial" w:hAnsi="Arial"/>
                <w:sz w:val="14"/>
                <w:szCs w:val="14"/>
                <w:color w:val="215AA8"/>
                <w:w w:val="96"/>
              </w:rPr>
              <w:t xml:space="preserve">•  </w:t>
            </w:r>
            <w:r>
              <w:rPr>
                <w:rFonts w:ascii="Arial" w:cs="Arial" w:eastAsia="Arial" w:hAnsi="Arial"/>
                <w:sz w:val="14"/>
                <w:szCs w:val="14"/>
                <w:b w:val="1"/>
                <w:bCs w:val="1"/>
                <w:color w:val="215AA8"/>
                <w:w w:val="96"/>
              </w:rPr>
              <w:t>We have a recoupment (clawback) policy that enables us to reduce or recoup equity</w:t>
            </w:r>
          </w:p>
        </w:tc>
        <w:tc>
          <w:tcPr>
            <w:tcW w:w="0" w:type="dxa"/>
            <w:vAlign w:val="bottom"/>
          </w:tcPr>
          <w:p>
            <w:pPr>
              <w:spacing w:after="0"/>
              <w:rPr>
                <w:sz w:val="1"/>
                <w:szCs w:val="1"/>
                <w:color w:val="auto"/>
              </w:rPr>
            </w:pPr>
          </w:p>
        </w:tc>
      </w:tr>
      <w:tr>
        <w:trPr>
          <w:trHeight w:val="186"/>
        </w:trPr>
        <w:tc>
          <w:tcPr>
            <w:tcW w:w="5560" w:type="dxa"/>
            <w:vAlign w:val="bottom"/>
            <w:tcBorders>
              <w:right w:val="single" w:sz="8" w:color="215AA8"/>
            </w:tcBorders>
          </w:tcPr>
          <w:p>
            <w:pPr>
              <w:ind w:left="160"/>
              <w:spacing w:after="0"/>
              <w:rPr>
                <w:sz w:val="20"/>
                <w:szCs w:val="20"/>
                <w:color w:val="auto"/>
              </w:rPr>
            </w:pPr>
            <w:r>
              <w:rPr>
                <w:rFonts w:ascii="Arial" w:cs="Arial" w:eastAsia="Arial" w:hAnsi="Arial"/>
                <w:sz w:val="14"/>
                <w:szCs w:val="14"/>
                <w:b w:val="1"/>
                <w:bCs w:val="1"/>
                <w:color w:val="215AA8"/>
              </w:rPr>
              <w:t>employment with Regeneron:</w:t>
            </w:r>
          </w:p>
        </w:tc>
        <w:tc>
          <w:tcPr>
            <w:tcW w:w="5700" w:type="dxa"/>
            <w:vAlign w:val="bottom"/>
          </w:tcPr>
          <w:p>
            <w:pPr>
              <w:ind w:left="300"/>
              <w:spacing w:after="0"/>
              <w:rPr>
                <w:sz w:val="20"/>
                <w:szCs w:val="20"/>
                <w:color w:val="auto"/>
              </w:rPr>
            </w:pPr>
            <w:r>
              <w:rPr>
                <w:rFonts w:ascii="Arial" w:cs="Arial" w:eastAsia="Arial" w:hAnsi="Arial"/>
                <w:sz w:val="14"/>
                <w:szCs w:val="14"/>
                <w:b w:val="1"/>
                <w:bCs w:val="1"/>
                <w:color w:val="215AA8"/>
              </w:rPr>
              <w:t>and other incentive compensation.</w:t>
            </w:r>
          </w:p>
        </w:tc>
        <w:tc>
          <w:tcPr>
            <w:tcW w:w="0" w:type="dxa"/>
            <w:vAlign w:val="bottom"/>
          </w:tcPr>
          <w:p>
            <w:pPr>
              <w:spacing w:after="0"/>
              <w:rPr>
                <w:sz w:val="1"/>
                <w:szCs w:val="1"/>
                <w:color w:val="auto"/>
              </w:rPr>
            </w:pPr>
          </w:p>
        </w:tc>
      </w:tr>
      <w:tr>
        <w:trPr>
          <w:trHeight w:val="210"/>
        </w:trPr>
        <w:tc>
          <w:tcPr>
            <w:tcW w:w="5560" w:type="dxa"/>
            <w:vAlign w:val="bottom"/>
            <w:tcBorders>
              <w:right w:val="single" w:sz="8" w:color="215AA8"/>
            </w:tcBorders>
          </w:tcPr>
          <w:p>
            <w:pPr>
              <w:ind w:left="160"/>
              <w:spacing w:after="0"/>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color w:val="000000"/>
              </w:rPr>
              <w:t>Our CEO and CSO must own shares with a value at least 6x their respective base</w:t>
            </w:r>
          </w:p>
        </w:tc>
        <w:tc>
          <w:tcPr>
            <w:tcW w:w="5700" w:type="dxa"/>
            <w:vAlign w:val="bottom"/>
          </w:tcPr>
          <w:p>
            <w:pPr>
              <w:ind w:left="300"/>
              <w:spacing w:after="0"/>
              <w:rPr>
                <w:sz w:val="20"/>
                <w:szCs w:val="20"/>
                <w:color w:val="auto"/>
              </w:rPr>
            </w:pPr>
            <w:r>
              <w:rPr>
                <w:rFonts w:ascii="Arial" w:cs="Arial" w:eastAsia="Arial" w:hAnsi="Arial"/>
                <w:sz w:val="14"/>
                <w:szCs w:val="14"/>
                <w:color w:val="215AA8"/>
                <w:w w:val="99"/>
              </w:rPr>
              <w:t xml:space="preserve">•  </w:t>
            </w:r>
            <w:r>
              <w:rPr>
                <w:rFonts w:ascii="Arial" w:cs="Arial" w:eastAsia="Arial" w:hAnsi="Arial"/>
                <w:sz w:val="14"/>
                <w:szCs w:val="14"/>
                <w:color w:val="000000"/>
                <w:w w:val="99"/>
              </w:rPr>
              <w:t>This policy is broader than what is required by the recently amended listing standards</w:t>
            </w:r>
          </w:p>
        </w:tc>
        <w:tc>
          <w:tcPr>
            <w:tcW w:w="0" w:type="dxa"/>
            <w:vAlign w:val="bottom"/>
          </w:tcPr>
          <w:p>
            <w:pPr>
              <w:spacing w:after="0"/>
              <w:rPr>
                <w:sz w:val="1"/>
                <w:szCs w:val="1"/>
                <w:color w:val="auto"/>
              </w:rPr>
            </w:pPr>
          </w:p>
        </w:tc>
      </w:tr>
      <w:tr>
        <w:trPr>
          <w:trHeight w:val="176"/>
        </w:trPr>
        <w:tc>
          <w:tcPr>
            <w:tcW w:w="5560" w:type="dxa"/>
            <w:vAlign w:val="bottom"/>
            <w:tcBorders>
              <w:right w:val="single" w:sz="8" w:color="215AA8"/>
            </w:tcBorders>
          </w:tcPr>
          <w:p>
            <w:pPr>
              <w:ind w:left="320"/>
              <w:spacing w:after="0"/>
              <w:rPr>
                <w:sz w:val="20"/>
                <w:szCs w:val="20"/>
                <w:color w:val="auto"/>
              </w:rPr>
            </w:pPr>
            <w:r>
              <w:rPr>
                <w:rFonts w:ascii="Arial" w:cs="Arial" w:eastAsia="Arial" w:hAnsi="Arial"/>
                <w:sz w:val="14"/>
                <w:szCs w:val="14"/>
                <w:color w:val="auto"/>
              </w:rPr>
              <w:t>salaries.</w:t>
            </w:r>
          </w:p>
        </w:tc>
        <w:tc>
          <w:tcPr>
            <w:tcW w:w="5700" w:type="dxa"/>
            <w:vAlign w:val="bottom"/>
          </w:tcPr>
          <w:p>
            <w:pPr>
              <w:ind w:left="480"/>
              <w:spacing w:after="0"/>
              <w:rPr>
                <w:sz w:val="20"/>
                <w:szCs w:val="20"/>
                <w:color w:val="auto"/>
              </w:rPr>
            </w:pPr>
            <w:r>
              <w:rPr>
                <w:rFonts w:ascii="Arial" w:cs="Arial" w:eastAsia="Arial" w:hAnsi="Arial"/>
                <w:sz w:val="14"/>
                <w:szCs w:val="14"/>
                <w:color w:val="auto"/>
              </w:rPr>
              <w:t>of the Nasdaq Stock Market LLC.**</w:t>
            </w:r>
          </w:p>
        </w:tc>
        <w:tc>
          <w:tcPr>
            <w:tcW w:w="0" w:type="dxa"/>
            <w:vAlign w:val="bottom"/>
          </w:tcPr>
          <w:p>
            <w:pPr>
              <w:spacing w:after="0"/>
              <w:rPr>
                <w:sz w:val="1"/>
                <w:szCs w:val="1"/>
                <w:color w:val="auto"/>
              </w:rPr>
            </w:pPr>
          </w:p>
        </w:tc>
      </w:tr>
      <w:tr>
        <w:trPr>
          <w:trHeight w:val="206"/>
        </w:trPr>
        <w:tc>
          <w:tcPr>
            <w:tcW w:w="5560" w:type="dxa"/>
            <w:vAlign w:val="bottom"/>
            <w:tcBorders>
              <w:right w:val="single" w:sz="8" w:color="215AA8"/>
            </w:tcBorders>
          </w:tcPr>
          <w:p>
            <w:pPr>
              <w:ind w:left="160"/>
              <w:spacing w:after="0"/>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color w:val="000000"/>
              </w:rPr>
              <w:t>Our other NEOs must own shares with a value at least 2x their respective base</w:t>
            </w:r>
          </w:p>
        </w:tc>
        <w:tc>
          <w:tcPr>
            <w:tcW w:w="5700" w:type="dxa"/>
            <w:vAlign w:val="bottom"/>
          </w:tcPr>
          <w:p>
            <w:pPr>
              <w:ind w:left="140"/>
              <w:spacing w:after="0"/>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b w:val="1"/>
                <w:bCs w:val="1"/>
                <w:color w:val="215AA8"/>
              </w:rPr>
              <w:t>We prohibit our NEOs from hedging or pledging Regeneron securities they hold.</w:t>
            </w:r>
          </w:p>
        </w:tc>
        <w:tc>
          <w:tcPr>
            <w:tcW w:w="0" w:type="dxa"/>
            <w:vAlign w:val="bottom"/>
          </w:tcPr>
          <w:p>
            <w:pPr>
              <w:spacing w:after="0"/>
              <w:rPr>
                <w:sz w:val="1"/>
                <w:szCs w:val="1"/>
                <w:color w:val="auto"/>
              </w:rPr>
            </w:pPr>
          </w:p>
        </w:tc>
      </w:tr>
      <w:tr>
        <w:trPr>
          <w:trHeight w:val="176"/>
        </w:trPr>
        <w:tc>
          <w:tcPr>
            <w:tcW w:w="5560" w:type="dxa"/>
            <w:vAlign w:val="bottom"/>
            <w:tcBorders>
              <w:right w:val="single" w:sz="8" w:color="215AA8"/>
            </w:tcBorders>
          </w:tcPr>
          <w:p>
            <w:pPr>
              <w:ind w:left="320"/>
              <w:spacing w:after="0"/>
              <w:rPr>
                <w:sz w:val="20"/>
                <w:szCs w:val="20"/>
                <w:color w:val="auto"/>
              </w:rPr>
            </w:pPr>
            <w:r>
              <w:rPr>
                <w:rFonts w:ascii="Arial" w:cs="Arial" w:eastAsia="Arial" w:hAnsi="Arial"/>
                <w:sz w:val="14"/>
                <w:szCs w:val="14"/>
                <w:color w:val="auto"/>
              </w:rPr>
              <w:t>salaries.</w:t>
            </w:r>
          </w:p>
        </w:tc>
        <w:tc>
          <w:tcPr>
            <w:tcW w:w="5700" w:type="dxa"/>
            <w:vAlign w:val="bottom"/>
            <w:vMerge w:val="restart"/>
          </w:tcPr>
          <w:p>
            <w:pPr>
              <w:ind w:left="140"/>
              <w:spacing w:after="0"/>
              <w:rPr>
                <w:sz w:val="20"/>
                <w:szCs w:val="20"/>
                <w:color w:val="auto"/>
              </w:rPr>
            </w:pPr>
            <w:r>
              <w:rPr>
                <w:rFonts w:ascii="Arial" w:cs="Arial" w:eastAsia="Arial" w:hAnsi="Arial"/>
                <w:sz w:val="14"/>
                <w:szCs w:val="14"/>
                <w:color w:val="215AA8"/>
                <w:w w:val="97"/>
              </w:rPr>
              <w:t xml:space="preserve">•  </w:t>
            </w:r>
            <w:r>
              <w:rPr>
                <w:rFonts w:ascii="Arial" w:cs="Arial" w:eastAsia="Arial" w:hAnsi="Arial"/>
                <w:sz w:val="14"/>
                <w:szCs w:val="14"/>
                <w:b w:val="1"/>
                <w:bCs w:val="1"/>
                <w:color w:val="215AA8"/>
                <w:w w:val="97"/>
              </w:rPr>
              <w:t>We periodically evaluate each NEO’s grant history and prior grant size amounts, as</w:t>
            </w:r>
          </w:p>
        </w:tc>
        <w:tc>
          <w:tcPr>
            <w:tcW w:w="0" w:type="dxa"/>
            <w:vAlign w:val="bottom"/>
          </w:tcPr>
          <w:p>
            <w:pPr>
              <w:spacing w:after="0"/>
              <w:rPr>
                <w:sz w:val="1"/>
                <w:szCs w:val="1"/>
                <w:color w:val="auto"/>
              </w:rPr>
            </w:pPr>
          </w:p>
        </w:tc>
      </w:tr>
      <w:tr>
        <w:trPr>
          <w:trHeight w:val="58"/>
        </w:trPr>
        <w:tc>
          <w:tcPr>
            <w:tcW w:w="5560" w:type="dxa"/>
            <w:vAlign w:val="bottom"/>
            <w:tcBorders>
              <w:right w:val="single" w:sz="8" w:color="215AA8"/>
            </w:tcBorders>
          </w:tcPr>
          <w:p>
            <w:pPr>
              <w:spacing w:after="0"/>
              <w:rPr>
                <w:sz w:val="5"/>
                <w:szCs w:val="5"/>
                <w:color w:val="auto"/>
              </w:rPr>
            </w:pPr>
          </w:p>
        </w:tc>
        <w:tc>
          <w:tcPr>
            <w:tcW w:w="5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5560" w:type="dxa"/>
            <w:vAlign w:val="bottom"/>
            <w:tcBorders>
              <w:right w:val="single" w:sz="8" w:color="215AA8"/>
            </w:tcBorders>
          </w:tcPr>
          <w:p>
            <w:pPr>
              <w:spacing w:after="0" w:line="157" w:lineRule="exact"/>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b w:val="1"/>
                <w:bCs w:val="1"/>
                <w:color w:val="215AA8"/>
              </w:rPr>
              <w:t>In addition, PSUs awarded in 2020 require a three-year deferral and holding</w:t>
            </w:r>
          </w:p>
        </w:tc>
        <w:tc>
          <w:tcPr>
            <w:tcW w:w="5700" w:type="dxa"/>
            <w:vAlign w:val="bottom"/>
          </w:tcPr>
          <w:p>
            <w:pPr>
              <w:ind w:left="300"/>
              <w:spacing w:after="0" w:line="157" w:lineRule="exact"/>
              <w:rPr>
                <w:sz w:val="20"/>
                <w:szCs w:val="20"/>
                <w:color w:val="auto"/>
              </w:rPr>
            </w:pPr>
            <w:r>
              <w:rPr>
                <w:rFonts w:ascii="Arial" w:cs="Arial" w:eastAsia="Arial" w:hAnsi="Arial"/>
                <w:sz w:val="14"/>
                <w:szCs w:val="14"/>
                <w:b w:val="1"/>
                <w:bCs w:val="1"/>
                <w:color w:val="215AA8"/>
                <w:w w:val="99"/>
              </w:rPr>
              <w:t>well as the amount of outstanding unvested and/or vested but unexercised stock</w:t>
            </w:r>
          </w:p>
        </w:tc>
        <w:tc>
          <w:tcPr>
            <w:tcW w:w="0" w:type="dxa"/>
            <w:vAlign w:val="bottom"/>
          </w:tcPr>
          <w:p>
            <w:pPr>
              <w:spacing w:after="0"/>
              <w:rPr>
                <w:sz w:val="1"/>
                <w:szCs w:val="1"/>
                <w:color w:val="auto"/>
              </w:rPr>
            </w:pPr>
          </w:p>
        </w:tc>
      </w:tr>
      <w:tr>
        <w:trPr>
          <w:trHeight w:val="158"/>
        </w:trPr>
        <w:tc>
          <w:tcPr>
            <w:tcW w:w="5560" w:type="dxa"/>
            <w:vAlign w:val="bottom"/>
            <w:tcBorders>
              <w:right w:val="single" w:sz="8" w:color="215AA8"/>
            </w:tcBorders>
          </w:tcPr>
          <w:p>
            <w:pPr>
              <w:ind w:left="160"/>
              <w:spacing w:after="0" w:line="157" w:lineRule="exact"/>
              <w:rPr>
                <w:sz w:val="20"/>
                <w:szCs w:val="20"/>
                <w:color w:val="auto"/>
              </w:rPr>
            </w:pPr>
            <w:r>
              <w:rPr>
                <w:rFonts w:ascii="Arial" w:cs="Arial" w:eastAsia="Arial" w:hAnsi="Arial"/>
                <w:sz w:val="14"/>
                <w:szCs w:val="14"/>
                <w:b w:val="1"/>
                <w:bCs w:val="1"/>
                <w:color w:val="215AA8"/>
              </w:rPr>
              <w:t>period following vesting, except in certain limited circumstances.</w:t>
            </w:r>
          </w:p>
        </w:tc>
        <w:tc>
          <w:tcPr>
            <w:tcW w:w="5700" w:type="dxa"/>
            <w:vAlign w:val="bottom"/>
          </w:tcPr>
          <w:p>
            <w:pPr>
              <w:ind w:left="300"/>
              <w:spacing w:after="0" w:line="157" w:lineRule="exact"/>
              <w:rPr>
                <w:sz w:val="20"/>
                <w:szCs w:val="20"/>
                <w:color w:val="auto"/>
              </w:rPr>
            </w:pPr>
            <w:r>
              <w:rPr>
                <w:rFonts w:ascii="Arial" w:cs="Arial" w:eastAsia="Arial" w:hAnsi="Arial"/>
                <w:sz w:val="14"/>
                <w:szCs w:val="14"/>
                <w:b w:val="1"/>
                <w:bCs w:val="1"/>
                <w:color w:val="215AA8"/>
                <w:w w:val="96"/>
              </w:rPr>
              <w:t>options and other equity awards (if applicable) held, including whether such awards</w:t>
            </w:r>
          </w:p>
        </w:tc>
        <w:tc>
          <w:tcPr>
            <w:tcW w:w="0" w:type="dxa"/>
            <w:vAlign w:val="bottom"/>
          </w:tcPr>
          <w:p>
            <w:pPr>
              <w:spacing w:after="0"/>
              <w:rPr>
                <w:sz w:val="1"/>
                <w:szCs w:val="1"/>
                <w:color w:val="auto"/>
              </w:rPr>
            </w:pPr>
          </w:p>
        </w:tc>
      </w:tr>
      <w:tr>
        <w:trPr>
          <w:trHeight w:val="186"/>
        </w:trPr>
        <w:tc>
          <w:tcPr>
            <w:tcW w:w="5560" w:type="dxa"/>
            <w:vAlign w:val="bottom"/>
            <w:tcBorders>
              <w:right w:val="single" w:sz="8" w:color="215AA8"/>
            </w:tcBorders>
          </w:tcPr>
          <w:p>
            <w:pPr>
              <w:spacing w:after="0"/>
              <w:rPr>
                <w:sz w:val="16"/>
                <w:szCs w:val="16"/>
                <w:color w:val="auto"/>
              </w:rPr>
            </w:pPr>
          </w:p>
        </w:tc>
        <w:tc>
          <w:tcPr>
            <w:tcW w:w="5700" w:type="dxa"/>
            <w:vAlign w:val="bottom"/>
          </w:tcPr>
          <w:p>
            <w:pPr>
              <w:ind w:left="300"/>
              <w:spacing w:after="0"/>
              <w:rPr>
                <w:sz w:val="20"/>
                <w:szCs w:val="20"/>
                <w:color w:val="auto"/>
              </w:rPr>
            </w:pPr>
            <w:r>
              <w:rPr>
                <w:rFonts w:ascii="Arial" w:cs="Arial" w:eastAsia="Arial" w:hAnsi="Arial"/>
                <w:sz w:val="14"/>
                <w:szCs w:val="14"/>
                <w:b w:val="1"/>
                <w:bCs w:val="1"/>
                <w:color w:val="215AA8"/>
              </w:rPr>
              <w:t>are “in-the-money.”</w:t>
            </w:r>
          </w:p>
        </w:tc>
        <w:tc>
          <w:tcPr>
            <w:tcW w:w="0" w:type="dxa"/>
            <w:vAlign w:val="bottom"/>
          </w:tcPr>
          <w:p>
            <w:pPr>
              <w:spacing w:after="0"/>
              <w:rPr>
                <w:sz w:val="1"/>
                <w:szCs w:val="1"/>
                <w:color w:val="auto"/>
              </w:rPr>
            </w:pPr>
          </w:p>
        </w:tc>
      </w:tr>
      <w:tr>
        <w:trPr>
          <w:trHeight w:val="210"/>
        </w:trPr>
        <w:tc>
          <w:tcPr>
            <w:tcW w:w="5560" w:type="dxa"/>
            <w:vAlign w:val="bottom"/>
            <w:tcBorders>
              <w:right w:val="single" w:sz="8" w:color="215AA8"/>
            </w:tcBorders>
          </w:tcPr>
          <w:p>
            <w:pPr>
              <w:spacing w:after="0"/>
              <w:rPr>
                <w:sz w:val="18"/>
                <w:szCs w:val="18"/>
                <w:color w:val="auto"/>
              </w:rPr>
            </w:pPr>
          </w:p>
        </w:tc>
        <w:tc>
          <w:tcPr>
            <w:tcW w:w="5700" w:type="dxa"/>
            <w:vAlign w:val="bottom"/>
          </w:tcPr>
          <w:p>
            <w:pPr>
              <w:ind w:left="300"/>
              <w:spacing w:after="0"/>
              <w:rPr>
                <w:sz w:val="20"/>
                <w:szCs w:val="20"/>
                <w:color w:val="auto"/>
              </w:rPr>
            </w:pPr>
            <w:r>
              <w:rPr>
                <w:rFonts w:ascii="Arial" w:cs="Arial" w:eastAsia="Arial" w:hAnsi="Arial"/>
                <w:sz w:val="14"/>
                <w:szCs w:val="14"/>
                <w:color w:val="215AA8"/>
              </w:rPr>
              <w:t xml:space="preserve">•  </w:t>
            </w:r>
            <w:r>
              <w:rPr>
                <w:rFonts w:ascii="Arial" w:cs="Arial" w:eastAsia="Arial" w:hAnsi="Arial"/>
                <w:sz w:val="14"/>
                <w:szCs w:val="14"/>
                <w:color w:val="000000"/>
              </w:rPr>
              <w:t>These considerations inform future NEO grant sizes and the mix of equity awards</w:t>
            </w:r>
          </w:p>
        </w:tc>
        <w:tc>
          <w:tcPr>
            <w:tcW w:w="0" w:type="dxa"/>
            <w:vAlign w:val="bottom"/>
          </w:tcPr>
          <w:p>
            <w:pPr>
              <w:spacing w:after="0"/>
              <w:rPr>
                <w:sz w:val="1"/>
                <w:szCs w:val="1"/>
                <w:color w:val="auto"/>
              </w:rPr>
            </w:pPr>
          </w:p>
        </w:tc>
      </w:tr>
      <w:tr>
        <w:trPr>
          <w:trHeight w:val="157"/>
        </w:trPr>
        <w:tc>
          <w:tcPr>
            <w:tcW w:w="5560" w:type="dxa"/>
            <w:vAlign w:val="bottom"/>
            <w:tcBorders>
              <w:right w:val="single" w:sz="8" w:color="215AA8"/>
            </w:tcBorders>
          </w:tcPr>
          <w:p>
            <w:pPr>
              <w:spacing w:after="0"/>
              <w:rPr>
                <w:sz w:val="13"/>
                <w:szCs w:val="13"/>
                <w:color w:val="auto"/>
              </w:rPr>
            </w:pPr>
          </w:p>
        </w:tc>
        <w:tc>
          <w:tcPr>
            <w:tcW w:w="5700" w:type="dxa"/>
            <w:vAlign w:val="bottom"/>
          </w:tcPr>
          <w:p>
            <w:pPr>
              <w:ind w:left="480"/>
              <w:spacing w:after="0" w:line="157" w:lineRule="exact"/>
              <w:rPr>
                <w:sz w:val="20"/>
                <w:szCs w:val="20"/>
                <w:color w:val="auto"/>
              </w:rPr>
            </w:pPr>
            <w:r>
              <w:rPr>
                <w:rFonts w:ascii="Arial" w:cs="Arial" w:eastAsia="Arial" w:hAnsi="Arial"/>
                <w:sz w:val="14"/>
                <w:szCs w:val="14"/>
                <w:color w:val="auto"/>
              </w:rPr>
              <w:t>utilized.</w:t>
            </w:r>
          </w:p>
        </w:tc>
        <w:tc>
          <w:tcPr>
            <w:tcW w:w="0" w:type="dxa"/>
            <w:vAlign w:val="bottom"/>
          </w:tcPr>
          <w:p>
            <w:pPr>
              <w:spacing w:after="0"/>
              <w:rPr>
                <w:sz w:val="1"/>
                <w:szCs w:val="1"/>
                <w:color w:val="auto"/>
              </w:rPr>
            </w:pPr>
          </w:p>
        </w:tc>
      </w:tr>
      <w:tr>
        <w:trPr>
          <w:trHeight w:val="79"/>
        </w:trPr>
        <w:tc>
          <w:tcPr>
            <w:tcW w:w="5560" w:type="dxa"/>
            <w:vAlign w:val="bottom"/>
            <w:tcBorders>
              <w:bottom w:val="single" w:sz="8" w:color="215AA8"/>
            </w:tcBorders>
          </w:tcPr>
          <w:p>
            <w:pPr>
              <w:spacing w:after="0"/>
              <w:rPr>
                <w:sz w:val="6"/>
                <w:szCs w:val="6"/>
                <w:color w:val="auto"/>
              </w:rPr>
            </w:pPr>
          </w:p>
        </w:tc>
        <w:tc>
          <w:tcPr>
            <w:tcW w:w="5700" w:type="dxa"/>
            <w:vAlign w:val="bottom"/>
            <w:tcBorders>
              <w:bottom w:val="single" w:sz="8" w:color="215AA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-1664970</wp:posOffset>
            </wp:positionV>
            <wp:extent cx="214630" cy="2571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spacing w:after="0" w:line="28" w:lineRule="exact"/>
        <w:rPr>
          <w:sz w:val="20"/>
          <w:szCs w:val="20"/>
          <w:color w:val="auto"/>
        </w:rPr>
      </w:pPr>
    </w:p>
    <w:p>
      <w:pPr>
        <w:ind w:left="270" w:right="40" w:hanging="270"/>
        <w:spacing w:after="0" w:line="252" w:lineRule="auto"/>
        <w:tabs>
          <w:tab w:leader="none" w:pos="27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 the case of our CEO, this is subject to the terms of his employment agreement. See the subsection “Compensation Dashboard—2023 Executive Compensation Tables—Post-Employment Compensation— Leonard S. Schleifer, M.D., Ph.D. Employment Agreement.” In the case of our CSO, unvested stock options held by him will continue to vest following his qualified retirement (as defined in the applicable Company policy).</w:t>
      </w:r>
    </w:p>
    <w:p>
      <w:pPr>
        <w:spacing w:after="0" w:line="16" w:lineRule="exact"/>
        <w:rPr>
          <w:sz w:val="20"/>
          <w:szCs w:val="20"/>
          <w:color w:val="auto"/>
        </w:rPr>
      </w:pPr>
    </w:p>
    <w:p>
      <w:pPr>
        <w:ind w:left="270" w:hanging="270"/>
        <w:spacing w:after="0"/>
        <w:tabs>
          <w:tab w:leader="none" w:pos="27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See the subsection “Compensation Processes—Risk Assessment” below for further information about the recoupment (clawback) policy.</w:t>
      </w:r>
    </w:p>
    <w:p>
      <w:pPr>
        <w:spacing w:after="0" w:line="152" w:lineRule="exact"/>
        <w:rPr>
          <w:sz w:val="20"/>
          <w:szCs w:val="20"/>
          <w:color w:val="auto"/>
        </w:rPr>
      </w:pPr>
    </w:p>
    <w:p>
      <w:pPr>
        <w:ind w:left="10"/>
        <w:spacing w:after="0" w:line="238" w:lineRule="auto"/>
        <w:rPr>
          <w:sz w:val="20"/>
          <w:szCs w:val="20"/>
          <w:color w:val="auto"/>
        </w:rPr>
      </w:pPr>
      <w:r>
        <w:rPr>
          <w:rFonts w:ascii="Arial" w:cs="Arial" w:eastAsia="Arial" w:hAnsi="Arial"/>
          <w:sz w:val="14"/>
          <w:szCs w:val="14"/>
          <w:color w:val="auto"/>
        </w:rPr>
        <w:t>In applying this framework in 2023, the Compensation Committee determined to grant our NEOs the target grant date fair value of the equity awards shown in the table below, with 60% of the grant date fair value of each NEO award allocated to stock options and 40% to RSAs. Our CEO and CSO did not receive any equity awards in 2023, and no equity awards were granted to our former CFO due to his planned retirement in early 2024. The 2023 NEO annual equity awards were expressed in dollar terms (i.e., based on their grant date fair value). This approach allows for value delivery to be normalized and predictable year-over-year, an important consideration for the top talent we seek to attract and retain, and aligns with industry peers of similar size, maturity, and growth trajectory. It has also contributed to lowering the Company’s burn rate in recent years and helped address feedback relating to the levels of burn rate viewed as acceptable by some of our shareholders. In 2023, our burn rate was 2.69%, which marked the fifth consecutive year-over-year decrease (and the lowest level in over a decade) despite maintaining one of the broadest equity programs among our peers and increasing the number of our employees by 13% year-over-year.</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71</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type w:val="continuous"/>
        </w:sectPr>
      </w:pPr>
    </w:p>
    <w:bookmarkStart w:id="82" w:name="page83"/>
    <w:bookmarkEnd w:id="82"/>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2023 Annual Equity Awards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82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215AA8"/>
              </w:rPr>
              <w:t>Annual Stock Options</w:t>
            </w:r>
          </w:p>
        </w:tc>
        <w:tc>
          <w:tcPr>
            <w:tcW w:w="440" w:type="dxa"/>
            <w:vAlign w:val="bottom"/>
            <w:tcBorders>
              <w:bottom w:val="single" w:sz="8" w:color="215AA8"/>
            </w:tcBorders>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Borders>
              <w:bottom w:val="single" w:sz="8" w:color="215AA8"/>
            </w:tcBorders>
          </w:tcPr>
          <w:p>
            <w:pPr>
              <w:jc w:val="right"/>
              <w:ind w:right="112"/>
              <w:spacing w:after="0"/>
              <w:rPr>
                <w:sz w:val="20"/>
                <w:szCs w:val="20"/>
                <w:color w:val="auto"/>
              </w:rPr>
            </w:pPr>
            <w:r>
              <w:rPr>
                <w:rFonts w:ascii="Arial" w:cs="Arial" w:eastAsia="Arial" w:hAnsi="Arial"/>
                <w:sz w:val="14"/>
                <w:szCs w:val="14"/>
                <w:color w:val="215AA8"/>
              </w:rPr>
              <w:t>Annual RSAs</w:t>
            </w:r>
          </w:p>
        </w:tc>
        <w:tc>
          <w:tcPr>
            <w:tcW w:w="540" w:type="dxa"/>
            <w:vAlign w:val="bottom"/>
            <w:tcBorders>
              <w:bottom w:val="single" w:sz="8" w:color="215AA8"/>
            </w:tcBorders>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215AA8"/>
              </w:rPr>
              <w:t>Total</w:t>
            </w:r>
          </w:p>
        </w:tc>
      </w:tr>
      <w:tr>
        <w:trPr>
          <w:trHeight w:val="160"/>
        </w:trPr>
        <w:tc>
          <w:tcPr>
            <w:tcW w:w="4840" w:type="dxa"/>
            <w:vAlign w:val="bottom"/>
            <w:tcBorders>
              <w:bottom w:val="single" w:sz="8" w:color="215AA8"/>
            </w:tcBorders>
          </w:tcPr>
          <w:p>
            <w:pPr>
              <w:ind w:left="40"/>
              <w:spacing w:after="0" w:line="157" w:lineRule="exact"/>
              <w:rPr>
                <w:sz w:val="20"/>
                <w:szCs w:val="20"/>
                <w:color w:val="auto"/>
              </w:rPr>
            </w:pPr>
            <w:r>
              <w:rPr>
                <w:rFonts w:ascii="Arial" w:cs="Arial" w:eastAsia="Arial" w:hAnsi="Arial"/>
                <w:sz w:val="14"/>
                <w:szCs w:val="14"/>
                <w:color w:val="215AA8"/>
              </w:rPr>
              <w:t>Named Executive Officer</w:t>
            </w:r>
          </w:p>
        </w:tc>
        <w:tc>
          <w:tcPr>
            <w:tcW w:w="1820" w:type="dxa"/>
            <w:vAlign w:val="bottom"/>
            <w:tcBorders>
              <w:bottom w:val="single" w:sz="8" w:color="215AA8"/>
            </w:tcBorders>
          </w:tcPr>
          <w:p>
            <w:pPr>
              <w:jc w:val="right"/>
              <w:ind w:right="852"/>
              <w:spacing w:after="0" w:line="157" w:lineRule="exact"/>
              <w:rPr>
                <w:sz w:val="20"/>
                <w:szCs w:val="20"/>
                <w:color w:val="auto"/>
              </w:rPr>
            </w:pPr>
            <w:r>
              <w:rPr>
                <w:rFonts w:ascii="Arial" w:cs="Arial" w:eastAsia="Arial" w:hAnsi="Arial"/>
                <w:sz w:val="14"/>
                <w:szCs w:val="14"/>
                <w:color w:val="215AA8"/>
              </w:rPr>
              <w:t>($)***</w:t>
            </w:r>
          </w:p>
        </w:tc>
        <w:tc>
          <w:tcPr>
            <w:tcW w:w="440" w:type="dxa"/>
            <w:vAlign w:val="bottom"/>
            <w:tcBorders>
              <w:bottom w:val="single" w:sz="8" w:color="215AA8"/>
            </w:tcBorders>
          </w:tcPr>
          <w:p>
            <w:pPr>
              <w:jc w:val="right"/>
              <w:spacing w:after="0" w:line="157" w:lineRule="exact"/>
              <w:rPr>
                <w:sz w:val="20"/>
                <w:szCs w:val="20"/>
                <w:color w:val="auto"/>
              </w:rPr>
            </w:pPr>
            <w:r>
              <w:rPr>
                <w:rFonts w:ascii="Arial" w:cs="Arial" w:eastAsia="Arial" w:hAnsi="Arial"/>
                <w:sz w:val="14"/>
                <w:szCs w:val="14"/>
                <w:color w:val="215AA8"/>
              </w:rPr>
              <w:t>(#)</w:t>
            </w:r>
          </w:p>
        </w:tc>
        <w:tc>
          <w:tcPr>
            <w:tcW w:w="440" w:type="dxa"/>
            <w:vAlign w:val="bottom"/>
            <w:tcBorders>
              <w:bottom w:val="single" w:sz="8" w:color="215AA8"/>
            </w:tcBorders>
          </w:tcPr>
          <w:p>
            <w:pPr>
              <w:spacing w:after="0"/>
              <w:rPr>
                <w:sz w:val="13"/>
                <w:szCs w:val="13"/>
                <w:color w:val="auto"/>
              </w:rPr>
            </w:pPr>
          </w:p>
        </w:tc>
        <w:tc>
          <w:tcPr>
            <w:tcW w:w="1720" w:type="dxa"/>
            <w:vAlign w:val="bottom"/>
            <w:tcBorders>
              <w:bottom w:val="single" w:sz="8" w:color="215AA8"/>
            </w:tcBorders>
          </w:tcPr>
          <w:p>
            <w:pPr>
              <w:jc w:val="right"/>
              <w:ind w:right="752"/>
              <w:spacing w:after="0" w:line="157" w:lineRule="exact"/>
              <w:rPr>
                <w:sz w:val="20"/>
                <w:szCs w:val="20"/>
                <w:color w:val="auto"/>
              </w:rPr>
            </w:pPr>
            <w:r>
              <w:rPr>
                <w:rFonts w:ascii="Arial" w:cs="Arial" w:eastAsia="Arial" w:hAnsi="Arial"/>
                <w:sz w:val="14"/>
                <w:szCs w:val="14"/>
                <w:color w:val="215AA8"/>
              </w:rPr>
              <w:t>($)***</w:t>
            </w:r>
          </w:p>
        </w:tc>
        <w:tc>
          <w:tcPr>
            <w:tcW w:w="540" w:type="dxa"/>
            <w:vAlign w:val="bottom"/>
            <w:tcBorders>
              <w:bottom w:val="single" w:sz="8" w:color="215AA8"/>
            </w:tcBorders>
          </w:tcPr>
          <w:p>
            <w:pPr>
              <w:jc w:val="right"/>
              <w:spacing w:after="0" w:line="157" w:lineRule="exact"/>
              <w:rPr>
                <w:sz w:val="20"/>
                <w:szCs w:val="20"/>
                <w:color w:val="auto"/>
              </w:rPr>
            </w:pPr>
            <w:r>
              <w:rPr>
                <w:rFonts w:ascii="Arial" w:cs="Arial" w:eastAsia="Arial" w:hAnsi="Arial"/>
                <w:sz w:val="14"/>
                <w:szCs w:val="14"/>
                <w:color w:val="215AA8"/>
              </w:rPr>
              <w:t>(#)</w:t>
            </w:r>
          </w:p>
        </w:tc>
        <w:tc>
          <w:tcPr>
            <w:tcW w:w="360" w:type="dxa"/>
            <w:vAlign w:val="bottom"/>
            <w:tcBorders>
              <w:bottom w:val="single" w:sz="8" w:color="215AA8"/>
            </w:tcBorders>
          </w:tcPr>
          <w:p>
            <w:pPr>
              <w:spacing w:after="0"/>
              <w:rPr>
                <w:sz w:val="13"/>
                <w:szCs w:val="13"/>
                <w:color w:val="auto"/>
              </w:rPr>
            </w:pPr>
          </w:p>
        </w:tc>
        <w:tc>
          <w:tcPr>
            <w:tcW w:w="1100" w:type="dxa"/>
            <w:vAlign w:val="bottom"/>
            <w:tcBorders>
              <w:bottom w:val="single" w:sz="8" w:color="215AA8"/>
            </w:tcBorders>
          </w:tcPr>
          <w:p>
            <w:pPr>
              <w:jc w:val="right"/>
              <w:ind w:right="52"/>
              <w:spacing w:after="0" w:line="157" w:lineRule="exact"/>
              <w:rPr>
                <w:sz w:val="20"/>
                <w:szCs w:val="20"/>
                <w:color w:val="auto"/>
              </w:rPr>
            </w:pPr>
            <w:r>
              <w:rPr>
                <w:rFonts w:ascii="Arial" w:cs="Arial" w:eastAsia="Arial" w:hAnsi="Arial"/>
                <w:sz w:val="14"/>
                <w:szCs w:val="14"/>
                <w:color w:val="215AA8"/>
              </w:rPr>
              <w:t>($)***</w:t>
            </w:r>
          </w:p>
        </w:tc>
      </w:tr>
      <w:tr>
        <w:trPr>
          <w:trHeight w:val="158"/>
        </w:trPr>
        <w:tc>
          <w:tcPr>
            <w:tcW w:w="4840" w:type="dxa"/>
            <w:vAlign w:val="bottom"/>
            <w:tcBorders>
              <w:bottom w:val="single" w:sz="8" w:color="949599"/>
            </w:tcBorders>
          </w:tcPr>
          <w:p>
            <w:pPr>
              <w:ind w:left="40"/>
              <w:spacing w:after="0" w:line="157" w:lineRule="exact"/>
              <w:rPr>
                <w:sz w:val="20"/>
                <w:szCs w:val="20"/>
                <w:color w:val="auto"/>
              </w:rPr>
            </w:pPr>
            <w:r>
              <w:rPr>
                <w:rFonts w:ascii="Arial" w:cs="Arial" w:eastAsia="Arial" w:hAnsi="Arial"/>
                <w:sz w:val="14"/>
                <w:szCs w:val="14"/>
                <w:b w:val="1"/>
                <w:bCs w:val="1"/>
                <w:color w:val="215AA8"/>
              </w:rPr>
              <w:t>Leonard S. Schleifer, M.D., Ph.D.*</w:t>
            </w:r>
          </w:p>
        </w:tc>
        <w:tc>
          <w:tcPr>
            <w:tcW w:w="1820" w:type="dxa"/>
            <w:vAlign w:val="bottom"/>
            <w:tcBorders>
              <w:bottom w:val="single" w:sz="8" w:color="949599"/>
            </w:tcBorders>
          </w:tcPr>
          <w:p>
            <w:pPr>
              <w:jc w:val="right"/>
              <w:ind w:right="852"/>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gridSpan w:val="2"/>
          </w:tcPr>
          <w:p>
            <w:pPr>
              <w:jc w:val="right"/>
              <w:ind w:right="440"/>
              <w:spacing w:after="0" w:line="157" w:lineRule="exact"/>
              <w:rPr>
                <w:sz w:val="20"/>
                <w:szCs w:val="20"/>
                <w:color w:val="auto"/>
              </w:rPr>
            </w:pPr>
            <w:r>
              <w:rPr>
                <w:rFonts w:ascii="Arial" w:cs="Arial" w:eastAsia="Arial" w:hAnsi="Arial"/>
                <w:sz w:val="14"/>
                <w:szCs w:val="14"/>
                <w:color w:val="auto"/>
              </w:rPr>
              <w:t>–</w:t>
            </w:r>
          </w:p>
        </w:tc>
        <w:tc>
          <w:tcPr>
            <w:tcW w:w="1720" w:type="dxa"/>
            <w:vAlign w:val="bottom"/>
            <w:tcBorders>
              <w:bottom w:val="single" w:sz="8" w:color="949599"/>
            </w:tcBorders>
          </w:tcPr>
          <w:p>
            <w:pPr>
              <w:jc w:val="right"/>
              <w:ind w:right="752"/>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949599"/>
            </w:tcBorders>
            <w:gridSpan w:val="2"/>
          </w:tcPr>
          <w:p>
            <w:pPr>
              <w:jc w:val="right"/>
              <w:ind w:right="360"/>
              <w:spacing w:after="0" w:line="157"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949599"/>
            </w:tcBorders>
          </w:tcPr>
          <w:p>
            <w:pPr>
              <w:jc w:val="right"/>
              <w:ind w:right="52"/>
              <w:spacing w:after="0" w:line="157" w:lineRule="exact"/>
              <w:rPr>
                <w:sz w:val="20"/>
                <w:szCs w:val="20"/>
                <w:color w:val="auto"/>
              </w:rPr>
            </w:pPr>
            <w:r>
              <w:rPr>
                <w:rFonts w:ascii="Arial" w:cs="Arial" w:eastAsia="Arial" w:hAnsi="Arial"/>
                <w:sz w:val="14"/>
                <w:szCs w:val="14"/>
                <w:color w:val="auto"/>
              </w:rPr>
              <w:t>–</w:t>
            </w:r>
          </w:p>
        </w:tc>
      </w:tr>
      <w:tr>
        <w:trPr>
          <w:trHeight w:val="149"/>
        </w:trPr>
        <w:tc>
          <w:tcPr>
            <w:tcW w:w="4840" w:type="dxa"/>
            <w:vAlign w:val="bottom"/>
            <w:tcBorders>
              <w:bottom w:val="single" w:sz="8" w:color="949599"/>
            </w:tcBorders>
            <w:shd w:val="clear" w:color="auto" w:fill="ECEDED"/>
          </w:tcPr>
          <w:p>
            <w:pPr>
              <w:ind w:left="40"/>
              <w:spacing w:after="0" w:line="149" w:lineRule="exact"/>
              <w:rPr>
                <w:sz w:val="20"/>
                <w:szCs w:val="20"/>
                <w:color w:val="auto"/>
              </w:rPr>
            </w:pPr>
            <w:r>
              <w:rPr>
                <w:rFonts w:ascii="Arial" w:cs="Arial" w:eastAsia="Arial" w:hAnsi="Arial"/>
                <w:sz w:val="14"/>
                <w:szCs w:val="14"/>
                <w:b w:val="1"/>
                <w:bCs w:val="1"/>
                <w:color w:val="215AA8"/>
              </w:rPr>
              <w:t>George D. Yancopoulos, M.D., Ph.D.*</w:t>
            </w:r>
          </w:p>
        </w:tc>
        <w:tc>
          <w:tcPr>
            <w:tcW w:w="1820" w:type="dxa"/>
            <w:vAlign w:val="bottom"/>
            <w:tcBorders>
              <w:bottom w:val="single" w:sz="8" w:color="949599"/>
            </w:tcBorders>
            <w:shd w:val="clear" w:color="auto" w:fill="ECEDED"/>
          </w:tcPr>
          <w:p>
            <w:pPr>
              <w:jc w:val="right"/>
              <w:ind w:right="852"/>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gridSpan w:val="2"/>
            <w:shd w:val="clear" w:color="auto" w:fill="ECEDED"/>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720" w:type="dxa"/>
            <w:vAlign w:val="bottom"/>
            <w:tcBorders>
              <w:bottom w:val="single" w:sz="8" w:color="949599"/>
            </w:tcBorders>
            <w:shd w:val="clear" w:color="auto" w:fill="ECEDED"/>
          </w:tcPr>
          <w:p>
            <w:pPr>
              <w:jc w:val="right"/>
              <w:ind w:right="752"/>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949599"/>
            </w:tcBorders>
            <w:gridSpan w:val="2"/>
            <w:shd w:val="clear" w:color="auto" w:fill="ECEDED"/>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949599"/>
            </w:tcBorders>
            <w:shd w:val="clear" w:color="auto" w:fill="ECEDED"/>
          </w:tcPr>
          <w:p>
            <w:pPr>
              <w:jc w:val="right"/>
              <w:ind w:right="52"/>
              <w:spacing w:after="0" w:line="149" w:lineRule="exact"/>
              <w:rPr>
                <w:sz w:val="20"/>
                <w:szCs w:val="20"/>
                <w:color w:val="auto"/>
              </w:rPr>
            </w:pPr>
            <w:r>
              <w:rPr>
                <w:rFonts w:ascii="Arial" w:cs="Arial" w:eastAsia="Arial" w:hAnsi="Arial"/>
                <w:sz w:val="14"/>
                <w:szCs w:val="14"/>
                <w:color w:val="auto"/>
              </w:rPr>
              <w:t>–</w:t>
            </w:r>
          </w:p>
        </w:tc>
      </w:tr>
      <w:tr>
        <w:trPr>
          <w:trHeight w:val="149"/>
        </w:trPr>
        <w:tc>
          <w:tcPr>
            <w:tcW w:w="4840" w:type="dxa"/>
            <w:vAlign w:val="bottom"/>
            <w:tcBorders>
              <w:bottom w:val="single" w:sz="8" w:color="949599"/>
            </w:tcBorders>
          </w:tcPr>
          <w:p>
            <w:pPr>
              <w:ind w:left="40"/>
              <w:spacing w:after="0" w:line="149" w:lineRule="exact"/>
              <w:rPr>
                <w:sz w:val="20"/>
                <w:szCs w:val="20"/>
                <w:color w:val="auto"/>
              </w:rPr>
            </w:pPr>
            <w:r>
              <w:rPr>
                <w:rFonts w:ascii="Arial" w:cs="Arial" w:eastAsia="Arial" w:hAnsi="Arial"/>
                <w:sz w:val="14"/>
                <w:szCs w:val="14"/>
                <w:b w:val="1"/>
                <w:bCs w:val="1"/>
                <w:color w:val="215AA8"/>
              </w:rPr>
              <w:t>Robert E. Landry (</w:t>
            </w:r>
            <w:r>
              <w:rPr>
                <w:rFonts w:ascii="Arial" w:cs="Arial" w:eastAsia="Arial" w:hAnsi="Arial"/>
                <w:sz w:val="14"/>
                <w:szCs w:val="14"/>
                <w:b w:val="1"/>
                <w:bCs w:val="1"/>
                <w:i w:val="1"/>
                <w:iCs w:val="1"/>
                <w:color w:val="215AA8"/>
              </w:rPr>
              <w:t>retired</w:t>
            </w:r>
            <w:r>
              <w:rPr>
                <w:rFonts w:ascii="Arial" w:cs="Arial" w:eastAsia="Arial" w:hAnsi="Arial"/>
                <w:sz w:val="14"/>
                <w:szCs w:val="14"/>
                <w:b w:val="1"/>
                <w:bCs w:val="1"/>
                <w:color w:val="215AA8"/>
              </w:rPr>
              <w:t>)**</w:t>
            </w:r>
          </w:p>
        </w:tc>
        <w:tc>
          <w:tcPr>
            <w:tcW w:w="1820" w:type="dxa"/>
            <w:vAlign w:val="bottom"/>
            <w:tcBorders>
              <w:bottom w:val="single" w:sz="8" w:color="949599"/>
            </w:tcBorders>
          </w:tcPr>
          <w:p>
            <w:pPr>
              <w:jc w:val="right"/>
              <w:ind w:right="852"/>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720" w:type="dxa"/>
            <w:vAlign w:val="bottom"/>
            <w:tcBorders>
              <w:bottom w:val="single" w:sz="8" w:color="949599"/>
            </w:tcBorders>
          </w:tcPr>
          <w:p>
            <w:pPr>
              <w:jc w:val="right"/>
              <w:ind w:right="752"/>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949599"/>
            </w:tcBorders>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w:t>
            </w:r>
          </w:p>
        </w:tc>
      </w:tr>
      <w:tr>
        <w:trPr>
          <w:trHeight w:val="149"/>
        </w:trPr>
        <w:tc>
          <w:tcPr>
            <w:tcW w:w="4840" w:type="dxa"/>
            <w:vAlign w:val="bottom"/>
            <w:tcBorders>
              <w:bottom w:val="single" w:sz="8" w:color="949599"/>
            </w:tcBorders>
            <w:shd w:val="clear" w:color="auto" w:fill="ECEDED"/>
          </w:tcPr>
          <w:p>
            <w:pPr>
              <w:ind w:left="40"/>
              <w:spacing w:after="0" w:line="149" w:lineRule="exact"/>
              <w:rPr>
                <w:sz w:val="20"/>
                <w:szCs w:val="20"/>
                <w:color w:val="auto"/>
              </w:rPr>
            </w:pPr>
            <w:r>
              <w:rPr>
                <w:rFonts w:ascii="Arial" w:cs="Arial" w:eastAsia="Arial" w:hAnsi="Arial"/>
                <w:sz w:val="14"/>
                <w:szCs w:val="14"/>
                <w:b w:val="1"/>
                <w:bCs w:val="1"/>
                <w:color w:val="215AA8"/>
              </w:rPr>
              <w:t>Daniel P. Van Plew</w:t>
            </w:r>
          </w:p>
        </w:tc>
        <w:tc>
          <w:tcPr>
            <w:tcW w:w="1820" w:type="dxa"/>
            <w:vAlign w:val="bottom"/>
            <w:tcBorders>
              <w:bottom w:val="single" w:sz="8" w:color="949599"/>
            </w:tcBorders>
            <w:shd w:val="clear" w:color="auto" w:fill="ECEDED"/>
          </w:tcPr>
          <w:p>
            <w:pPr>
              <w:jc w:val="right"/>
              <w:ind w:right="852"/>
              <w:spacing w:after="0" w:line="149" w:lineRule="exact"/>
              <w:rPr>
                <w:sz w:val="20"/>
                <w:szCs w:val="20"/>
                <w:color w:val="auto"/>
              </w:rPr>
            </w:pPr>
            <w:r>
              <w:rPr>
                <w:rFonts w:ascii="Arial" w:cs="Arial" w:eastAsia="Arial" w:hAnsi="Arial"/>
                <w:sz w:val="14"/>
                <w:szCs w:val="14"/>
                <w:color w:val="auto"/>
              </w:rPr>
              <w:t>4,050,000</w:t>
            </w:r>
          </w:p>
        </w:tc>
        <w:tc>
          <w:tcPr>
            <w:tcW w:w="880" w:type="dxa"/>
            <w:vAlign w:val="bottom"/>
            <w:tcBorders>
              <w:bottom w:val="single" w:sz="8" w:color="949599"/>
            </w:tcBorders>
            <w:gridSpan w:val="2"/>
            <w:shd w:val="clear" w:color="auto" w:fill="ECEDED"/>
          </w:tcPr>
          <w:p>
            <w:pPr>
              <w:jc w:val="right"/>
              <w:ind w:right="440"/>
              <w:spacing w:after="0" w:line="149" w:lineRule="exact"/>
              <w:rPr>
                <w:sz w:val="20"/>
                <w:szCs w:val="20"/>
                <w:color w:val="auto"/>
              </w:rPr>
            </w:pPr>
            <w:r>
              <w:rPr>
                <w:rFonts w:ascii="Arial" w:cs="Arial" w:eastAsia="Arial" w:hAnsi="Arial"/>
                <w:sz w:val="14"/>
                <w:szCs w:val="14"/>
                <w:color w:val="auto"/>
                <w:w w:val="97"/>
              </w:rPr>
              <w:t>11,473</w:t>
            </w:r>
          </w:p>
        </w:tc>
        <w:tc>
          <w:tcPr>
            <w:tcW w:w="1720" w:type="dxa"/>
            <w:vAlign w:val="bottom"/>
            <w:tcBorders>
              <w:bottom w:val="single" w:sz="8" w:color="949599"/>
            </w:tcBorders>
            <w:shd w:val="clear" w:color="auto" w:fill="ECEDED"/>
          </w:tcPr>
          <w:p>
            <w:pPr>
              <w:jc w:val="right"/>
              <w:ind w:right="752"/>
              <w:spacing w:after="0" w:line="149" w:lineRule="exact"/>
              <w:rPr>
                <w:sz w:val="20"/>
                <w:szCs w:val="20"/>
                <w:color w:val="auto"/>
              </w:rPr>
            </w:pPr>
            <w:r>
              <w:rPr>
                <w:rFonts w:ascii="Arial" w:cs="Arial" w:eastAsia="Arial" w:hAnsi="Arial"/>
                <w:sz w:val="14"/>
                <w:szCs w:val="14"/>
                <w:color w:val="auto"/>
              </w:rPr>
              <w:t>2,700,000</w:t>
            </w:r>
          </w:p>
        </w:tc>
        <w:tc>
          <w:tcPr>
            <w:tcW w:w="900" w:type="dxa"/>
            <w:vAlign w:val="bottom"/>
            <w:tcBorders>
              <w:bottom w:val="single" w:sz="8" w:color="949599"/>
            </w:tcBorders>
            <w:gridSpan w:val="2"/>
            <w:shd w:val="clear" w:color="auto" w:fill="ECEDED"/>
          </w:tcPr>
          <w:p>
            <w:pPr>
              <w:jc w:val="right"/>
              <w:ind w:right="360"/>
              <w:spacing w:after="0" w:line="149" w:lineRule="exact"/>
              <w:rPr>
                <w:sz w:val="20"/>
                <w:szCs w:val="20"/>
                <w:color w:val="auto"/>
              </w:rPr>
            </w:pPr>
            <w:r>
              <w:rPr>
                <w:rFonts w:ascii="Arial" w:cs="Arial" w:eastAsia="Arial" w:hAnsi="Arial"/>
                <w:sz w:val="14"/>
                <w:szCs w:val="14"/>
                <w:color w:val="auto"/>
              </w:rPr>
              <w:t>3,199</w:t>
            </w:r>
          </w:p>
        </w:tc>
        <w:tc>
          <w:tcPr>
            <w:tcW w:w="1100" w:type="dxa"/>
            <w:vAlign w:val="bottom"/>
            <w:tcBorders>
              <w:bottom w:val="single" w:sz="8" w:color="949599"/>
            </w:tcBorders>
            <w:shd w:val="clear" w:color="auto" w:fill="ECEDED"/>
          </w:tcPr>
          <w:p>
            <w:pPr>
              <w:jc w:val="right"/>
              <w:ind w:right="52"/>
              <w:spacing w:after="0" w:line="149" w:lineRule="exact"/>
              <w:rPr>
                <w:sz w:val="20"/>
                <w:szCs w:val="20"/>
                <w:color w:val="auto"/>
              </w:rPr>
            </w:pPr>
            <w:r>
              <w:rPr>
                <w:rFonts w:ascii="Arial" w:cs="Arial" w:eastAsia="Arial" w:hAnsi="Arial"/>
                <w:sz w:val="14"/>
                <w:szCs w:val="14"/>
                <w:color w:val="auto"/>
              </w:rPr>
              <w:t>6,750,000</w:t>
            </w:r>
          </w:p>
        </w:tc>
      </w:tr>
      <w:tr>
        <w:trPr>
          <w:trHeight w:val="151"/>
        </w:trPr>
        <w:tc>
          <w:tcPr>
            <w:tcW w:w="4840" w:type="dxa"/>
            <w:vAlign w:val="bottom"/>
            <w:tcBorders>
              <w:bottom w:val="single" w:sz="8" w:color="215AA8"/>
            </w:tcBorders>
          </w:tcPr>
          <w:p>
            <w:pPr>
              <w:ind w:left="40"/>
              <w:spacing w:after="0" w:line="149" w:lineRule="exact"/>
              <w:rPr>
                <w:sz w:val="20"/>
                <w:szCs w:val="20"/>
                <w:color w:val="auto"/>
              </w:rPr>
            </w:pPr>
            <w:r>
              <w:rPr>
                <w:rFonts w:ascii="Arial" w:cs="Arial" w:eastAsia="Arial" w:hAnsi="Arial"/>
                <w:sz w:val="14"/>
                <w:szCs w:val="14"/>
                <w:b w:val="1"/>
                <w:bCs w:val="1"/>
                <w:color w:val="215AA8"/>
              </w:rPr>
              <w:t>Andrew J. Murphy, Ph.D.</w:t>
            </w:r>
          </w:p>
        </w:tc>
        <w:tc>
          <w:tcPr>
            <w:tcW w:w="1820" w:type="dxa"/>
            <w:vAlign w:val="bottom"/>
            <w:tcBorders>
              <w:bottom w:val="single" w:sz="8" w:color="215AA8"/>
            </w:tcBorders>
          </w:tcPr>
          <w:p>
            <w:pPr>
              <w:jc w:val="right"/>
              <w:ind w:right="852"/>
              <w:spacing w:after="0" w:line="149" w:lineRule="exact"/>
              <w:rPr>
                <w:sz w:val="20"/>
                <w:szCs w:val="20"/>
                <w:color w:val="auto"/>
              </w:rPr>
            </w:pPr>
            <w:r>
              <w:rPr>
                <w:rFonts w:ascii="Arial" w:cs="Arial" w:eastAsia="Arial" w:hAnsi="Arial"/>
                <w:sz w:val="14"/>
                <w:szCs w:val="14"/>
                <w:color w:val="auto"/>
              </w:rPr>
              <w:t>4,050,000</w:t>
            </w:r>
          </w:p>
        </w:tc>
        <w:tc>
          <w:tcPr>
            <w:tcW w:w="880" w:type="dxa"/>
            <w:vAlign w:val="bottom"/>
            <w:tcBorders>
              <w:bottom w:val="single" w:sz="8" w:color="215AA8"/>
            </w:tcBorders>
            <w:gridSpan w:val="2"/>
          </w:tcPr>
          <w:p>
            <w:pPr>
              <w:jc w:val="right"/>
              <w:ind w:right="440"/>
              <w:spacing w:after="0" w:line="149" w:lineRule="exact"/>
              <w:rPr>
                <w:sz w:val="20"/>
                <w:szCs w:val="20"/>
                <w:color w:val="auto"/>
              </w:rPr>
            </w:pPr>
            <w:r>
              <w:rPr>
                <w:rFonts w:ascii="Arial" w:cs="Arial" w:eastAsia="Arial" w:hAnsi="Arial"/>
                <w:sz w:val="14"/>
                <w:szCs w:val="14"/>
                <w:color w:val="auto"/>
                <w:w w:val="97"/>
              </w:rPr>
              <w:t>11,473</w:t>
            </w:r>
          </w:p>
        </w:tc>
        <w:tc>
          <w:tcPr>
            <w:tcW w:w="1720" w:type="dxa"/>
            <w:vAlign w:val="bottom"/>
            <w:tcBorders>
              <w:bottom w:val="single" w:sz="8" w:color="215AA8"/>
            </w:tcBorders>
          </w:tcPr>
          <w:p>
            <w:pPr>
              <w:jc w:val="right"/>
              <w:ind w:right="752"/>
              <w:spacing w:after="0" w:line="149" w:lineRule="exact"/>
              <w:rPr>
                <w:sz w:val="20"/>
                <w:szCs w:val="20"/>
                <w:color w:val="auto"/>
              </w:rPr>
            </w:pPr>
            <w:r>
              <w:rPr>
                <w:rFonts w:ascii="Arial" w:cs="Arial" w:eastAsia="Arial" w:hAnsi="Arial"/>
                <w:sz w:val="14"/>
                <w:szCs w:val="14"/>
                <w:color w:val="auto"/>
              </w:rPr>
              <w:t>2,700,000</w:t>
            </w:r>
          </w:p>
        </w:tc>
        <w:tc>
          <w:tcPr>
            <w:tcW w:w="900" w:type="dxa"/>
            <w:vAlign w:val="bottom"/>
            <w:tcBorders>
              <w:bottom w:val="single" w:sz="8" w:color="215AA8"/>
            </w:tcBorders>
            <w:gridSpan w:val="2"/>
          </w:tcPr>
          <w:p>
            <w:pPr>
              <w:jc w:val="right"/>
              <w:ind w:right="360"/>
              <w:spacing w:after="0" w:line="149" w:lineRule="exact"/>
              <w:rPr>
                <w:sz w:val="20"/>
                <w:szCs w:val="20"/>
                <w:color w:val="auto"/>
              </w:rPr>
            </w:pPr>
            <w:r>
              <w:rPr>
                <w:rFonts w:ascii="Arial" w:cs="Arial" w:eastAsia="Arial" w:hAnsi="Arial"/>
                <w:sz w:val="14"/>
                <w:szCs w:val="14"/>
                <w:color w:val="auto"/>
              </w:rPr>
              <w:t>3,199</w:t>
            </w:r>
          </w:p>
        </w:tc>
        <w:tc>
          <w:tcPr>
            <w:tcW w:w="1100" w:type="dxa"/>
            <w:vAlign w:val="bottom"/>
            <w:tcBorders>
              <w:bottom w:val="single" w:sz="8" w:color="215AA8"/>
            </w:tcBorders>
          </w:tcPr>
          <w:p>
            <w:pPr>
              <w:jc w:val="right"/>
              <w:ind w:right="52"/>
              <w:spacing w:after="0" w:line="149" w:lineRule="exact"/>
              <w:rPr>
                <w:sz w:val="20"/>
                <w:szCs w:val="20"/>
                <w:color w:val="auto"/>
              </w:rPr>
            </w:pPr>
            <w:r>
              <w:rPr>
                <w:rFonts w:ascii="Arial" w:cs="Arial" w:eastAsia="Arial" w:hAnsi="Arial"/>
                <w:sz w:val="14"/>
                <w:szCs w:val="14"/>
                <w:color w:val="auto"/>
              </w:rPr>
              <w:t>6,750,000</w:t>
            </w:r>
          </w:p>
        </w:tc>
      </w:tr>
    </w:tbl>
    <w:p>
      <w:pPr>
        <w:spacing w:after="0" w:line="48" w:lineRule="exact"/>
        <w:rPr>
          <w:sz w:val="20"/>
          <w:szCs w:val="20"/>
          <w:color w:val="auto"/>
        </w:rPr>
      </w:pPr>
    </w:p>
    <w:p>
      <w:pPr>
        <w:ind w:left="270" w:hanging="270"/>
        <w:spacing w:after="0"/>
        <w:tabs>
          <w:tab w:leader="none" w:pos="27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Drs. Schleifer and Yancopoulos did not receive any equity awards in 2023. See “Update on 2020 PSU Awards” below for more information.</w:t>
      </w:r>
    </w:p>
    <w:p>
      <w:pPr>
        <w:spacing w:after="0" w:line="42" w:lineRule="exact"/>
        <w:rPr>
          <w:sz w:val="20"/>
          <w:szCs w:val="20"/>
          <w:color w:val="auto"/>
        </w:rPr>
      </w:pPr>
    </w:p>
    <w:p>
      <w:pPr>
        <w:ind w:left="270" w:hanging="270"/>
        <w:spacing w:after="0"/>
        <w:tabs>
          <w:tab w:leader="none" w:pos="27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Mr. Landry did not receive any equity awards in 2023 in light of the September 2023 announcement of his planned retirement from the Company effective February 2024.</w:t>
      </w:r>
    </w:p>
    <w:p>
      <w:pPr>
        <w:spacing w:after="0" w:line="42" w:lineRule="exact"/>
        <w:rPr>
          <w:rFonts w:ascii="Arial" w:cs="Arial" w:eastAsia="Arial" w:hAnsi="Arial"/>
          <w:sz w:val="12"/>
          <w:szCs w:val="12"/>
          <w:color w:val="auto"/>
        </w:rPr>
      </w:pPr>
    </w:p>
    <w:p>
      <w:pPr>
        <w:ind w:left="270" w:right="80" w:hanging="270"/>
        <w:spacing w:after="0" w:line="270" w:lineRule="auto"/>
        <w:tabs>
          <w:tab w:leader="none" w:pos="27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Represents the target grant date fair value of the awards. See “Compensation Dashboard—2023 Executive Compensation Tables—2023 Summary Compensation Table” for the actual grant date fair value of such awards.</w:t>
      </w:r>
    </w:p>
    <w:p>
      <w:pPr>
        <w:spacing w:after="0" w:line="115" w:lineRule="exact"/>
        <w:rPr>
          <w:sz w:val="20"/>
          <w:szCs w:val="20"/>
          <w:color w:val="auto"/>
        </w:rPr>
      </w:pPr>
    </w:p>
    <w:p>
      <w:pPr>
        <w:ind w:left="10" w:right="320"/>
        <w:spacing w:after="0" w:line="257" w:lineRule="auto"/>
        <w:rPr>
          <w:sz w:val="20"/>
          <w:szCs w:val="20"/>
          <w:color w:val="auto"/>
        </w:rPr>
      </w:pPr>
      <w:r>
        <w:rPr>
          <w:rFonts w:ascii="Arial" w:cs="Arial" w:eastAsia="Arial" w:hAnsi="Arial"/>
          <w:sz w:val="14"/>
          <w:szCs w:val="14"/>
          <w:color w:val="auto"/>
        </w:rPr>
        <w:t>All of the equity awards granted to the NEOs in 2023 are subject to the Company’s policy regarding recoupment or reduction (clawback) of incentive compensation (as supplemented in 2023 to comply with amended listing standards of the Nasdaq Stock Market LLC), including after such awards have been earned/vested.</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Annual Stock Option Awards</w:t>
      </w:r>
    </w:p>
    <w:p>
      <w:pPr>
        <w:spacing w:after="0" w:line="166" w:lineRule="exact"/>
        <w:rPr>
          <w:sz w:val="20"/>
          <w:szCs w:val="20"/>
          <w:color w:val="auto"/>
        </w:rPr>
      </w:pPr>
    </w:p>
    <w:p>
      <w:pPr>
        <w:ind w:left="10" w:right="40"/>
        <w:spacing w:after="0"/>
        <w:rPr>
          <w:sz w:val="20"/>
          <w:szCs w:val="20"/>
          <w:color w:val="auto"/>
        </w:rPr>
      </w:pPr>
      <w:r>
        <w:rPr>
          <w:rFonts w:ascii="Arial" w:cs="Arial" w:eastAsia="Arial" w:hAnsi="Arial"/>
          <w:sz w:val="14"/>
          <w:szCs w:val="14"/>
          <w:color w:val="auto"/>
        </w:rPr>
        <w:t>Stock options represented 60% of the grant date fair value of the annual equity awards for each of the NEOs who received such awards in 2023. The use of stock options for 2023 annual equity awards to these NEOs was based on our long-held view that stock options are a useful compensation tool when used thoughtfully as part of a well-designed compensation program because they are inherently performance-based, requiring stock price appreciation before there is any real value earned, and simple. No amount of time will make a stock option deliver any value unless the company’s stock price increases. In addition, stock options incentivize these NEOs to take actions that increase shareholder value over the entire 10-year option term, which we believe is consistent with the drug discovery and development cycle.</w:t>
      </w:r>
    </w:p>
    <w:p>
      <w:pPr>
        <w:spacing w:after="0" w:line="141" w:lineRule="exact"/>
        <w:rPr>
          <w:sz w:val="20"/>
          <w:szCs w:val="20"/>
          <w:color w:val="auto"/>
        </w:rPr>
      </w:pPr>
    </w:p>
    <w:p>
      <w:pPr>
        <w:ind w:left="10" w:right="180"/>
        <w:spacing w:after="0" w:line="242" w:lineRule="auto"/>
        <w:rPr>
          <w:sz w:val="20"/>
          <w:szCs w:val="20"/>
          <w:color w:val="auto"/>
        </w:rPr>
      </w:pPr>
      <w:r>
        <w:rPr>
          <w:rFonts w:ascii="Arial" w:cs="Arial" w:eastAsia="Arial" w:hAnsi="Arial"/>
          <w:sz w:val="14"/>
          <w:szCs w:val="14"/>
          <w:color w:val="auto"/>
        </w:rPr>
        <w:t>Stock options awarded to our NEOs in 2023 have an exercise price of $843.79 per share, the average of the high and low sales price per share of our common stock as quoted on the Nasdaq Global Select Market on the date of grant. These grants consist of non-qualified stock options and vest ratably over a period of four years. Except as set forth below in the subsection “Compensation Dashboard—2023 Executive Compensation Tables—Post-Employment Compensation,” stock option vesting ceases, and unvested stock options are forfeited, upon termination of employment.</w:t>
      </w:r>
    </w:p>
    <w:p>
      <w:pPr>
        <w:spacing w:after="0" w:line="22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Annual RSAs</w:t>
      </w:r>
    </w:p>
    <w:p>
      <w:pPr>
        <w:spacing w:after="0" w:line="166" w:lineRule="exact"/>
        <w:rPr>
          <w:sz w:val="20"/>
          <w:szCs w:val="20"/>
          <w:color w:val="auto"/>
        </w:rPr>
      </w:pPr>
    </w:p>
    <w:p>
      <w:pPr>
        <w:ind w:left="10" w:right="40"/>
        <w:spacing w:after="0" w:line="242" w:lineRule="auto"/>
        <w:rPr>
          <w:sz w:val="20"/>
          <w:szCs w:val="20"/>
          <w:color w:val="auto"/>
        </w:rPr>
      </w:pPr>
      <w:r>
        <w:rPr>
          <w:rFonts w:ascii="Arial" w:cs="Arial" w:eastAsia="Arial" w:hAnsi="Arial"/>
          <w:sz w:val="14"/>
          <w:szCs w:val="14"/>
          <w:color w:val="auto"/>
        </w:rPr>
        <w:t>Time-based RSAs represented 40% of the grant date fair value of the annual equity award for each of the NEOs who received such awards in 2023. In continuing to use RSAs/RSUs as a component of the equity award mix for the 2023 annual equity awards to our NEOs and other employees, the Compensation Committee took into account, among other factors, shareholder feedback about the annual rate of equity compensation dilution, retention considerations, and employee input. The RSAs vest 50% on the second anniversary of the date of grant and 50% on the fourth anniversary of the date of grant, which is a more backloaded vesting schedule than is typical in the industry.</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72</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Update on 2020 PSU Awards</w:t>
      </w:r>
    </w:p>
    <w:p>
      <w:pPr>
        <w:spacing w:after="0" w:line="166" w:lineRule="exact"/>
        <w:rPr>
          <w:sz w:val="20"/>
          <w:szCs w:val="20"/>
          <w:color w:val="auto"/>
        </w:rPr>
      </w:pPr>
    </w:p>
    <w:p>
      <w:pPr>
        <w:jc w:val="both"/>
        <w:ind w:right="100"/>
        <w:spacing w:after="0" w:line="242" w:lineRule="auto"/>
        <w:rPr>
          <w:sz w:val="20"/>
          <w:szCs w:val="20"/>
          <w:color w:val="auto"/>
        </w:rPr>
      </w:pPr>
      <w:r>
        <w:rPr>
          <w:rFonts w:ascii="Arial" w:cs="Arial" w:eastAsia="Arial" w:hAnsi="Arial"/>
          <w:sz w:val="14"/>
          <w:szCs w:val="14"/>
          <w:color w:val="auto"/>
        </w:rPr>
        <w:t>As previously disclosed, in 2020 our CEO and CSO received front-loaded PSU awards in lieu of five years’ worth of annual equity awards (2020 through 2024). Consistent with the board’s commitment to grant no additional equity awards to our CEO or CSO until the Company’s regular year-end grant cycle in December 2025, the Compensation Committee granted no equity awards to our CEO or CSO in 2023 or the prior two years. In recent shareholder engagement cycles, a number of investors expressed an interest in receiving an update on performance to date as it relates to the 2020 PSUs. We have included the disclosure below to address this request.</w:t>
      </w:r>
    </w:p>
    <w:p>
      <w:pPr>
        <w:spacing w:after="0" w:line="139"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In designing the 2020 PSU awards, the Compensation Committee and the non-employee members of our board intentionally set challenging goals that would require extraordinary success in our scientific endeavors and business execution. The results to date suggest the awards have been working in the way they were intended. Over the first three years of the five-year performance period (2021-2023), our stock delivered a cumulative TSR of 82%, thanks in large part to the business achievements since the date of grant (including those summarized above in the subsection “Compensation Program Overview — 2023 Business Highlights”).</w:t>
      </w:r>
    </w:p>
    <w:p>
      <w:pPr>
        <w:spacing w:after="0" w:line="139"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Commencing on December 31, 2023, the third anniversary of the date of grant, the PSUs became eligible for earnout at levels above the threshold performance level. As of December 31, 2023, 128.27% of the target number of the 2020 PSUs granted to each recipient (248,108 PSUs), or 318,248 PSUs, had been earned based on the average closing price of the Company’s common stock over the preceding 20 consecutive trading days ($851.06) and are eligible to vest in December 2025, subject to continued service. See Appendix B for more information about the performance goals underlying the 2020 PSUs and the corresponding earnout levels. To the extent any earned PSUs subsequently vest in December 2025, they will remain (on an after-tax basis) subject to an additional three-year deferral and holding period until December 2028. The eight-year life of these awards is of longer duration than is typical in our industry and the broader market and was consciously selected by the Compensation Committee to further our corporate culture and pay philosophy through alignment with the drug discovery and development cycle and long-term shareholder value creation.</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Perquisites and Personal Benefits</w:t>
      </w:r>
    </w:p>
    <w:p>
      <w:pPr>
        <w:spacing w:after="0" w:line="174"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Similar to our other employees, our NEOs may participate in Company-wide health, disability, life insurance, and other benefit plans, as well as our 401(k) Savings Plan (including matching contributions). See details concerning the 401(k) Savings Plan in the subsection “Compensation Dashboard—Additional Compensation Information—Perquisites and Personal Benefits.” Our NEOs are also eligible to receive financial and tax planning assistance, which are taxable benefits.</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In addition, our CEO is entitled to life insurance, long-term disability, medical malpractice insurance premiums, and additional tax and financial planning services pursuant to his employment agreement. These are described in footnote 4 to the Summary Compensation Table.</w:t>
      </w:r>
    </w:p>
    <w:p>
      <w:pPr>
        <w:spacing w:after="0" w:line="128"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Our CEO and CSO are also eligible for various benefits under our board-approved security policy, the purpose of which is to ensure increased efficiencies and provide a more secure environment for these executives. Based on the recommendation of an independent, third-party security study, our security policy and related guidelines require our CEO and CSO (as well as their spouses and children when they accompany them) to use, as much as practicable, Company-provided aircraft for all business and personal air travel. The security policy also provides for other security services consisting of secure car transportation, on-site residential security at the primary residence for each of Drs. Schleifer and Yancopoulos, and 24/7 personal security services for each of Drs. Schleifer and Yancopoulos.</w:t>
      </w:r>
    </w:p>
    <w:p>
      <w:pPr>
        <w:spacing w:after="0" w:line="141"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In 2023, we paid filing fees of $400,000 for each of our CEO and CSO relating to Hart-Scott-Rodino filings, as well as an additional payment to each of our CEO and CSO to make them whole for income taxes imposed on account of such filing fee payments. Each filing (along with the associated filing fee) was triggered under the Hart-Scott-Rodino regulations as a result of their respective then-current and anticipated future total holdings of Regeneron stock exceeding a specified threshold. The main rationale for the Company’s payment of these fees and related income tax liability was that the filing obligations resulted from equity awards granted to these executives under the Company’s compensation program and the price appreciation in Regeneron stock over a period of time during which they made substantial contributions toward such appreciation. This approach was consistent with the Company’s past practice with respect to Hart-Scott-Rodino filings required to be filed by Company executives and/or directors.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73</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84" w:name="page85"/>
    <w:bookmarkEnd w:id="84"/>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39" w:lineRule="exact"/>
        <w:rPr>
          <w:sz w:val="20"/>
          <w:szCs w:val="20"/>
          <w:color w:val="auto"/>
        </w:rPr>
      </w:pPr>
    </w:p>
    <w:p>
      <w:pPr>
        <w:jc w:val="both"/>
        <w:ind w:left="10" w:right="40"/>
        <w:spacing w:after="0" w:line="257" w:lineRule="auto"/>
        <w:rPr>
          <w:sz w:val="20"/>
          <w:szCs w:val="20"/>
          <w:color w:val="auto"/>
        </w:rPr>
      </w:pPr>
      <w:r>
        <w:rPr>
          <w:rFonts w:ascii="Arial" w:cs="Arial" w:eastAsia="Arial" w:hAnsi="Arial"/>
          <w:sz w:val="14"/>
          <w:szCs w:val="14"/>
          <w:color w:val="auto"/>
        </w:rPr>
        <w:t>Additional information regarding perquisites and other personal benefits provided to our NEOs in, or with respect to, 2023 is given in the applicable footnotes to the Summary Compensation Table and in the subsection “Compensation Dashboard—Additional Compensation Information—Perquisites and Personal Benefits.”</w:t>
      </w:r>
    </w:p>
    <w:p>
      <w:pPr>
        <w:spacing w:after="0" w:line="219"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Potential Severance Payments</w:t>
      </w:r>
    </w:p>
    <w:p>
      <w:pPr>
        <w:spacing w:after="0" w:line="174" w:lineRule="exact"/>
        <w:rPr>
          <w:sz w:val="20"/>
          <w:szCs w:val="20"/>
          <w:color w:val="auto"/>
        </w:rPr>
      </w:pPr>
    </w:p>
    <w:p>
      <w:pPr>
        <w:ind w:left="10" w:right="120"/>
        <w:spacing w:after="0" w:line="246" w:lineRule="auto"/>
        <w:rPr>
          <w:sz w:val="20"/>
          <w:szCs w:val="20"/>
          <w:color w:val="auto"/>
        </w:rPr>
      </w:pPr>
      <w:r>
        <w:rPr>
          <w:rFonts w:ascii="Arial" w:cs="Arial" w:eastAsia="Arial" w:hAnsi="Arial"/>
          <w:sz w:val="14"/>
          <w:szCs w:val="14"/>
          <w:color w:val="auto"/>
        </w:rPr>
        <w:t>Our NEOs are entitled to certain severance benefits upon the voluntary or involuntary termination of their employment, as discussed further in the subsection “Compensation Dashboard— Additional Compensation Information—Potential Severance Payments.” Please note the following with respect to the change-in-control and other severance provisions applicable to our NEOs and other employees:</w:t>
      </w:r>
    </w:p>
    <w:p>
      <w:pPr>
        <w:spacing w:after="0" w:line="135" w:lineRule="exact"/>
        <w:rPr>
          <w:sz w:val="20"/>
          <w:szCs w:val="20"/>
          <w:color w:val="auto"/>
        </w:rPr>
      </w:pPr>
    </w:p>
    <w:p>
      <w:pPr>
        <w:ind w:left="150" w:right="40" w:hanging="150"/>
        <w:spacing w:after="0" w:line="246" w:lineRule="auto"/>
        <w:tabs>
          <w:tab w:leader="none" w:pos="150" w:val="left"/>
        </w:tabs>
        <w:numPr>
          <w:ilvl w:val="0"/>
          <w:numId w:val="116"/>
        </w:numPr>
        <w:rPr>
          <w:rFonts w:ascii="Arial" w:cs="Arial" w:eastAsia="Arial" w:hAnsi="Arial"/>
          <w:sz w:val="14"/>
          <w:szCs w:val="14"/>
          <w:color w:val="215AA8"/>
        </w:rPr>
      </w:pPr>
      <w:r>
        <w:rPr>
          <w:rFonts w:ascii="Arial" w:cs="Arial" w:eastAsia="Arial" w:hAnsi="Arial"/>
          <w:sz w:val="14"/>
          <w:szCs w:val="14"/>
          <w:color w:val="auto"/>
        </w:rPr>
        <w:t xml:space="preserve">Outstanding equity award agreements (with the exceptions and qualifications described in the subsection “Compensation Dashboard—Additional Compensation Information—Potential Severance Payments”) for all employees include a governance best-practice </w:t>
      </w:r>
      <w:r>
        <w:rPr>
          <w:rFonts w:ascii="Arial" w:cs="Arial" w:eastAsia="Arial" w:hAnsi="Arial"/>
          <w:sz w:val="14"/>
          <w:szCs w:val="14"/>
          <w:b w:val="1"/>
          <w:bCs w:val="1"/>
          <w:color w:val="auto"/>
        </w:rPr>
        <w:t>“double trigger”</w:t>
      </w:r>
      <w:r>
        <w:rPr>
          <w:rFonts w:ascii="Arial" w:cs="Arial" w:eastAsia="Arial" w:hAnsi="Arial"/>
          <w:sz w:val="14"/>
          <w:szCs w:val="14"/>
          <w:color w:val="auto"/>
        </w:rPr>
        <w:t xml:space="preserve"> provision for the acceleration of vesting of awards granted thereunder only upon a without-cause termination by the Company within two years of a change in control.</w:t>
      </w:r>
    </w:p>
    <w:p>
      <w:pPr>
        <w:spacing w:after="0" w:line="43" w:lineRule="exact"/>
        <w:rPr>
          <w:rFonts w:ascii="Arial" w:cs="Arial" w:eastAsia="Arial" w:hAnsi="Arial"/>
          <w:sz w:val="14"/>
          <w:szCs w:val="14"/>
          <w:color w:val="215AA8"/>
        </w:rPr>
      </w:pPr>
    </w:p>
    <w:p>
      <w:pPr>
        <w:ind w:left="150" w:right="80" w:hanging="150"/>
        <w:spacing w:after="0" w:line="260" w:lineRule="auto"/>
        <w:tabs>
          <w:tab w:leader="none" w:pos="150" w:val="left"/>
        </w:tabs>
        <w:numPr>
          <w:ilvl w:val="0"/>
          <w:numId w:val="116"/>
        </w:numPr>
        <w:rPr>
          <w:rFonts w:ascii="Arial" w:cs="Arial" w:eastAsia="Arial" w:hAnsi="Arial"/>
          <w:sz w:val="14"/>
          <w:szCs w:val="14"/>
          <w:color w:val="215AA8"/>
        </w:rPr>
      </w:pPr>
      <w:r>
        <w:rPr>
          <w:rFonts w:ascii="Arial" w:cs="Arial" w:eastAsia="Arial" w:hAnsi="Arial"/>
          <w:sz w:val="14"/>
          <w:szCs w:val="14"/>
          <w:color w:val="auto"/>
        </w:rPr>
        <w:t xml:space="preserve">We have a </w:t>
      </w:r>
      <w:r>
        <w:rPr>
          <w:rFonts w:ascii="Arial" w:cs="Arial" w:eastAsia="Arial" w:hAnsi="Arial"/>
          <w:sz w:val="14"/>
          <w:szCs w:val="14"/>
          <w:b w:val="1"/>
          <w:bCs w:val="1"/>
          <w:color w:val="auto"/>
        </w:rPr>
        <w:t>policy against excise tax gross-up provisions</w:t>
      </w:r>
      <w:r>
        <w:rPr>
          <w:rFonts w:ascii="Arial" w:cs="Arial" w:eastAsia="Arial" w:hAnsi="Arial"/>
          <w:sz w:val="14"/>
          <w:szCs w:val="14"/>
          <w:color w:val="auto"/>
        </w:rPr>
        <w:t xml:space="preserve"> for payments contingent on a change in control of Regeneron in contracts, compensatory plans, and other arrangement with the Company’s officers (including NEOs) with the exception of the CEO under his existing employment agreement or amendments to it.</w:t>
      </w:r>
    </w:p>
    <w:p>
      <w:pPr>
        <w:spacing w:after="0" w:line="33" w:lineRule="exact"/>
        <w:rPr>
          <w:rFonts w:ascii="Arial" w:cs="Arial" w:eastAsia="Arial" w:hAnsi="Arial"/>
          <w:sz w:val="14"/>
          <w:szCs w:val="14"/>
          <w:color w:val="215AA8"/>
        </w:rPr>
      </w:pPr>
    </w:p>
    <w:p>
      <w:pPr>
        <w:ind w:left="150" w:hanging="150"/>
        <w:spacing w:after="0"/>
        <w:tabs>
          <w:tab w:leader="none" w:pos="150" w:val="left"/>
        </w:tabs>
        <w:numPr>
          <w:ilvl w:val="0"/>
          <w:numId w:val="116"/>
        </w:numPr>
        <w:rPr>
          <w:rFonts w:ascii="Arial" w:cs="Arial" w:eastAsia="Arial" w:hAnsi="Arial"/>
          <w:sz w:val="14"/>
          <w:szCs w:val="14"/>
          <w:color w:val="215AA8"/>
        </w:rPr>
      </w:pPr>
      <w:r>
        <w:rPr>
          <w:rFonts w:ascii="Arial" w:cs="Arial" w:eastAsia="Arial" w:hAnsi="Arial"/>
          <w:sz w:val="14"/>
          <w:szCs w:val="14"/>
          <w:color w:val="auto"/>
        </w:rPr>
        <w:t xml:space="preserve">Regeneron has </w:t>
      </w:r>
      <w:r>
        <w:rPr>
          <w:rFonts w:ascii="Arial" w:cs="Arial" w:eastAsia="Arial" w:hAnsi="Arial"/>
          <w:sz w:val="14"/>
          <w:szCs w:val="14"/>
          <w:b w:val="1"/>
          <w:bCs w:val="1"/>
          <w:color w:val="auto"/>
        </w:rPr>
        <w:t>no pension, deferred compensation, or retirement plans</w:t>
      </w:r>
      <w:r>
        <w:rPr>
          <w:rFonts w:ascii="Arial" w:cs="Arial" w:eastAsia="Arial" w:hAnsi="Arial"/>
          <w:sz w:val="14"/>
          <w:szCs w:val="14"/>
          <w:color w:val="auto"/>
        </w:rPr>
        <w:t xml:space="preserve"> for U.S.-based employees other than our 401(k) Savings Plan described above.</w:t>
      </w:r>
    </w:p>
    <w:p>
      <w:pPr>
        <w:spacing w:after="0" w:line="241"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Compensation Processes</w:t>
      </w:r>
    </w:p>
    <w:p>
      <w:pPr>
        <w:spacing w:after="0" w:line="271"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Compensation Committee</w:t>
      </w:r>
    </w:p>
    <w:p>
      <w:pPr>
        <w:spacing w:after="0" w:line="174" w:lineRule="exact"/>
        <w:rPr>
          <w:sz w:val="20"/>
          <w:szCs w:val="20"/>
          <w:color w:val="auto"/>
        </w:rPr>
      </w:pPr>
    </w:p>
    <w:p>
      <w:pPr>
        <w:ind w:left="10" w:right="140"/>
        <w:spacing w:after="0" w:line="246" w:lineRule="auto"/>
        <w:rPr>
          <w:sz w:val="20"/>
          <w:szCs w:val="20"/>
          <w:color w:val="auto"/>
        </w:rPr>
      </w:pPr>
      <w:r>
        <w:rPr>
          <w:rFonts w:ascii="Arial" w:cs="Arial" w:eastAsia="Arial" w:hAnsi="Arial"/>
          <w:sz w:val="14"/>
          <w:szCs w:val="14"/>
          <w:color w:val="auto"/>
        </w:rPr>
        <w:t xml:space="preserve">The Compensation Committee is responsible for overseeing the Company’s general compensation objectives and programs. The Compensation Committee evaluates the performance of our NEOs and approves their compensation—in the case of the CEO, subject to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4"/>
          <w:szCs w:val="14"/>
          <w:b w:val="1"/>
          <w:bCs w:val="1"/>
          <w:color w:val="auto"/>
        </w:rPr>
        <w:t xml:space="preserve">www.regeneron.com </w:t>
      </w:r>
      <w:r>
        <w:rPr>
          <w:rFonts w:ascii="Arial" w:cs="Arial" w:eastAsia="Arial" w:hAnsi="Arial"/>
          <w:sz w:val="14"/>
          <w:szCs w:val="14"/>
          <w:color w:val="auto"/>
        </w:rPr>
        <w:t>under the “Corporate Governance” heading on the “Investors &amp; Media” page.</w:t>
      </w:r>
    </w:p>
    <w:p>
      <w:pPr>
        <w:spacing w:after="0" w:line="128" w:lineRule="exact"/>
        <w:rPr>
          <w:sz w:val="20"/>
          <w:szCs w:val="20"/>
          <w:color w:val="auto"/>
        </w:rPr>
      </w:pPr>
    </w:p>
    <w:p>
      <w:pPr>
        <w:ind w:left="10" w:right="60"/>
        <w:spacing w:after="0" w:line="239" w:lineRule="auto"/>
        <w:rPr>
          <w:sz w:val="20"/>
          <w:szCs w:val="20"/>
          <w:color w:val="auto"/>
        </w:rPr>
      </w:pPr>
      <w:r>
        <w:rPr>
          <w:rFonts w:ascii="Arial" w:cs="Arial" w:eastAsia="Arial" w:hAnsi="Arial"/>
          <w:sz w:val="14"/>
          <w:szCs w:val="14"/>
          <w:color w:val="auto"/>
        </w:rPr>
        <w:t>Annual salaries for the following year and year-end cash incentives and equity awards for all employees are determined in December of each year based on Company and individual performance, as well as other factors, which may include compensation trends among our Peer Group and in the biotechnology industry in general. With respect to our CEO, this process is formalized in the Compensation Committee’s charter, which specifies that the Compensation Committee is to annually present the proposed annual compensation of the CEO to the non-employee members of the board of directors for approval. The Company’s recent practice has been to require approval of the proposed annual compensation of the CSO by the non-employee members of the board of directors as well. The non-employee directors have also been involved in reviewing the Company’s performance for purposes of setting the annual cash incentive payout.</w:t>
      </w:r>
    </w:p>
    <w:p>
      <w:pPr>
        <w:spacing w:after="0" w:line="141" w:lineRule="exact"/>
        <w:rPr>
          <w:sz w:val="20"/>
          <w:szCs w:val="20"/>
          <w:color w:val="auto"/>
        </w:rPr>
      </w:pPr>
    </w:p>
    <w:p>
      <w:pPr>
        <w:ind w:left="10" w:right="140"/>
        <w:spacing w:after="0" w:line="246" w:lineRule="auto"/>
        <w:rPr>
          <w:sz w:val="20"/>
          <w:szCs w:val="20"/>
          <w:color w:val="auto"/>
        </w:rPr>
      </w:pPr>
      <w:r>
        <w:rPr>
          <w:rFonts w:ascii="Arial" w:cs="Arial" w:eastAsia="Arial" w:hAnsi="Arial"/>
          <w:sz w:val="14"/>
          <w:szCs w:val="14"/>
          <w:color w:val="auto"/>
        </w:rPr>
        <w:t>We make our annual equity awards on a regular, pre-set schedule. The meetings at which such grants are approved are generally scheduled well in advance of the grant date, without regard to the timing of earnings or other major announcements. We generally grant annual equity awards to eligible employees whose performance is determined to merit an annual grant, including the NEOs, at a meeting held during December.</w:t>
      </w:r>
    </w:p>
    <w:p>
      <w:pPr>
        <w:spacing w:after="0" w:line="135" w:lineRule="exact"/>
        <w:rPr>
          <w:sz w:val="20"/>
          <w:szCs w:val="20"/>
          <w:color w:val="auto"/>
        </w:rPr>
      </w:pPr>
    </w:p>
    <w:p>
      <w:pPr>
        <w:jc w:val="both"/>
        <w:ind w:left="10"/>
        <w:spacing w:after="0" w:line="246" w:lineRule="auto"/>
        <w:rPr>
          <w:sz w:val="20"/>
          <w:szCs w:val="20"/>
          <w:color w:val="auto"/>
        </w:rPr>
      </w:pPr>
      <w:r>
        <w:rPr>
          <w:rFonts w:ascii="Arial" w:cs="Arial" w:eastAsia="Arial" w:hAnsi="Arial"/>
          <w:sz w:val="14"/>
          <w:szCs w:val="14"/>
          <w:color w:val="auto"/>
        </w:rPr>
        <w:t>Pursuant to the terms of the Second Amended and Restated Regeneron Pharmaceuticals, Inc. 2014 Long-Term Incentive Plan, stock option awards are granted with an exercise price equal to the average of the high and low sales price per share of our common stock as quoted on the Nasdaq Global Select Market on the date of the grant or, if such date is not a trading day, on the last preceding date on which there was a sale of our common stock on the Nasdaq Global Select Market.</w:t>
      </w:r>
    </w:p>
    <w:p>
      <w:pPr>
        <w:spacing w:after="0" w:line="135" w:lineRule="exact"/>
        <w:rPr>
          <w:sz w:val="20"/>
          <w:szCs w:val="20"/>
          <w:color w:val="auto"/>
        </w:rPr>
      </w:pPr>
    </w:p>
    <w:p>
      <w:pPr>
        <w:ind w:left="10" w:right="100"/>
        <w:spacing w:after="0" w:line="257" w:lineRule="auto"/>
        <w:rPr>
          <w:sz w:val="20"/>
          <w:szCs w:val="20"/>
          <w:color w:val="auto"/>
        </w:rPr>
      </w:pPr>
      <w:r>
        <w:rPr>
          <w:rFonts w:ascii="Arial" w:cs="Arial" w:eastAsia="Arial" w:hAnsi="Arial"/>
          <w:sz w:val="14"/>
          <w:szCs w:val="14"/>
          <w:color w:val="auto"/>
        </w:rPr>
        <w:t>We periodically evaluate the personal benefits and perquisites afforded to our NEOs. The Compensation Committee also regularly meets in executive session to discuss any of the matters that fall within its responsibilities.</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74</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Management</w:t>
      </w:r>
    </w:p>
    <w:p>
      <w:pPr>
        <w:spacing w:after="0" w:line="174" w:lineRule="exact"/>
        <w:rPr>
          <w:sz w:val="20"/>
          <w:szCs w:val="20"/>
          <w:color w:val="auto"/>
        </w:rPr>
      </w:pPr>
    </w:p>
    <w:p>
      <w:pPr>
        <w:ind w:right="180"/>
        <w:spacing w:after="0"/>
        <w:rPr>
          <w:sz w:val="20"/>
          <w:szCs w:val="20"/>
          <w:color w:val="auto"/>
        </w:rPr>
      </w:pPr>
      <w:r>
        <w:rPr>
          <w:rFonts w:ascii="Arial" w:cs="Arial" w:eastAsia="Arial" w:hAnsi="Arial"/>
          <w:sz w:val="14"/>
          <w:szCs w:val="14"/>
          <w:color w:val="auto"/>
        </w:rPr>
        <w:t>Members of our senior management play a role in the overall executive compensation process and assess performance of other officers. They also recommend for the Compensation Committee’s approval the salary, cash incentive, and equity grant budgets for non-officers and make specific recommendations for salary increases, cash incentives, and equity grants for other officers. For our NEOs (other than our CEO), recommendations to the Compensation Committee regarding their compensation are made by our CEO, who also evaluates their performance. Our CEO’s performance is evaluated directly by the Compensation Committee based on the Company’s overall corporate performance against annual goals that are presented to the board of directors at the beginning of each year, as discussed above.</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Shareholder Input and Outreach and the 2023 Say-on-Pay Vote Result</w:t>
      </w:r>
    </w:p>
    <w:p>
      <w:pPr>
        <w:spacing w:after="0" w:line="174"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Fostering long-term relationships and maintaining trust with our shareholders has been a key priority for us. We seek shareholder feedback through our annual say-on-pay votes as well as through discussions with our shareholders in connection with our annual shareholder meetings and in the “off-season,” where we discuss compensation, governance, and other issues of importance and interest to our shareholders. This outreach complements the many touchpoints our investor relations team has with shareholders throughout the year. In addition, on a more informal basis, we engage with our shareholders through industry and corporate governance conferences and informal exchanges in other settings.</w:t>
      </w:r>
    </w:p>
    <w:p>
      <w:pPr>
        <w:spacing w:after="0" w:line="137" w:lineRule="exact"/>
        <w:rPr>
          <w:sz w:val="20"/>
          <w:szCs w:val="20"/>
          <w:color w:val="auto"/>
        </w:rPr>
      </w:pPr>
    </w:p>
    <w:p>
      <w:pPr>
        <w:ind w:right="20"/>
        <w:spacing w:after="0" w:line="291" w:lineRule="auto"/>
        <w:rPr>
          <w:sz w:val="20"/>
          <w:szCs w:val="20"/>
          <w:color w:val="auto"/>
        </w:rPr>
      </w:pPr>
      <w:r>
        <w:rPr>
          <w:rFonts w:ascii="Arial" w:cs="Arial" w:eastAsia="Arial" w:hAnsi="Arial"/>
          <w:sz w:val="12"/>
          <w:szCs w:val="12"/>
          <w:b w:val="1"/>
          <w:bCs w:val="1"/>
          <w:color w:val="auto"/>
        </w:rPr>
        <w:t xml:space="preserve">Say-on-pay vote. </w:t>
      </w:r>
      <w:r>
        <w:rPr>
          <w:rFonts w:ascii="Arial" w:cs="Arial" w:eastAsia="Arial" w:hAnsi="Arial"/>
          <w:sz w:val="12"/>
          <w:szCs w:val="12"/>
          <w:color w:val="auto"/>
        </w:rPr>
        <w:t>Our shareholders are provided with an opportunity to cast a non-binding, advisory vote on our executive compensation program every year. We switched to the annual</w:t>
      </w:r>
      <w:r>
        <w:rPr>
          <w:rFonts w:ascii="Arial" w:cs="Arial" w:eastAsia="Arial" w:hAnsi="Arial"/>
          <w:sz w:val="12"/>
          <w:szCs w:val="12"/>
          <w:b w:val="1"/>
          <w:bCs w:val="1"/>
          <w:color w:val="auto"/>
        </w:rPr>
        <w:t xml:space="preserve"> </w:t>
      </w:r>
      <w:r>
        <w:rPr>
          <w:rFonts w:ascii="Arial" w:cs="Arial" w:eastAsia="Arial" w:hAnsi="Arial"/>
          <w:sz w:val="12"/>
          <w:szCs w:val="12"/>
          <w:color w:val="auto"/>
        </w:rPr>
        <w:t>cadence of say-on-pay votes in 2022 in recognition of shareholder feedback and preference. Our most recent advisory say-on-pay vote was held at our 2023 annual shareholder meeting, at which this advisory proposal was approved by 87.1% of the votes cast. This was the second consecutive year when we received nearly 90% support on the say-on-pay proposal. Despite the solid approval rate of our compensation program by our shareholders evidenced by this result, we continued to engage with investors in 2023 to make sure we understand their perspectives and views of our compensation program and philosophy (as well as corporate governance and sustainability matters relevant to our Company).</w:t>
      </w:r>
    </w:p>
    <w:p>
      <w:pPr>
        <w:spacing w:after="0" w:line="109" w:lineRule="exact"/>
        <w:rPr>
          <w:sz w:val="20"/>
          <w:szCs w:val="20"/>
          <w:color w:val="auto"/>
        </w:rPr>
      </w:pPr>
    </w:p>
    <w:p>
      <w:pPr>
        <w:spacing w:after="0" w:line="288" w:lineRule="auto"/>
        <w:rPr>
          <w:sz w:val="20"/>
          <w:szCs w:val="20"/>
          <w:color w:val="auto"/>
        </w:rPr>
      </w:pPr>
      <w:r>
        <w:rPr>
          <w:rFonts w:ascii="Arial" w:cs="Arial" w:eastAsia="Arial" w:hAnsi="Arial"/>
          <w:sz w:val="12"/>
          <w:szCs w:val="12"/>
          <w:b w:val="1"/>
          <w:bCs w:val="1"/>
          <w:color w:val="auto"/>
        </w:rPr>
        <w:t xml:space="preserve">Shareholder outreach. </w:t>
      </w:r>
      <w:r>
        <w:rPr>
          <w:rFonts w:ascii="Arial" w:cs="Arial" w:eastAsia="Arial" w:hAnsi="Arial"/>
          <w:sz w:val="12"/>
          <w:szCs w:val="12"/>
          <w:color w:val="auto"/>
        </w:rPr>
        <w:t>In the last decade, we have actively and regularly engaged with our shareholders to receive feedback on many important areas, including corporate governance,</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 compensation, and corporate responsibility matters, and are committed to continued engagement with portfolio managers and investment stewardship teams. Shareholder feedback is discussed with management and, depending on the topic, relayed for consideration to the appropriate committee of the board of directors (typically the Compensation Committee or the Corporate Governance and Compliance Committee), the full board, or both. In recent years, shareholder input resulted in specific changes to our compensation and corporate governance practices and policies. For example, after careful consideration of shareholder feedback following the 2021 annual shareholder meeting, in 2022 our board of directors voluntarily changed the frequency of our say-on-pay votes from every three years to every year. See the table further below for other recent changes informed by shareholder feedback.</w:t>
      </w:r>
    </w:p>
    <w:p>
      <w:pPr>
        <w:spacing w:after="0" w:line="112" w:lineRule="exact"/>
        <w:rPr>
          <w:sz w:val="20"/>
          <w:szCs w:val="20"/>
          <w:color w:val="auto"/>
        </w:rPr>
      </w:pPr>
    </w:p>
    <w:p>
      <w:pPr>
        <w:jc w:val="both"/>
        <w:ind w:right="220"/>
        <w:spacing w:after="0" w:line="242" w:lineRule="auto"/>
        <w:rPr>
          <w:sz w:val="20"/>
          <w:szCs w:val="20"/>
          <w:color w:val="auto"/>
        </w:rPr>
      </w:pPr>
      <w:r>
        <w:rPr>
          <w:rFonts w:ascii="Arial" w:cs="Arial" w:eastAsia="Arial" w:hAnsi="Arial"/>
          <w:sz w:val="14"/>
          <w:szCs w:val="14"/>
          <w:color w:val="auto"/>
        </w:rPr>
        <w:t>In 2023, we reached out to shareholders collectively representing approximately 60% of the public shares (i.e., shares of common stock outstanding as of December 31, 2023, excluding shares held by our directors and executive officers). This outreach resulted in one-on-one discussions with shareholders representing approximately 40% of our public shares. As in prior years, we pursued engagement opportunities throughout the year, which allowed us to engage with several shareholders multiple times in 2023. In some cases, shareholders expressed that engagement was not necessary at the time because they had no new significant concerns with our compensation or governance practices.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75</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86" w:name="page87"/>
    <w:bookmarkEnd w:id="86"/>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221615</wp:posOffset>
            </wp:positionV>
            <wp:extent cx="4503420" cy="17938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503420" cy="179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
        <w:spacing w:after="0"/>
        <w:rPr>
          <w:sz w:val="20"/>
          <w:szCs w:val="20"/>
          <w:color w:val="auto"/>
        </w:rPr>
      </w:pPr>
      <w:r>
        <w:rPr>
          <w:rFonts w:ascii="Arial" w:cs="Arial" w:eastAsia="Arial" w:hAnsi="Arial"/>
          <w:sz w:val="14"/>
          <w:szCs w:val="14"/>
          <w:color w:val="auto"/>
        </w:rPr>
        <w:t>Our 2023 engagement built on an active outreach program in prior years and focused on, among other matters:</w:t>
      </w:r>
    </w:p>
    <w:p>
      <w:pPr>
        <w:spacing w:after="0" w:line="152" w:lineRule="exact"/>
        <w:rPr>
          <w:sz w:val="20"/>
          <w:szCs w:val="20"/>
          <w:color w:val="auto"/>
        </w:rPr>
      </w:pPr>
    </w:p>
    <w:p>
      <w:pPr>
        <w:ind w:left="150" w:hanging="150"/>
        <w:spacing w:after="0"/>
        <w:tabs>
          <w:tab w:leader="none" w:pos="150" w:val="left"/>
        </w:tabs>
        <w:numPr>
          <w:ilvl w:val="0"/>
          <w:numId w:val="117"/>
        </w:numPr>
        <w:rPr>
          <w:rFonts w:ascii="Arial" w:cs="Arial" w:eastAsia="Arial" w:hAnsi="Arial"/>
          <w:sz w:val="14"/>
          <w:szCs w:val="14"/>
          <w:color w:val="215AA8"/>
        </w:rPr>
      </w:pPr>
      <w:r>
        <w:rPr>
          <w:rFonts w:ascii="Arial" w:cs="Arial" w:eastAsia="Arial" w:hAnsi="Arial"/>
          <w:sz w:val="14"/>
          <w:szCs w:val="14"/>
          <w:color w:val="auto"/>
        </w:rPr>
        <w:t xml:space="preserve">recent changes to </w:t>
      </w:r>
      <w:r>
        <w:rPr>
          <w:rFonts w:ascii="Arial" w:cs="Arial" w:eastAsia="Arial" w:hAnsi="Arial"/>
          <w:sz w:val="14"/>
          <w:szCs w:val="14"/>
          <w:b w:val="1"/>
          <w:bCs w:val="1"/>
          <w:color w:val="auto"/>
        </w:rPr>
        <w:t>our board leadership structure</w:t>
      </w:r>
      <w:r>
        <w:rPr>
          <w:rFonts w:ascii="Arial" w:cs="Arial" w:eastAsia="Arial" w:hAnsi="Arial"/>
          <w:sz w:val="14"/>
          <w:szCs w:val="14"/>
          <w:color w:val="auto"/>
        </w:rPr>
        <w:t xml:space="preserve"> (discussed further in the subsection “Board of Directors – Board Governance – Board Leadership Structure”);</w:t>
      </w:r>
    </w:p>
    <w:p>
      <w:pPr>
        <w:spacing w:after="0" w:line="64" w:lineRule="exact"/>
        <w:rPr>
          <w:rFonts w:ascii="Arial" w:cs="Arial" w:eastAsia="Arial" w:hAnsi="Arial"/>
          <w:sz w:val="14"/>
          <w:szCs w:val="14"/>
          <w:color w:val="215AA8"/>
        </w:rPr>
      </w:pPr>
    </w:p>
    <w:p>
      <w:pPr>
        <w:ind w:left="150" w:right="140" w:hanging="150"/>
        <w:spacing w:after="0" w:line="260" w:lineRule="auto"/>
        <w:tabs>
          <w:tab w:leader="none" w:pos="150" w:val="left"/>
        </w:tabs>
        <w:numPr>
          <w:ilvl w:val="0"/>
          <w:numId w:val="117"/>
        </w:numPr>
        <w:rPr>
          <w:rFonts w:ascii="Arial" w:cs="Arial" w:eastAsia="Arial" w:hAnsi="Arial"/>
          <w:sz w:val="14"/>
          <w:szCs w:val="14"/>
          <w:color w:val="215AA8"/>
        </w:rPr>
      </w:pPr>
      <w:r>
        <w:rPr>
          <w:rFonts w:ascii="Arial" w:cs="Arial" w:eastAsia="Arial" w:hAnsi="Arial"/>
          <w:sz w:val="14"/>
          <w:szCs w:val="14"/>
          <w:color w:val="auto"/>
        </w:rPr>
        <w:t xml:space="preserve">the board’s </w:t>
      </w:r>
      <w:r>
        <w:rPr>
          <w:rFonts w:ascii="Arial" w:cs="Arial" w:eastAsia="Arial" w:hAnsi="Arial"/>
          <w:sz w:val="14"/>
          <w:szCs w:val="14"/>
          <w:b w:val="1"/>
          <w:bCs w:val="1"/>
          <w:color w:val="auto"/>
        </w:rPr>
        <w:t>director refreshment</w:t>
      </w:r>
      <w:r>
        <w:rPr>
          <w:rFonts w:ascii="Arial" w:cs="Arial" w:eastAsia="Arial" w:hAnsi="Arial"/>
          <w:sz w:val="14"/>
          <w:szCs w:val="14"/>
          <w:color w:val="auto"/>
        </w:rPr>
        <w:t xml:space="preserve"> efforts, including how the additions of Drs. Guarini and Schenkein as directors in the fall of 2023 were consistent with the board’s director refreshment philosophy (discussed further in the subsection “Board of Directors – Board Governance – Director Refreshment Philosophy”);</w:t>
      </w:r>
    </w:p>
    <w:p>
      <w:pPr>
        <w:spacing w:after="0" w:line="33" w:lineRule="exact"/>
        <w:rPr>
          <w:rFonts w:ascii="Arial" w:cs="Arial" w:eastAsia="Arial" w:hAnsi="Arial"/>
          <w:sz w:val="14"/>
          <w:szCs w:val="14"/>
          <w:color w:val="215AA8"/>
        </w:rPr>
      </w:pPr>
    </w:p>
    <w:p>
      <w:pPr>
        <w:ind w:left="150" w:right="80" w:hanging="150"/>
        <w:spacing w:after="0" w:line="260" w:lineRule="auto"/>
        <w:tabs>
          <w:tab w:leader="none" w:pos="150" w:val="left"/>
        </w:tabs>
        <w:numPr>
          <w:ilvl w:val="0"/>
          <w:numId w:val="117"/>
        </w:numPr>
        <w:rPr>
          <w:rFonts w:ascii="Arial" w:cs="Arial" w:eastAsia="Arial" w:hAnsi="Arial"/>
          <w:sz w:val="14"/>
          <w:szCs w:val="14"/>
          <w:color w:val="215AA8"/>
        </w:rPr>
      </w:pPr>
      <w:r>
        <w:rPr>
          <w:rFonts w:ascii="Arial" w:cs="Arial" w:eastAsia="Arial" w:hAnsi="Arial"/>
          <w:sz w:val="14"/>
          <w:szCs w:val="14"/>
          <w:color w:val="auto"/>
        </w:rPr>
        <w:t xml:space="preserve">the board’s previously disclosed goal to increase </w:t>
      </w:r>
      <w:r>
        <w:rPr>
          <w:rFonts w:ascii="Arial" w:cs="Arial" w:eastAsia="Arial" w:hAnsi="Arial"/>
          <w:sz w:val="14"/>
          <w:szCs w:val="14"/>
          <w:b w:val="1"/>
          <w:bCs w:val="1"/>
          <w:color w:val="auto"/>
        </w:rPr>
        <w:t>board gender diversity</w:t>
      </w:r>
      <w:r>
        <w:rPr>
          <w:rFonts w:ascii="Arial" w:cs="Arial" w:eastAsia="Arial" w:hAnsi="Arial"/>
          <w:sz w:val="14"/>
          <w:szCs w:val="14"/>
          <w:color w:val="auto"/>
        </w:rPr>
        <w:t>, which contributed to the selection of Dr. Guarini as a director candidate and her election to the board in the fall of 2023 (see “Board of Directors – Board Governance – Director Refreshment Philosophy”);</w:t>
      </w:r>
    </w:p>
    <w:p>
      <w:pPr>
        <w:spacing w:after="0" w:line="33" w:lineRule="exact"/>
        <w:rPr>
          <w:rFonts w:ascii="Arial" w:cs="Arial" w:eastAsia="Arial" w:hAnsi="Arial"/>
          <w:sz w:val="14"/>
          <w:szCs w:val="14"/>
          <w:color w:val="215AA8"/>
        </w:rPr>
      </w:pPr>
    </w:p>
    <w:p>
      <w:pPr>
        <w:ind w:left="150" w:hanging="150"/>
        <w:spacing w:after="0"/>
        <w:tabs>
          <w:tab w:leader="none" w:pos="150" w:val="left"/>
        </w:tabs>
        <w:numPr>
          <w:ilvl w:val="0"/>
          <w:numId w:val="117"/>
        </w:numPr>
        <w:rPr>
          <w:rFonts w:ascii="Arial" w:cs="Arial" w:eastAsia="Arial" w:hAnsi="Arial"/>
          <w:sz w:val="12"/>
          <w:szCs w:val="12"/>
          <w:color w:val="215AA8"/>
        </w:rPr>
      </w:pPr>
      <w:r>
        <w:rPr>
          <w:rFonts w:ascii="Arial" w:cs="Arial" w:eastAsia="Arial" w:hAnsi="Arial"/>
          <w:sz w:val="12"/>
          <w:szCs w:val="12"/>
          <w:color w:val="auto"/>
        </w:rPr>
        <w:t xml:space="preserve">the Company’s </w:t>
      </w:r>
      <w:r>
        <w:rPr>
          <w:rFonts w:ascii="Arial" w:cs="Arial" w:eastAsia="Arial" w:hAnsi="Arial"/>
          <w:sz w:val="12"/>
          <w:szCs w:val="12"/>
          <w:b w:val="1"/>
          <w:bCs w:val="1"/>
          <w:color w:val="auto"/>
        </w:rPr>
        <w:t>classified board structure</w:t>
      </w:r>
      <w:r>
        <w:rPr>
          <w:rFonts w:ascii="Arial" w:cs="Arial" w:eastAsia="Arial" w:hAnsi="Arial"/>
          <w:sz w:val="12"/>
          <w:szCs w:val="12"/>
          <w:color w:val="auto"/>
        </w:rPr>
        <w:t>, including relevant considerations unique to the Company and its long-term orientation (discussed further in the subsection “Board of Directors</w:t>
      </w:r>
    </w:p>
    <w:p>
      <w:pPr>
        <w:spacing w:after="0" w:line="33" w:lineRule="exact"/>
        <w:rPr>
          <w:rFonts w:ascii="Arial" w:cs="Arial" w:eastAsia="Arial" w:hAnsi="Arial"/>
          <w:sz w:val="12"/>
          <w:szCs w:val="12"/>
          <w:color w:val="215AA8"/>
        </w:rPr>
      </w:pPr>
    </w:p>
    <w:p>
      <w:pPr>
        <w:ind w:left="150"/>
        <w:spacing w:after="0"/>
        <w:rPr>
          <w:rFonts w:ascii="Arial" w:cs="Arial" w:eastAsia="Arial" w:hAnsi="Arial"/>
          <w:sz w:val="12"/>
          <w:szCs w:val="12"/>
          <w:color w:val="215AA8"/>
        </w:rPr>
      </w:pPr>
      <w:r>
        <w:rPr>
          <w:rFonts w:ascii="Arial" w:cs="Arial" w:eastAsia="Arial" w:hAnsi="Arial"/>
          <w:sz w:val="14"/>
          <w:szCs w:val="14"/>
          <w:color w:val="auto"/>
        </w:rPr>
        <w:t>– Board Governance – Board Structure”); and</w:t>
      </w:r>
    </w:p>
    <w:p>
      <w:pPr>
        <w:spacing w:after="0" w:line="50" w:lineRule="exact"/>
        <w:rPr>
          <w:rFonts w:ascii="Arial" w:cs="Arial" w:eastAsia="Arial" w:hAnsi="Arial"/>
          <w:sz w:val="12"/>
          <w:szCs w:val="12"/>
          <w:color w:val="215AA8"/>
        </w:rPr>
      </w:pPr>
    </w:p>
    <w:p>
      <w:pPr>
        <w:ind w:left="150" w:right="140" w:hanging="150"/>
        <w:spacing w:after="0" w:line="247" w:lineRule="auto"/>
        <w:tabs>
          <w:tab w:leader="none" w:pos="150" w:val="left"/>
        </w:tabs>
        <w:numPr>
          <w:ilvl w:val="0"/>
          <w:numId w:val="117"/>
        </w:numPr>
        <w:rPr>
          <w:rFonts w:ascii="Arial" w:cs="Arial" w:eastAsia="Arial" w:hAnsi="Arial"/>
          <w:sz w:val="14"/>
          <w:szCs w:val="14"/>
          <w:color w:val="215AA8"/>
        </w:rPr>
      </w:pPr>
      <w:r>
        <w:rPr>
          <w:rFonts w:ascii="Arial" w:cs="Arial" w:eastAsia="Arial" w:hAnsi="Arial"/>
          <w:sz w:val="14"/>
          <w:szCs w:val="14"/>
          <w:color w:val="auto"/>
        </w:rPr>
        <w:t xml:space="preserve">the Company’s </w:t>
      </w:r>
      <w:r>
        <w:rPr>
          <w:rFonts w:ascii="Arial" w:cs="Arial" w:eastAsia="Arial" w:hAnsi="Arial"/>
          <w:sz w:val="14"/>
          <w:szCs w:val="14"/>
          <w:b w:val="1"/>
          <w:bCs w:val="1"/>
          <w:color w:val="auto"/>
        </w:rPr>
        <w:t>dual-class capital structure</w:t>
      </w:r>
      <w:r>
        <w:rPr>
          <w:rFonts w:ascii="Arial" w:cs="Arial" w:eastAsia="Arial" w:hAnsi="Arial"/>
          <w:sz w:val="14"/>
          <w:szCs w:val="14"/>
          <w:color w:val="auto"/>
        </w:rPr>
        <w:t>, including relevant mitigating factors such as the steady decline in the number of shares of Class A stock outstanding since the Company’s IPO and the relatively low percentage of overall votes controlled by the Class A shareholders, particularly when compared to other founder-led companies (discussed further in the subsection “The Company – Corporate Governance – Capital Structure”).</w:t>
      </w:r>
    </w:p>
    <w:p>
      <w:pPr>
        <w:spacing w:after="0" w:line="135" w:lineRule="exact"/>
        <w:rPr>
          <w:sz w:val="20"/>
          <w:szCs w:val="20"/>
          <w:color w:val="auto"/>
        </w:rPr>
      </w:pPr>
    </w:p>
    <w:p>
      <w:pPr>
        <w:ind w:left="10" w:right="80"/>
        <w:spacing w:after="0"/>
        <w:rPr>
          <w:sz w:val="20"/>
          <w:szCs w:val="20"/>
          <w:color w:val="auto"/>
        </w:rPr>
      </w:pPr>
      <w:r>
        <w:rPr>
          <w:rFonts w:ascii="Arial" w:cs="Arial" w:eastAsia="Arial" w:hAnsi="Arial"/>
          <w:sz w:val="14"/>
          <w:szCs w:val="14"/>
          <w:color w:val="auto"/>
        </w:rPr>
        <w:t>We had meaningful and candid discussions about these and other corporate governance topics in 2023, and the feedback received from shareholders was discussed in detail at the board level, including by way of regular updates on specific shareholder comments provided to the Corporate Governance and Compliance Committee. We received positive feedback on the board’s establishment of a robust Lead Independent Director role, the appointments of Drs. Guarini and Schenkein to the board and continued board refreshment, and the attainment of the board’s previously disclosed goal to increase board gender diversity to over 30%. As in prior years, 2023 shareholder feedback shaped subsequent meeting agendas and boardroom discussions.</w:t>
      </w:r>
    </w:p>
    <w:p>
      <w:pPr>
        <w:spacing w:after="0" w:line="141" w:lineRule="exact"/>
        <w:rPr>
          <w:sz w:val="20"/>
          <w:szCs w:val="20"/>
          <w:color w:val="auto"/>
        </w:rPr>
      </w:pPr>
    </w:p>
    <w:p>
      <w:pPr>
        <w:ind w:left="10" w:right="80"/>
        <w:spacing w:after="0" w:line="285" w:lineRule="auto"/>
        <w:rPr>
          <w:sz w:val="20"/>
          <w:szCs w:val="20"/>
          <w:color w:val="auto"/>
        </w:rPr>
      </w:pPr>
      <w:r>
        <w:rPr>
          <w:rFonts w:ascii="Arial" w:cs="Arial" w:eastAsia="Arial" w:hAnsi="Arial"/>
          <w:sz w:val="12"/>
          <w:szCs w:val="12"/>
          <w:color w:val="auto"/>
        </w:rPr>
        <w:t>With respect to executive compensation, feedback provided in 2023 was generally positive. A number of shareholders indicated that they understood and supported Regeneron’s compensation program while others had questions about, among other matters, potential use of specific performance metrics in equity awards, the process for determining the Company performance multiplier for annual cash incentive awards, and performance to date under the 2020 PSUs. In some instances, shareholders expressed competing views on specific features of our executive pay program, such as the types of equity awards utilized. We have included additional disclosure in this proxy statement to better communicate on certain of these matters, including a discussion of the continued enhancement of the framework for the Compensation Committee’s assessment of Company performance and its determination of the Company performance multiplier. See “Components of Executive Pay: What We Pay and Why We Pay It — Annual Cash Incentives” and “Components of Executive Pay: What We Pay and Why We Pay It — Annual Equity Awards — Update on 2020 PSU Awards” for more information. We will continue to consider shareholder feedback in executive compensation decisions.</w:t>
      </w:r>
    </w:p>
    <w:p>
      <w:pPr>
        <w:spacing w:after="0" w:line="114" w:lineRule="exact"/>
        <w:rPr>
          <w:sz w:val="20"/>
          <w:szCs w:val="20"/>
          <w:color w:val="auto"/>
        </w:rPr>
      </w:pPr>
    </w:p>
    <w:p>
      <w:pPr>
        <w:ind w:left="10" w:right="20"/>
        <w:spacing w:after="0" w:line="257" w:lineRule="auto"/>
        <w:rPr>
          <w:sz w:val="20"/>
          <w:szCs w:val="20"/>
          <w:color w:val="auto"/>
        </w:rPr>
      </w:pPr>
      <w:r>
        <w:rPr>
          <w:rFonts w:ascii="Arial" w:cs="Arial" w:eastAsia="Arial" w:hAnsi="Arial"/>
          <w:sz w:val="14"/>
          <w:szCs w:val="14"/>
          <w:color w:val="auto"/>
        </w:rPr>
        <w:t>Set forth below are select changes to executive compensation and governance practices and other actions taken by the board and/or the relevant board committee in recent years that were informed by shareholder feedback.</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76</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87" w:name="page88"/>
    <w:bookmarkEnd w:id="87"/>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Response to Recent Shareholder Feedback</w:t>
      </w:r>
    </w:p>
    <w:p>
      <w:pPr>
        <w:spacing w:after="0" w:line="162"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D60058"/>
        </w:rPr>
        <w:t>Board Leadership Structure</w:t>
      </w:r>
    </w:p>
    <w:p>
      <w:pPr>
        <w:spacing w:after="0" w:line="68" w:lineRule="exact"/>
        <w:rPr>
          <w:sz w:val="20"/>
          <w:szCs w:val="20"/>
          <w:color w:val="auto"/>
        </w:rPr>
      </w:pPr>
    </w:p>
    <w:p>
      <w:pPr>
        <w:ind w:left="150" w:hanging="150"/>
        <w:spacing w:after="0"/>
        <w:tabs>
          <w:tab w:leader="none" w:pos="150" w:val="left"/>
        </w:tabs>
        <w:numPr>
          <w:ilvl w:val="0"/>
          <w:numId w:val="118"/>
        </w:numPr>
        <w:rPr>
          <w:rFonts w:ascii="Arial" w:cs="Arial" w:eastAsia="Arial" w:hAnsi="Arial"/>
          <w:sz w:val="14"/>
          <w:szCs w:val="14"/>
          <w:color w:val="215AA8"/>
        </w:rPr>
      </w:pPr>
      <w:r>
        <w:rPr>
          <w:rFonts w:ascii="Arial" w:cs="Arial" w:eastAsia="Arial" w:hAnsi="Arial"/>
          <w:sz w:val="14"/>
          <w:szCs w:val="14"/>
          <w:color w:val="auto"/>
        </w:rPr>
        <w:t>Established robust Lead Independent Director role as part of new board leadership structure (2023).</w:t>
      </w:r>
    </w:p>
    <w:p>
      <w:pPr>
        <w:spacing w:after="0" w:line="127"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D60058"/>
        </w:rPr>
        <w:t>Board Refreshment</w:t>
      </w:r>
    </w:p>
    <w:p>
      <w:pPr>
        <w:spacing w:after="0" w:line="68" w:lineRule="exact"/>
        <w:rPr>
          <w:sz w:val="20"/>
          <w:szCs w:val="20"/>
          <w:color w:val="auto"/>
        </w:rPr>
      </w:pPr>
    </w:p>
    <w:p>
      <w:pPr>
        <w:ind w:left="150" w:right="40" w:hanging="150"/>
        <w:spacing w:after="0" w:line="257" w:lineRule="auto"/>
        <w:tabs>
          <w:tab w:leader="none" w:pos="150" w:val="left"/>
        </w:tabs>
        <w:numPr>
          <w:ilvl w:val="0"/>
          <w:numId w:val="119"/>
        </w:numPr>
        <w:rPr>
          <w:rFonts w:ascii="Arial" w:cs="Arial" w:eastAsia="Arial" w:hAnsi="Arial"/>
          <w:sz w:val="14"/>
          <w:szCs w:val="14"/>
          <w:color w:val="215AA8"/>
        </w:rPr>
      </w:pPr>
      <w:r>
        <w:rPr>
          <w:rFonts w:ascii="Arial" w:cs="Arial" w:eastAsia="Arial" w:hAnsi="Arial"/>
          <w:sz w:val="14"/>
          <w:szCs w:val="14"/>
          <w:color w:val="auto"/>
        </w:rPr>
        <w:t>Appointed Dr. Guarini, former Chief Information Officer at IBM, and Dr. Schenkein, General Partner and Co-lead of the Life Sciences team at GV (formerly Google Ventures), to the Board (2023).</w:t>
      </w:r>
    </w:p>
    <w:p>
      <w:pPr>
        <w:spacing w:after="0" w:line="37" w:lineRule="exact"/>
        <w:rPr>
          <w:rFonts w:ascii="Arial" w:cs="Arial" w:eastAsia="Arial" w:hAnsi="Arial"/>
          <w:sz w:val="14"/>
          <w:szCs w:val="14"/>
          <w:color w:val="215AA8"/>
        </w:rPr>
      </w:pPr>
    </w:p>
    <w:p>
      <w:pPr>
        <w:ind w:left="150" w:hanging="150"/>
        <w:spacing w:after="0"/>
        <w:tabs>
          <w:tab w:leader="none" w:pos="150" w:val="left"/>
        </w:tabs>
        <w:numPr>
          <w:ilvl w:val="0"/>
          <w:numId w:val="119"/>
        </w:numPr>
        <w:rPr>
          <w:rFonts w:ascii="Arial" w:cs="Arial" w:eastAsia="Arial" w:hAnsi="Arial"/>
          <w:sz w:val="14"/>
          <w:szCs w:val="14"/>
          <w:color w:val="215AA8"/>
        </w:rPr>
      </w:pPr>
      <w:r>
        <w:rPr>
          <w:rFonts w:ascii="Arial" w:cs="Arial" w:eastAsia="Arial" w:hAnsi="Arial"/>
          <w:sz w:val="14"/>
          <w:szCs w:val="14"/>
          <w:color w:val="auto"/>
        </w:rPr>
        <w:t>Elected Dr. Craig B. Thompson, former President and Chief Executive Officer of Memorial Sloan Kettering Cancer Center, to the Board (2022).</w:t>
      </w:r>
    </w:p>
    <w:p>
      <w:pPr>
        <w:spacing w:after="0" w:line="127"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D60058"/>
        </w:rPr>
        <w:t>Board Gender Diversity</w:t>
      </w:r>
    </w:p>
    <w:p>
      <w:pPr>
        <w:spacing w:after="0" w:line="68" w:lineRule="exact"/>
        <w:rPr>
          <w:sz w:val="20"/>
          <w:szCs w:val="20"/>
          <w:color w:val="auto"/>
        </w:rPr>
      </w:pPr>
    </w:p>
    <w:p>
      <w:pPr>
        <w:ind w:left="150" w:hanging="150"/>
        <w:spacing w:after="0"/>
        <w:tabs>
          <w:tab w:leader="none" w:pos="150" w:val="left"/>
        </w:tabs>
        <w:numPr>
          <w:ilvl w:val="0"/>
          <w:numId w:val="120"/>
        </w:numPr>
        <w:rPr>
          <w:rFonts w:ascii="Arial" w:cs="Arial" w:eastAsia="Arial" w:hAnsi="Arial"/>
          <w:sz w:val="14"/>
          <w:szCs w:val="14"/>
          <w:color w:val="215AA8"/>
        </w:rPr>
      </w:pPr>
      <w:r>
        <w:rPr>
          <w:rFonts w:ascii="Arial" w:cs="Arial" w:eastAsia="Arial" w:hAnsi="Arial"/>
          <w:sz w:val="14"/>
          <w:szCs w:val="14"/>
          <w:color w:val="auto"/>
        </w:rPr>
        <w:t>Prioritized female candidates in director search efforts, contributing to the selection of Dr. Guarini as a director candidate and her election to the board in the fall of 2023 (2023).</w:t>
      </w:r>
    </w:p>
    <w:p>
      <w:pPr>
        <w:spacing w:after="0" w:line="127"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D60058"/>
        </w:rPr>
        <w:t>Say-on-Pay</w:t>
      </w:r>
    </w:p>
    <w:p>
      <w:pPr>
        <w:spacing w:after="0" w:line="68" w:lineRule="exact"/>
        <w:rPr>
          <w:sz w:val="20"/>
          <w:szCs w:val="20"/>
          <w:color w:val="auto"/>
        </w:rPr>
      </w:pPr>
    </w:p>
    <w:p>
      <w:pPr>
        <w:ind w:left="150" w:hanging="150"/>
        <w:spacing w:after="0"/>
        <w:tabs>
          <w:tab w:leader="none" w:pos="150" w:val="left"/>
        </w:tabs>
        <w:numPr>
          <w:ilvl w:val="0"/>
          <w:numId w:val="121"/>
        </w:numPr>
        <w:rPr>
          <w:rFonts w:ascii="Arial" w:cs="Arial" w:eastAsia="Arial" w:hAnsi="Arial"/>
          <w:sz w:val="14"/>
          <w:szCs w:val="14"/>
          <w:color w:val="215AA8"/>
        </w:rPr>
      </w:pPr>
      <w:r>
        <w:rPr>
          <w:rFonts w:ascii="Arial" w:cs="Arial" w:eastAsia="Arial" w:hAnsi="Arial"/>
          <w:sz w:val="14"/>
          <w:szCs w:val="14"/>
          <w:color w:val="auto"/>
        </w:rPr>
        <w:t>Voluntarily adopted an annual say-on-pay vote (2022).</w:t>
      </w:r>
    </w:p>
    <w:p>
      <w:pPr>
        <w:spacing w:after="0" w:line="127"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D60058"/>
        </w:rPr>
        <w:t>Enhanced Disclosure</w:t>
      </w:r>
    </w:p>
    <w:p>
      <w:pPr>
        <w:spacing w:after="0" w:line="68" w:lineRule="exact"/>
        <w:rPr>
          <w:sz w:val="20"/>
          <w:szCs w:val="20"/>
          <w:color w:val="auto"/>
        </w:rPr>
      </w:pPr>
    </w:p>
    <w:p>
      <w:pPr>
        <w:ind w:left="150" w:right="180" w:hanging="150"/>
        <w:spacing w:after="0" w:line="246" w:lineRule="auto"/>
        <w:tabs>
          <w:tab w:leader="none" w:pos="150" w:val="left"/>
        </w:tabs>
        <w:numPr>
          <w:ilvl w:val="0"/>
          <w:numId w:val="122"/>
        </w:numPr>
        <w:rPr>
          <w:rFonts w:ascii="Arial" w:cs="Arial" w:eastAsia="Arial" w:hAnsi="Arial"/>
          <w:sz w:val="14"/>
          <w:szCs w:val="14"/>
          <w:color w:val="215AA8"/>
        </w:rPr>
      </w:pPr>
      <w:r>
        <w:rPr>
          <w:rFonts w:ascii="Arial" w:cs="Arial" w:eastAsia="Arial" w:hAnsi="Arial"/>
          <w:sz w:val="14"/>
          <w:szCs w:val="14"/>
          <w:color w:val="auto"/>
        </w:rPr>
        <w:t>Enhanced proxy statement disclosure surrounding board structure and leadership (including with respect to the duties and responsibilities of our Lead Independent Director), board composition and refreshment, board oversight of pricing decisions/access to medicine, dual-class capital structure, annual cash incentive determinations, 2020 PSUs, and certain other corporate governance matters (2022-2024).</w:t>
      </w:r>
    </w:p>
    <w:p>
      <w:pPr>
        <w:spacing w:after="0" w:line="10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D60058"/>
        </w:rPr>
        <w:t>Pay-for-Performance Alignment</w:t>
      </w:r>
    </w:p>
    <w:p>
      <w:pPr>
        <w:spacing w:after="0" w:line="68" w:lineRule="exact"/>
        <w:rPr>
          <w:sz w:val="20"/>
          <w:szCs w:val="20"/>
          <w:color w:val="auto"/>
        </w:rPr>
      </w:pPr>
    </w:p>
    <w:p>
      <w:pPr>
        <w:ind w:left="150" w:hanging="150"/>
        <w:spacing w:after="0"/>
        <w:tabs>
          <w:tab w:leader="none" w:pos="150" w:val="left"/>
        </w:tabs>
        <w:numPr>
          <w:ilvl w:val="0"/>
          <w:numId w:val="123"/>
        </w:numPr>
        <w:rPr>
          <w:rFonts w:ascii="Arial" w:cs="Arial" w:eastAsia="Arial" w:hAnsi="Arial"/>
          <w:sz w:val="14"/>
          <w:szCs w:val="14"/>
          <w:color w:val="215AA8"/>
        </w:rPr>
      </w:pPr>
      <w:r>
        <w:rPr>
          <w:rFonts w:ascii="Arial" w:cs="Arial" w:eastAsia="Arial" w:hAnsi="Arial"/>
          <w:sz w:val="14"/>
          <w:szCs w:val="14"/>
          <w:color w:val="auto"/>
        </w:rPr>
        <w:t>Introduced PSUs as a component of CEO and CSO equity awards (2019).</w:t>
      </w:r>
    </w:p>
    <w:p>
      <w:pPr>
        <w:spacing w:after="0" w:line="64" w:lineRule="exact"/>
        <w:rPr>
          <w:rFonts w:ascii="Arial" w:cs="Arial" w:eastAsia="Arial" w:hAnsi="Arial"/>
          <w:sz w:val="14"/>
          <w:szCs w:val="14"/>
          <w:color w:val="215AA8"/>
        </w:rPr>
      </w:pPr>
    </w:p>
    <w:p>
      <w:pPr>
        <w:ind w:left="150" w:hanging="150"/>
        <w:spacing w:after="0"/>
        <w:tabs>
          <w:tab w:leader="none" w:pos="150" w:val="left"/>
        </w:tabs>
        <w:numPr>
          <w:ilvl w:val="0"/>
          <w:numId w:val="123"/>
        </w:numPr>
        <w:rPr>
          <w:rFonts w:ascii="Arial" w:cs="Arial" w:eastAsia="Arial" w:hAnsi="Arial"/>
          <w:sz w:val="14"/>
          <w:szCs w:val="14"/>
          <w:color w:val="215AA8"/>
        </w:rPr>
      </w:pPr>
      <w:r>
        <w:rPr>
          <w:rFonts w:ascii="Arial" w:cs="Arial" w:eastAsia="Arial" w:hAnsi="Arial"/>
          <w:sz w:val="14"/>
          <w:szCs w:val="14"/>
          <w:color w:val="auto"/>
        </w:rPr>
        <w:t>Granted 100% of CEO and CSO equity awards in the form of PSUs (2020).</w:t>
      </w:r>
    </w:p>
    <w:p>
      <w:pPr>
        <w:spacing w:after="0" w:line="64" w:lineRule="exact"/>
        <w:rPr>
          <w:rFonts w:ascii="Arial" w:cs="Arial" w:eastAsia="Arial" w:hAnsi="Arial"/>
          <w:sz w:val="14"/>
          <w:szCs w:val="14"/>
          <w:color w:val="215AA8"/>
        </w:rPr>
      </w:pPr>
    </w:p>
    <w:p>
      <w:pPr>
        <w:ind w:left="150" w:hanging="150"/>
        <w:spacing w:after="0"/>
        <w:tabs>
          <w:tab w:leader="none" w:pos="150" w:val="left"/>
        </w:tabs>
        <w:numPr>
          <w:ilvl w:val="0"/>
          <w:numId w:val="123"/>
        </w:numPr>
        <w:rPr>
          <w:rFonts w:ascii="Arial" w:cs="Arial" w:eastAsia="Arial" w:hAnsi="Arial"/>
          <w:sz w:val="14"/>
          <w:szCs w:val="14"/>
          <w:color w:val="215AA8"/>
        </w:rPr>
      </w:pPr>
      <w:r>
        <w:rPr>
          <w:rFonts w:ascii="Arial" w:cs="Arial" w:eastAsia="Arial" w:hAnsi="Arial"/>
          <w:sz w:val="14"/>
          <w:szCs w:val="14"/>
          <w:color w:val="auto"/>
        </w:rPr>
        <w:t>Reaffirmed, and delivered on, commitment to issue no additional equity awards for CEO and CSO before December 2025 (2021-2024).</w:t>
      </w:r>
    </w:p>
    <w:p>
      <w:pPr>
        <w:spacing w:after="0" w:line="127"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D60058"/>
        </w:rPr>
        <w:t>Management Stability</w:t>
      </w:r>
    </w:p>
    <w:p>
      <w:pPr>
        <w:spacing w:after="0" w:line="68" w:lineRule="exact"/>
        <w:rPr>
          <w:sz w:val="20"/>
          <w:szCs w:val="20"/>
          <w:color w:val="auto"/>
        </w:rPr>
      </w:pPr>
    </w:p>
    <w:p>
      <w:pPr>
        <w:ind w:left="150" w:right="360" w:hanging="150"/>
        <w:spacing w:after="0" w:line="257" w:lineRule="auto"/>
        <w:tabs>
          <w:tab w:leader="none" w:pos="150" w:val="left"/>
        </w:tabs>
        <w:numPr>
          <w:ilvl w:val="0"/>
          <w:numId w:val="124"/>
        </w:numPr>
        <w:rPr>
          <w:rFonts w:ascii="Arial" w:cs="Arial" w:eastAsia="Arial" w:hAnsi="Arial"/>
          <w:sz w:val="14"/>
          <w:szCs w:val="14"/>
          <w:color w:val="215AA8"/>
        </w:rPr>
      </w:pPr>
      <w:r>
        <w:rPr>
          <w:rFonts w:ascii="Arial" w:cs="Arial" w:eastAsia="Arial" w:hAnsi="Arial"/>
          <w:sz w:val="14"/>
          <w:szCs w:val="14"/>
          <w:color w:val="auto"/>
        </w:rPr>
        <w:t>Increased holding/vesting requirements for CEO and CSO by incorporating a five-year performance period and a subsequent three-year holding period in most recent equity awards (2020).</w:t>
      </w:r>
    </w:p>
    <w:p>
      <w:pPr>
        <w:spacing w:after="0" w:line="10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D60058"/>
        </w:rPr>
        <w:t>Dilution/Burn Rate Concerns</w:t>
      </w:r>
    </w:p>
    <w:p>
      <w:pPr>
        <w:spacing w:after="0" w:line="68" w:lineRule="exact"/>
        <w:rPr>
          <w:sz w:val="20"/>
          <w:szCs w:val="20"/>
          <w:color w:val="auto"/>
        </w:rPr>
      </w:pPr>
    </w:p>
    <w:p>
      <w:pPr>
        <w:ind w:left="150" w:right="120" w:hanging="150"/>
        <w:spacing w:after="0" w:line="257" w:lineRule="auto"/>
        <w:tabs>
          <w:tab w:leader="none" w:pos="150" w:val="left"/>
        </w:tabs>
        <w:numPr>
          <w:ilvl w:val="0"/>
          <w:numId w:val="125"/>
        </w:numPr>
        <w:rPr>
          <w:rFonts w:ascii="Arial" w:cs="Arial" w:eastAsia="Arial" w:hAnsi="Arial"/>
          <w:sz w:val="14"/>
          <w:szCs w:val="14"/>
          <w:color w:val="215AA8"/>
        </w:rPr>
      </w:pPr>
      <w:r>
        <w:rPr>
          <w:rFonts w:ascii="Arial" w:cs="Arial" w:eastAsia="Arial" w:hAnsi="Arial"/>
          <w:sz w:val="14"/>
          <w:szCs w:val="14"/>
          <w:color w:val="auto"/>
        </w:rPr>
        <w:t>Introduced and then expanded the use of full-value awards as a component of annual equity awards; recalibrated equity award size (stock options and RSAs/RSUs) for NEOs below the CEO/CSO level and other employees (2019-2023).</w:t>
      </w:r>
    </w:p>
    <w:p>
      <w:pPr>
        <w:spacing w:after="0" w:line="10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D60058"/>
        </w:rPr>
        <w:t>Annual Cash Incentives</w:t>
      </w:r>
    </w:p>
    <w:p>
      <w:pPr>
        <w:spacing w:after="0" w:line="68" w:lineRule="exact"/>
        <w:rPr>
          <w:sz w:val="20"/>
          <w:szCs w:val="20"/>
          <w:color w:val="auto"/>
        </w:rPr>
      </w:pPr>
    </w:p>
    <w:p>
      <w:pPr>
        <w:ind w:left="150" w:right="160" w:hanging="150"/>
        <w:spacing w:after="0" w:line="257" w:lineRule="auto"/>
        <w:tabs>
          <w:tab w:leader="none" w:pos="150" w:val="left"/>
        </w:tabs>
        <w:numPr>
          <w:ilvl w:val="0"/>
          <w:numId w:val="126"/>
        </w:numPr>
        <w:rPr>
          <w:rFonts w:ascii="Arial" w:cs="Arial" w:eastAsia="Arial" w:hAnsi="Arial"/>
          <w:sz w:val="14"/>
          <w:szCs w:val="14"/>
          <w:color w:val="215AA8"/>
        </w:rPr>
      </w:pPr>
      <w:r>
        <w:rPr>
          <w:rFonts w:ascii="Arial" w:cs="Arial" w:eastAsia="Arial" w:hAnsi="Arial"/>
          <w:sz w:val="14"/>
          <w:szCs w:val="14"/>
          <w:color w:val="auto"/>
        </w:rPr>
        <w:t>Enhanced the process by which the Compensation Committee determines the Company performance multiplier for annual cash incentives; provided more detailed disclosure regarding this process (2019-2024).</w:t>
      </w:r>
    </w:p>
    <w:p>
      <w:pPr>
        <w:spacing w:after="0" w:line="10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D60058"/>
        </w:rPr>
        <w:t>Compensation of Non-Employee Directors</w:t>
      </w:r>
    </w:p>
    <w:p>
      <w:pPr>
        <w:spacing w:after="0" w:line="68" w:lineRule="exact"/>
        <w:rPr>
          <w:sz w:val="20"/>
          <w:szCs w:val="20"/>
          <w:color w:val="auto"/>
        </w:rPr>
      </w:pPr>
    </w:p>
    <w:p>
      <w:pPr>
        <w:ind w:left="150" w:hanging="150"/>
        <w:spacing w:after="0"/>
        <w:tabs>
          <w:tab w:leader="none" w:pos="150" w:val="left"/>
        </w:tabs>
        <w:numPr>
          <w:ilvl w:val="0"/>
          <w:numId w:val="127"/>
        </w:numPr>
        <w:rPr>
          <w:rFonts w:ascii="Arial" w:cs="Arial" w:eastAsia="Arial" w:hAnsi="Arial"/>
          <w:sz w:val="14"/>
          <w:szCs w:val="14"/>
          <w:color w:val="215AA8"/>
        </w:rPr>
      </w:pPr>
      <w:r>
        <w:rPr>
          <w:rFonts w:ascii="Arial" w:cs="Arial" w:eastAsia="Arial" w:hAnsi="Arial"/>
          <w:sz w:val="14"/>
          <w:szCs w:val="14"/>
          <w:color w:val="auto"/>
        </w:rPr>
        <w:t>Introduced new compensation program for our non-employee directors, thereby reducing the annual grant date fair value of their equity awards by nearly 50% (2018).</w:t>
      </w:r>
    </w:p>
    <w:p>
      <w:pPr>
        <w:spacing w:after="0" w:line="127"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D60058"/>
        </w:rPr>
        <w:t>Corporate Responsibility and Sustainability</w:t>
      </w:r>
    </w:p>
    <w:p>
      <w:pPr>
        <w:spacing w:after="0" w:line="68" w:lineRule="exact"/>
        <w:rPr>
          <w:sz w:val="20"/>
          <w:szCs w:val="20"/>
          <w:color w:val="auto"/>
        </w:rPr>
      </w:pPr>
    </w:p>
    <w:p>
      <w:pPr>
        <w:ind w:left="150" w:right="320" w:hanging="150"/>
        <w:spacing w:after="0" w:line="257" w:lineRule="auto"/>
        <w:tabs>
          <w:tab w:leader="none" w:pos="150" w:val="left"/>
        </w:tabs>
        <w:numPr>
          <w:ilvl w:val="0"/>
          <w:numId w:val="128"/>
        </w:numPr>
        <w:rPr>
          <w:rFonts w:ascii="Arial" w:cs="Arial" w:eastAsia="Arial" w:hAnsi="Arial"/>
          <w:sz w:val="14"/>
          <w:szCs w:val="14"/>
          <w:color w:val="215AA8"/>
        </w:rPr>
      </w:pPr>
      <w:r>
        <w:rPr>
          <w:rFonts w:ascii="Arial" w:cs="Arial" w:eastAsia="Arial" w:hAnsi="Arial"/>
          <w:sz w:val="14"/>
          <w:szCs w:val="14"/>
          <w:color w:val="auto"/>
        </w:rPr>
        <w:t>Increased the breadth and depth of ESG data collection and reporting; aligned annual Responsibility Report with the SASB framework; and, since 2021, published a separate annual report on climate-related risks and opportunities aligned with the recommendations developed by the TCFD (2017-2024).</w:t>
      </w:r>
    </w:p>
    <w:p>
      <w:pPr>
        <w:spacing w:after="0" w:line="37" w:lineRule="exact"/>
        <w:rPr>
          <w:rFonts w:ascii="Arial" w:cs="Arial" w:eastAsia="Arial" w:hAnsi="Arial"/>
          <w:sz w:val="14"/>
          <w:szCs w:val="14"/>
          <w:color w:val="215AA8"/>
        </w:rPr>
      </w:pPr>
    </w:p>
    <w:p>
      <w:pPr>
        <w:ind w:left="150" w:right="260" w:hanging="150"/>
        <w:spacing w:after="0" w:line="340" w:lineRule="auto"/>
        <w:tabs>
          <w:tab w:leader="none" w:pos="150" w:val="left"/>
        </w:tabs>
        <w:numPr>
          <w:ilvl w:val="0"/>
          <w:numId w:val="128"/>
        </w:numPr>
        <w:rPr>
          <w:rFonts w:ascii="Arial" w:cs="Arial" w:eastAsia="Arial" w:hAnsi="Arial"/>
          <w:sz w:val="12"/>
          <w:szCs w:val="12"/>
          <w:color w:val="215AA8"/>
        </w:rPr>
      </w:pPr>
      <w:r>
        <w:rPr>
          <w:rFonts w:ascii="Arial" w:cs="Arial" w:eastAsia="Arial" w:hAnsi="Arial"/>
          <w:sz w:val="12"/>
          <w:szCs w:val="12"/>
          <w:color w:val="auto"/>
        </w:rPr>
        <w:t>Bolstered diversity initiatives and reporting, including by making a commitment to increase diversity in leadership and strengthen a culture of inclusion as part of global ESG goals and publishing consolidated EEO-1 data (data from annual reports submitted to the U.S. Equal Employment Opportunity Commission) on Regeneron’s website (2018-2024).</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77</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8"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Independent Compensation Consultant</w:t>
      </w:r>
    </w:p>
    <w:p>
      <w:pPr>
        <w:spacing w:after="0" w:line="174" w:lineRule="exact"/>
        <w:rPr>
          <w:sz w:val="20"/>
          <w:szCs w:val="20"/>
          <w:color w:val="auto"/>
        </w:rPr>
      </w:pPr>
    </w:p>
    <w:p>
      <w:pPr>
        <w:ind w:left="10" w:right="60"/>
        <w:spacing w:after="0" w:line="238" w:lineRule="auto"/>
        <w:rPr>
          <w:sz w:val="20"/>
          <w:szCs w:val="20"/>
          <w:color w:val="auto"/>
        </w:rPr>
      </w:pPr>
      <w:r>
        <w:rPr>
          <w:rFonts w:ascii="Arial" w:cs="Arial" w:eastAsia="Arial" w:hAnsi="Arial"/>
          <w:sz w:val="14"/>
          <w:szCs w:val="14"/>
          <w:color w:val="auto"/>
        </w:rPr>
        <w:t>The Compensation Committee has the sole authority to retain, at the Company’s expense, one or more third-party compensation consultants to assist the Compensation Committee in performing its responsibilities and to terminate the services of the consultant if the Compensation Committee deems it appropriate. The Compensation Committee (and, as discussed above with respect to non-employee director compensation matters, the Corporate Governance and Compliance Committee) has utilized the services of Pay Governance LLC since September 2021. In order to maintain its independence, the Compensation Committee retained Pay Governance LLC directly, and Pay Governance LLC performed services for the Compensation Committee exclusively at the Compensation Committee’s direction. The Compensation Committee periodically evaluates the independence of its compensation consultant. In accordance with applicable listing standards of the Nasdaq Stock Market LLC and SEC rules, in 2023 the Compensation Committee evaluated the independence of Pay Governance LLC; and, on the basis of this evaluation, concluded that the engagement of Pay Governance LLC did not raise any conflicts of interest.</w:t>
      </w:r>
    </w:p>
    <w:p>
      <w:pPr>
        <w:spacing w:after="0" w:line="143" w:lineRule="exact"/>
        <w:rPr>
          <w:sz w:val="20"/>
          <w:szCs w:val="20"/>
          <w:color w:val="auto"/>
        </w:rPr>
      </w:pPr>
    </w:p>
    <w:p>
      <w:pPr>
        <w:ind w:left="10" w:right="60"/>
        <w:spacing w:after="0" w:line="290" w:lineRule="auto"/>
        <w:rPr>
          <w:sz w:val="20"/>
          <w:szCs w:val="20"/>
          <w:color w:val="auto"/>
        </w:rPr>
      </w:pPr>
      <w:r>
        <w:rPr>
          <w:rFonts w:ascii="Arial" w:cs="Arial" w:eastAsia="Arial" w:hAnsi="Arial"/>
          <w:sz w:val="12"/>
          <w:szCs w:val="12"/>
          <w:color w:val="auto"/>
        </w:rPr>
        <w:t>The Compensation Committee’s consultant reviews management recommendations for compensation plans, budgets, and strategies, and also advises the Compensation Committee on how regulations and trends in executive compensation nationally and specifically in the pharmaceutical and biopharmaceutical industries may be relevant to the Company. It also assists with developing the Peer Group; provides comparative compensation information for our CEO and CSO and other senior executives (using the Peer Group and other compensation data as described below); reviews senior management’s compensation recommendations for other officers, including the other NEOs; and provides general advice to the Compensation Committee on compensation matters, including facilitating the articulation and periodic review of the Company’s compensation philosophy and replenishment of our long-term equity incentive plan.</w:t>
      </w:r>
    </w:p>
    <w:p>
      <w:pPr>
        <w:spacing w:after="0" w:line="203"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Peer Data</w:t>
      </w:r>
    </w:p>
    <w:p>
      <w:pPr>
        <w:spacing w:after="0" w:line="174" w:lineRule="exact"/>
        <w:rPr>
          <w:sz w:val="20"/>
          <w:szCs w:val="20"/>
          <w:color w:val="auto"/>
        </w:rPr>
      </w:pPr>
    </w:p>
    <w:p>
      <w:pPr>
        <w:ind w:left="10" w:right="100"/>
        <w:spacing w:after="0" w:line="246" w:lineRule="auto"/>
        <w:rPr>
          <w:sz w:val="20"/>
          <w:szCs w:val="20"/>
          <w:color w:val="auto"/>
        </w:rPr>
      </w:pPr>
      <w:r>
        <w:rPr>
          <w:rFonts w:ascii="Arial" w:cs="Arial" w:eastAsia="Arial" w:hAnsi="Arial"/>
          <w:sz w:val="14"/>
          <w:szCs w:val="14"/>
          <w:color w:val="auto"/>
        </w:rPr>
        <w:t>For purposes of setting our NEOs’ and other senior executives’ compensation, we use comparative compensation information from a relevant peer group of companies (referred to in this proxy statement as the “Peer Group”). In 2023, we selected the companies in the Peer Group with the assistance of Pay Governance LLC based on factors including, but not limited to, the following:</w:t>
      </w:r>
    </w:p>
    <w:p>
      <w:pPr>
        <w:spacing w:after="0" w:line="135" w:lineRule="exact"/>
        <w:rPr>
          <w:sz w:val="20"/>
          <w:szCs w:val="20"/>
          <w:color w:val="auto"/>
        </w:rPr>
      </w:pPr>
    </w:p>
    <w:p>
      <w:pPr>
        <w:ind w:left="150" w:hanging="150"/>
        <w:spacing w:after="0"/>
        <w:tabs>
          <w:tab w:leader="none" w:pos="150" w:val="left"/>
        </w:tabs>
        <w:numPr>
          <w:ilvl w:val="0"/>
          <w:numId w:val="129"/>
        </w:numPr>
        <w:rPr>
          <w:rFonts w:ascii="Arial" w:cs="Arial" w:eastAsia="Arial" w:hAnsi="Arial"/>
          <w:sz w:val="14"/>
          <w:szCs w:val="14"/>
          <w:color w:val="215AA8"/>
        </w:rPr>
      </w:pPr>
      <w:r>
        <w:rPr>
          <w:rFonts w:ascii="Arial" w:cs="Arial" w:eastAsia="Arial" w:hAnsi="Arial"/>
          <w:sz w:val="14"/>
          <w:szCs w:val="14"/>
          <w:color w:val="auto"/>
        </w:rPr>
        <w:t>research and development orientation;</w:t>
      </w:r>
    </w:p>
    <w:p>
      <w:pPr>
        <w:spacing w:after="0" w:line="64" w:lineRule="exact"/>
        <w:rPr>
          <w:rFonts w:ascii="Arial" w:cs="Arial" w:eastAsia="Arial" w:hAnsi="Arial"/>
          <w:sz w:val="14"/>
          <w:szCs w:val="14"/>
          <w:color w:val="215AA8"/>
        </w:rPr>
      </w:pPr>
    </w:p>
    <w:p>
      <w:pPr>
        <w:ind w:left="150" w:hanging="150"/>
        <w:spacing w:after="0"/>
        <w:tabs>
          <w:tab w:leader="none" w:pos="150" w:val="left"/>
        </w:tabs>
        <w:numPr>
          <w:ilvl w:val="0"/>
          <w:numId w:val="129"/>
        </w:numPr>
        <w:rPr>
          <w:rFonts w:ascii="Arial" w:cs="Arial" w:eastAsia="Arial" w:hAnsi="Arial"/>
          <w:sz w:val="14"/>
          <w:szCs w:val="14"/>
          <w:color w:val="215AA8"/>
        </w:rPr>
      </w:pPr>
      <w:r>
        <w:rPr>
          <w:rFonts w:ascii="Arial" w:cs="Arial" w:eastAsia="Arial" w:hAnsi="Arial"/>
          <w:sz w:val="14"/>
          <w:szCs w:val="14"/>
          <w:color w:val="auto"/>
        </w:rPr>
        <w:t>market capitalization;</w:t>
      </w:r>
    </w:p>
    <w:p>
      <w:pPr>
        <w:spacing w:after="0" w:line="64" w:lineRule="exact"/>
        <w:rPr>
          <w:rFonts w:ascii="Arial" w:cs="Arial" w:eastAsia="Arial" w:hAnsi="Arial"/>
          <w:sz w:val="14"/>
          <w:szCs w:val="14"/>
          <w:color w:val="215AA8"/>
        </w:rPr>
      </w:pPr>
    </w:p>
    <w:p>
      <w:pPr>
        <w:ind w:left="150" w:hanging="150"/>
        <w:spacing w:after="0"/>
        <w:tabs>
          <w:tab w:leader="none" w:pos="150" w:val="left"/>
        </w:tabs>
        <w:numPr>
          <w:ilvl w:val="0"/>
          <w:numId w:val="129"/>
        </w:numPr>
        <w:rPr>
          <w:rFonts w:ascii="Arial" w:cs="Arial" w:eastAsia="Arial" w:hAnsi="Arial"/>
          <w:sz w:val="14"/>
          <w:szCs w:val="14"/>
          <w:color w:val="215AA8"/>
        </w:rPr>
      </w:pPr>
      <w:r>
        <w:rPr>
          <w:rFonts w:ascii="Arial" w:cs="Arial" w:eastAsia="Arial" w:hAnsi="Arial"/>
          <w:sz w:val="14"/>
          <w:szCs w:val="14"/>
          <w:color w:val="auto"/>
        </w:rPr>
        <w:t>number of employees;</w:t>
      </w:r>
    </w:p>
    <w:p>
      <w:pPr>
        <w:spacing w:after="0" w:line="64" w:lineRule="exact"/>
        <w:rPr>
          <w:rFonts w:ascii="Arial" w:cs="Arial" w:eastAsia="Arial" w:hAnsi="Arial"/>
          <w:sz w:val="14"/>
          <w:szCs w:val="14"/>
          <w:color w:val="215AA8"/>
        </w:rPr>
      </w:pPr>
    </w:p>
    <w:p>
      <w:pPr>
        <w:ind w:left="150" w:hanging="150"/>
        <w:spacing w:after="0"/>
        <w:tabs>
          <w:tab w:leader="none" w:pos="150" w:val="left"/>
        </w:tabs>
        <w:numPr>
          <w:ilvl w:val="0"/>
          <w:numId w:val="129"/>
        </w:numPr>
        <w:rPr>
          <w:rFonts w:ascii="Arial" w:cs="Arial" w:eastAsia="Arial" w:hAnsi="Arial"/>
          <w:sz w:val="14"/>
          <w:szCs w:val="14"/>
          <w:color w:val="215AA8"/>
        </w:rPr>
      </w:pPr>
      <w:r>
        <w:rPr>
          <w:rFonts w:ascii="Arial" w:cs="Arial" w:eastAsia="Arial" w:hAnsi="Arial"/>
          <w:sz w:val="14"/>
          <w:szCs w:val="14"/>
          <w:color w:val="auto"/>
        </w:rPr>
        <w:t>stage of development; and</w:t>
      </w:r>
    </w:p>
    <w:p>
      <w:pPr>
        <w:spacing w:after="0" w:line="64" w:lineRule="exact"/>
        <w:rPr>
          <w:rFonts w:ascii="Arial" w:cs="Arial" w:eastAsia="Arial" w:hAnsi="Arial"/>
          <w:sz w:val="14"/>
          <w:szCs w:val="14"/>
          <w:color w:val="215AA8"/>
        </w:rPr>
      </w:pPr>
    </w:p>
    <w:p>
      <w:pPr>
        <w:ind w:left="150" w:hanging="150"/>
        <w:spacing w:after="0"/>
        <w:tabs>
          <w:tab w:leader="none" w:pos="150" w:val="left"/>
        </w:tabs>
        <w:numPr>
          <w:ilvl w:val="0"/>
          <w:numId w:val="129"/>
        </w:numPr>
        <w:rPr>
          <w:rFonts w:ascii="Arial" w:cs="Arial" w:eastAsia="Arial" w:hAnsi="Arial"/>
          <w:sz w:val="14"/>
          <w:szCs w:val="14"/>
          <w:color w:val="215AA8"/>
        </w:rPr>
      </w:pPr>
      <w:r>
        <w:rPr>
          <w:rFonts w:ascii="Arial" w:cs="Arial" w:eastAsia="Arial" w:hAnsi="Arial"/>
          <w:sz w:val="14"/>
          <w:szCs w:val="14"/>
          <w:color w:val="auto"/>
        </w:rPr>
        <w:t>total revenues.</w:t>
      </w:r>
    </w:p>
    <w:p>
      <w:pPr>
        <w:spacing w:after="0" w:line="154" w:lineRule="exact"/>
        <w:rPr>
          <w:sz w:val="20"/>
          <w:szCs w:val="20"/>
          <w:color w:val="auto"/>
        </w:rPr>
      </w:pPr>
    </w:p>
    <w:p>
      <w:pPr>
        <w:ind w:left="10" w:right="240"/>
        <w:spacing w:after="0" w:line="246" w:lineRule="auto"/>
        <w:rPr>
          <w:sz w:val="20"/>
          <w:szCs w:val="20"/>
          <w:color w:val="auto"/>
        </w:rPr>
      </w:pPr>
      <w:r>
        <w:rPr>
          <w:rFonts w:ascii="Arial" w:cs="Arial" w:eastAsia="Arial" w:hAnsi="Arial"/>
          <w:sz w:val="14"/>
          <w:szCs w:val="14"/>
          <w:color w:val="auto"/>
        </w:rPr>
        <w:t>The Peer Group is also meant to provide a representative sample of companies with which we compete for talent. We periodically reassess the composition of the Peer Group and make changes as appropriate, taking into account factors such as changes in the Company’s market capitalization and merger-and-acquisition activity impacting the existing Peer Group companies.</w:t>
      </w:r>
    </w:p>
    <w:p>
      <w:pPr>
        <w:spacing w:after="0" w:line="135"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The Peer Group utilized in 2023 consists of the following 12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55180" cy="146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2560" w:type="dxa"/>
            <w:vAlign w:val="bottom"/>
            <w:tcBorders>
              <w:bottom w:val="single" w:sz="8" w:color="949599"/>
            </w:tcBorders>
          </w:tcPr>
          <w:p>
            <w:pPr>
              <w:ind w:left="40"/>
              <w:spacing w:after="0"/>
              <w:rPr>
                <w:sz w:val="20"/>
                <w:szCs w:val="20"/>
                <w:color w:val="auto"/>
              </w:rPr>
            </w:pPr>
            <w:r>
              <w:rPr>
                <w:rFonts w:ascii="Arial" w:cs="Arial" w:eastAsia="Arial" w:hAnsi="Arial"/>
                <w:sz w:val="14"/>
                <w:szCs w:val="14"/>
                <w:color w:val="auto"/>
              </w:rPr>
              <w:t>AbbVie Inc.</w:t>
            </w:r>
          </w:p>
        </w:tc>
        <w:tc>
          <w:tcPr>
            <w:tcW w:w="3560" w:type="dxa"/>
            <w:vAlign w:val="bottom"/>
            <w:tcBorders>
              <w:bottom w:val="single" w:sz="8" w:color="949599"/>
            </w:tcBorders>
          </w:tcPr>
          <w:p>
            <w:pPr>
              <w:ind w:left="700"/>
              <w:spacing w:after="0"/>
              <w:rPr>
                <w:sz w:val="20"/>
                <w:szCs w:val="20"/>
                <w:color w:val="auto"/>
              </w:rPr>
            </w:pPr>
            <w:r>
              <w:rPr>
                <w:rFonts w:ascii="Arial" w:cs="Arial" w:eastAsia="Arial" w:hAnsi="Arial"/>
                <w:sz w:val="14"/>
                <w:szCs w:val="14"/>
                <w:color w:val="auto"/>
              </w:rPr>
              <w:t>BioMarin Pharmaceutical Inc.</w:t>
            </w:r>
          </w:p>
        </w:tc>
        <w:tc>
          <w:tcPr>
            <w:tcW w:w="5140" w:type="dxa"/>
            <w:vAlign w:val="bottom"/>
            <w:tcBorders>
              <w:bottom w:val="single" w:sz="8" w:color="949599"/>
            </w:tcBorders>
          </w:tcPr>
          <w:p>
            <w:pPr>
              <w:ind w:left="980"/>
              <w:spacing w:after="0"/>
              <w:rPr>
                <w:sz w:val="20"/>
                <w:szCs w:val="20"/>
                <w:color w:val="auto"/>
              </w:rPr>
            </w:pPr>
            <w:r>
              <w:rPr>
                <w:rFonts w:ascii="Arial" w:cs="Arial" w:eastAsia="Arial" w:hAnsi="Arial"/>
                <w:sz w:val="14"/>
                <w:szCs w:val="14"/>
                <w:color w:val="auto"/>
              </w:rPr>
              <w:t>Incyte Corporation</w:t>
            </w:r>
          </w:p>
        </w:tc>
      </w:tr>
      <w:tr>
        <w:trPr>
          <w:trHeight w:val="194"/>
        </w:trPr>
        <w:tc>
          <w:tcPr>
            <w:tcW w:w="2560" w:type="dxa"/>
            <w:vAlign w:val="bottom"/>
            <w:tcBorders>
              <w:bottom w:val="single" w:sz="8" w:color="949599"/>
            </w:tcBorders>
            <w:shd w:val="clear" w:color="auto" w:fill="ECECED"/>
          </w:tcPr>
          <w:p>
            <w:pPr>
              <w:ind w:left="40"/>
              <w:spacing w:after="0"/>
              <w:rPr>
                <w:sz w:val="20"/>
                <w:szCs w:val="20"/>
                <w:color w:val="auto"/>
              </w:rPr>
            </w:pPr>
            <w:r>
              <w:rPr>
                <w:rFonts w:ascii="Arial" w:cs="Arial" w:eastAsia="Arial" w:hAnsi="Arial"/>
                <w:sz w:val="14"/>
                <w:szCs w:val="14"/>
                <w:color w:val="auto"/>
              </w:rPr>
              <w:t>Alnylam Pharmaceuticals, Inc.</w:t>
            </w:r>
          </w:p>
        </w:tc>
        <w:tc>
          <w:tcPr>
            <w:tcW w:w="3560" w:type="dxa"/>
            <w:vAlign w:val="bottom"/>
            <w:tcBorders>
              <w:bottom w:val="single" w:sz="8" w:color="949599"/>
            </w:tcBorders>
            <w:shd w:val="clear" w:color="auto" w:fill="ECECED"/>
          </w:tcPr>
          <w:p>
            <w:pPr>
              <w:ind w:left="700"/>
              <w:spacing w:after="0"/>
              <w:rPr>
                <w:sz w:val="20"/>
                <w:szCs w:val="20"/>
                <w:color w:val="auto"/>
              </w:rPr>
            </w:pPr>
            <w:r>
              <w:rPr>
                <w:rFonts w:ascii="Arial" w:cs="Arial" w:eastAsia="Arial" w:hAnsi="Arial"/>
                <w:sz w:val="14"/>
                <w:szCs w:val="14"/>
                <w:color w:val="auto"/>
              </w:rPr>
              <w:t>Bristol-Myers Squibb Company</w:t>
            </w:r>
          </w:p>
        </w:tc>
        <w:tc>
          <w:tcPr>
            <w:tcW w:w="5140" w:type="dxa"/>
            <w:vAlign w:val="bottom"/>
            <w:tcBorders>
              <w:bottom w:val="single" w:sz="8" w:color="949599"/>
            </w:tcBorders>
            <w:shd w:val="clear" w:color="auto" w:fill="ECECED"/>
          </w:tcPr>
          <w:p>
            <w:pPr>
              <w:ind w:left="980"/>
              <w:spacing w:after="0"/>
              <w:rPr>
                <w:sz w:val="20"/>
                <w:szCs w:val="20"/>
                <w:color w:val="auto"/>
              </w:rPr>
            </w:pPr>
            <w:r>
              <w:rPr>
                <w:rFonts w:ascii="Arial" w:cs="Arial" w:eastAsia="Arial" w:hAnsi="Arial"/>
                <w:sz w:val="14"/>
                <w:szCs w:val="14"/>
                <w:color w:val="auto"/>
              </w:rPr>
              <w:t>Merck &amp; Co., Inc.</w:t>
            </w:r>
          </w:p>
        </w:tc>
      </w:tr>
      <w:tr>
        <w:trPr>
          <w:trHeight w:val="194"/>
        </w:trPr>
        <w:tc>
          <w:tcPr>
            <w:tcW w:w="2560" w:type="dxa"/>
            <w:vAlign w:val="bottom"/>
            <w:tcBorders>
              <w:bottom w:val="single" w:sz="8" w:color="949599"/>
            </w:tcBorders>
          </w:tcPr>
          <w:p>
            <w:pPr>
              <w:ind w:left="40"/>
              <w:spacing w:after="0"/>
              <w:rPr>
                <w:sz w:val="20"/>
                <w:szCs w:val="20"/>
                <w:color w:val="auto"/>
              </w:rPr>
            </w:pPr>
            <w:r>
              <w:rPr>
                <w:rFonts w:ascii="Arial" w:cs="Arial" w:eastAsia="Arial" w:hAnsi="Arial"/>
                <w:sz w:val="14"/>
                <w:szCs w:val="14"/>
                <w:color w:val="auto"/>
              </w:rPr>
              <w:t>Amgen Inc.</w:t>
            </w:r>
          </w:p>
        </w:tc>
        <w:tc>
          <w:tcPr>
            <w:tcW w:w="3560" w:type="dxa"/>
            <w:vAlign w:val="bottom"/>
            <w:tcBorders>
              <w:bottom w:val="single" w:sz="8" w:color="949599"/>
            </w:tcBorders>
          </w:tcPr>
          <w:p>
            <w:pPr>
              <w:ind w:left="700"/>
              <w:spacing w:after="0"/>
              <w:rPr>
                <w:sz w:val="20"/>
                <w:szCs w:val="20"/>
                <w:color w:val="auto"/>
              </w:rPr>
            </w:pPr>
            <w:r>
              <w:rPr>
                <w:rFonts w:ascii="Arial" w:cs="Arial" w:eastAsia="Arial" w:hAnsi="Arial"/>
                <w:sz w:val="14"/>
                <w:szCs w:val="14"/>
                <w:color w:val="auto"/>
              </w:rPr>
              <w:t>Eli Lilly and Company</w:t>
            </w:r>
          </w:p>
        </w:tc>
        <w:tc>
          <w:tcPr>
            <w:tcW w:w="5140" w:type="dxa"/>
            <w:vAlign w:val="bottom"/>
            <w:tcBorders>
              <w:bottom w:val="single" w:sz="8" w:color="949599"/>
            </w:tcBorders>
          </w:tcPr>
          <w:p>
            <w:pPr>
              <w:ind w:left="980"/>
              <w:spacing w:after="0"/>
              <w:rPr>
                <w:sz w:val="20"/>
                <w:szCs w:val="20"/>
                <w:color w:val="auto"/>
              </w:rPr>
            </w:pPr>
            <w:r>
              <w:rPr>
                <w:rFonts w:ascii="Arial" w:cs="Arial" w:eastAsia="Arial" w:hAnsi="Arial"/>
                <w:sz w:val="14"/>
                <w:szCs w:val="14"/>
                <w:color w:val="auto"/>
              </w:rPr>
              <w:t>Seagen Inc.*</w:t>
            </w:r>
          </w:p>
        </w:tc>
      </w:tr>
      <w:tr>
        <w:trPr>
          <w:trHeight w:val="204"/>
        </w:trPr>
        <w:tc>
          <w:tcPr>
            <w:tcW w:w="2560" w:type="dxa"/>
            <w:vAlign w:val="bottom"/>
            <w:tcBorders>
              <w:bottom w:val="single" w:sz="8" w:color="215AA8"/>
            </w:tcBorders>
            <w:shd w:val="clear" w:color="auto" w:fill="ECECED"/>
          </w:tcPr>
          <w:p>
            <w:pPr>
              <w:ind w:left="40"/>
              <w:spacing w:after="0"/>
              <w:rPr>
                <w:sz w:val="20"/>
                <w:szCs w:val="20"/>
                <w:color w:val="auto"/>
              </w:rPr>
            </w:pPr>
            <w:r>
              <w:rPr>
                <w:rFonts w:ascii="Arial" w:cs="Arial" w:eastAsia="Arial" w:hAnsi="Arial"/>
                <w:sz w:val="14"/>
                <w:szCs w:val="14"/>
                <w:color w:val="auto"/>
              </w:rPr>
              <w:t>Biogen Inc.</w:t>
            </w:r>
          </w:p>
        </w:tc>
        <w:tc>
          <w:tcPr>
            <w:tcW w:w="3560" w:type="dxa"/>
            <w:vAlign w:val="bottom"/>
            <w:tcBorders>
              <w:bottom w:val="single" w:sz="8" w:color="215AA8"/>
            </w:tcBorders>
            <w:shd w:val="clear" w:color="auto" w:fill="ECECED"/>
          </w:tcPr>
          <w:p>
            <w:pPr>
              <w:ind w:left="700"/>
              <w:spacing w:after="0"/>
              <w:rPr>
                <w:sz w:val="20"/>
                <w:szCs w:val="20"/>
                <w:color w:val="auto"/>
              </w:rPr>
            </w:pPr>
            <w:r>
              <w:rPr>
                <w:rFonts w:ascii="Arial" w:cs="Arial" w:eastAsia="Arial" w:hAnsi="Arial"/>
                <w:sz w:val="14"/>
                <w:szCs w:val="14"/>
                <w:color w:val="auto"/>
              </w:rPr>
              <w:t>Gilead Sciences, Inc.</w:t>
            </w:r>
          </w:p>
        </w:tc>
        <w:tc>
          <w:tcPr>
            <w:tcW w:w="5140" w:type="dxa"/>
            <w:vAlign w:val="bottom"/>
            <w:tcBorders>
              <w:bottom w:val="single" w:sz="8" w:color="215AA8"/>
            </w:tcBorders>
            <w:shd w:val="clear" w:color="auto" w:fill="ECECED"/>
          </w:tcPr>
          <w:p>
            <w:pPr>
              <w:ind w:left="980"/>
              <w:spacing w:after="0"/>
              <w:rPr>
                <w:sz w:val="20"/>
                <w:szCs w:val="20"/>
                <w:color w:val="auto"/>
              </w:rPr>
            </w:pPr>
            <w:r>
              <w:rPr>
                <w:rFonts w:ascii="Arial" w:cs="Arial" w:eastAsia="Arial" w:hAnsi="Arial"/>
                <w:sz w:val="14"/>
                <w:szCs w:val="14"/>
                <w:color w:val="auto"/>
              </w:rPr>
              <w:t>Vertex Pharmaceuticals Incorporated</w:t>
            </w:r>
          </w:p>
        </w:tc>
      </w:tr>
    </w:tbl>
    <w:p>
      <w:pPr>
        <w:spacing w:after="0" w:line="150" w:lineRule="exact"/>
        <w:rPr>
          <w:sz w:val="20"/>
          <w:szCs w:val="20"/>
          <w:color w:val="auto"/>
        </w:rPr>
      </w:pPr>
    </w:p>
    <w:p>
      <w:pPr>
        <w:ind w:left="190" w:hanging="190"/>
        <w:spacing w:after="0"/>
        <w:tabs>
          <w:tab w:leader="none" w:pos="19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Acquisition by Pfizer Inc. completed in December 2023.</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78</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89" w:name="page90"/>
    <w:bookmarkEnd w:id="89"/>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39" w:lineRule="exact"/>
        <w:rPr>
          <w:sz w:val="20"/>
          <w:szCs w:val="20"/>
          <w:color w:val="auto"/>
        </w:rPr>
      </w:pPr>
    </w:p>
    <w:p>
      <w:pPr>
        <w:ind w:left="10"/>
        <w:spacing w:after="0"/>
        <w:rPr>
          <w:sz w:val="20"/>
          <w:szCs w:val="20"/>
          <w:color w:val="auto"/>
        </w:rPr>
      </w:pPr>
      <w:r>
        <w:rPr>
          <w:rFonts w:ascii="Arial" w:cs="Arial" w:eastAsia="Arial" w:hAnsi="Arial"/>
          <w:sz w:val="12"/>
          <w:szCs w:val="12"/>
          <w:color w:val="auto"/>
        </w:rPr>
        <w:t>The Compensation Committee reviewed the Peer Group in June 2023 and, based on the recommendation of Pay Governance LLC, did not make any changes. As part of its assessment,</w:t>
      </w:r>
    </w:p>
    <w:p>
      <w:pPr>
        <w:spacing w:after="0" w:line="29" w:lineRule="exact"/>
        <w:rPr>
          <w:sz w:val="20"/>
          <w:szCs w:val="20"/>
          <w:color w:val="auto"/>
        </w:rPr>
      </w:pPr>
    </w:p>
    <w:p>
      <w:pPr>
        <w:ind w:left="10" w:right="240"/>
        <w:spacing w:after="0" w:line="207" w:lineRule="auto"/>
        <w:rPr>
          <w:sz w:val="20"/>
          <w:szCs w:val="20"/>
          <w:color w:val="auto"/>
        </w:rPr>
      </w:pPr>
      <w:r>
        <w:rPr>
          <w:rFonts w:ascii="Arial" w:cs="Arial" w:eastAsia="Arial" w:hAnsi="Arial"/>
          <w:sz w:val="14"/>
          <w:szCs w:val="14"/>
          <w:color w:val="auto"/>
        </w:rPr>
        <w:t>the Compensation Committee took into account that Regeneron ranked at the 45</w:t>
      </w:r>
      <w:r>
        <w:rPr>
          <w:rFonts w:ascii="Arial" w:cs="Arial" w:eastAsia="Arial" w:hAnsi="Arial"/>
          <w:sz w:val="22"/>
          <w:szCs w:val="22"/>
          <w:color w:val="auto"/>
          <w:vertAlign w:val="superscript"/>
        </w:rPr>
        <w:t>th</w:t>
      </w:r>
      <w:r>
        <w:rPr>
          <w:rFonts w:ascii="Arial" w:cs="Arial" w:eastAsia="Arial" w:hAnsi="Arial"/>
          <w:sz w:val="14"/>
          <w:szCs w:val="14"/>
          <w:color w:val="auto"/>
        </w:rPr>
        <w:t>-50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 in the Peer Group based on market capitalization, revenues for the last four completed quarters, and the then-available reported number of employees, based on the data provided to the Committee, as shown in the table below.</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tcBorders>
              <w:bottom w:val="single" w:sz="8" w:color="215AA8"/>
            </w:tcBorders>
            <w:gridSpan w:val="4"/>
          </w:tcPr>
          <w:p>
            <w:pPr>
              <w:jc w:val="right"/>
              <w:ind w:right="172"/>
              <w:spacing w:after="0"/>
              <w:rPr>
                <w:sz w:val="20"/>
                <w:szCs w:val="20"/>
                <w:color w:val="auto"/>
              </w:rPr>
            </w:pPr>
            <w:r>
              <w:rPr>
                <w:rFonts w:ascii="Arial" w:cs="Arial" w:eastAsia="Arial" w:hAnsi="Arial"/>
                <w:sz w:val="14"/>
                <w:szCs w:val="14"/>
                <w:color w:val="215AA8"/>
              </w:rPr>
              <w:t>Market Capitalization ($ Millions)</w:t>
            </w:r>
          </w:p>
        </w:tc>
        <w:tc>
          <w:tcPr>
            <w:tcW w:w="220" w:type="dxa"/>
            <w:vAlign w:val="bottom"/>
          </w:tcPr>
          <w:p>
            <w:pPr>
              <w:spacing w:after="0"/>
              <w:rPr>
                <w:sz w:val="14"/>
                <w:szCs w:val="14"/>
                <w:color w:val="auto"/>
              </w:rPr>
            </w:pPr>
          </w:p>
        </w:tc>
        <w:tc>
          <w:tcPr>
            <w:tcW w:w="1380" w:type="dxa"/>
            <w:vAlign w:val="bottom"/>
            <w:gridSpan w:val="2"/>
          </w:tcPr>
          <w:p>
            <w:pPr>
              <w:jc w:val="right"/>
              <w:ind w:right="152"/>
              <w:spacing w:after="0"/>
              <w:rPr>
                <w:sz w:val="20"/>
                <w:szCs w:val="20"/>
                <w:color w:val="auto"/>
              </w:rPr>
            </w:pPr>
            <w:r>
              <w:rPr>
                <w:rFonts w:ascii="Arial" w:cs="Arial" w:eastAsia="Arial" w:hAnsi="Arial"/>
                <w:sz w:val="14"/>
                <w:szCs w:val="14"/>
                <w:color w:val="215AA8"/>
              </w:rPr>
              <w:t>Revenues Last</w:t>
            </w:r>
          </w:p>
        </w:tc>
        <w:tc>
          <w:tcPr>
            <w:tcW w:w="1580" w:type="dxa"/>
            <w:vAlign w:val="bottom"/>
          </w:tcPr>
          <w:p>
            <w:pPr>
              <w:spacing w:after="0"/>
              <w:rPr>
                <w:sz w:val="14"/>
                <w:szCs w:val="14"/>
                <w:color w:val="auto"/>
              </w:rPr>
            </w:pPr>
          </w:p>
        </w:tc>
      </w:tr>
      <w:tr>
        <w:trPr>
          <w:trHeight w:val="146"/>
        </w:trPr>
        <w:tc>
          <w:tcPr>
            <w:tcW w:w="5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192"/>
              <w:spacing w:after="0" w:line="147" w:lineRule="exact"/>
              <w:rPr>
                <w:sz w:val="20"/>
                <w:szCs w:val="20"/>
                <w:color w:val="auto"/>
              </w:rPr>
            </w:pPr>
            <w:r>
              <w:rPr>
                <w:rFonts w:ascii="Arial" w:cs="Arial" w:eastAsia="Arial" w:hAnsi="Arial"/>
                <w:sz w:val="14"/>
                <w:szCs w:val="14"/>
                <w:color w:val="215AA8"/>
                <w:w w:val="92"/>
              </w:rPr>
              <w:t>90-Day Average</w:t>
            </w:r>
          </w:p>
        </w:tc>
        <w:tc>
          <w:tcPr>
            <w:tcW w:w="1420" w:type="dxa"/>
            <w:vAlign w:val="bottom"/>
            <w:gridSpan w:val="3"/>
          </w:tcPr>
          <w:p>
            <w:pPr>
              <w:jc w:val="right"/>
              <w:ind w:right="260"/>
              <w:spacing w:after="0" w:line="147" w:lineRule="exact"/>
              <w:rPr>
                <w:sz w:val="20"/>
                <w:szCs w:val="20"/>
                <w:color w:val="auto"/>
              </w:rPr>
            </w:pPr>
            <w:r>
              <w:rPr>
                <w:rFonts w:ascii="Arial" w:cs="Arial" w:eastAsia="Arial" w:hAnsi="Arial"/>
                <w:sz w:val="14"/>
                <w:szCs w:val="14"/>
                <w:color w:val="215AA8"/>
              </w:rPr>
              <w:t>30-Day Average</w:t>
            </w:r>
          </w:p>
        </w:tc>
        <w:tc>
          <w:tcPr>
            <w:tcW w:w="1380" w:type="dxa"/>
            <w:vAlign w:val="bottom"/>
            <w:gridSpan w:val="2"/>
          </w:tcPr>
          <w:p>
            <w:pPr>
              <w:jc w:val="right"/>
              <w:ind w:right="192"/>
              <w:spacing w:after="0" w:line="146" w:lineRule="exact"/>
              <w:rPr>
                <w:sz w:val="20"/>
                <w:szCs w:val="20"/>
                <w:color w:val="auto"/>
              </w:rPr>
            </w:pPr>
            <w:r>
              <w:rPr>
                <w:rFonts w:ascii="Arial" w:cs="Arial" w:eastAsia="Arial" w:hAnsi="Arial"/>
                <w:sz w:val="11"/>
                <w:szCs w:val="11"/>
                <w:color w:val="215AA8"/>
              </w:rPr>
              <w:t>Four Quarters</w:t>
            </w:r>
            <w:r>
              <w:rPr>
                <w:rFonts w:ascii="Arial" w:cs="Arial" w:eastAsia="Arial" w:hAnsi="Arial"/>
                <w:sz w:val="16"/>
                <w:szCs w:val="16"/>
                <w:color w:val="215AA8"/>
                <w:vertAlign w:val="superscript"/>
              </w:rPr>
              <w:t>1</w:t>
            </w:r>
          </w:p>
        </w:tc>
        <w:tc>
          <w:tcPr>
            <w:tcW w:w="1580" w:type="dxa"/>
            <w:vAlign w:val="bottom"/>
          </w:tcPr>
          <w:p>
            <w:pPr>
              <w:jc w:val="right"/>
              <w:ind w:right="12"/>
              <w:spacing w:after="0" w:line="147" w:lineRule="exact"/>
              <w:rPr>
                <w:sz w:val="20"/>
                <w:szCs w:val="20"/>
                <w:color w:val="auto"/>
              </w:rPr>
            </w:pPr>
            <w:r>
              <w:rPr>
                <w:rFonts w:ascii="Arial" w:cs="Arial" w:eastAsia="Arial" w:hAnsi="Arial"/>
                <w:sz w:val="14"/>
                <w:szCs w:val="14"/>
                <w:color w:val="215AA8"/>
              </w:rPr>
              <w:t>Employees</w:t>
            </w:r>
          </w:p>
        </w:tc>
      </w:tr>
      <w:tr>
        <w:trPr>
          <w:trHeight w:val="194"/>
        </w:trPr>
        <w:tc>
          <w:tcPr>
            <w:tcW w:w="5440" w:type="dxa"/>
            <w:vAlign w:val="bottom"/>
            <w:tcBorders>
              <w:bottom w:val="single" w:sz="8" w:color="215AA8"/>
            </w:tcBorders>
          </w:tcPr>
          <w:p>
            <w:pPr>
              <w:ind w:left="40"/>
              <w:spacing w:after="0"/>
              <w:rPr>
                <w:sz w:val="20"/>
                <w:szCs w:val="20"/>
                <w:color w:val="auto"/>
              </w:rPr>
            </w:pPr>
            <w:r>
              <w:rPr>
                <w:rFonts w:ascii="Arial" w:cs="Arial" w:eastAsia="Arial" w:hAnsi="Arial"/>
                <w:sz w:val="14"/>
                <w:szCs w:val="14"/>
                <w:b w:val="1"/>
                <w:bCs w:val="1"/>
                <w:color w:val="215AA8"/>
              </w:rPr>
              <w:t>Company</w:t>
            </w:r>
          </w:p>
        </w:tc>
        <w:tc>
          <w:tcPr>
            <w:tcW w:w="220" w:type="dxa"/>
            <w:vAlign w:val="bottom"/>
            <w:tcBorders>
              <w:bottom w:val="single" w:sz="8" w:color="215AA8"/>
            </w:tcBorders>
          </w:tcPr>
          <w:p>
            <w:pPr>
              <w:spacing w:after="0"/>
              <w:rPr>
                <w:sz w:val="16"/>
                <w:szCs w:val="16"/>
                <w:color w:val="auto"/>
              </w:rPr>
            </w:pPr>
          </w:p>
        </w:tc>
        <w:tc>
          <w:tcPr>
            <w:tcW w:w="1220" w:type="dxa"/>
            <w:vAlign w:val="bottom"/>
            <w:tcBorders>
              <w:bottom w:val="single" w:sz="8" w:color="215AA8"/>
            </w:tcBorders>
            <w:gridSpan w:val="2"/>
          </w:tcPr>
          <w:p>
            <w:pPr>
              <w:jc w:val="right"/>
              <w:ind w:right="152"/>
              <w:spacing w:after="0"/>
              <w:rPr>
                <w:sz w:val="20"/>
                <w:szCs w:val="20"/>
                <w:color w:val="auto"/>
              </w:rPr>
            </w:pPr>
            <w:r>
              <w:rPr>
                <w:rFonts w:ascii="Arial" w:cs="Arial" w:eastAsia="Arial" w:hAnsi="Arial"/>
                <w:sz w:val="14"/>
                <w:szCs w:val="14"/>
                <w:color w:val="215AA8"/>
              </w:rPr>
              <w:t>(as of 5/15/23)</w:t>
            </w:r>
          </w:p>
        </w:tc>
        <w:tc>
          <w:tcPr>
            <w:tcW w:w="1420" w:type="dxa"/>
            <w:vAlign w:val="bottom"/>
            <w:tcBorders>
              <w:bottom w:val="single" w:sz="8" w:color="215AA8"/>
            </w:tcBorders>
            <w:gridSpan w:val="3"/>
          </w:tcPr>
          <w:p>
            <w:pPr>
              <w:jc w:val="right"/>
              <w:ind w:right="220"/>
              <w:spacing w:after="0"/>
              <w:rPr>
                <w:sz w:val="20"/>
                <w:szCs w:val="20"/>
                <w:color w:val="auto"/>
              </w:rPr>
            </w:pPr>
            <w:r>
              <w:rPr>
                <w:rFonts w:ascii="Arial" w:cs="Arial" w:eastAsia="Arial" w:hAnsi="Arial"/>
                <w:sz w:val="14"/>
                <w:szCs w:val="14"/>
                <w:color w:val="215AA8"/>
              </w:rPr>
              <w:t>(as of 5/15/23)</w:t>
            </w:r>
          </w:p>
        </w:tc>
        <w:tc>
          <w:tcPr>
            <w:tcW w:w="64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215AA8"/>
              </w:rPr>
              <w:t>($</w:t>
            </w:r>
          </w:p>
        </w:tc>
        <w:tc>
          <w:tcPr>
            <w:tcW w:w="740" w:type="dxa"/>
            <w:vAlign w:val="bottom"/>
            <w:tcBorders>
              <w:bottom w:val="single" w:sz="8" w:color="215AA8"/>
            </w:tcBorders>
          </w:tcPr>
          <w:p>
            <w:pPr>
              <w:jc w:val="right"/>
              <w:ind w:right="152"/>
              <w:spacing w:after="0"/>
              <w:rPr>
                <w:sz w:val="20"/>
                <w:szCs w:val="20"/>
                <w:color w:val="auto"/>
              </w:rPr>
            </w:pPr>
            <w:r>
              <w:rPr>
                <w:rFonts w:ascii="Arial" w:cs="Arial" w:eastAsia="Arial" w:hAnsi="Arial"/>
                <w:sz w:val="14"/>
                <w:szCs w:val="14"/>
                <w:color w:val="215AA8"/>
                <w:w w:val="97"/>
              </w:rPr>
              <w:t>Millions)</w:t>
            </w:r>
          </w:p>
        </w:tc>
        <w:tc>
          <w:tcPr>
            <w:tcW w:w="1580" w:type="dxa"/>
            <w:vAlign w:val="bottom"/>
            <w:tcBorders>
              <w:bottom w:val="single" w:sz="8" w:color="215AA8"/>
            </w:tcBorders>
          </w:tcPr>
          <w:p>
            <w:pPr>
              <w:jc w:val="right"/>
              <w:spacing w:after="0" w:line="191" w:lineRule="exact"/>
              <w:rPr>
                <w:sz w:val="20"/>
                <w:szCs w:val="20"/>
                <w:color w:val="auto"/>
              </w:rPr>
            </w:pPr>
            <w:r>
              <w:rPr>
                <w:rFonts w:ascii="Arial" w:cs="Arial" w:eastAsia="Arial" w:hAnsi="Arial"/>
                <w:sz w:val="14"/>
                <w:szCs w:val="14"/>
                <w:color w:val="215AA8"/>
              </w:rPr>
              <w:t>(as of last SEC filing)</w:t>
            </w:r>
            <w:r>
              <w:rPr>
                <w:rFonts w:ascii="Arial" w:cs="Arial" w:eastAsia="Arial" w:hAnsi="Arial"/>
                <w:sz w:val="22"/>
                <w:szCs w:val="22"/>
                <w:color w:val="215AA8"/>
                <w:vertAlign w:val="superscript"/>
              </w:rPr>
              <w:t>1</w:t>
            </w:r>
          </w:p>
        </w:tc>
      </w:tr>
      <w:tr>
        <w:trPr>
          <w:trHeight w:val="158"/>
        </w:trPr>
        <w:tc>
          <w:tcPr>
            <w:tcW w:w="5440" w:type="dxa"/>
            <w:vAlign w:val="bottom"/>
            <w:tcBorders>
              <w:bottom w:val="single" w:sz="8" w:color="949599"/>
            </w:tcBorders>
          </w:tcPr>
          <w:p>
            <w:pPr>
              <w:ind w:left="40"/>
              <w:spacing w:after="0" w:line="157" w:lineRule="exact"/>
              <w:rPr>
                <w:sz w:val="20"/>
                <w:szCs w:val="20"/>
                <w:color w:val="auto"/>
              </w:rPr>
            </w:pPr>
            <w:r>
              <w:rPr>
                <w:rFonts w:ascii="Arial" w:cs="Arial" w:eastAsia="Arial" w:hAnsi="Arial"/>
                <w:sz w:val="14"/>
                <w:szCs w:val="14"/>
                <w:b w:val="1"/>
                <w:bCs w:val="1"/>
                <w:color w:val="auto"/>
              </w:rPr>
              <w:t>Eli Lilly and Company</w:t>
            </w:r>
          </w:p>
        </w:tc>
        <w:tc>
          <w:tcPr>
            <w:tcW w:w="620" w:type="dxa"/>
            <w:vAlign w:val="bottom"/>
            <w:tcBorders>
              <w:bottom w:val="single" w:sz="8" w:color="949599"/>
            </w:tcBorders>
            <w:gridSpan w:val="2"/>
          </w:tcPr>
          <w:p>
            <w:pPr>
              <w:jc w:val="right"/>
              <w:ind w:right="52"/>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tcPr>
          <w:p>
            <w:pPr>
              <w:jc w:val="right"/>
              <w:ind w:right="152"/>
              <w:spacing w:after="0" w:line="157" w:lineRule="exact"/>
              <w:rPr>
                <w:sz w:val="20"/>
                <w:szCs w:val="20"/>
                <w:color w:val="auto"/>
              </w:rPr>
            </w:pPr>
            <w:r>
              <w:rPr>
                <w:rFonts w:ascii="Arial" w:cs="Arial" w:eastAsia="Arial" w:hAnsi="Arial"/>
                <w:sz w:val="14"/>
                <w:szCs w:val="14"/>
                <w:color w:val="auto"/>
              </w:rPr>
              <w:t>321,321</w:t>
            </w:r>
          </w:p>
        </w:tc>
        <w:tc>
          <w:tcPr>
            <w:tcW w:w="600" w:type="dxa"/>
            <w:vAlign w:val="bottom"/>
            <w:tcBorders>
              <w:bottom w:val="single" w:sz="8" w:color="949599"/>
            </w:tcBorders>
          </w:tcPr>
          <w:p>
            <w:pPr>
              <w:jc w:val="right"/>
              <w:ind w:right="52"/>
              <w:spacing w:after="0" w:line="157"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tcPr>
          <w:p>
            <w:pPr>
              <w:jc w:val="right"/>
              <w:spacing w:after="0" w:line="157" w:lineRule="exact"/>
              <w:rPr>
                <w:sz w:val="20"/>
                <w:szCs w:val="20"/>
                <w:color w:val="auto"/>
              </w:rPr>
            </w:pPr>
            <w:r>
              <w:rPr>
                <w:rFonts w:ascii="Arial" w:cs="Arial" w:eastAsia="Arial" w:hAnsi="Arial"/>
                <w:sz w:val="14"/>
                <w:szCs w:val="14"/>
                <w:color w:val="auto"/>
              </w:rPr>
              <w:t>328,122</w:t>
            </w:r>
          </w:p>
        </w:tc>
        <w:tc>
          <w:tcPr>
            <w:tcW w:w="220" w:type="dxa"/>
            <w:vAlign w:val="bottom"/>
            <w:tcBorders>
              <w:bottom w:val="single" w:sz="8" w:color="949599"/>
            </w:tcBorders>
          </w:tcPr>
          <w:p>
            <w:pPr>
              <w:spacing w:after="0"/>
              <w:rPr>
                <w:sz w:val="13"/>
                <w:szCs w:val="13"/>
                <w:color w:val="auto"/>
              </w:rPr>
            </w:pPr>
          </w:p>
        </w:tc>
        <w:tc>
          <w:tcPr>
            <w:tcW w:w="640" w:type="dxa"/>
            <w:vAlign w:val="bottom"/>
            <w:tcBorders>
              <w:bottom w:val="single" w:sz="8" w:color="949599"/>
            </w:tcBorders>
          </w:tcPr>
          <w:p>
            <w:pPr>
              <w:jc w:val="right"/>
              <w:ind w:right="93"/>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tcPr>
          <w:p>
            <w:pPr>
              <w:jc w:val="right"/>
              <w:ind w:right="152"/>
              <w:spacing w:after="0" w:line="157" w:lineRule="exact"/>
              <w:rPr>
                <w:sz w:val="20"/>
                <w:szCs w:val="20"/>
                <w:color w:val="auto"/>
              </w:rPr>
            </w:pPr>
            <w:r>
              <w:rPr>
                <w:rFonts w:ascii="Arial" w:cs="Arial" w:eastAsia="Arial" w:hAnsi="Arial"/>
                <w:sz w:val="14"/>
                <w:szCs w:val="14"/>
                <w:color w:val="auto"/>
              </w:rPr>
              <w:t>27,691</w:t>
            </w:r>
          </w:p>
        </w:tc>
        <w:tc>
          <w:tcPr>
            <w:tcW w:w="1580" w:type="dxa"/>
            <w:vAlign w:val="bottom"/>
            <w:tcBorders>
              <w:bottom w:val="single" w:sz="8" w:color="949599"/>
            </w:tcBorders>
          </w:tcPr>
          <w:p>
            <w:pPr>
              <w:jc w:val="right"/>
              <w:spacing w:after="0" w:line="157" w:lineRule="exact"/>
              <w:rPr>
                <w:sz w:val="20"/>
                <w:szCs w:val="20"/>
                <w:color w:val="auto"/>
              </w:rPr>
            </w:pPr>
            <w:r>
              <w:rPr>
                <w:rFonts w:ascii="Arial" w:cs="Arial" w:eastAsia="Arial" w:hAnsi="Arial"/>
                <w:sz w:val="14"/>
                <w:szCs w:val="14"/>
                <w:color w:val="auto"/>
              </w:rPr>
              <w:t>39,000</w:t>
            </w:r>
          </w:p>
        </w:tc>
      </w:tr>
      <w:tr>
        <w:trPr>
          <w:trHeight w:val="149"/>
        </w:trPr>
        <w:tc>
          <w:tcPr>
            <w:tcW w:w="5440" w:type="dxa"/>
            <w:vAlign w:val="bottom"/>
            <w:tcBorders>
              <w:bottom w:val="single" w:sz="8" w:color="949599"/>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auto"/>
              </w:rPr>
              <w:t>Merck &amp; Co., Inc.</w:t>
            </w:r>
          </w:p>
        </w:tc>
        <w:tc>
          <w:tcPr>
            <w:tcW w:w="620" w:type="dxa"/>
            <w:vAlign w:val="bottom"/>
            <w:tcBorders>
              <w:bottom w:val="single" w:sz="8" w:color="949599"/>
            </w:tcBorders>
            <w:gridSpan w:val="2"/>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277,788</w:t>
            </w:r>
          </w:p>
        </w:tc>
        <w:tc>
          <w:tcPr>
            <w:tcW w:w="600" w:type="dxa"/>
            <w:vAlign w:val="bottom"/>
            <w:tcBorders>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281,933</w:t>
            </w:r>
          </w:p>
        </w:tc>
        <w:tc>
          <w:tcPr>
            <w:tcW w:w="220" w:type="dxa"/>
            <w:vAlign w:val="bottom"/>
            <w:tcBorders>
              <w:bottom w:val="single" w:sz="8" w:color="949599"/>
            </w:tcBorders>
            <w:shd w:val="clear" w:color="auto" w:fill="ECECED"/>
          </w:tcPr>
          <w:p>
            <w:pPr>
              <w:spacing w:after="0"/>
              <w:rPr>
                <w:sz w:val="12"/>
                <w:szCs w:val="12"/>
                <w:color w:val="auto"/>
              </w:rPr>
            </w:pPr>
          </w:p>
        </w:tc>
        <w:tc>
          <w:tcPr>
            <w:tcW w:w="640" w:type="dxa"/>
            <w:vAlign w:val="bottom"/>
            <w:tcBorders>
              <w:bottom w:val="single" w:sz="8" w:color="949599"/>
            </w:tcBorders>
            <w:shd w:val="clear" w:color="auto" w:fill="ECECED"/>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57,869</w:t>
            </w:r>
          </w:p>
        </w:tc>
        <w:tc>
          <w:tcPr>
            <w:tcW w:w="158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68,000</w:t>
            </w:r>
          </w:p>
        </w:tc>
      </w:tr>
      <w:tr>
        <w:trPr>
          <w:trHeight w:val="149"/>
        </w:trPr>
        <w:tc>
          <w:tcPr>
            <w:tcW w:w="5440" w:type="dxa"/>
            <w:vAlign w:val="bottom"/>
            <w:tcBorders>
              <w:bottom w:val="single" w:sz="8" w:color="949599"/>
            </w:tcBorders>
          </w:tcPr>
          <w:p>
            <w:pPr>
              <w:ind w:left="40"/>
              <w:spacing w:after="0" w:line="149" w:lineRule="exact"/>
              <w:rPr>
                <w:sz w:val="20"/>
                <w:szCs w:val="20"/>
                <w:color w:val="auto"/>
              </w:rPr>
            </w:pPr>
            <w:r>
              <w:rPr>
                <w:rFonts w:ascii="Arial" w:cs="Arial" w:eastAsia="Arial" w:hAnsi="Arial"/>
                <w:sz w:val="14"/>
                <w:szCs w:val="14"/>
                <w:b w:val="1"/>
                <w:bCs w:val="1"/>
                <w:color w:val="auto"/>
              </w:rPr>
              <w:t>AbbVie Inc.</w:t>
            </w:r>
          </w:p>
        </w:tc>
        <w:tc>
          <w:tcPr>
            <w:tcW w:w="620" w:type="dxa"/>
            <w:vAlign w:val="bottom"/>
            <w:tcBorders>
              <w:bottom w:val="single" w:sz="8" w:color="949599"/>
            </w:tcBorders>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273,881</w:t>
            </w:r>
          </w:p>
        </w:tc>
        <w:tc>
          <w:tcPr>
            <w:tcW w:w="600" w:type="dxa"/>
            <w:vAlign w:val="bottom"/>
            <w:tcBorders>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280,700</w:t>
            </w:r>
          </w:p>
        </w:tc>
        <w:tc>
          <w:tcPr>
            <w:tcW w:w="220" w:type="dxa"/>
            <w:vAlign w:val="bottom"/>
            <w:tcBorders>
              <w:bottom w:val="single" w:sz="8" w:color="949599"/>
            </w:tcBorders>
          </w:tcPr>
          <w:p>
            <w:pPr>
              <w:spacing w:after="0"/>
              <w:rPr>
                <w:sz w:val="12"/>
                <w:szCs w:val="12"/>
                <w:color w:val="auto"/>
              </w:rPr>
            </w:pPr>
          </w:p>
        </w:tc>
        <w:tc>
          <w:tcPr>
            <w:tcW w:w="640" w:type="dxa"/>
            <w:vAlign w:val="bottom"/>
            <w:tcBorders>
              <w:bottom w:val="single" w:sz="8" w:color="949599"/>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56,741</w:t>
            </w:r>
          </w:p>
        </w:tc>
        <w:tc>
          <w:tcPr>
            <w:tcW w:w="158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50,000</w:t>
            </w:r>
          </w:p>
        </w:tc>
      </w:tr>
      <w:tr>
        <w:trPr>
          <w:trHeight w:val="149"/>
        </w:trPr>
        <w:tc>
          <w:tcPr>
            <w:tcW w:w="5440" w:type="dxa"/>
            <w:vAlign w:val="bottom"/>
            <w:tcBorders>
              <w:bottom w:val="single" w:sz="8" w:color="949599"/>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auto"/>
              </w:rPr>
              <w:t>Bristol-Myers Squibb Company</w:t>
            </w:r>
          </w:p>
        </w:tc>
        <w:tc>
          <w:tcPr>
            <w:tcW w:w="620" w:type="dxa"/>
            <w:vAlign w:val="bottom"/>
            <w:tcBorders>
              <w:bottom w:val="single" w:sz="8" w:color="949599"/>
            </w:tcBorders>
            <w:gridSpan w:val="2"/>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151,222</w:t>
            </w:r>
          </w:p>
        </w:tc>
        <w:tc>
          <w:tcPr>
            <w:tcW w:w="600" w:type="dxa"/>
            <w:vAlign w:val="bottom"/>
            <w:tcBorders>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145,201</w:t>
            </w:r>
          </w:p>
        </w:tc>
        <w:tc>
          <w:tcPr>
            <w:tcW w:w="220" w:type="dxa"/>
            <w:vAlign w:val="bottom"/>
            <w:tcBorders>
              <w:bottom w:val="single" w:sz="8" w:color="949599"/>
            </w:tcBorders>
            <w:shd w:val="clear" w:color="auto" w:fill="ECECED"/>
          </w:tcPr>
          <w:p>
            <w:pPr>
              <w:spacing w:after="0"/>
              <w:rPr>
                <w:sz w:val="12"/>
                <w:szCs w:val="12"/>
                <w:color w:val="auto"/>
              </w:rPr>
            </w:pPr>
          </w:p>
        </w:tc>
        <w:tc>
          <w:tcPr>
            <w:tcW w:w="640" w:type="dxa"/>
            <w:vAlign w:val="bottom"/>
            <w:tcBorders>
              <w:bottom w:val="single" w:sz="8" w:color="949599"/>
            </w:tcBorders>
            <w:shd w:val="clear" w:color="auto" w:fill="ECECED"/>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45,848</w:t>
            </w:r>
          </w:p>
        </w:tc>
        <w:tc>
          <w:tcPr>
            <w:tcW w:w="158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34,300</w:t>
            </w:r>
          </w:p>
        </w:tc>
      </w:tr>
      <w:tr>
        <w:trPr>
          <w:trHeight w:val="149"/>
        </w:trPr>
        <w:tc>
          <w:tcPr>
            <w:tcW w:w="5440" w:type="dxa"/>
            <w:vAlign w:val="bottom"/>
            <w:tcBorders>
              <w:bottom w:val="single" w:sz="8" w:color="949599"/>
            </w:tcBorders>
          </w:tcPr>
          <w:p>
            <w:pPr>
              <w:ind w:left="40"/>
              <w:spacing w:after="0" w:line="149" w:lineRule="exact"/>
              <w:rPr>
                <w:sz w:val="20"/>
                <w:szCs w:val="20"/>
                <w:color w:val="auto"/>
              </w:rPr>
            </w:pPr>
            <w:r>
              <w:rPr>
                <w:rFonts w:ascii="Arial" w:cs="Arial" w:eastAsia="Arial" w:hAnsi="Arial"/>
                <w:sz w:val="14"/>
                <w:szCs w:val="14"/>
                <w:b w:val="1"/>
                <w:bCs w:val="1"/>
                <w:color w:val="auto"/>
              </w:rPr>
              <w:t>Amgen Inc.</w:t>
            </w:r>
          </w:p>
        </w:tc>
        <w:tc>
          <w:tcPr>
            <w:tcW w:w="620" w:type="dxa"/>
            <w:vAlign w:val="bottom"/>
            <w:tcBorders>
              <w:bottom w:val="single" w:sz="8" w:color="949599"/>
            </w:tcBorders>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131,586</w:t>
            </w:r>
          </w:p>
        </w:tc>
        <w:tc>
          <w:tcPr>
            <w:tcW w:w="600" w:type="dxa"/>
            <w:vAlign w:val="bottom"/>
            <w:tcBorders>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129,878</w:t>
            </w:r>
          </w:p>
        </w:tc>
        <w:tc>
          <w:tcPr>
            <w:tcW w:w="220" w:type="dxa"/>
            <w:vAlign w:val="bottom"/>
            <w:tcBorders>
              <w:bottom w:val="single" w:sz="8" w:color="949599"/>
            </w:tcBorders>
          </w:tcPr>
          <w:p>
            <w:pPr>
              <w:spacing w:after="0"/>
              <w:rPr>
                <w:sz w:val="12"/>
                <w:szCs w:val="12"/>
                <w:color w:val="auto"/>
              </w:rPr>
            </w:pPr>
          </w:p>
        </w:tc>
        <w:tc>
          <w:tcPr>
            <w:tcW w:w="640" w:type="dxa"/>
            <w:vAlign w:val="bottom"/>
            <w:tcBorders>
              <w:bottom w:val="single" w:sz="8" w:color="949599"/>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26,190</w:t>
            </w:r>
          </w:p>
        </w:tc>
        <w:tc>
          <w:tcPr>
            <w:tcW w:w="158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25,200</w:t>
            </w:r>
          </w:p>
        </w:tc>
      </w:tr>
      <w:tr>
        <w:trPr>
          <w:trHeight w:val="149"/>
        </w:trPr>
        <w:tc>
          <w:tcPr>
            <w:tcW w:w="5440" w:type="dxa"/>
            <w:vAlign w:val="bottom"/>
            <w:tcBorders>
              <w:bottom w:val="single" w:sz="8" w:color="949599"/>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auto"/>
              </w:rPr>
              <w:t>Gilead Sciences, Inc.</w:t>
            </w:r>
          </w:p>
        </w:tc>
        <w:tc>
          <w:tcPr>
            <w:tcW w:w="620" w:type="dxa"/>
            <w:vAlign w:val="bottom"/>
            <w:tcBorders>
              <w:bottom w:val="single" w:sz="8" w:color="949599"/>
            </w:tcBorders>
            <w:gridSpan w:val="2"/>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103,871</w:t>
            </w:r>
          </w:p>
        </w:tc>
        <w:tc>
          <w:tcPr>
            <w:tcW w:w="600" w:type="dxa"/>
            <w:vAlign w:val="bottom"/>
            <w:tcBorders>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102,946</w:t>
            </w:r>
          </w:p>
        </w:tc>
        <w:tc>
          <w:tcPr>
            <w:tcW w:w="220" w:type="dxa"/>
            <w:vAlign w:val="bottom"/>
            <w:tcBorders>
              <w:bottom w:val="single" w:sz="8" w:color="949599"/>
            </w:tcBorders>
            <w:shd w:val="clear" w:color="auto" w:fill="ECECED"/>
          </w:tcPr>
          <w:p>
            <w:pPr>
              <w:spacing w:after="0"/>
              <w:rPr>
                <w:sz w:val="12"/>
                <w:szCs w:val="12"/>
                <w:color w:val="auto"/>
              </w:rPr>
            </w:pPr>
          </w:p>
        </w:tc>
        <w:tc>
          <w:tcPr>
            <w:tcW w:w="640" w:type="dxa"/>
            <w:vAlign w:val="bottom"/>
            <w:tcBorders>
              <w:bottom w:val="single" w:sz="8" w:color="949599"/>
            </w:tcBorders>
            <w:shd w:val="clear" w:color="auto" w:fill="ECECED"/>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27,043</w:t>
            </w:r>
          </w:p>
        </w:tc>
        <w:tc>
          <w:tcPr>
            <w:tcW w:w="158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17,000</w:t>
            </w:r>
          </w:p>
        </w:tc>
      </w:tr>
      <w:tr>
        <w:trPr>
          <w:trHeight w:val="149"/>
        </w:trPr>
        <w:tc>
          <w:tcPr>
            <w:tcW w:w="5440" w:type="dxa"/>
            <w:vAlign w:val="bottom"/>
            <w:tcBorders>
              <w:bottom w:val="single" w:sz="8" w:color="949599"/>
            </w:tcBorders>
          </w:tcPr>
          <w:p>
            <w:pPr>
              <w:ind w:left="40"/>
              <w:spacing w:after="0" w:line="149" w:lineRule="exact"/>
              <w:rPr>
                <w:sz w:val="20"/>
                <w:szCs w:val="20"/>
                <w:color w:val="auto"/>
              </w:rPr>
            </w:pPr>
            <w:r>
              <w:rPr>
                <w:rFonts w:ascii="Arial" w:cs="Arial" w:eastAsia="Arial" w:hAnsi="Arial"/>
                <w:sz w:val="14"/>
                <w:szCs w:val="14"/>
                <w:b w:val="1"/>
                <w:bCs w:val="1"/>
                <w:color w:val="auto"/>
              </w:rPr>
              <w:t>Vertex Pharmaceuticals Incorporated</w:t>
            </w:r>
          </w:p>
        </w:tc>
        <w:tc>
          <w:tcPr>
            <w:tcW w:w="620" w:type="dxa"/>
            <w:vAlign w:val="bottom"/>
            <w:tcBorders>
              <w:bottom w:val="single" w:sz="8" w:color="949599"/>
            </w:tcBorders>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78,665</w:t>
            </w:r>
          </w:p>
        </w:tc>
        <w:tc>
          <w:tcPr>
            <w:tcW w:w="600" w:type="dxa"/>
            <w:vAlign w:val="bottom"/>
            <w:tcBorders>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82,810</w:t>
            </w:r>
          </w:p>
        </w:tc>
        <w:tc>
          <w:tcPr>
            <w:tcW w:w="220" w:type="dxa"/>
            <w:vAlign w:val="bottom"/>
            <w:tcBorders>
              <w:bottom w:val="single" w:sz="8" w:color="949599"/>
            </w:tcBorders>
          </w:tcPr>
          <w:p>
            <w:pPr>
              <w:spacing w:after="0"/>
              <w:rPr>
                <w:sz w:val="12"/>
                <w:szCs w:val="12"/>
                <w:color w:val="auto"/>
              </w:rPr>
            </w:pPr>
          </w:p>
        </w:tc>
        <w:tc>
          <w:tcPr>
            <w:tcW w:w="640" w:type="dxa"/>
            <w:vAlign w:val="bottom"/>
            <w:tcBorders>
              <w:bottom w:val="single" w:sz="8" w:color="949599"/>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9,208</w:t>
            </w:r>
          </w:p>
        </w:tc>
        <w:tc>
          <w:tcPr>
            <w:tcW w:w="158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4,800</w:t>
            </w:r>
          </w:p>
        </w:tc>
      </w:tr>
      <w:tr>
        <w:trPr>
          <w:trHeight w:val="149"/>
        </w:trPr>
        <w:tc>
          <w:tcPr>
            <w:tcW w:w="5440" w:type="dxa"/>
            <w:vAlign w:val="bottom"/>
            <w:tcBorders>
              <w:bottom w:val="single" w:sz="8" w:color="949599"/>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auto"/>
              </w:rPr>
              <w:t>Biogen Inc.</w:t>
            </w:r>
          </w:p>
        </w:tc>
        <w:tc>
          <w:tcPr>
            <w:tcW w:w="620" w:type="dxa"/>
            <w:vAlign w:val="bottom"/>
            <w:tcBorders>
              <w:bottom w:val="single" w:sz="8" w:color="949599"/>
            </w:tcBorders>
            <w:gridSpan w:val="2"/>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40,348</w:t>
            </w:r>
          </w:p>
        </w:tc>
        <w:tc>
          <w:tcPr>
            <w:tcW w:w="600" w:type="dxa"/>
            <w:vAlign w:val="bottom"/>
            <w:tcBorders>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40,885</w:t>
            </w:r>
          </w:p>
        </w:tc>
        <w:tc>
          <w:tcPr>
            <w:tcW w:w="220" w:type="dxa"/>
            <w:vAlign w:val="bottom"/>
            <w:tcBorders>
              <w:bottom w:val="single" w:sz="8" w:color="949599"/>
            </w:tcBorders>
            <w:shd w:val="clear" w:color="auto" w:fill="ECECED"/>
          </w:tcPr>
          <w:p>
            <w:pPr>
              <w:spacing w:after="0"/>
              <w:rPr>
                <w:sz w:val="12"/>
                <w:szCs w:val="12"/>
                <w:color w:val="auto"/>
              </w:rPr>
            </w:pPr>
          </w:p>
        </w:tc>
        <w:tc>
          <w:tcPr>
            <w:tcW w:w="640" w:type="dxa"/>
            <w:vAlign w:val="bottom"/>
            <w:tcBorders>
              <w:bottom w:val="single" w:sz="8" w:color="949599"/>
            </w:tcBorders>
            <w:shd w:val="clear" w:color="auto" w:fill="ECECED"/>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10,105</w:t>
            </w:r>
          </w:p>
        </w:tc>
        <w:tc>
          <w:tcPr>
            <w:tcW w:w="158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8,725</w:t>
            </w:r>
          </w:p>
        </w:tc>
      </w:tr>
      <w:tr>
        <w:trPr>
          <w:trHeight w:val="149"/>
        </w:trPr>
        <w:tc>
          <w:tcPr>
            <w:tcW w:w="5440" w:type="dxa"/>
            <w:vAlign w:val="bottom"/>
            <w:tcBorders>
              <w:bottom w:val="single" w:sz="8" w:color="949599"/>
            </w:tcBorders>
          </w:tcPr>
          <w:p>
            <w:pPr>
              <w:ind w:left="40"/>
              <w:spacing w:after="0" w:line="149" w:lineRule="exact"/>
              <w:rPr>
                <w:sz w:val="20"/>
                <w:szCs w:val="20"/>
                <w:color w:val="auto"/>
              </w:rPr>
            </w:pPr>
            <w:r>
              <w:rPr>
                <w:rFonts w:ascii="Arial" w:cs="Arial" w:eastAsia="Arial" w:hAnsi="Arial"/>
                <w:sz w:val="14"/>
                <w:szCs w:val="14"/>
                <w:b w:val="1"/>
                <w:bCs w:val="1"/>
                <w:color w:val="auto"/>
              </w:rPr>
              <w:t>Seagen Inc.</w:t>
            </w:r>
          </w:p>
        </w:tc>
        <w:tc>
          <w:tcPr>
            <w:tcW w:w="620" w:type="dxa"/>
            <w:vAlign w:val="bottom"/>
            <w:tcBorders>
              <w:bottom w:val="single" w:sz="8" w:color="949599"/>
            </w:tcBorders>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31,525</w:t>
            </w:r>
          </w:p>
        </w:tc>
        <w:tc>
          <w:tcPr>
            <w:tcW w:w="600" w:type="dxa"/>
            <w:vAlign w:val="bottom"/>
            <w:tcBorders>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37,942</w:t>
            </w:r>
          </w:p>
        </w:tc>
        <w:tc>
          <w:tcPr>
            <w:tcW w:w="220" w:type="dxa"/>
            <w:vAlign w:val="bottom"/>
            <w:tcBorders>
              <w:bottom w:val="single" w:sz="8" w:color="949599"/>
            </w:tcBorders>
          </w:tcPr>
          <w:p>
            <w:pPr>
              <w:spacing w:after="0"/>
              <w:rPr>
                <w:sz w:val="12"/>
                <w:szCs w:val="12"/>
                <w:color w:val="auto"/>
              </w:rPr>
            </w:pPr>
          </w:p>
        </w:tc>
        <w:tc>
          <w:tcPr>
            <w:tcW w:w="640" w:type="dxa"/>
            <w:vAlign w:val="bottom"/>
            <w:tcBorders>
              <w:bottom w:val="single" w:sz="8" w:color="949599"/>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2,056</w:t>
            </w:r>
          </w:p>
        </w:tc>
        <w:tc>
          <w:tcPr>
            <w:tcW w:w="158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3,256</w:t>
            </w:r>
          </w:p>
        </w:tc>
      </w:tr>
      <w:tr>
        <w:trPr>
          <w:trHeight w:val="149"/>
        </w:trPr>
        <w:tc>
          <w:tcPr>
            <w:tcW w:w="5440" w:type="dxa"/>
            <w:vAlign w:val="bottom"/>
            <w:tcBorders>
              <w:bottom w:val="single" w:sz="8" w:color="949599"/>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auto"/>
              </w:rPr>
              <w:t>Alnylam Pharmaceuticals, Inc.</w:t>
            </w:r>
          </w:p>
        </w:tc>
        <w:tc>
          <w:tcPr>
            <w:tcW w:w="620" w:type="dxa"/>
            <w:vAlign w:val="bottom"/>
            <w:tcBorders>
              <w:bottom w:val="single" w:sz="8" w:color="949599"/>
            </w:tcBorders>
            <w:gridSpan w:val="2"/>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25,920</w:t>
            </w:r>
          </w:p>
        </w:tc>
        <w:tc>
          <w:tcPr>
            <w:tcW w:w="600" w:type="dxa"/>
            <w:vAlign w:val="bottom"/>
            <w:tcBorders>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24,755</w:t>
            </w:r>
          </w:p>
        </w:tc>
        <w:tc>
          <w:tcPr>
            <w:tcW w:w="220" w:type="dxa"/>
            <w:vAlign w:val="bottom"/>
            <w:tcBorders>
              <w:bottom w:val="single" w:sz="8" w:color="949599"/>
            </w:tcBorders>
            <w:shd w:val="clear" w:color="auto" w:fill="ECECED"/>
          </w:tcPr>
          <w:p>
            <w:pPr>
              <w:spacing w:after="0"/>
              <w:rPr>
                <w:sz w:val="12"/>
                <w:szCs w:val="12"/>
                <w:color w:val="auto"/>
              </w:rPr>
            </w:pPr>
          </w:p>
        </w:tc>
        <w:tc>
          <w:tcPr>
            <w:tcW w:w="640" w:type="dxa"/>
            <w:vAlign w:val="bottom"/>
            <w:tcBorders>
              <w:bottom w:val="single" w:sz="8" w:color="949599"/>
            </w:tcBorders>
            <w:shd w:val="clear" w:color="auto" w:fill="ECECED"/>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1,143</w:t>
            </w:r>
          </w:p>
        </w:tc>
        <w:tc>
          <w:tcPr>
            <w:tcW w:w="158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2,002</w:t>
            </w:r>
          </w:p>
        </w:tc>
      </w:tr>
      <w:tr>
        <w:trPr>
          <w:trHeight w:val="149"/>
        </w:trPr>
        <w:tc>
          <w:tcPr>
            <w:tcW w:w="5440" w:type="dxa"/>
            <w:vAlign w:val="bottom"/>
            <w:tcBorders>
              <w:bottom w:val="single" w:sz="8" w:color="949599"/>
            </w:tcBorders>
          </w:tcPr>
          <w:p>
            <w:pPr>
              <w:ind w:left="40"/>
              <w:spacing w:after="0" w:line="149" w:lineRule="exact"/>
              <w:rPr>
                <w:sz w:val="20"/>
                <w:szCs w:val="20"/>
                <w:color w:val="auto"/>
              </w:rPr>
            </w:pPr>
            <w:r>
              <w:rPr>
                <w:rFonts w:ascii="Arial" w:cs="Arial" w:eastAsia="Arial" w:hAnsi="Arial"/>
                <w:sz w:val="14"/>
                <w:szCs w:val="14"/>
                <w:b w:val="1"/>
                <w:bCs w:val="1"/>
                <w:color w:val="auto"/>
              </w:rPr>
              <w:t>BioMarin Pharmaceuticals, Inc.</w:t>
            </w:r>
          </w:p>
        </w:tc>
        <w:tc>
          <w:tcPr>
            <w:tcW w:w="620" w:type="dxa"/>
            <w:vAlign w:val="bottom"/>
            <w:tcBorders>
              <w:bottom w:val="single" w:sz="8" w:color="949599"/>
            </w:tcBorders>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19,024</w:t>
            </w:r>
          </w:p>
        </w:tc>
        <w:tc>
          <w:tcPr>
            <w:tcW w:w="600" w:type="dxa"/>
            <w:vAlign w:val="bottom"/>
            <w:tcBorders>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17,877</w:t>
            </w:r>
          </w:p>
        </w:tc>
        <w:tc>
          <w:tcPr>
            <w:tcW w:w="220" w:type="dxa"/>
            <w:vAlign w:val="bottom"/>
            <w:tcBorders>
              <w:bottom w:val="single" w:sz="8" w:color="949599"/>
            </w:tcBorders>
          </w:tcPr>
          <w:p>
            <w:pPr>
              <w:spacing w:after="0"/>
              <w:rPr>
                <w:sz w:val="12"/>
                <w:szCs w:val="12"/>
                <w:color w:val="auto"/>
              </w:rPr>
            </w:pPr>
          </w:p>
        </w:tc>
        <w:tc>
          <w:tcPr>
            <w:tcW w:w="640" w:type="dxa"/>
            <w:vAlign w:val="bottom"/>
            <w:tcBorders>
              <w:bottom w:val="single" w:sz="8" w:color="949599"/>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2,173</w:t>
            </w:r>
          </w:p>
        </w:tc>
        <w:tc>
          <w:tcPr>
            <w:tcW w:w="158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3,082</w:t>
            </w:r>
          </w:p>
        </w:tc>
      </w:tr>
      <w:tr>
        <w:trPr>
          <w:trHeight w:val="149"/>
        </w:trPr>
        <w:tc>
          <w:tcPr>
            <w:tcW w:w="5440" w:type="dxa"/>
            <w:vAlign w:val="bottom"/>
            <w:tcBorders>
              <w:bottom w:val="single" w:sz="8" w:color="949599"/>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auto"/>
              </w:rPr>
              <w:t>Incyte Corporation</w:t>
            </w:r>
          </w:p>
        </w:tc>
        <w:tc>
          <w:tcPr>
            <w:tcW w:w="620" w:type="dxa"/>
            <w:vAlign w:val="bottom"/>
            <w:tcBorders>
              <w:bottom w:val="single" w:sz="8" w:color="949599"/>
            </w:tcBorders>
            <w:gridSpan w:val="2"/>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17,234</w:t>
            </w:r>
          </w:p>
        </w:tc>
        <w:tc>
          <w:tcPr>
            <w:tcW w:w="600" w:type="dxa"/>
            <w:vAlign w:val="bottom"/>
            <w:tcBorders>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16,360</w:t>
            </w:r>
          </w:p>
        </w:tc>
        <w:tc>
          <w:tcPr>
            <w:tcW w:w="220" w:type="dxa"/>
            <w:vAlign w:val="bottom"/>
            <w:tcBorders>
              <w:bottom w:val="single" w:sz="8" w:color="949599"/>
            </w:tcBorders>
            <w:shd w:val="clear" w:color="auto" w:fill="ECECED"/>
          </w:tcPr>
          <w:p>
            <w:pPr>
              <w:spacing w:after="0"/>
              <w:rPr>
                <w:sz w:val="12"/>
                <w:szCs w:val="12"/>
                <w:color w:val="auto"/>
              </w:rPr>
            </w:pPr>
          </w:p>
        </w:tc>
        <w:tc>
          <w:tcPr>
            <w:tcW w:w="640" w:type="dxa"/>
            <w:vAlign w:val="bottom"/>
            <w:tcBorders>
              <w:bottom w:val="single" w:sz="8" w:color="949599"/>
            </w:tcBorders>
            <w:shd w:val="clear" w:color="auto" w:fill="ECECED"/>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3,470</w:t>
            </w:r>
          </w:p>
        </w:tc>
        <w:tc>
          <w:tcPr>
            <w:tcW w:w="158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2,324</w:t>
            </w:r>
          </w:p>
        </w:tc>
      </w:tr>
      <w:tr>
        <w:trPr>
          <w:trHeight w:val="286"/>
        </w:trPr>
        <w:tc>
          <w:tcPr>
            <w:tcW w:w="5440" w:type="dxa"/>
            <w:vAlign w:val="bottom"/>
            <w:tcBorders>
              <w:bottom w:val="single" w:sz="8" w:color="215AA8"/>
            </w:tcBorders>
          </w:tcPr>
          <w:p>
            <w:pPr>
              <w:ind w:left="40"/>
              <w:spacing w:after="0"/>
              <w:rPr>
                <w:sz w:val="20"/>
                <w:szCs w:val="20"/>
                <w:color w:val="auto"/>
              </w:rPr>
            </w:pPr>
            <w:r>
              <w:rPr>
                <w:rFonts w:ascii="Arial" w:cs="Arial" w:eastAsia="Arial" w:hAnsi="Arial"/>
                <w:sz w:val="14"/>
                <w:szCs w:val="14"/>
                <w:b w:val="1"/>
                <w:bCs w:val="1"/>
                <w:color w:val="auto"/>
              </w:rPr>
              <w:t>Summary Statistics:</w:t>
            </w:r>
          </w:p>
        </w:tc>
        <w:tc>
          <w:tcPr>
            <w:tcW w:w="220" w:type="dxa"/>
            <w:vAlign w:val="bottom"/>
            <w:tcBorders>
              <w:bottom w:val="single" w:sz="8" w:color="215AA8"/>
            </w:tcBorders>
          </w:tcPr>
          <w:p>
            <w:pPr>
              <w:spacing w:after="0"/>
              <w:rPr>
                <w:sz w:val="24"/>
                <w:szCs w:val="24"/>
                <w:color w:val="auto"/>
              </w:rPr>
            </w:pPr>
          </w:p>
        </w:tc>
        <w:tc>
          <w:tcPr>
            <w:tcW w:w="400" w:type="dxa"/>
            <w:vAlign w:val="bottom"/>
            <w:tcBorders>
              <w:bottom w:val="single" w:sz="8" w:color="215AA8"/>
            </w:tcBorders>
          </w:tcPr>
          <w:p>
            <w:pPr>
              <w:spacing w:after="0"/>
              <w:rPr>
                <w:sz w:val="24"/>
                <w:szCs w:val="24"/>
                <w:color w:val="auto"/>
              </w:rPr>
            </w:pPr>
          </w:p>
        </w:tc>
        <w:tc>
          <w:tcPr>
            <w:tcW w:w="820" w:type="dxa"/>
            <w:vAlign w:val="bottom"/>
            <w:tcBorders>
              <w:bottom w:val="single" w:sz="8" w:color="215AA8"/>
            </w:tcBorders>
          </w:tcPr>
          <w:p>
            <w:pPr>
              <w:spacing w:after="0"/>
              <w:rPr>
                <w:sz w:val="24"/>
                <w:szCs w:val="24"/>
                <w:color w:val="auto"/>
              </w:rPr>
            </w:pPr>
          </w:p>
        </w:tc>
        <w:tc>
          <w:tcPr>
            <w:tcW w:w="600" w:type="dxa"/>
            <w:vAlign w:val="bottom"/>
            <w:tcBorders>
              <w:bottom w:val="single" w:sz="8" w:color="215AA8"/>
            </w:tcBorders>
          </w:tcPr>
          <w:p>
            <w:pPr>
              <w:spacing w:after="0"/>
              <w:rPr>
                <w:sz w:val="24"/>
                <w:szCs w:val="24"/>
                <w:color w:val="auto"/>
              </w:rPr>
            </w:pPr>
          </w:p>
        </w:tc>
        <w:tc>
          <w:tcPr>
            <w:tcW w:w="600" w:type="dxa"/>
            <w:vAlign w:val="bottom"/>
            <w:tcBorders>
              <w:bottom w:val="single" w:sz="8" w:color="215AA8"/>
            </w:tcBorders>
          </w:tcPr>
          <w:p>
            <w:pPr>
              <w:spacing w:after="0"/>
              <w:rPr>
                <w:sz w:val="24"/>
                <w:szCs w:val="24"/>
                <w:color w:val="auto"/>
              </w:rPr>
            </w:pPr>
          </w:p>
        </w:tc>
        <w:tc>
          <w:tcPr>
            <w:tcW w:w="220" w:type="dxa"/>
            <w:vAlign w:val="bottom"/>
            <w:tcBorders>
              <w:bottom w:val="single" w:sz="8" w:color="215AA8"/>
            </w:tcBorders>
          </w:tcPr>
          <w:p>
            <w:pPr>
              <w:spacing w:after="0"/>
              <w:rPr>
                <w:sz w:val="24"/>
                <w:szCs w:val="24"/>
                <w:color w:val="auto"/>
              </w:rPr>
            </w:pPr>
          </w:p>
        </w:tc>
        <w:tc>
          <w:tcPr>
            <w:tcW w:w="640" w:type="dxa"/>
            <w:vAlign w:val="bottom"/>
            <w:tcBorders>
              <w:bottom w:val="single" w:sz="8" w:color="215AA8"/>
            </w:tcBorders>
          </w:tcPr>
          <w:p>
            <w:pPr>
              <w:spacing w:after="0"/>
              <w:rPr>
                <w:sz w:val="24"/>
                <w:szCs w:val="24"/>
                <w:color w:val="auto"/>
              </w:rPr>
            </w:pPr>
          </w:p>
        </w:tc>
        <w:tc>
          <w:tcPr>
            <w:tcW w:w="740" w:type="dxa"/>
            <w:vAlign w:val="bottom"/>
            <w:tcBorders>
              <w:bottom w:val="single" w:sz="8" w:color="215AA8"/>
            </w:tcBorders>
          </w:tcPr>
          <w:p>
            <w:pPr>
              <w:spacing w:after="0"/>
              <w:rPr>
                <w:sz w:val="24"/>
                <w:szCs w:val="24"/>
                <w:color w:val="auto"/>
              </w:rPr>
            </w:pPr>
          </w:p>
        </w:tc>
        <w:tc>
          <w:tcPr>
            <w:tcW w:w="1580" w:type="dxa"/>
            <w:vAlign w:val="bottom"/>
            <w:tcBorders>
              <w:bottom w:val="single" w:sz="8" w:color="215AA8"/>
            </w:tcBorders>
          </w:tcPr>
          <w:p>
            <w:pPr>
              <w:spacing w:after="0"/>
              <w:rPr>
                <w:sz w:val="24"/>
                <w:szCs w:val="24"/>
                <w:color w:val="auto"/>
              </w:rPr>
            </w:pPr>
          </w:p>
        </w:tc>
      </w:tr>
      <w:tr>
        <w:trPr>
          <w:trHeight w:val="191"/>
        </w:trPr>
        <w:tc>
          <w:tcPr>
            <w:tcW w:w="5440" w:type="dxa"/>
            <w:vAlign w:val="bottom"/>
            <w:tcBorders>
              <w:bottom w:val="single" w:sz="8" w:color="949599"/>
            </w:tcBorders>
            <w:shd w:val="clear" w:color="auto" w:fill="ECECED"/>
          </w:tcPr>
          <w:p>
            <w:pPr>
              <w:ind w:left="40"/>
              <w:spacing w:after="0" w:line="191" w:lineRule="exact"/>
              <w:rPr>
                <w:sz w:val="20"/>
                <w:szCs w:val="20"/>
                <w:color w:val="auto"/>
              </w:rPr>
            </w:pPr>
            <w:r>
              <w:rPr>
                <w:rFonts w:ascii="Arial" w:cs="Arial" w:eastAsia="Arial" w:hAnsi="Arial"/>
                <w:sz w:val="14"/>
                <w:szCs w:val="14"/>
                <w:color w:val="auto"/>
              </w:rPr>
              <w:t>75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w:t>
            </w:r>
          </w:p>
        </w:tc>
        <w:tc>
          <w:tcPr>
            <w:tcW w:w="620" w:type="dxa"/>
            <w:vAlign w:val="bottom"/>
            <w:tcBorders>
              <w:bottom w:val="single" w:sz="8" w:color="949599"/>
            </w:tcBorders>
            <w:gridSpan w:val="2"/>
            <w:shd w:val="clear" w:color="auto" w:fill="ECECED"/>
          </w:tcPr>
          <w:p>
            <w:pPr>
              <w:jc w:val="right"/>
              <w:ind w:right="5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shd w:val="clear" w:color="auto" w:fill="ECECED"/>
          </w:tcPr>
          <w:p>
            <w:pPr>
              <w:jc w:val="right"/>
              <w:ind w:right="152"/>
              <w:spacing w:after="0"/>
              <w:rPr>
                <w:sz w:val="20"/>
                <w:szCs w:val="20"/>
                <w:color w:val="auto"/>
              </w:rPr>
            </w:pPr>
            <w:r>
              <w:rPr>
                <w:rFonts w:ascii="Arial" w:cs="Arial" w:eastAsia="Arial" w:hAnsi="Arial"/>
                <w:sz w:val="14"/>
                <w:szCs w:val="14"/>
                <w:color w:val="auto"/>
              </w:rPr>
              <w:t>181,887</w:t>
            </w:r>
          </w:p>
        </w:tc>
        <w:tc>
          <w:tcPr>
            <w:tcW w:w="600" w:type="dxa"/>
            <w:vAlign w:val="bottom"/>
            <w:tcBorders>
              <w:bottom w:val="single" w:sz="8" w:color="949599"/>
            </w:tcBorders>
            <w:shd w:val="clear" w:color="auto" w:fill="ECECED"/>
          </w:tcPr>
          <w:p>
            <w:pPr>
              <w:jc w:val="right"/>
              <w:ind w:right="52"/>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179,076</w:t>
            </w:r>
          </w:p>
        </w:tc>
        <w:tc>
          <w:tcPr>
            <w:tcW w:w="220" w:type="dxa"/>
            <w:vAlign w:val="bottom"/>
            <w:tcBorders>
              <w:bottom w:val="single" w:sz="8" w:color="949599"/>
            </w:tcBorders>
            <w:shd w:val="clear" w:color="auto" w:fill="ECECED"/>
          </w:tcPr>
          <w:p>
            <w:pPr>
              <w:spacing w:after="0"/>
              <w:rPr>
                <w:sz w:val="16"/>
                <w:szCs w:val="16"/>
                <w:color w:val="auto"/>
              </w:rPr>
            </w:pPr>
          </w:p>
        </w:tc>
        <w:tc>
          <w:tcPr>
            <w:tcW w:w="640" w:type="dxa"/>
            <w:vAlign w:val="bottom"/>
            <w:tcBorders>
              <w:bottom w:val="single" w:sz="8" w:color="949599"/>
            </w:tcBorders>
            <w:shd w:val="clear" w:color="auto" w:fill="ECECED"/>
          </w:tcPr>
          <w:p>
            <w:pPr>
              <w:jc w:val="right"/>
              <w:ind w:right="93"/>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shd w:val="clear" w:color="auto" w:fill="ECECED"/>
          </w:tcPr>
          <w:p>
            <w:pPr>
              <w:jc w:val="right"/>
              <w:ind w:right="152"/>
              <w:spacing w:after="0"/>
              <w:rPr>
                <w:sz w:val="20"/>
                <w:szCs w:val="20"/>
                <w:color w:val="auto"/>
              </w:rPr>
            </w:pPr>
            <w:r>
              <w:rPr>
                <w:rFonts w:ascii="Arial" w:cs="Arial" w:eastAsia="Arial" w:hAnsi="Arial"/>
                <w:sz w:val="14"/>
                <w:szCs w:val="14"/>
                <w:color w:val="auto"/>
              </w:rPr>
              <w:t>32,231</w:t>
            </w:r>
          </w:p>
        </w:tc>
        <w:tc>
          <w:tcPr>
            <w:tcW w:w="158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35,475</w:t>
            </w:r>
          </w:p>
        </w:tc>
      </w:tr>
      <w:tr>
        <w:trPr>
          <w:trHeight w:val="149"/>
        </w:trPr>
        <w:tc>
          <w:tcPr>
            <w:tcW w:w="5440" w:type="dxa"/>
            <w:vAlign w:val="bottom"/>
            <w:tcBorders>
              <w:bottom w:val="single" w:sz="8" w:color="949599"/>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auto"/>
              </w:rPr>
              <w:t>Median</w:t>
            </w:r>
          </w:p>
        </w:tc>
        <w:tc>
          <w:tcPr>
            <w:tcW w:w="220" w:type="dxa"/>
            <w:vAlign w:val="bottom"/>
            <w:tcBorders>
              <w:bottom w:val="single" w:sz="8" w:color="949599"/>
            </w:tcBorders>
            <w:shd w:val="clear" w:color="auto" w:fill="ECECED"/>
          </w:tcPr>
          <w:p>
            <w:pPr>
              <w:spacing w:after="0"/>
              <w:rPr>
                <w:sz w:val="12"/>
                <w:szCs w:val="12"/>
                <w:color w:val="auto"/>
              </w:rPr>
            </w:pPr>
          </w:p>
        </w:tc>
        <w:tc>
          <w:tcPr>
            <w:tcW w:w="400" w:type="dxa"/>
            <w:vAlign w:val="bottom"/>
            <w:tcBorders>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b w:val="1"/>
                <w:bCs w:val="1"/>
                <w:color w:val="auto"/>
              </w:rPr>
              <w:t>91,268</w:t>
            </w:r>
          </w:p>
        </w:tc>
        <w:tc>
          <w:tcPr>
            <w:tcW w:w="600" w:type="dxa"/>
            <w:vAlign w:val="bottom"/>
            <w:tcBorders>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b w:val="1"/>
                <w:bCs w:val="1"/>
                <w:color w:val="auto"/>
              </w:rPr>
              <w:t>92,878</w:t>
            </w:r>
          </w:p>
        </w:tc>
        <w:tc>
          <w:tcPr>
            <w:tcW w:w="220" w:type="dxa"/>
            <w:vAlign w:val="bottom"/>
            <w:tcBorders>
              <w:bottom w:val="single" w:sz="8" w:color="949599"/>
            </w:tcBorders>
            <w:shd w:val="clear" w:color="auto" w:fill="ECECED"/>
          </w:tcPr>
          <w:p>
            <w:pPr>
              <w:spacing w:after="0"/>
              <w:rPr>
                <w:sz w:val="12"/>
                <w:szCs w:val="12"/>
                <w:color w:val="auto"/>
              </w:rPr>
            </w:pPr>
          </w:p>
        </w:tc>
        <w:tc>
          <w:tcPr>
            <w:tcW w:w="640" w:type="dxa"/>
            <w:vAlign w:val="bottom"/>
            <w:tcBorders>
              <w:bottom w:val="single" w:sz="8" w:color="949599"/>
            </w:tcBorders>
            <w:shd w:val="clear" w:color="auto" w:fill="ECECED"/>
          </w:tcPr>
          <w:p>
            <w:pPr>
              <w:jc w:val="right"/>
              <w:ind w:right="93"/>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b w:val="1"/>
                <w:bCs w:val="1"/>
                <w:color w:val="auto"/>
              </w:rPr>
              <w:t>18,147</w:t>
            </w:r>
          </w:p>
        </w:tc>
        <w:tc>
          <w:tcPr>
            <w:tcW w:w="158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b w:val="1"/>
                <w:bCs w:val="1"/>
                <w:color w:val="auto"/>
              </w:rPr>
              <w:t>12,863</w:t>
            </w:r>
          </w:p>
        </w:tc>
      </w:tr>
      <w:tr>
        <w:trPr>
          <w:trHeight w:val="183"/>
        </w:trPr>
        <w:tc>
          <w:tcPr>
            <w:tcW w:w="5440" w:type="dxa"/>
            <w:vAlign w:val="bottom"/>
            <w:tcBorders>
              <w:bottom w:val="single" w:sz="8" w:color="949599"/>
            </w:tcBorders>
            <w:shd w:val="clear" w:color="auto" w:fill="ECECED"/>
          </w:tcPr>
          <w:p>
            <w:pPr>
              <w:ind w:left="40"/>
              <w:spacing w:after="0" w:line="183" w:lineRule="exact"/>
              <w:rPr>
                <w:sz w:val="20"/>
                <w:szCs w:val="20"/>
                <w:color w:val="auto"/>
              </w:rPr>
            </w:pPr>
            <w:r>
              <w:rPr>
                <w:rFonts w:ascii="Arial" w:cs="Arial" w:eastAsia="Arial" w:hAnsi="Arial"/>
                <w:sz w:val="13"/>
                <w:szCs w:val="13"/>
                <w:color w:val="auto"/>
              </w:rPr>
              <w:t>25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w:t>
            </w:r>
          </w:p>
        </w:tc>
        <w:tc>
          <w:tcPr>
            <w:tcW w:w="220" w:type="dxa"/>
            <w:vAlign w:val="bottom"/>
            <w:tcBorders>
              <w:bottom w:val="single" w:sz="8" w:color="949599"/>
            </w:tcBorders>
            <w:shd w:val="clear" w:color="auto" w:fill="ECECED"/>
          </w:tcPr>
          <w:p>
            <w:pPr>
              <w:spacing w:after="0"/>
              <w:rPr>
                <w:sz w:val="15"/>
                <w:szCs w:val="15"/>
                <w:color w:val="auto"/>
              </w:rPr>
            </w:pPr>
          </w:p>
        </w:tc>
        <w:tc>
          <w:tcPr>
            <w:tcW w:w="400" w:type="dxa"/>
            <w:vAlign w:val="bottom"/>
            <w:tcBorders>
              <w:bottom w:val="single" w:sz="8" w:color="949599"/>
            </w:tcBorders>
            <w:shd w:val="clear" w:color="auto" w:fill="ECECED"/>
          </w:tcPr>
          <w:p>
            <w:pPr>
              <w:jc w:val="right"/>
              <w:ind w:right="5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shd w:val="clear" w:color="auto" w:fill="ECECED"/>
          </w:tcPr>
          <w:p>
            <w:pPr>
              <w:jc w:val="right"/>
              <w:ind w:right="152"/>
              <w:spacing w:after="0"/>
              <w:rPr>
                <w:sz w:val="20"/>
                <w:szCs w:val="20"/>
                <w:color w:val="auto"/>
              </w:rPr>
            </w:pPr>
            <w:r>
              <w:rPr>
                <w:rFonts w:ascii="Arial" w:cs="Arial" w:eastAsia="Arial" w:hAnsi="Arial"/>
                <w:sz w:val="14"/>
                <w:szCs w:val="14"/>
                <w:color w:val="auto"/>
              </w:rPr>
              <w:t>30,124</w:t>
            </w:r>
          </w:p>
        </w:tc>
        <w:tc>
          <w:tcPr>
            <w:tcW w:w="600" w:type="dxa"/>
            <w:vAlign w:val="bottom"/>
            <w:tcBorders>
              <w:bottom w:val="single" w:sz="8" w:color="949599"/>
            </w:tcBorders>
            <w:shd w:val="clear" w:color="auto" w:fill="ECECED"/>
          </w:tcPr>
          <w:p>
            <w:pPr>
              <w:jc w:val="right"/>
              <w:ind w:right="52"/>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34,645</w:t>
            </w:r>
          </w:p>
        </w:tc>
        <w:tc>
          <w:tcPr>
            <w:tcW w:w="220" w:type="dxa"/>
            <w:vAlign w:val="bottom"/>
            <w:tcBorders>
              <w:bottom w:val="single" w:sz="8" w:color="949599"/>
            </w:tcBorders>
            <w:shd w:val="clear" w:color="auto" w:fill="ECECED"/>
          </w:tcPr>
          <w:p>
            <w:pPr>
              <w:spacing w:after="0"/>
              <w:rPr>
                <w:sz w:val="15"/>
                <w:szCs w:val="15"/>
                <w:color w:val="auto"/>
              </w:rPr>
            </w:pPr>
          </w:p>
        </w:tc>
        <w:tc>
          <w:tcPr>
            <w:tcW w:w="640" w:type="dxa"/>
            <w:vAlign w:val="bottom"/>
            <w:tcBorders>
              <w:bottom w:val="single" w:sz="8" w:color="949599"/>
            </w:tcBorders>
            <w:shd w:val="clear" w:color="auto" w:fill="ECECED"/>
          </w:tcPr>
          <w:p>
            <w:pPr>
              <w:jc w:val="right"/>
              <w:ind w:right="93"/>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49599"/>
            </w:tcBorders>
            <w:shd w:val="clear" w:color="auto" w:fill="ECECED"/>
          </w:tcPr>
          <w:p>
            <w:pPr>
              <w:jc w:val="right"/>
              <w:ind w:right="152"/>
              <w:spacing w:after="0"/>
              <w:rPr>
                <w:sz w:val="20"/>
                <w:szCs w:val="20"/>
                <w:color w:val="auto"/>
              </w:rPr>
            </w:pPr>
            <w:r>
              <w:rPr>
                <w:rFonts w:ascii="Arial" w:cs="Arial" w:eastAsia="Arial" w:hAnsi="Arial"/>
                <w:sz w:val="14"/>
                <w:szCs w:val="14"/>
                <w:color w:val="auto"/>
              </w:rPr>
              <w:t>3,146</w:t>
            </w:r>
          </w:p>
        </w:tc>
        <w:tc>
          <w:tcPr>
            <w:tcW w:w="158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3,213</w:t>
            </w:r>
          </w:p>
        </w:tc>
      </w:tr>
      <w:tr>
        <w:trPr>
          <w:trHeight w:val="70"/>
        </w:trPr>
        <w:tc>
          <w:tcPr>
            <w:tcW w:w="5440" w:type="dxa"/>
            <w:vAlign w:val="bottom"/>
            <w:tcBorders>
              <w:bottom w:val="single" w:sz="8" w:color="949599"/>
            </w:tcBorders>
          </w:tcPr>
          <w:p>
            <w:pPr>
              <w:spacing w:after="0"/>
              <w:rPr>
                <w:sz w:val="6"/>
                <w:szCs w:val="6"/>
                <w:color w:val="auto"/>
              </w:rPr>
            </w:pPr>
          </w:p>
        </w:tc>
        <w:tc>
          <w:tcPr>
            <w:tcW w:w="220" w:type="dxa"/>
            <w:vAlign w:val="bottom"/>
            <w:tcBorders>
              <w:bottom w:val="single" w:sz="8" w:color="949599"/>
            </w:tcBorders>
          </w:tcPr>
          <w:p>
            <w:pPr>
              <w:spacing w:after="0"/>
              <w:rPr>
                <w:sz w:val="6"/>
                <w:szCs w:val="6"/>
                <w:color w:val="auto"/>
              </w:rPr>
            </w:pPr>
          </w:p>
        </w:tc>
        <w:tc>
          <w:tcPr>
            <w:tcW w:w="400" w:type="dxa"/>
            <w:vAlign w:val="bottom"/>
            <w:tcBorders>
              <w:bottom w:val="single" w:sz="8" w:color="949599"/>
            </w:tcBorders>
          </w:tcPr>
          <w:p>
            <w:pPr>
              <w:spacing w:after="0"/>
              <w:rPr>
                <w:sz w:val="6"/>
                <w:szCs w:val="6"/>
                <w:color w:val="auto"/>
              </w:rPr>
            </w:pPr>
          </w:p>
        </w:tc>
        <w:tc>
          <w:tcPr>
            <w:tcW w:w="820" w:type="dxa"/>
            <w:vAlign w:val="bottom"/>
            <w:tcBorders>
              <w:bottom w:val="single" w:sz="8" w:color="949599"/>
            </w:tcBorders>
          </w:tcPr>
          <w:p>
            <w:pPr>
              <w:spacing w:after="0"/>
              <w:rPr>
                <w:sz w:val="6"/>
                <w:szCs w:val="6"/>
                <w:color w:val="auto"/>
              </w:rPr>
            </w:pPr>
          </w:p>
        </w:tc>
        <w:tc>
          <w:tcPr>
            <w:tcW w:w="600" w:type="dxa"/>
            <w:vAlign w:val="bottom"/>
            <w:tcBorders>
              <w:bottom w:val="single" w:sz="8" w:color="949599"/>
            </w:tcBorders>
          </w:tcPr>
          <w:p>
            <w:pPr>
              <w:spacing w:after="0"/>
              <w:rPr>
                <w:sz w:val="6"/>
                <w:szCs w:val="6"/>
                <w:color w:val="auto"/>
              </w:rPr>
            </w:pPr>
          </w:p>
        </w:tc>
        <w:tc>
          <w:tcPr>
            <w:tcW w:w="600" w:type="dxa"/>
            <w:vAlign w:val="bottom"/>
            <w:tcBorders>
              <w:bottom w:val="single" w:sz="8" w:color="949599"/>
            </w:tcBorders>
          </w:tcPr>
          <w:p>
            <w:pPr>
              <w:spacing w:after="0"/>
              <w:rPr>
                <w:sz w:val="6"/>
                <w:szCs w:val="6"/>
                <w:color w:val="auto"/>
              </w:rPr>
            </w:pPr>
          </w:p>
        </w:tc>
        <w:tc>
          <w:tcPr>
            <w:tcW w:w="220" w:type="dxa"/>
            <w:vAlign w:val="bottom"/>
            <w:tcBorders>
              <w:bottom w:val="single" w:sz="8" w:color="949599"/>
            </w:tcBorders>
          </w:tcPr>
          <w:p>
            <w:pPr>
              <w:spacing w:after="0"/>
              <w:rPr>
                <w:sz w:val="6"/>
                <w:szCs w:val="6"/>
                <w:color w:val="auto"/>
              </w:rPr>
            </w:pPr>
          </w:p>
        </w:tc>
        <w:tc>
          <w:tcPr>
            <w:tcW w:w="640" w:type="dxa"/>
            <w:vAlign w:val="bottom"/>
            <w:tcBorders>
              <w:bottom w:val="single" w:sz="8" w:color="949599"/>
            </w:tcBorders>
          </w:tcPr>
          <w:p>
            <w:pPr>
              <w:spacing w:after="0"/>
              <w:rPr>
                <w:sz w:val="6"/>
                <w:szCs w:val="6"/>
                <w:color w:val="auto"/>
              </w:rPr>
            </w:pPr>
          </w:p>
        </w:tc>
        <w:tc>
          <w:tcPr>
            <w:tcW w:w="740" w:type="dxa"/>
            <w:vAlign w:val="bottom"/>
            <w:tcBorders>
              <w:bottom w:val="single" w:sz="8" w:color="949599"/>
            </w:tcBorders>
          </w:tcPr>
          <w:p>
            <w:pPr>
              <w:spacing w:after="0"/>
              <w:rPr>
                <w:sz w:val="6"/>
                <w:szCs w:val="6"/>
                <w:color w:val="auto"/>
              </w:rPr>
            </w:pPr>
          </w:p>
        </w:tc>
        <w:tc>
          <w:tcPr>
            <w:tcW w:w="1580" w:type="dxa"/>
            <w:vAlign w:val="bottom"/>
            <w:tcBorders>
              <w:bottom w:val="single" w:sz="8" w:color="949599"/>
            </w:tcBorders>
          </w:tcPr>
          <w:p>
            <w:pPr>
              <w:spacing w:after="0"/>
              <w:rPr>
                <w:sz w:val="6"/>
                <w:szCs w:val="6"/>
                <w:color w:val="auto"/>
              </w:rPr>
            </w:pPr>
          </w:p>
        </w:tc>
      </w:tr>
      <w:tr>
        <w:trPr>
          <w:trHeight w:val="149"/>
        </w:trPr>
        <w:tc>
          <w:tcPr>
            <w:tcW w:w="5440" w:type="dxa"/>
            <w:vAlign w:val="bottom"/>
            <w:tcBorders>
              <w:bottom w:val="single" w:sz="8" w:color="949599"/>
            </w:tcBorders>
            <w:shd w:val="clear" w:color="auto" w:fill="E8ECF5"/>
          </w:tcPr>
          <w:p>
            <w:pPr>
              <w:ind w:left="40"/>
              <w:spacing w:after="0" w:line="149" w:lineRule="exact"/>
              <w:rPr>
                <w:sz w:val="20"/>
                <w:szCs w:val="20"/>
                <w:color w:val="auto"/>
              </w:rPr>
            </w:pPr>
            <w:r>
              <w:rPr>
                <w:rFonts w:ascii="Arial" w:cs="Arial" w:eastAsia="Arial" w:hAnsi="Arial"/>
                <w:sz w:val="14"/>
                <w:szCs w:val="14"/>
                <w:b w:val="1"/>
                <w:bCs w:val="1"/>
                <w:color w:val="auto"/>
              </w:rPr>
              <w:t>Regeneron Pharmaceuticals, Inc.</w:t>
            </w:r>
          </w:p>
        </w:tc>
        <w:tc>
          <w:tcPr>
            <w:tcW w:w="620" w:type="dxa"/>
            <w:vAlign w:val="bottom"/>
            <w:tcBorders>
              <w:bottom w:val="single" w:sz="8" w:color="949599"/>
            </w:tcBorders>
            <w:gridSpan w:val="2"/>
            <w:shd w:val="clear" w:color="auto" w:fill="E8ECF5"/>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949599"/>
            </w:tcBorders>
            <w:shd w:val="clear" w:color="auto" w:fill="E8ECF5"/>
          </w:tcPr>
          <w:p>
            <w:pPr>
              <w:jc w:val="right"/>
              <w:ind w:right="152"/>
              <w:spacing w:after="0" w:line="149" w:lineRule="exact"/>
              <w:rPr>
                <w:sz w:val="20"/>
                <w:szCs w:val="20"/>
                <w:color w:val="auto"/>
              </w:rPr>
            </w:pPr>
            <w:r>
              <w:rPr>
                <w:rFonts w:ascii="Arial" w:cs="Arial" w:eastAsia="Arial" w:hAnsi="Arial"/>
                <w:sz w:val="14"/>
                <w:szCs w:val="14"/>
                <w:b w:val="1"/>
                <w:bCs w:val="1"/>
                <w:color w:val="auto"/>
              </w:rPr>
              <w:t>81,768</w:t>
            </w:r>
          </w:p>
        </w:tc>
        <w:tc>
          <w:tcPr>
            <w:tcW w:w="600" w:type="dxa"/>
            <w:vAlign w:val="bottom"/>
            <w:tcBorders>
              <w:bottom w:val="single" w:sz="8" w:color="949599"/>
            </w:tcBorders>
            <w:shd w:val="clear" w:color="auto" w:fill="E8ECF5"/>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949599"/>
            </w:tcBorders>
            <w:shd w:val="clear" w:color="auto" w:fill="E8ECF5"/>
          </w:tcPr>
          <w:p>
            <w:pPr>
              <w:jc w:val="right"/>
              <w:spacing w:after="0" w:line="149" w:lineRule="exact"/>
              <w:rPr>
                <w:sz w:val="20"/>
                <w:szCs w:val="20"/>
                <w:color w:val="auto"/>
              </w:rPr>
            </w:pPr>
            <w:r>
              <w:rPr>
                <w:rFonts w:ascii="Arial" w:cs="Arial" w:eastAsia="Arial" w:hAnsi="Arial"/>
                <w:sz w:val="14"/>
                <w:szCs w:val="14"/>
                <w:b w:val="1"/>
                <w:bCs w:val="1"/>
                <w:color w:val="auto"/>
              </w:rPr>
              <w:t>86,231</w:t>
            </w:r>
          </w:p>
        </w:tc>
        <w:tc>
          <w:tcPr>
            <w:tcW w:w="220" w:type="dxa"/>
            <w:vAlign w:val="bottom"/>
            <w:tcBorders>
              <w:bottom w:val="single" w:sz="8" w:color="949599"/>
            </w:tcBorders>
            <w:shd w:val="clear" w:color="auto" w:fill="E8ECF5"/>
          </w:tcPr>
          <w:p>
            <w:pPr>
              <w:spacing w:after="0"/>
              <w:rPr>
                <w:sz w:val="12"/>
                <w:szCs w:val="12"/>
                <w:color w:val="auto"/>
              </w:rPr>
            </w:pPr>
          </w:p>
        </w:tc>
        <w:tc>
          <w:tcPr>
            <w:tcW w:w="640" w:type="dxa"/>
            <w:vAlign w:val="bottom"/>
            <w:tcBorders>
              <w:bottom w:val="single" w:sz="8" w:color="949599"/>
            </w:tcBorders>
            <w:shd w:val="clear" w:color="auto" w:fill="E8ECF5"/>
          </w:tcPr>
          <w:p>
            <w:pPr>
              <w:jc w:val="right"/>
              <w:ind w:right="93"/>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949599"/>
            </w:tcBorders>
            <w:shd w:val="clear" w:color="auto" w:fill="E8ECF5"/>
          </w:tcPr>
          <w:p>
            <w:pPr>
              <w:jc w:val="right"/>
              <w:ind w:right="152"/>
              <w:spacing w:after="0" w:line="149" w:lineRule="exact"/>
              <w:rPr>
                <w:sz w:val="20"/>
                <w:szCs w:val="20"/>
                <w:color w:val="auto"/>
              </w:rPr>
            </w:pPr>
            <w:r>
              <w:rPr>
                <w:rFonts w:ascii="Arial" w:cs="Arial" w:eastAsia="Arial" w:hAnsi="Arial"/>
                <w:sz w:val="14"/>
                <w:szCs w:val="14"/>
                <w:b w:val="1"/>
                <w:bCs w:val="1"/>
                <w:color w:val="auto"/>
              </w:rPr>
              <w:t>12,370</w:t>
            </w:r>
          </w:p>
        </w:tc>
        <w:tc>
          <w:tcPr>
            <w:tcW w:w="1580" w:type="dxa"/>
            <w:vAlign w:val="bottom"/>
            <w:tcBorders>
              <w:bottom w:val="single" w:sz="8" w:color="949599"/>
            </w:tcBorders>
            <w:shd w:val="clear" w:color="auto" w:fill="E8ECF5"/>
          </w:tcPr>
          <w:p>
            <w:pPr>
              <w:jc w:val="right"/>
              <w:spacing w:after="0" w:line="149" w:lineRule="exact"/>
              <w:rPr>
                <w:sz w:val="20"/>
                <w:szCs w:val="20"/>
                <w:color w:val="auto"/>
              </w:rPr>
            </w:pPr>
            <w:r>
              <w:rPr>
                <w:rFonts w:ascii="Arial" w:cs="Arial" w:eastAsia="Arial" w:hAnsi="Arial"/>
                <w:sz w:val="14"/>
                <w:szCs w:val="14"/>
                <w:b w:val="1"/>
                <w:bCs w:val="1"/>
                <w:color w:val="auto"/>
              </w:rPr>
              <w:t>12,099</w:t>
            </w:r>
          </w:p>
        </w:tc>
      </w:tr>
      <w:tr>
        <w:trPr>
          <w:trHeight w:val="151"/>
        </w:trPr>
        <w:tc>
          <w:tcPr>
            <w:tcW w:w="5440" w:type="dxa"/>
            <w:vAlign w:val="bottom"/>
            <w:tcBorders>
              <w:bottom w:val="single" w:sz="8" w:color="215AA8"/>
            </w:tcBorders>
            <w:shd w:val="clear" w:color="auto" w:fill="E8ECF5"/>
          </w:tcPr>
          <w:p>
            <w:pPr>
              <w:ind w:left="40"/>
              <w:spacing w:after="0" w:line="149" w:lineRule="exact"/>
              <w:rPr>
                <w:sz w:val="20"/>
                <w:szCs w:val="20"/>
                <w:color w:val="auto"/>
              </w:rPr>
            </w:pPr>
            <w:r>
              <w:rPr>
                <w:rFonts w:ascii="Arial" w:cs="Arial" w:eastAsia="Arial" w:hAnsi="Arial"/>
                <w:sz w:val="14"/>
                <w:szCs w:val="14"/>
                <w:b w:val="1"/>
                <w:bCs w:val="1"/>
                <w:i w:val="1"/>
                <w:iCs w:val="1"/>
                <w:color w:val="auto"/>
              </w:rPr>
              <w:t>Percentile Rank</w:t>
            </w:r>
          </w:p>
        </w:tc>
        <w:tc>
          <w:tcPr>
            <w:tcW w:w="220" w:type="dxa"/>
            <w:vAlign w:val="bottom"/>
            <w:tcBorders>
              <w:bottom w:val="single" w:sz="8" w:color="215AA8"/>
            </w:tcBorders>
            <w:shd w:val="clear" w:color="auto" w:fill="E8ECF5"/>
          </w:tcPr>
          <w:p>
            <w:pPr>
              <w:spacing w:after="0"/>
              <w:rPr>
                <w:sz w:val="13"/>
                <w:szCs w:val="13"/>
                <w:color w:val="auto"/>
              </w:rPr>
            </w:pPr>
          </w:p>
        </w:tc>
        <w:tc>
          <w:tcPr>
            <w:tcW w:w="400" w:type="dxa"/>
            <w:vAlign w:val="bottom"/>
            <w:tcBorders>
              <w:bottom w:val="single" w:sz="8" w:color="215AA8"/>
            </w:tcBorders>
            <w:shd w:val="clear" w:color="auto" w:fill="E8ECF5"/>
          </w:tcPr>
          <w:p>
            <w:pPr>
              <w:spacing w:after="0"/>
              <w:rPr>
                <w:sz w:val="13"/>
                <w:szCs w:val="13"/>
                <w:color w:val="auto"/>
              </w:rPr>
            </w:pPr>
          </w:p>
        </w:tc>
        <w:tc>
          <w:tcPr>
            <w:tcW w:w="820" w:type="dxa"/>
            <w:vAlign w:val="bottom"/>
            <w:tcBorders>
              <w:bottom w:val="single" w:sz="8" w:color="215AA8"/>
            </w:tcBorders>
            <w:shd w:val="clear" w:color="auto" w:fill="E8ECF5"/>
          </w:tcPr>
          <w:p>
            <w:pPr>
              <w:jc w:val="right"/>
              <w:ind w:right="152"/>
              <w:spacing w:after="0" w:line="149" w:lineRule="exact"/>
              <w:rPr>
                <w:sz w:val="20"/>
                <w:szCs w:val="20"/>
                <w:color w:val="auto"/>
              </w:rPr>
            </w:pPr>
            <w:r>
              <w:rPr>
                <w:rFonts w:ascii="Arial" w:cs="Arial" w:eastAsia="Arial" w:hAnsi="Arial"/>
                <w:sz w:val="14"/>
                <w:szCs w:val="14"/>
                <w:b w:val="1"/>
                <w:bCs w:val="1"/>
                <w:i w:val="1"/>
                <w:iCs w:val="1"/>
                <w:color w:val="auto"/>
              </w:rPr>
              <w:t>P47</w:t>
            </w:r>
          </w:p>
        </w:tc>
        <w:tc>
          <w:tcPr>
            <w:tcW w:w="600" w:type="dxa"/>
            <w:vAlign w:val="bottom"/>
            <w:tcBorders>
              <w:bottom w:val="single" w:sz="8" w:color="215AA8"/>
            </w:tcBorders>
            <w:shd w:val="clear" w:color="auto" w:fill="E8ECF5"/>
          </w:tcPr>
          <w:p>
            <w:pPr>
              <w:spacing w:after="0"/>
              <w:rPr>
                <w:sz w:val="13"/>
                <w:szCs w:val="13"/>
                <w:color w:val="auto"/>
              </w:rPr>
            </w:pPr>
          </w:p>
        </w:tc>
        <w:tc>
          <w:tcPr>
            <w:tcW w:w="820" w:type="dxa"/>
            <w:vAlign w:val="bottom"/>
            <w:tcBorders>
              <w:bottom w:val="single" w:sz="8" w:color="215AA8"/>
            </w:tcBorders>
            <w:gridSpan w:val="2"/>
            <w:shd w:val="clear" w:color="auto" w:fill="E8ECF5"/>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rPr>
              <w:t>P47</w:t>
            </w:r>
          </w:p>
        </w:tc>
        <w:tc>
          <w:tcPr>
            <w:tcW w:w="640" w:type="dxa"/>
            <w:vAlign w:val="bottom"/>
            <w:tcBorders>
              <w:bottom w:val="single" w:sz="8" w:color="215AA8"/>
            </w:tcBorders>
            <w:shd w:val="clear" w:color="auto" w:fill="E8ECF5"/>
          </w:tcPr>
          <w:p>
            <w:pPr>
              <w:spacing w:after="0"/>
              <w:rPr>
                <w:sz w:val="13"/>
                <w:szCs w:val="13"/>
                <w:color w:val="auto"/>
              </w:rPr>
            </w:pPr>
          </w:p>
        </w:tc>
        <w:tc>
          <w:tcPr>
            <w:tcW w:w="740" w:type="dxa"/>
            <w:vAlign w:val="bottom"/>
            <w:tcBorders>
              <w:bottom w:val="single" w:sz="8" w:color="215AA8"/>
            </w:tcBorders>
            <w:shd w:val="clear" w:color="auto" w:fill="E8ECF5"/>
          </w:tcPr>
          <w:p>
            <w:pPr>
              <w:jc w:val="right"/>
              <w:ind w:right="152"/>
              <w:spacing w:after="0" w:line="149" w:lineRule="exact"/>
              <w:rPr>
                <w:sz w:val="20"/>
                <w:szCs w:val="20"/>
                <w:color w:val="auto"/>
              </w:rPr>
            </w:pPr>
            <w:r>
              <w:rPr>
                <w:rFonts w:ascii="Arial" w:cs="Arial" w:eastAsia="Arial" w:hAnsi="Arial"/>
                <w:sz w:val="14"/>
                <w:szCs w:val="14"/>
                <w:b w:val="1"/>
                <w:bCs w:val="1"/>
                <w:i w:val="1"/>
                <w:iCs w:val="1"/>
                <w:color w:val="auto"/>
              </w:rPr>
              <w:t>P47</w:t>
            </w:r>
          </w:p>
        </w:tc>
        <w:tc>
          <w:tcPr>
            <w:tcW w:w="1580" w:type="dxa"/>
            <w:vAlign w:val="bottom"/>
            <w:tcBorders>
              <w:bottom w:val="single" w:sz="8" w:color="215AA8"/>
            </w:tcBorders>
            <w:shd w:val="clear" w:color="auto" w:fill="E8ECF5"/>
          </w:tcPr>
          <w:p>
            <w:pPr>
              <w:jc w:val="right"/>
              <w:spacing w:after="0" w:line="149" w:lineRule="exact"/>
              <w:rPr>
                <w:sz w:val="20"/>
                <w:szCs w:val="20"/>
                <w:color w:val="auto"/>
              </w:rPr>
            </w:pPr>
            <w:r>
              <w:rPr>
                <w:rFonts w:ascii="Arial" w:cs="Arial" w:eastAsia="Arial" w:hAnsi="Arial"/>
                <w:sz w:val="14"/>
                <w:szCs w:val="14"/>
                <w:b w:val="1"/>
                <w:bCs w:val="1"/>
                <w:i w:val="1"/>
                <w:iCs w:val="1"/>
                <w:color w:val="auto"/>
              </w:rPr>
              <w:t>P49</w:t>
            </w:r>
          </w:p>
        </w:tc>
      </w:tr>
    </w:tbl>
    <w:p>
      <w:pPr>
        <w:ind w:left="150" w:hanging="150"/>
        <w:spacing w:after="0" w:line="215" w:lineRule="auto"/>
        <w:tabs>
          <w:tab w:leader="none" w:pos="150" w:val="left"/>
        </w:tabs>
        <w:numPr>
          <w:ilvl w:val="0"/>
          <w:numId w:val="131"/>
        </w:numPr>
        <w:rPr>
          <w:rFonts w:ascii="Arial" w:cs="Arial" w:eastAsia="Arial" w:hAnsi="Arial"/>
          <w:sz w:val="20"/>
          <w:szCs w:val="20"/>
          <w:color w:val="auto"/>
          <w:vertAlign w:val="superscript"/>
        </w:rPr>
      </w:pPr>
      <w:r>
        <w:rPr>
          <w:rFonts w:ascii="Arial" w:cs="Arial" w:eastAsia="Arial" w:hAnsi="Arial"/>
          <w:sz w:val="12"/>
          <w:szCs w:val="12"/>
          <w:color w:val="auto"/>
        </w:rPr>
        <w:t>Based on available data as of May 2023.</w:t>
      </w:r>
    </w:p>
    <w:p>
      <w:pPr>
        <w:spacing w:after="0" w:line="133" w:lineRule="exact"/>
        <w:rPr>
          <w:sz w:val="20"/>
          <w:szCs w:val="20"/>
          <w:color w:val="auto"/>
        </w:rPr>
      </w:pPr>
    </w:p>
    <w:p>
      <w:pPr>
        <w:ind w:left="10" w:right="100"/>
        <w:spacing w:after="0"/>
        <w:rPr>
          <w:sz w:val="20"/>
          <w:szCs w:val="20"/>
          <w:color w:val="auto"/>
        </w:rPr>
      </w:pPr>
      <w:r>
        <w:rPr>
          <w:rFonts w:ascii="Arial" w:cs="Arial" w:eastAsia="Arial" w:hAnsi="Arial"/>
          <w:sz w:val="14"/>
          <w:szCs w:val="14"/>
          <w:color w:val="auto"/>
        </w:rPr>
        <w:t>In making the compensation decisions in December 2023, we used data from publicly filed proxy statements of the companies in the Peer Group (as compiled by the Compensation Committee’s compensation consultant) to review each component of compensation of our NEOs against their peers in the Peer Group as well as their total annual compensation in relation to the Peer Group, while giving regard to various factors such as the executives’ respective performance, past compensation history, experience, and role in the Company’s success. We use Peer Group data as a point of reference for measurement, but Peer Group data do not represent the only factor considered and there is no targeted pay level percentile. The Compensation Committee retains discretion in determining the nature and extent of the use of Peer Group data.</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79</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Risk Assessment</w:t>
      </w:r>
    </w:p>
    <w:p>
      <w:pPr>
        <w:spacing w:after="0" w:line="174" w:lineRule="exact"/>
        <w:rPr>
          <w:sz w:val="20"/>
          <w:szCs w:val="20"/>
          <w:color w:val="auto"/>
        </w:rPr>
      </w:pPr>
    </w:p>
    <w:p>
      <w:pPr>
        <w:ind w:right="20"/>
        <w:spacing w:after="0"/>
        <w:rPr>
          <w:sz w:val="20"/>
          <w:szCs w:val="20"/>
          <w:color w:val="auto"/>
        </w:rPr>
      </w:pPr>
      <w:r>
        <w:rPr>
          <w:rFonts w:ascii="Arial" w:cs="Arial" w:eastAsia="Arial" w:hAnsi="Arial"/>
          <w:sz w:val="14"/>
          <w:szCs w:val="14"/>
          <w:color w:val="auto"/>
        </w:rPr>
        <w:t>We believe that the Company’s programs balance risk and potential reward in a manner that is appropriate to the Company’s circumstances and in the best interests of the Company’s shareholders over the long term. We also believe that the Company’s compensation and benefits programs do not create risks that are reasonably likely to have a material adverse effect on the Company. We regularly review the Company’s compensation and benefits programs, including its executive compensation program and its incentive-based compensation programs (such as sales incentive plans). At least annually, the Compensation Committee reviews and considers a compensation program risk assessment performed by its independent compensation consultant.</w:t>
      </w:r>
    </w:p>
    <w:p>
      <w:pPr>
        <w:spacing w:after="0" w:line="141"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The Company’s compensation and governance-related policies are further enhanced by our stock ownership guidelines applicable to our senior officers (see “The Company — Corporate Governance — Stock Ownership Guidelines” for more information) and our policy regarding recoupment or reduction (clawback) of incentive compensation. Since 2015, the Company has maintained a policy regarding recoupment or reduction (clawback) of incentive compensation awarded to our officers and other specified employees for compliance violations, which applies to bonus and other incentive compensation regardless of whether paid or payable in cash, equity, or otherwise and regardless of whether such compensation has been earned or vested (the “Clawback Policy”). In addition, the Clawback Policy covers both financial and non-financial violations resulting in a significant harm to the Company’s business, prospects, results of operations, or financial condition. Under the Clawback Policy, the board and any designated committee of the board have full discretion to make recoupment and reduction decisions as they may deem appropriate subject to applicable law, the Company’s compensation plans in effect from time to time, and all relevant contractual obligations. In addition, in 2023, the Company adopted a supplement to the Clawback Policy (the “Clawback Policy Supplement”) to comply with recent changes to the listing standards of the Nasdaq Stock Market LLC that went into effect on October 2, 2023, as mandated by the SEC. The Clawback Policy Supplement provides that, in the event we are required to prepare an accounting restatement due to material noncompliance with financial reporting requirements, we will recover any Incentive-Based Compensation (as defined below) erroneously received on or after October 2, 2023 by a current or former “officer” of the Company (as defined under Section 16 of the Exchange Act) during the three completed fiscal years immediately preceding the date on which the accounting restatement is determined to be required. Under the Clawback Policy Supplement, “Incentive-Based Compensation” is defined as any compensation that is granted, earned, or vested based wholly or in part upon the attainment of a financial reporting measure (which is defined to include stock price and TSR).</w:t>
      </w:r>
    </w:p>
    <w:p>
      <w:pPr>
        <w:spacing w:after="0" w:line="281" w:lineRule="exact"/>
        <w:rPr>
          <w:sz w:val="20"/>
          <w:szCs w:val="20"/>
          <w:color w:val="auto"/>
        </w:rPr>
      </w:pPr>
    </w:p>
    <w:p>
      <w:pPr>
        <w:jc w:val="both"/>
        <w:ind w:right="20"/>
        <w:spacing w:after="0" w:line="246" w:lineRule="auto"/>
        <w:rPr>
          <w:sz w:val="20"/>
          <w:szCs w:val="20"/>
          <w:color w:val="auto"/>
        </w:rPr>
      </w:pPr>
      <w:r>
        <w:rPr>
          <w:rFonts w:ascii="Arial" w:cs="Arial" w:eastAsia="Arial" w:hAnsi="Arial"/>
          <w:sz w:val="14"/>
          <w:szCs w:val="14"/>
          <w:color w:val="auto"/>
        </w:rPr>
        <w:t>We also have adopted policies against hedging and pledging of our securities by our directors and employees, including the NEOs; and against including excise tax gross-up provisions with respect to payments contingent upon a change in control of Regeneron in contracts, compensatory plans, or other arrangements with the Company’s executive officers, including the NEOs (other than the existing employment agreement with our CEO or any amendments thereto, which we expressly exempted).</w:t>
      </w:r>
    </w:p>
    <w:p>
      <w:pPr>
        <w:spacing w:after="0" w:line="135" w:lineRule="exact"/>
        <w:rPr>
          <w:sz w:val="20"/>
          <w:szCs w:val="20"/>
          <w:color w:val="auto"/>
        </w:rPr>
      </w:pPr>
    </w:p>
    <w:p>
      <w:pPr>
        <w:ind w:right="160"/>
        <w:spacing w:after="0" w:line="257" w:lineRule="auto"/>
        <w:rPr>
          <w:sz w:val="20"/>
          <w:szCs w:val="20"/>
          <w:color w:val="auto"/>
        </w:rPr>
      </w:pPr>
      <w:r>
        <w:rPr>
          <w:rFonts w:ascii="Arial" w:cs="Arial" w:eastAsia="Arial" w:hAnsi="Arial"/>
          <w:sz w:val="14"/>
          <w:szCs w:val="14"/>
          <w:color w:val="auto"/>
        </w:rPr>
        <w:t>These policies demonstrate Regeneron’s continued commitment to robust corporate governance and are meant to reduce compensation-related risks and ensure greater alignment of the interests of our employees, including the NEOs, and those of the Company and our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Tax Implications</w:t>
      </w:r>
    </w:p>
    <w:p>
      <w:pPr>
        <w:spacing w:after="0" w:line="174"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We take tax considerations into account in making our compensation-related assessments and decisions, including the deductibility of compensation in determining NEOs’ compensation. However, we reserve the right to use our judgment to authorize compensation payments that are not deductible, such as when we believe that such payments are necessary to maintain the flexibility needed to attract talent, promote executive retention, reward performance, or attain other Company objectives, or as required to comply with the Company’s contractual commitments.</w:t>
      </w:r>
    </w:p>
    <w:p>
      <w:pPr>
        <w:spacing w:after="0" w:line="139"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Due to the requirements set forth in Section 274(e)(2) of the Internal Revenue Code, Company-provided personal and guest air travel (which is provided by the Company only to the extent permitted under board-approved guidelines and a security policy adopted by the board based on an independent, third-party security study) results in a partial disallowance of the related corporate tax deductions. In 2023, this disallowance amounted to approximately $2.7 million.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80</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Compensation Committee Report</w:t>
      </w:r>
    </w:p>
    <w:p>
      <w:pPr>
        <w:spacing w:after="0" w:line="180"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We, the members of the Compensation Committee, have reviewed and discussed with management the Compensation Discussion and Analysis set forth above. Based on that review and discussion, we have recommended to the board of directors that the Compensation Discussion and Analysis be included in this proxy statement.</w:t>
      </w:r>
    </w:p>
    <w:p>
      <w:pPr>
        <w:spacing w:after="0" w:line="128" w:lineRule="exact"/>
        <w:rPr>
          <w:sz w:val="20"/>
          <w:szCs w:val="20"/>
          <w:color w:val="auto"/>
        </w:rPr>
      </w:pPr>
    </w:p>
    <w:p>
      <w:pPr>
        <w:ind w:left="8720"/>
        <w:spacing w:after="0"/>
        <w:rPr>
          <w:sz w:val="20"/>
          <w:szCs w:val="20"/>
          <w:color w:val="auto"/>
        </w:rPr>
      </w:pPr>
      <w:r>
        <w:rPr>
          <w:rFonts w:ascii="Arial" w:cs="Arial" w:eastAsia="Arial" w:hAnsi="Arial"/>
          <w:sz w:val="14"/>
          <w:szCs w:val="14"/>
          <w:i w:val="1"/>
          <w:iCs w:val="1"/>
          <w:color w:val="auto"/>
        </w:rPr>
        <w:t>The Compensation Committee</w:t>
      </w:r>
    </w:p>
    <w:p>
      <w:pPr>
        <w:spacing w:after="0" w:line="5"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Christine A. Poon, Chair</w:t>
      </w:r>
    </w:p>
    <w:p>
      <w:pPr>
        <w:ind w:left="8720"/>
        <w:spacing w:after="0" w:line="234" w:lineRule="auto"/>
        <w:rPr>
          <w:sz w:val="20"/>
          <w:szCs w:val="20"/>
          <w:color w:val="auto"/>
        </w:rPr>
      </w:pPr>
      <w:r>
        <w:rPr>
          <w:rFonts w:ascii="Arial" w:cs="Arial" w:eastAsia="Arial" w:hAnsi="Arial"/>
          <w:sz w:val="14"/>
          <w:szCs w:val="14"/>
          <w:color w:val="auto"/>
        </w:rPr>
        <w:t>George L. Sing</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Huda Y. Zoghbi, M.D.</w:t>
      </w:r>
    </w:p>
    <w:p>
      <w:pPr>
        <w:spacing w:after="0" w:line="227"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Compensation Committee Interlocks and Insider Participation</w:t>
      </w:r>
    </w:p>
    <w:p>
      <w:pPr>
        <w:spacing w:after="0" w:line="180"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81</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92" w:name="page93"/>
    <w:bookmarkEnd w:id="92"/>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18" w:lineRule="exact"/>
        <w:rPr>
          <w:sz w:val="20"/>
          <w:szCs w:val="20"/>
          <w:color w:val="auto"/>
        </w:rPr>
      </w:pPr>
    </w:p>
    <w:p>
      <w:pPr>
        <w:ind w:left="10"/>
        <w:spacing w:after="0"/>
        <w:rPr>
          <w:sz w:val="20"/>
          <w:szCs w:val="20"/>
          <w:color w:val="auto"/>
        </w:rPr>
      </w:pPr>
      <w:r>
        <w:rPr>
          <w:rFonts w:ascii="Arial" w:cs="Arial" w:eastAsia="Arial" w:hAnsi="Arial"/>
          <w:sz w:val="30"/>
          <w:szCs w:val="30"/>
          <w:b w:val="1"/>
          <w:bCs w:val="1"/>
          <w:color w:val="D60058"/>
        </w:rPr>
        <w:t>Compensation Dashboard</w:t>
      </w:r>
    </w:p>
    <w:p>
      <w:pPr>
        <w:spacing w:after="0" w:line="267"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215AA8"/>
        </w:rPr>
        <w:t>2023 Executive Compensation Tables</w:t>
      </w:r>
    </w:p>
    <w:p>
      <w:pPr>
        <w:spacing w:after="0" w:line="180"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The following table and accompanying footnotes provide information regarding compensation earned by, or paid to, our NEOs during the last three fiscal years.</w:t>
      </w:r>
    </w:p>
    <w:p>
      <w:pPr>
        <w:spacing w:after="0" w:line="14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2023 Summary Compensation Table</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4080" w:type="dxa"/>
            <w:vAlign w:val="bottom"/>
            <w:tcBorders>
              <w:bottom w:val="single" w:sz="8" w:color="215AA8"/>
            </w:tcBorders>
          </w:tcPr>
          <w:p>
            <w:pPr>
              <w:ind w:left="1980"/>
              <w:spacing w:after="0"/>
              <w:rPr>
                <w:sz w:val="20"/>
                <w:szCs w:val="20"/>
                <w:color w:val="auto"/>
              </w:rPr>
            </w:pPr>
            <w:r>
              <w:rPr>
                <w:rFonts w:ascii="Arial" w:cs="Arial" w:eastAsia="Arial" w:hAnsi="Arial"/>
                <w:sz w:val="14"/>
                <w:szCs w:val="14"/>
                <w:color w:val="215AA8"/>
              </w:rPr>
              <w:t>A</w:t>
            </w:r>
          </w:p>
        </w:tc>
        <w:tc>
          <w:tcPr>
            <w:tcW w:w="220" w:type="dxa"/>
            <w:vAlign w:val="bottom"/>
            <w:tcBorders>
              <w:bottom w:val="single" w:sz="8" w:color="215AA8"/>
            </w:tcBorders>
          </w:tcPr>
          <w:p>
            <w:pPr>
              <w:spacing w:after="0"/>
              <w:rPr>
                <w:sz w:val="14"/>
                <w:szCs w:val="14"/>
                <w:color w:val="auto"/>
              </w:rPr>
            </w:pPr>
          </w:p>
        </w:tc>
        <w:tc>
          <w:tcPr>
            <w:tcW w:w="780" w:type="dxa"/>
            <w:vAlign w:val="bottom"/>
            <w:tcBorders>
              <w:bottom w:val="single" w:sz="8" w:color="215AA8"/>
            </w:tcBorders>
          </w:tcPr>
          <w:p>
            <w:pPr>
              <w:jc w:val="right"/>
              <w:ind w:right="392"/>
              <w:spacing w:after="0"/>
              <w:rPr>
                <w:sz w:val="20"/>
                <w:szCs w:val="20"/>
                <w:color w:val="auto"/>
              </w:rPr>
            </w:pPr>
            <w:r>
              <w:rPr>
                <w:rFonts w:ascii="Arial" w:cs="Arial" w:eastAsia="Arial" w:hAnsi="Arial"/>
                <w:sz w:val="14"/>
                <w:szCs w:val="14"/>
                <w:color w:val="215AA8"/>
              </w:rPr>
              <w:t>B</w:t>
            </w:r>
          </w:p>
        </w:tc>
        <w:tc>
          <w:tcPr>
            <w:tcW w:w="960" w:type="dxa"/>
            <w:vAlign w:val="bottom"/>
            <w:tcBorders>
              <w:bottom w:val="single" w:sz="8" w:color="215AA8"/>
            </w:tcBorders>
          </w:tcPr>
          <w:p>
            <w:pPr>
              <w:jc w:val="right"/>
              <w:ind w:right="432"/>
              <w:spacing w:after="0"/>
              <w:rPr>
                <w:sz w:val="20"/>
                <w:szCs w:val="20"/>
                <w:color w:val="auto"/>
              </w:rPr>
            </w:pPr>
            <w:r>
              <w:rPr>
                <w:rFonts w:ascii="Arial" w:cs="Arial" w:eastAsia="Arial" w:hAnsi="Arial"/>
                <w:sz w:val="14"/>
                <w:szCs w:val="14"/>
                <w:color w:val="215AA8"/>
              </w:rPr>
              <w:t>C</w:t>
            </w:r>
          </w:p>
        </w:tc>
        <w:tc>
          <w:tcPr>
            <w:tcW w:w="1000" w:type="dxa"/>
            <w:vAlign w:val="bottom"/>
            <w:tcBorders>
              <w:bottom w:val="single" w:sz="8" w:color="215AA8"/>
            </w:tcBorders>
          </w:tcPr>
          <w:p>
            <w:pPr>
              <w:jc w:val="right"/>
              <w:ind w:right="432"/>
              <w:spacing w:after="0"/>
              <w:rPr>
                <w:sz w:val="20"/>
                <w:szCs w:val="20"/>
                <w:color w:val="auto"/>
              </w:rPr>
            </w:pPr>
            <w:r>
              <w:rPr>
                <w:rFonts w:ascii="Arial" w:cs="Arial" w:eastAsia="Arial" w:hAnsi="Arial"/>
                <w:sz w:val="14"/>
                <w:szCs w:val="14"/>
                <w:color w:val="215AA8"/>
              </w:rPr>
              <w:t>E</w:t>
            </w:r>
          </w:p>
        </w:tc>
        <w:tc>
          <w:tcPr>
            <w:tcW w:w="980" w:type="dxa"/>
            <w:vAlign w:val="bottom"/>
            <w:tcBorders>
              <w:bottom w:val="single" w:sz="8" w:color="215AA8"/>
            </w:tcBorders>
          </w:tcPr>
          <w:p>
            <w:pPr>
              <w:jc w:val="right"/>
              <w:ind w:right="392"/>
              <w:spacing w:after="0"/>
              <w:rPr>
                <w:sz w:val="20"/>
                <w:szCs w:val="20"/>
                <w:color w:val="auto"/>
              </w:rPr>
            </w:pPr>
            <w:r>
              <w:rPr>
                <w:rFonts w:ascii="Arial" w:cs="Arial" w:eastAsia="Arial" w:hAnsi="Arial"/>
                <w:sz w:val="14"/>
                <w:szCs w:val="14"/>
                <w:color w:val="215AA8"/>
              </w:rPr>
              <w:t>F</w:t>
            </w:r>
          </w:p>
        </w:tc>
        <w:tc>
          <w:tcPr>
            <w:tcW w:w="1120" w:type="dxa"/>
            <w:vAlign w:val="bottom"/>
            <w:tcBorders>
              <w:bottom w:val="single" w:sz="8" w:color="215AA8"/>
            </w:tcBorders>
          </w:tcPr>
          <w:p>
            <w:pPr>
              <w:jc w:val="right"/>
              <w:ind w:right="452"/>
              <w:spacing w:after="0"/>
              <w:rPr>
                <w:sz w:val="20"/>
                <w:szCs w:val="20"/>
                <w:color w:val="auto"/>
              </w:rPr>
            </w:pPr>
            <w:r>
              <w:rPr>
                <w:rFonts w:ascii="Arial" w:cs="Arial" w:eastAsia="Arial" w:hAnsi="Arial"/>
                <w:sz w:val="14"/>
                <w:szCs w:val="14"/>
                <w:color w:val="215AA8"/>
              </w:rPr>
              <w:t>G</w:t>
            </w:r>
          </w:p>
        </w:tc>
        <w:tc>
          <w:tcPr>
            <w:tcW w:w="1260" w:type="dxa"/>
            <w:vAlign w:val="bottom"/>
            <w:tcBorders>
              <w:bottom w:val="single" w:sz="8" w:color="215AA8"/>
            </w:tcBorders>
          </w:tcPr>
          <w:p>
            <w:pPr>
              <w:jc w:val="right"/>
              <w:ind w:right="633"/>
              <w:spacing w:after="0"/>
              <w:rPr>
                <w:sz w:val="20"/>
                <w:szCs w:val="20"/>
                <w:color w:val="auto"/>
              </w:rPr>
            </w:pPr>
            <w:r>
              <w:rPr>
                <w:rFonts w:ascii="Arial" w:cs="Arial" w:eastAsia="Arial" w:hAnsi="Arial"/>
                <w:sz w:val="14"/>
                <w:szCs w:val="14"/>
                <w:color w:val="215AA8"/>
              </w:rPr>
              <w:t>I</w:t>
            </w:r>
          </w:p>
        </w:tc>
        <w:tc>
          <w:tcPr>
            <w:tcW w:w="860" w:type="dxa"/>
            <w:vAlign w:val="bottom"/>
            <w:tcBorders>
              <w:bottom w:val="single" w:sz="8" w:color="215AA8"/>
            </w:tcBorders>
          </w:tcPr>
          <w:p>
            <w:pPr>
              <w:jc w:val="right"/>
              <w:ind w:right="292"/>
              <w:spacing w:after="0"/>
              <w:rPr>
                <w:sz w:val="20"/>
                <w:szCs w:val="20"/>
                <w:color w:val="auto"/>
              </w:rPr>
            </w:pPr>
            <w:r>
              <w:rPr>
                <w:rFonts w:ascii="Arial" w:cs="Arial" w:eastAsia="Arial" w:hAnsi="Arial"/>
                <w:sz w:val="14"/>
                <w:szCs w:val="14"/>
                <w:color w:val="215AA8"/>
              </w:rPr>
              <w:t>J</w:t>
            </w:r>
          </w:p>
        </w:tc>
        <w:tc>
          <w:tcPr>
            <w:tcW w:w="0" w:type="dxa"/>
            <w:vAlign w:val="bottom"/>
          </w:tcPr>
          <w:p>
            <w:pPr>
              <w:spacing w:after="0"/>
              <w:rPr>
                <w:sz w:val="1"/>
                <w:szCs w:val="1"/>
                <w:color w:val="auto"/>
              </w:rPr>
            </w:pPr>
          </w:p>
        </w:tc>
      </w:tr>
      <w:tr>
        <w:trPr>
          <w:trHeight w:val="147"/>
        </w:trPr>
        <w:tc>
          <w:tcPr>
            <w:tcW w:w="4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jc w:val="right"/>
              <w:ind w:right="72"/>
              <w:spacing w:after="0" w:line="147" w:lineRule="exact"/>
              <w:rPr>
                <w:sz w:val="20"/>
                <w:szCs w:val="20"/>
                <w:color w:val="auto"/>
              </w:rPr>
            </w:pPr>
            <w:r>
              <w:rPr>
                <w:rFonts w:ascii="Arial" w:cs="Arial" w:eastAsia="Arial" w:hAnsi="Arial"/>
                <w:sz w:val="14"/>
                <w:szCs w:val="14"/>
                <w:color w:val="215AA8"/>
              </w:rPr>
              <w:t>Non-Equity</w:t>
            </w: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Incentive Plan</w:t>
            </w:r>
          </w:p>
        </w:tc>
        <w:tc>
          <w:tcPr>
            <w:tcW w:w="1260" w:type="dxa"/>
            <w:vAlign w:val="bottom"/>
          </w:tcPr>
          <w:p>
            <w:pPr>
              <w:jc w:val="right"/>
              <w:ind w:right="193"/>
              <w:spacing w:after="0" w:line="157" w:lineRule="exact"/>
              <w:rPr>
                <w:sz w:val="20"/>
                <w:szCs w:val="20"/>
                <w:color w:val="auto"/>
              </w:rPr>
            </w:pPr>
            <w:r>
              <w:rPr>
                <w:rFonts w:ascii="Arial" w:cs="Arial" w:eastAsia="Arial" w:hAnsi="Arial"/>
                <w:sz w:val="14"/>
                <w:szCs w:val="14"/>
                <w:color w:val="215AA8"/>
              </w:rPr>
              <w:t>All 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Stock</w:t>
            </w:r>
          </w:p>
        </w:tc>
        <w:tc>
          <w:tcPr>
            <w:tcW w:w="980" w:type="dxa"/>
            <w:vAlign w:val="bottom"/>
          </w:tcPr>
          <w:p>
            <w:pPr>
              <w:jc w:val="right"/>
              <w:ind w:right="52"/>
              <w:spacing w:after="0" w:line="157" w:lineRule="exact"/>
              <w:rPr>
                <w:sz w:val="20"/>
                <w:szCs w:val="20"/>
                <w:color w:val="auto"/>
              </w:rPr>
            </w:pPr>
            <w:r>
              <w:rPr>
                <w:rFonts w:ascii="Arial" w:cs="Arial" w:eastAsia="Arial" w:hAnsi="Arial"/>
                <w:sz w:val="14"/>
                <w:szCs w:val="14"/>
                <w:color w:val="215AA8"/>
              </w:rPr>
              <w:t>Option</w:t>
            </w:r>
          </w:p>
        </w:tc>
        <w:tc>
          <w:tcPr>
            <w:tcW w:w="112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Compensation</w:t>
            </w:r>
          </w:p>
        </w:tc>
        <w:tc>
          <w:tcPr>
            <w:tcW w:w="1260" w:type="dxa"/>
            <w:vAlign w:val="bottom"/>
          </w:tcPr>
          <w:p>
            <w:pPr>
              <w:jc w:val="right"/>
              <w:ind w:right="193"/>
              <w:spacing w:after="0" w:line="157" w:lineRule="exact"/>
              <w:rPr>
                <w:sz w:val="20"/>
                <w:szCs w:val="20"/>
                <w:color w:val="auto"/>
              </w:rPr>
            </w:pPr>
            <w:r>
              <w:rPr>
                <w:rFonts w:ascii="Arial" w:cs="Arial" w:eastAsia="Arial" w:hAnsi="Arial"/>
                <w:sz w:val="14"/>
                <w:szCs w:val="14"/>
                <w:color w:val="215AA8"/>
              </w:rPr>
              <w:t>Compensation</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080" w:type="dxa"/>
            <w:vAlign w:val="bottom"/>
            <w:tcBorders>
              <w:bottom w:val="single" w:sz="8" w:color="215AA8"/>
            </w:tcBorders>
          </w:tcPr>
          <w:p>
            <w:pPr>
              <w:ind w:left="40"/>
              <w:spacing w:after="0"/>
              <w:rPr>
                <w:sz w:val="20"/>
                <w:szCs w:val="20"/>
                <w:color w:val="auto"/>
              </w:rPr>
            </w:pPr>
            <w:r>
              <w:rPr>
                <w:rFonts w:ascii="Arial" w:cs="Arial" w:eastAsia="Arial" w:hAnsi="Arial"/>
                <w:sz w:val="14"/>
                <w:szCs w:val="14"/>
                <w:color w:val="215AA8"/>
              </w:rPr>
              <w:t>Name and principal position</w:t>
            </w:r>
          </w:p>
        </w:tc>
        <w:tc>
          <w:tcPr>
            <w:tcW w:w="220" w:type="dxa"/>
            <w:vAlign w:val="bottom"/>
            <w:tcBorders>
              <w:bottom w:val="single" w:sz="8" w:color="215AA8"/>
            </w:tcBorders>
          </w:tcPr>
          <w:p>
            <w:pPr>
              <w:spacing w:after="0"/>
              <w:rPr>
                <w:sz w:val="17"/>
                <w:szCs w:val="17"/>
                <w:color w:val="auto"/>
              </w:rPr>
            </w:pPr>
          </w:p>
        </w:tc>
        <w:tc>
          <w:tcPr>
            <w:tcW w:w="780" w:type="dxa"/>
            <w:vAlign w:val="bottom"/>
            <w:tcBorders>
              <w:bottom w:val="single" w:sz="8" w:color="215AA8"/>
            </w:tcBorders>
          </w:tcPr>
          <w:p>
            <w:pPr>
              <w:jc w:val="right"/>
              <w:ind w:right="152"/>
              <w:spacing w:after="0"/>
              <w:rPr>
                <w:sz w:val="20"/>
                <w:szCs w:val="20"/>
                <w:color w:val="auto"/>
              </w:rPr>
            </w:pPr>
            <w:r>
              <w:rPr>
                <w:rFonts w:ascii="Arial" w:cs="Arial" w:eastAsia="Arial" w:hAnsi="Arial"/>
                <w:sz w:val="14"/>
                <w:szCs w:val="14"/>
                <w:color w:val="215AA8"/>
              </w:rPr>
              <w:t>Year</w:t>
            </w:r>
          </w:p>
        </w:tc>
        <w:tc>
          <w:tcPr>
            <w:tcW w:w="960" w:type="dxa"/>
            <w:vAlign w:val="bottom"/>
            <w:tcBorders>
              <w:bottom w:val="single" w:sz="8" w:color="215AA8"/>
            </w:tcBorders>
          </w:tcPr>
          <w:p>
            <w:pPr>
              <w:jc w:val="right"/>
              <w:ind w:right="92"/>
              <w:spacing w:after="0"/>
              <w:rPr>
                <w:sz w:val="20"/>
                <w:szCs w:val="20"/>
                <w:color w:val="auto"/>
              </w:rPr>
            </w:pPr>
            <w:r>
              <w:rPr>
                <w:rFonts w:ascii="Arial" w:cs="Arial" w:eastAsia="Arial" w:hAnsi="Arial"/>
                <w:sz w:val="14"/>
                <w:szCs w:val="14"/>
                <w:color w:val="215AA8"/>
              </w:rPr>
              <w:t>Salary ($)</w:t>
            </w:r>
          </w:p>
        </w:tc>
        <w:tc>
          <w:tcPr>
            <w:tcW w:w="1000" w:type="dxa"/>
            <w:vAlign w:val="bottom"/>
            <w:tcBorders>
              <w:bottom w:val="single" w:sz="8" w:color="215AA8"/>
            </w:tcBorders>
          </w:tcPr>
          <w:p>
            <w:pPr>
              <w:jc w:val="right"/>
              <w:ind w:right="72"/>
              <w:spacing w:after="0" w:line="202" w:lineRule="exact"/>
              <w:rPr>
                <w:sz w:val="20"/>
                <w:szCs w:val="20"/>
                <w:color w:val="auto"/>
              </w:rPr>
            </w:pPr>
            <w:r>
              <w:rPr>
                <w:rFonts w:ascii="Arial" w:cs="Arial" w:eastAsia="Arial" w:hAnsi="Arial"/>
                <w:sz w:val="14"/>
                <w:szCs w:val="14"/>
                <w:color w:val="215AA8"/>
              </w:rPr>
              <w:t>awards ($)</w:t>
            </w:r>
            <w:r>
              <w:rPr>
                <w:rFonts w:ascii="Arial" w:cs="Arial" w:eastAsia="Arial" w:hAnsi="Arial"/>
                <w:sz w:val="22"/>
                <w:szCs w:val="22"/>
                <w:color w:val="215AA8"/>
                <w:vertAlign w:val="superscript"/>
              </w:rPr>
              <w:t>1</w:t>
            </w:r>
          </w:p>
        </w:tc>
        <w:tc>
          <w:tcPr>
            <w:tcW w:w="980" w:type="dxa"/>
            <w:vAlign w:val="bottom"/>
            <w:tcBorders>
              <w:bottom w:val="single" w:sz="8" w:color="215AA8"/>
            </w:tcBorders>
          </w:tcPr>
          <w:p>
            <w:pPr>
              <w:jc w:val="right"/>
              <w:ind w:right="52"/>
              <w:spacing w:after="0" w:line="202" w:lineRule="exact"/>
              <w:rPr>
                <w:sz w:val="20"/>
                <w:szCs w:val="20"/>
                <w:color w:val="auto"/>
              </w:rPr>
            </w:pPr>
            <w:r>
              <w:rPr>
                <w:rFonts w:ascii="Arial" w:cs="Arial" w:eastAsia="Arial" w:hAnsi="Arial"/>
                <w:sz w:val="14"/>
                <w:szCs w:val="14"/>
                <w:color w:val="215AA8"/>
              </w:rPr>
              <w:t>awards ($)</w:t>
            </w:r>
            <w:r>
              <w:rPr>
                <w:rFonts w:ascii="Arial" w:cs="Arial" w:eastAsia="Arial" w:hAnsi="Arial"/>
                <w:sz w:val="22"/>
                <w:szCs w:val="22"/>
                <w:color w:val="215AA8"/>
                <w:vertAlign w:val="superscript"/>
              </w:rPr>
              <w:t>1</w:t>
            </w:r>
          </w:p>
        </w:tc>
        <w:tc>
          <w:tcPr>
            <w:tcW w:w="1120" w:type="dxa"/>
            <w:vAlign w:val="bottom"/>
            <w:tcBorders>
              <w:bottom w:val="single" w:sz="8" w:color="215AA8"/>
            </w:tcBorders>
          </w:tcPr>
          <w:p>
            <w:pPr>
              <w:jc w:val="right"/>
              <w:ind w:right="72"/>
              <w:spacing w:after="0" w:line="202" w:lineRule="exact"/>
              <w:rPr>
                <w:sz w:val="20"/>
                <w:szCs w:val="20"/>
                <w:color w:val="auto"/>
              </w:rPr>
            </w:pPr>
            <w:r>
              <w:rPr>
                <w:rFonts w:ascii="Arial" w:cs="Arial" w:eastAsia="Arial" w:hAnsi="Arial"/>
                <w:sz w:val="14"/>
                <w:szCs w:val="14"/>
                <w:color w:val="215AA8"/>
              </w:rPr>
              <w:t>($)</w:t>
            </w:r>
            <w:r>
              <w:rPr>
                <w:rFonts w:ascii="Arial" w:cs="Arial" w:eastAsia="Arial" w:hAnsi="Arial"/>
                <w:sz w:val="22"/>
                <w:szCs w:val="22"/>
                <w:color w:val="215AA8"/>
                <w:vertAlign w:val="superscript"/>
              </w:rPr>
              <w:t>2</w:t>
            </w:r>
          </w:p>
        </w:tc>
        <w:tc>
          <w:tcPr>
            <w:tcW w:w="1260" w:type="dxa"/>
            <w:vAlign w:val="bottom"/>
            <w:tcBorders>
              <w:bottom w:val="single" w:sz="8" w:color="215AA8"/>
            </w:tcBorders>
          </w:tcPr>
          <w:p>
            <w:pPr>
              <w:jc w:val="right"/>
              <w:ind w:right="193"/>
              <w:spacing w:after="0" w:line="202" w:lineRule="exact"/>
              <w:rPr>
                <w:sz w:val="20"/>
                <w:szCs w:val="20"/>
                <w:color w:val="auto"/>
              </w:rPr>
            </w:pPr>
            <w:r>
              <w:rPr>
                <w:rFonts w:ascii="Arial" w:cs="Arial" w:eastAsia="Arial" w:hAnsi="Arial"/>
                <w:sz w:val="14"/>
                <w:szCs w:val="14"/>
                <w:color w:val="215AA8"/>
              </w:rPr>
              <w:t>($)</w:t>
            </w:r>
            <w:r>
              <w:rPr>
                <w:rFonts w:ascii="Arial" w:cs="Arial" w:eastAsia="Arial" w:hAnsi="Arial"/>
                <w:sz w:val="22"/>
                <w:szCs w:val="22"/>
                <w:color w:val="215AA8"/>
                <w:vertAlign w:val="superscript"/>
              </w:rPr>
              <w:t>3</w:t>
            </w:r>
          </w:p>
        </w:tc>
        <w:tc>
          <w:tcPr>
            <w:tcW w:w="86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215AA8"/>
              </w:rPr>
              <w:t>Total ($)</w:t>
            </w:r>
          </w:p>
        </w:tc>
        <w:tc>
          <w:tcPr>
            <w:tcW w:w="0" w:type="dxa"/>
            <w:vAlign w:val="bottom"/>
          </w:tcPr>
          <w:p>
            <w:pPr>
              <w:spacing w:after="0"/>
              <w:rPr>
                <w:sz w:val="1"/>
                <w:szCs w:val="1"/>
                <w:color w:val="auto"/>
              </w:rPr>
            </w:pPr>
          </w:p>
        </w:tc>
      </w:tr>
      <w:tr>
        <w:trPr>
          <w:trHeight w:val="191"/>
        </w:trPr>
        <w:tc>
          <w:tcPr>
            <w:tcW w:w="4080" w:type="dxa"/>
            <w:vAlign w:val="bottom"/>
          </w:tcPr>
          <w:p>
            <w:pPr>
              <w:ind w:left="40"/>
              <w:spacing w:after="0"/>
              <w:rPr>
                <w:sz w:val="20"/>
                <w:szCs w:val="20"/>
                <w:color w:val="auto"/>
              </w:rPr>
            </w:pPr>
            <w:r>
              <w:rPr>
                <w:rFonts w:ascii="Arial" w:cs="Arial" w:eastAsia="Arial" w:hAnsi="Arial"/>
                <w:sz w:val="14"/>
                <w:szCs w:val="14"/>
                <w:b w:val="1"/>
                <w:bCs w:val="1"/>
                <w:color w:val="215AA8"/>
              </w:rPr>
              <w:t>Leonard S. Schleifer, M.D., Ph.D.</w:t>
            </w:r>
          </w:p>
        </w:tc>
        <w:tc>
          <w:tcPr>
            <w:tcW w:w="1000" w:type="dxa"/>
            <w:vAlign w:val="bottom"/>
            <w:gridSpan w:val="2"/>
          </w:tcPr>
          <w:p>
            <w:pPr>
              <w:jc w:val="right"/>
              <w:ind w:right="152"/>
              <w:spacing w:after="0"/>
              <w:rPr>
                <w:sz w:val="20"/>
                <w:szCs w:val="20"/>
                <w:color w:val="auto"/>
              </w:rPr>
            </w:pPr>
            <w:r>
              <w:rPr>
                <w:rFonts w:ascii="Arial" w:cs="Arial" w:eastAsia="Arial" w:hAnsi="Arial"/>
                <w:sz w:val="14"/>
                <w:szCs w:val="14"/>
                <w:color w:val="auto"/>
              </w:rPr>
              <w:t>2023</w:t>
            </w:r>
          </w:p>
        </w:tc>
        <w:tc>
          <w:tcPr>
            <w:tcW w:w="960" w:type="dxa"/>
            <w:vAlign w:val="bottom"/>
          </w:tcPr>
          <w:p>
            <w:pPr>
              <w:jc w:val="right"/>
              <w:ind w:right="92"/>
              <w:spacing w:after="0"/>
              <w:rPr>
                <w:sz w:val="20"/>
                <w:szCs w:val="20"/>
                <w:color w:val="auto"/>
              </w:rPr>
            </w:pPr>
            <w:r>
              <w:rPr>
                <w:rFonts w:ascii="Arial" w:cs="Arial" w:eastAsia="Arial" w:hAnsi="Arial"/>
                <w:sz w:val="14"/>
                <w:szCs w:val="14"/>
                <w:color w:val="auto"/>
              </w:rPr>
              <w:t>1,875,415</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4,275,946</w:t>
            </w:r>
          </w:p>
        </w:tc>
        <w:tc>
          <w:tcPr>
            <w:tcW w:w="1260" w:type="dxa"/>
            <w:vAlign w:val="bottom"/>
          </w:tcPr>
          <w:p>
            <w:pPr>
              <w:jc w:val="right"/>
              <w:ind w:right="133"/>
              <w:spacing w:after="0" w:line="191" w:lineRule="exact"/>
              <w:rPr>
                <w:sz w:val="20"/>
                <w:szCs w:val="20"/>
                <w:color w:val="auto"/>
              </w:rPr>
            </w:pPr>
            <w:r>
              <w:rPr>
                <w:rFonts w:ascii="Arial" w:cs="Arial" w:eastAsia="Arial" w:hAnsi="Arial"/>
                <w:sz w:val="14"/>
                <w:szCs w:val="14"/>
                <w:color w:val="auto"/>
              </w:rPr>
              <w:t>2,032,977</w:t>
            </w:r>
            <w:r>
              <w:rPr>
                <w:rFonts w:ascii="Arial" w:cs="Arial" w:eastAsia="Arial" w:hAnsi="Arial"/>
                <w:sz w:val="22"/>
                <w:szCs w:val="22"/>
                <w:color w:val="auto"/>
                <w:vertAlign w:val="superscript"/>
              </w:rPr>
              <w:t>4</w:t>
            </w:r>
          </w:p>
        </w:tc>
        <w:tc>
          <w:tcPr>
            <w:tcW w:w="860" w:type="dxa"/>
            <w:vAlign w:val="bottom"/>
          </w:tcPr>
          <w:p>
            <w:pPr>
              <w:jc w:val="right"/>
              <w:spacing w:after="0"/>
              <w:rPr>
                <w:sz w:val="20"/>
                <w:szCs w:val="20"/>
                <w:color w:val="auto"/>
              </w:rPr>
            </w:pPr>
            <w:r>
              <w:rPr>
                <w:rFonts w:ascii="Arial" w:cs="Arial" w:eastAsia="Arial" w:hAnsi="Arial"/>
                <w:sz w:val="14"/>
                <w:szCs w:val="14"/>
                <w:color w:val="auto"/>
              </w:rPr>
              <w:t>8,184,338</w:t>
            </w:r>
          </w:p>
        </w:tc>
        <w:tc>
          <w:tcPr>
            <w:tcW w:w="0" w:type="dxa"/>
            <w:vAlign w:val="bottom"/>
          </w:tcPr>
          <w:p>
            <w:pPr>
              <w:spacing w:after="0"/>
              <w:rPr>
                <w:sz w:val="1"/>
                <w:szCs w:val="1"/>
                <w:color w:val="auto"/>
              </w:rPr>
            </w:pPr>
          </w:p>
        </w:tc>
      </w:tr>
      <w:tr>
        <w:trPr>
          <w:trHeight w:val="149"/>
        </w:trPr>
        <w:tc>
          <w:tcPr>
            <w:tcW w:w="4080" w:type="dxa"/>
            <w:vAlign w:val="bottom"/>
          </w:tcPr>
          <w:p>
            <w:pPr>
              <w:ind w:left="40"/>
              <w:spacing w:after="0" w:line="149" w:lineRule="exact"/>
              <w:rPr>
                <w:sz w:val="20"/>
                <w:szCs w:val="20"/>
                <w:color w:val="auto"/>
              </w:rPr>
            </w:pPr>
            <w:r>
              <w:rPr>
                <w:rFonts w:ascii="Arial" w:cs="Arial" w:eastAsia="Arial" w:hAnsi="Arial"/>
                <w:sz w:val="14"/>
                <w:szCs w:val="14"/>
                <w:color w:val="auto"/>
              </w:rPr>
              <w:t>Board co-Chair, President and Chief Executive Officer</w:t>
            </w:r>
          </w:p>
        </w:tc>
        <w:tc>
          <w:tcPr>
            <w:tcW w:w="220" w:type="dxa"/>
            <w:vAlign w:val="bottom"/>
          </w:tcPr>
          <w:p>
            <w:pPr>
              <w:spacing w:after="0"/>
              <w:rPr>
                <w:sz w:val="12"/>
                <w:szCs w:val="12"/>
                <w:color w:val="auto"/>
              </w:rPr>
            </w:pPr>
          </w:p>
        </w:tc>
        <w:tc>
          <w:tcPr>
            <w:tcW w:w="780" w:type="dxa"/>
            <w:vAlign w:val="bottom"/>
            <w:tcBorders>
              <w:top w:val="single" w:sz="8" w:color="949599"/>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2022</w:t>
            </w:r>
          </w:p>
        </w:tc>
        <w:tc>
          <w:tcPr>
            <w:tcW w:w="960" w:type="dxa"/>
            <w:vAlign w:val="bottom"/>
            <w:tcBorders>
              <w:top w:val="single" w:sz="8" w:color="949599"/>
              <w:bottom w:val="single" w:sz="8" w:color="949599"/>
            </w:tcBorders>
          </w:tcPr>
          <w:p>
            <w:pPr>
              <w:jc w:val="right"/>
              <w:ind w:right="92"/>
              <w:spacing w:after="0" w:line="149" w:lineRule="exact"/>
              <w:rPr>
                <w:sz w:val="20"/>
                <w:szCs w:val="20"/>
                <w:color w:val="auto"/>
              </w:rPr>
            </w:pPr>
            <w:r>
              <w:rPr>
                <w:rFonts w:ascii="Arial" w:cs="Arial" w:eastAsia="Arial" w:hAnsi="Arial"/>
                <w:sz w:val="14"/>
                <w:szCs w:val="14"/>
                <w:color w:val="auto"/>
              </w:rPr>
              <w:t>1,811,995</w:t>
            </w:r>
          </w:p>
        </w:tc>
        <w:tc>
          <w:tcPr>
            <w:tcW w:w="1000" w:type="dxa"/>
            <w:vAlign w:val="bottom"/>
            <w:tcBorders>
              <w:top w:val="single" w:sz="8" w:color="949599"/>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949599"/>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949599"/>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4,131,349</w:t>
            </w:r>
          </w:p>
        </w:tc>
        <w:tc>
          <w:tcPr>
            <w:tcW w:w="1260" w:type="dxa"/>
            <w:vAlign w:val="bottom"/>
            <w:tcBorders>
              <w:top w:val="single" w:sz="8" w:color="949599"/>
              <w:bottom w:val="single" w:sz="8" w:color="949599"/>
            </w:tcBorders>
          </w:tcPr>
          <w:p>
            <w:pPr>
              <w:jc w:val="right"/>
              <w:ind w:right="193"/>
              <w:spacing w:after="0" w:line="149" w:lineRule="exact"/>
              <w:rPr>
                <w:sz w:val="20"/>
                <w:szCs w:val="20"/>
                <w:color w:val="auto"/>
              </w:rPr>
            </w:pPr>
            <w:r>
              <w:rPr>
                <w:rFonts w:ascii="Arial" w:cs="Arial" w:eastAsia="Arial" w:hAnsi="Arial"/>
                <w:sz w:val="14"/>
                <w:szCs w:val="14"/>
                <w:color w:val="auto"/>
              </w:rPr>
              <w:t>1,060,725</w:t>
            </w:r>
          </w:p>
        </w:tc>
        <w:tc>
          <w:tcPr>
            <w:tcW w:w="860" w:type="dxa"/>
            <w:vAlign w:val="bottom"/>
            <w:tcBorders>
              <w:top w:val="single" w:sz="8" w:color="949599"/>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7,004,069</w:t>
            </w:r>
          </w:p>
        </w:tc>
        <w:tc>
          <w:tcPr>
            <w:tcW w:w="0" w:type="dxa"/>
            <w:vAlign w:val="bottom"/>
          </w:tcPr>
          <w:p>
            <w:pPr>
              <w:spacing w:after="0"/>
              <w:rPr>
                <w:sz w:val="1"/>
                <w:szCs w:val="1"/>
                <w:color w:val="auto"/>
              </w:rPr>
            </w:pPr>
          </w:p>
        </w:tc>
      </w:tr>
      <w:tr>
        <w:trPr>
          <w:trHeight w:val="149"/>
        </w:trPr>
        <w:tc>
          <w:tcPr>
            <w:tcW w:w="4080" w:type="dxa"/>
            <w:vAlign w:val="bottom"/>
            <w:tcBorders>
              <w:bottom w:val="single" w:sz="8" w:color="949599"/>
            </w:tcBorders>
          </w:tcPr>
          <w:p>
            <w:pPr>
              <w:spacing w:after="0"/>
              <w:rPr>
                <w:sz w:val="12"/>
                <w:szCs w:val="12"/>
                <w:color w:val="auto"/>
              </w:rPr>
            </w:pPr>
          </w:p>
        </w:tc>
        <w:tc>
          <w:tcPr>
            <w:tcW w:w="220" w:type="dxa"/>
            <w:vAlign w:val="bottom"/>
            <w:tcBorders>
              <w:bottom w:val="single" w:sz="8" w:color="949599"/>
            </w:tcBorders>
          </w:tcPr>
          <w:p>
            <w:pPr>
              <w:spacing w:after="0"/>
              <w:rPr>
                <w:sz w:val="12"/>
                <w:szCs w:val="12"/>
                <w:color w:val="auto"/>
              </w:rPr>
            </w:pPr>
          </w:p>
        </w:tc>
        <w:tc>
          <w:tcPr>
            <w:tcW w:w="780" w:type="dxa"/>
            <w:vAlign w:val="bottom"/>
            <w:tcBorders>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2021</w:t>
            </w:r>
          </w:p>
        </w:tc>
        <w:tc>
          <w:tcPr>
            <w:tcW w:w="960" w:type="dxa"/>
            <w:vAlign w:val="bottom"/>
            <w:tcBorders>
              <w:bottom w:val="single" w:sz="8" w:color="949599"/>
            </w:tcBorders>
          </w:tcPr>
          <w:p>
            <w:pPr>
              <w:jc w:val="right"/>
              <w:ind w:right="92"/>
              <w:spacing w:after="0" w:line="149" w:lineRule="exact"/>
              <w:rPr>
                <w:sz w:val="20"/>
                <w:szCs w:val="20"/>
                <w:color w:val="auto"/>
              </w:rPr>
            </w:pPr>
            <w:r>
              <w:rPr>
                <w:rFonts w:ascii="Arial" w:cs="Arial" w:eastAsia="Arial" w:hAnsi="Arial"/>
                <w:sz w:val="14"/>
                <w:szCs w:val="14"/>
                <w:color w:val="auto"/>
              </w:rPr>
              <w:t>1,767,800</w:t>
            </w:r>
          </w:p>
        </w:tc>
        <w:tc>
          <w:tcPr>
            <w:tcW w:w="1000" w:type="dxa"/>
            <w:vAlign w:val="bottom"/>
            <w:tcBorders>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4,030,584</w:t>
            </w:r>
          </w:p>
        </w:tc>
        <w:tc>
          <w:tcPr>
            <w:tcW w:w="1260" w:type="dxa"/>
            <w:vAlign w:val="bottom"/>
            <w:tcBorders>
              <w:bottom w:val="single" w:sz="8" w:color="949599"/>
            </w:tcBorders>
          </w:tcPr>
          <w:p>
            <w:pPr>
              <w:jc w:val="right"/>
              <w:ind w:right="193"/>
              <w:spacing w:after="0" w:line="149" w:lineRule="exact"/>
              <w:rPr>
                <w:sz w:val="20"/>
                <w:szCs w:val="20"/>
                <w:color w:val="auto"/>
              </w:rPr>
            </w:pPr>
            <w:r>
              <w:rPr>
                <w:rFonts w:ascii="Arial" w:cs="Arial" w:eastAsia="Arial" w:hAnsi="Arial"/>
                <w:sz w:val="14"/>
                <w:szCs w:val="14"/>
                <w:color w:val="auto"/>
              </w:rPr>
              <w:t>672,130</w:t>
            </w:r>
          </w:p>
        </w:tc>
        <w:tc>
          <w:tcPr>
            <w:tcW w:w="86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6,470,514</w:t>
            </w:r>
          </w:p>
        </w:tc>
        <w:tc>
          <w:tcPr>
            <w:tcW w:w="0" w:type="dxa"/>
            <w:vAlign w:val="bottom"/>
          </w:tcPr>
          <w:p>
            <w:pPr>
              <w:spacing w:after="0"/>
              <w:rPr>
                <w:sz w:val="1"/>
                <w:szCs w:val="1"/>
                <w:color w:val="auto"/>
              </w:rPr>
            </w:pPr>
          </w:p>
        </w:tc>
      </w:tr>
      <w:tr>
        <w:trPr>
          <w:trHeight w:val="183"/>
        </w:trPr>
        <w:tc>
          <w:tcPr>
            <w:tcW w:w="4080" w:type="dxa"/>
            <w:vAlign w:val="bottom"/>
            <w:shd w:val="clear" w:color="auto" w:fill="ECECED"/>
          </w:tcPr>
          <w:p>
            <w:pPr>
              <w:ind w:left="40"/>
              <w:spacing w:after="0"/>
              <w:rPr>
                <w:sz w:val="20"/>
                <w:szCs w:val="20"/>
                <w:color w:val="auto"/>
              </w:rPr>
            </w:pPr>
            <w:r>
              <w:rPr>
                <w:rFonts w:ascii="Arial" w:cs="Arial" w:eastAsia="Arial" w:hAnsi="Arial"/>
                <w:sz w:val="14"/>
                <w:szCs w:val="14"/>
                <w:b w:val="1"/>
                <w:bCs w:val="1"/>
                <w:color w:val="215AA8"/>
              </w:rPr>
              <w:t>George D. Yancopoulos, M.D., Ph.D.</w:t>
            </w:r>
          </w:p>
        </w:tc>
        <w:tc>
          <w:tcPr>
            <w:tcW w:w="1000" w:type="dxa"/>
            <w:vAlign w:val="bottom"/>
            <w:gridSpan w:val="2"/>
            <w:shd w:val="clear" w:color="auto" w:fill="ECECED"/>
          </w:tcPr>
          <w:p>
            <w:pPr>
              <w:jc w:val="right"/>
              <w:ind w:right="152"/>
              <w:spacing w:after="0"/>
              <w:rPr>
                <w:sz w:val="20"/>
                <w:szCs w:val="20"/>
                <w:color w:val="auto"/>
              </w:rPr>
            </w:pPr>
            <w:r>
              <w:rPr>
                <w:rFonts w:ascii="Arial" w:cs="Arial" w:eastAsia="Arial" w:hAnsi="Arial"/>
                <w:sz w:val="14"/>
                <w:szCs w:val="14"/>
                <w:color w:val="auto"/>
              </w:rPr>
              <w:t>2023</w:t>
            </w:r>
          </w:p>
        </w:tc>
        <w:tc>
          <w:tcPr>
            <w:tcW w:w="960" w:type="dxa"/>
            <w:vAlign w:val="bottom"/>
            <w:shd w:val="clear" w:color="auto" w:fill="ECECED"/>
          </w:tcPr>
          <w:p>
            <w:pPr>
              <w:jc w:val="right"/>
              <w:ind w:right="92"/>
              <w:spacing w:after="0"/>
              <w:rPr>
                <w:sz w:val="20"/>
                <w:szCs w:val="20"/>
                <w:color w:val="auto"/>
              </w:rPr>
            </w:pPr>
            <w:r>
              <w:rPr>
                <w:rFonts w:ascii="Arial" w:cs="Arial" w:eastAsia="Arial" w:hAnsi="Arial"/>
                <w:sz w:val="14"/>
                <w:szCs w:val="14"/>
                <w:color w:val="auto"/>
              </w:rPr>
              <w:t>1,875,415</w:t>
            </w:r>
          </w:p>
        </w:tc>
        <w:tc>
          <w:tcPr>
            <w:tcW w:w="1000" w:type="dxa"/>
            <w:vAlign w:val="bottom"/>
            <w:shd w:val="clear" w:color="auto" w:fill="ECECED"/>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shd w:val="clear" w:color="auto" w:fill="ECECED"/>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shd w:val="clear" w:color="auto" w:fill="ECECED"/>
          </w:tcPr>
          <w:p>
            <w:pPr>
              <w:jc w:val="right"/>
              <w:ind w:right="72"/>
              <w:spacing w:after="0"/>
              <w:rPr>
                <w:sz w:val="20"/>
                <w:szCs w:val="20"/>
                <w:color w:val="auto"/>
              </w:rPr>
            </w:pPr>
            <w:r>
              <w:rPr>
                <w:rFonts w:ascii="Arial" w:cs="Arial" w:eastAsia="Arial" w:hAnsi="Arial"/>
                <w:sz w:val="14"/>
                <w:szCs w:val="14"/>
                <w:color w:val="auto"/>
              </w:rPr>
              <w:t>4,275,946</w:t>
            </w:r>
          </w:p>
        </w:tc>
        <w:tc>
          <w:tcPr>
            <w:tcW w:w="1260" w:type="dxa"/>
            <w:vAlign w:val="bottom"/>
            <w:shd w:val="clear" w:color="auto" w:fill="ECECED"/>
          </w:tcPr>
          <w:p>
            <w:pPr>
              <w:jc w:val="right"/>
              <w:ind w:right="133"/>
              <w:spacing w:after="0" w:line="183" w:lineRule="exact"/>
              <w:rPr>
                <w:sz w:val="20"/>
                <w:szCs w:val="20"/>
                <w:color w:val="auto"/>
              </w:rPr>
            </w:pPr>
            <w:r>
              <w:rPr>
                <w:rFonts w:ascii="Arial" w:cs="Arial" w:eastAsia="Arial" w:hAnsi="Arial"/>
                <w:sz w:val="13"/>
                <w:szCs w:val="13"/>
                <w:color w:val="auto"/>
              </w:rPr>
              <w:t>1,608,469</w:t>
            </w:r>
            <w:r>
              <w:rPr>
                <w:rFonts w:ascii="Arial" w:cs="Arial" w:eastAsia="Arial" w:hAnsi="Arial"/>
                <w:sz w:val="21"/>
                <w:szCs w:val="21"/>
                <w:color w:val="auto"/>
                <w:vertAlign w:val="superscript"/>
              </w:rPr>
              <w:t>5</w:t>
            </w:r>
          </w:p>
        </w:tc>
        <w:tc>
          <w:tcPr>
            <w:tcW w:w="860" w:type="dxa"/>
            <w:vAlign w:val="bottom"/>
            <w:shd w:val="clear" w:color="auto" w:fill="ECECED"/>
          </w:tcPr>
          <w:p>
            <w:pPr>
              <w:jc w:val="right"/>
              <w:spacing w:after="0"/>
              <w:rPr>
                <w:sz w:val="20"/>
                <w:szCs w:val="20"/>
                <w:color w:val="auto"/>
              </w:rPr>
            </w:pPr>
            <w:r>
              <w:rPr>
                <w:rFonts w:ascii="Arial" w:cs="Arial" w:eastAsia="Arial" w:hAnsi="Arial"/>
                <w:sz w:val="14"/>
                <w:szCs w:val="14"/>
                <w:color w:val="auto"/>
              </w:rPr>
              <w:t>7,759,830</w:t>
            </w:r>
          </w:p>
        </w:tc>
        <w:tc>
          <w:tcPr>
            <w:tcW w:w="0" w:type="dxa"/>
            <w:vAlign w:val="bottom"/>
          </w:tcPr>
          <w:p>
            <w:pPr>
              <w:spacing w:after="0"/>
              <w:rPr>
                <w:sz w:val="1"/>
                <w:szCs w:val="1"/>
                <w:color w:val="auto"/>
              </w:rPr>
            </w:pPr>
          </w:p>
        </w:tc>
      </w:tr>
      <w:tr>
        <w:trPr>
          <w:trHeight w:val="149"/>
        </w:trPr>
        <w:tc>
          <w:tcPr>
            <w:tcW w:w="4080" w:type="dxa"/>
            <w:vAlign w:val="bottom"/>
            <w:tcBorders>
              <w:top w:val="single" w:sz="8" w:color="ECECED"/>
              <w:bottom w:val="single" w:sz="8" w:color="ECECED"/>
            </w:tcBorders>
            <w:shd w:val="clear" w:color="auto" w:fill="ECECED"/>
          </w:tcPr>
          <w:p>
            <w:pPr>
              <w:ind w:left="40"/>
              <w:spacing w:after="0" w:line="149" w:lineRule="exact"/>
              <w:rPr>
                <w:sz w:val="20"/>
                <w:szCs w:val="20"/>
                <w:color w:val="auto"/>
              </w:rPr>
            </w:pPr>
            <w:r>
              <w:rPr>
                <w:rFonts w:ascii="Arial" w:cs="Arial" w:eastAsia="Arial" w:hAnsi="Arial"/>
                <w:sz w:val="14"/>
                <w:szCs w:val="14"/>
                <w:color w:val="auto"/>
              </w:rPr>
              <w:t>Board co-Chair, President and Chief Scientific Officer</w:t>
            </w:r>
          </w:p>
        </w:tc>
        <w:tc>
          <w:tcPr>
            <w:tcW w:w="220" w:type="dxa"/>
            <w:vAlign w:val="bottom"/>
            <w:tcBorders>
              <w:top w:val="single" w:sz="8" w:color="ECECED"/>
              <w:bottom w:val="single" w:sz="8" w:color="ECECED"/>
            </w:tcBorders>
            <w:shd w:val="clear" w:color="auto" w:fill="ECECED"/>
          </w:tcPr>
          <w:p>
            <w:pPr>
              <w:spacing w:after="0"/>
              <w:rPr>
                <w:sz w:val="12"/>
                <w:szCs w:val="12"/>
                <w:color w:val="auto"/>
              </w:rPr>
            </w:pPr>
          </w:p>
        </w:tc>
        <w:tc>
          <w:tcPr>
            <w:tcW w:w="780" w:type="dxa"/>
            <w:vAlign w:val="bottom"/>
            <w:tcBorders>
              <w:top w:val="single" w:sz="8" w:color="949599"/>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2022</w:t>
            </w:r>
          </w:p>
        </w:tc>
        <w:tc>
          <w:tcPr>
            <w:tcW w:w="960" w:type="dxa"/>
            <w:vAlign w:val="bottom"/>
            <w:tcBorders>
              <w:top w:val="single" w:sz="8" w:color="949599"/>
              <w:bottom w:val="single" w:sz="8" w:color="949599"/>
            </w:tcBorders>
            <w:shd w:val="clear" w:color="auto" w:fill="ECECED"/>
          </w:tcPr>
          <w:p>
            <w:pPr>
              <w:jc w:val="right"/>
              <w:ind w:right="92"/>
              <w:spacing w:after="0" w:line="149" w:lineRule="exact"/>
              <w:rPr>
                <w:sz w:val="20"/>
                <w:szCs w:val="20"/>
                <w:color w:val="auto"/>
              </w:rPr>
            </w:pPr>
            <w:r>
              <w:rPr>
                <w:rFonts w:ascii="Arial" w:cs="Arial" w:eastAsia="Arial" w:hAnsi="Arial"/>
                <w:sz w:val="14"/>
                <w:szCs w:val="14"/>
                <w:color w:val="auto"/>
              </w:rPr>
              <w:t>1,811,995</w:t>
            </w:r>
          </w:p>
        </w:tc>
        <w:tc>
          <w:tcPr>
            <w:tcW w:w="1000" w:type="dxa"/>
            <w:vAlign w:val="bottom"/>
            <w:tcBorders>
              <w:top w:val="single" w:sz="8" w:color="949599"/>
              <w:bottom w:val="single" w:sz="8" w:color="949599"/>
            </w:tcBorders>
            <w:shd w:val="clear" w:color="auto" w:fill="ECECED"/>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949599"/>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949599"/>
              <w:bottom w:val="single" w:sz="8" w:color="949599"/>
            </w:tcBorders>
            <w:shd w:val="clear" w:color="auto" w:fill="ECECED"/>
          </w:tcPr>
          <w:p>
            <w:pPr>
              <w:jc w:val="right"/>
              <w:ind w:right="72"/>
              <w:spacing w:after="0" w:line="149" w:lineRule="exact"/>
              <w:rPr>
                <w:sz w:val="20"/>
                <w:szCs w:val="20"/>
                <w:color w:val="auto"/>
              </w:rPr>
            </w:pPr>
            <w:r>
              <w:rPr>
                <w:rFonts w:ascii="Arial" w:cs="Arial" w:eastAsia="Arial" w:hAnsi="Arial"/>
                <w:sz w:val="14"/>
                <w:szCs w:val="14"/>
                <w:color w:val="auto"/>
              </w:rPr>
              <w:t>4,131,349</w:t>
            </w:r>
          </w:p>
        </w:tc>
        <w:tc>
          <w:tcPr>
            <w:tcW w:w="1260" w:type="dxa"/>
            <w:vAlign w:val="bottom"/>
            <w:tcBorders>
              <w:top w:val="single" w:sz="8" w:color="949599"/>
              <w:bottom w:val="single" w:sz="8" w:color="949599"/>
            </w:tcBorders>
            <w:shd w:val="clear" w:color="auto" w:fill="ECECED"/>
          </w:tcPr>
          <w:p>
            <w:pPr>
              <w:jc w:val="right"/>
              <w:ind w:right="193"/>
              <w:spacing w:after="0" w:line="149" w:lineRule="exact"/>
              <w:rPr>
                <w:sz w:val="20"/>
                <w:szCs w:val="20"/>
                <w:color w:val="auto"/>
              </w:rPr>
            </w:pPr>
            <w:r>
              <w:rPr>
                <w:rFonts w:ascii="Arial" w:cs="Arial" w:eastAsia="Arial" w:hAnsi="Arial"/>
                <w:sz w:val="14"/>
                <w:szCs w:val="14"/>
                <w:color w:val="auto"/>
              </w:rPr>
              <w:t>650,352</w:t>
            </w:r>
          </w:p>
        </w:tc>
        <w:tc>
          <w:tcPr>
            <w:tcW w:w="860" w:type="dxa"/>
            <w:vAlign w:val="bottom"/>
            <w:tcBorders>
              <w:top w:val="single" w:sz="8" w:color="949599"/>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6,593,696</w:t>
            </w:r>
          </w:p>
        </w:tc>
        <w:tc>
          <w:tcPr>
            <w:tcW w:w="0" w:type="dxa"/>
            <w:vAlign w:val="bottom"/>
          </w:tcPr>
          <w:p>
            <w:pPr>
              <w:spacing w:after="0"/>
              <w:rPr>
                <w:sz w:val="1"/>
                <w:szCs w:val="1"/>
                <w:color w:val="auto"/>
              </w:rPr>
            </w:pPr>
          </w:p>
        </w:tc>
      </w:tr>
      <w:tr>
        <w:trPr>
          <w:trHeight w:val="149"/>
        </w:trPr>
        <w:tc>
          <w:tcPr>
            <w:tcW w:w="4080" w:type="dxa"/>
            <w:vAlign w:val="bottom"/>
            <w:tcBorders>
              <w:bottom w:val="single" w:sz="8" w:color="949599"/>
            </w:tcBorders>
            <w:shd w:val="clear" w:color="auto" w:fill="ECECED"/>
          </w:tcPr>
          <w:p>
            <w:pPr>
              <w:spacing w:after="0"/>
              <w:rPr>
                <w:sz w:val="12"/>
                <w:szCs w:val="12"/>
                <w:color w:val="auto"/>
              </w:rPr>
            </w:pPr>
          </w:p>
        </w:tc>
        <w:tc>
          <w:tcPr>
            <w:tcW w:w="220" w:type="dxa"/>
            <w:vAlign w:val="bottom"/>
            <w:tcBorders>
              <w:bottom w:val="single" w:sz="8" w:color="949599"/>
            </w:tcBorders>
            <w:shd w:val="clear" w:color="auto" w:fill="ECECED"/>
          </w:tcPr>
          <w:p>
            <w:pPr>
              <w:spacing w:after="0"/>
              <w:rPr>
                <w:sz w:val="12"/>
                <w:szCs w:val="12"/>
                <w:color w:val="auto"/>
              </w:rPr>
            </w:pPr>
          </w:p>
        </w:tc>
        <w:tc>
          <w:tcPr>
            <w:tcW w:w="780" w:type="dxa"/>
            <w:vAlign w:val="bottom"/>
            <w:tcBorders>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2021</w:t>
            </w:r>
          </w:p>
        </w:tc>
        <w:tc>
          <w:tcPr>
            <w:tcW w:w="960" w:type="dxa"/>
            <w:vAlign w:val="bottom"/>
            <w:tcBorders>
              <w:bottom w:val="single" w:sz="8" w:color="949599"/>
            </w:tcBorders>
            <w:shd w:val="clear" w:color="auto" w:fill="ECECED"/>
          </w:tcPr>
          <w:p>
            <w:pPr>
              <w:jc w:val="right"/>
              <w:ind w:right="92"/>
              <w:spacing w:after="0" w:line="149" w:lineRule="exact"/>
              <w:rPr>
                <w:sz w:val="20"/>
                <w:szCs w:val="20"/>
                <w:color w:val="auto"/>
              </w:rPr>
            </w:pPr>
            <w:r>
              <w:rPr>
                <w:rFonts w:ascii="Arial" w:cs="Arial" w:eastAsia="Arial" w:hAnsi="Arial"/>
                <w:sz w:val="14"/>
                <w:szCs w:val="14"/>
                <w:color w:val="auto"/>
              </w:rPr>
              <w:t>1,767,800</w:t>
            </w:r>
          </w:p>
        </w:tc>
        <w:tc>
          <w:tcPr>
            <w:tcW w:w="1000" w:type="dxa"/>
            <w:vAlign w:val="bottom"/>
            <w:tcBorders>
              <w:bottom w:val="single" w:sz="8" w:color="949599"/>
            </w:tcBorders>
            <w:shd w:val="clear" w:color="auto" w:fill="ECECED"/>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shd w:val="clear" w:color="auto" w:fill="ECECED"/>
          </w:tcPr>
          <w:p>
            <w:pPr>
              <w:jc w:val="right"/>
              <w:ind w:right="72"/>
              <w:spacing w:after="0" w:line="149" w:lineRule="exact"/>
              <w:rPr>
                <w:sz w:val="20"/>
                <w:szCs w:val="20"/>
                <w:color w:val="auto"/>
              </w:rPr>
            </w:pPr>
            <w:r>
              <w:rPr>
                <w:rFonts w:ascii="Arial" w:cs="Arial" w:eastAsia="Arial" w:hAnsi="Arial"/>
                <w:sz w:val="14"/>
                <w:szCs w:val="14"/>
                <w:color w:val="auto"/>
              </w:rPr>
              <w:t>4,030,584</w:t>
            </w:r>
          </w:p>
        </w:tc>
        <w:tc>
          <w:tcPr>
            <w:tcW w:w="1260" w:type="dxa"/>
            <w:vAlign w:val="bottom"/>
            <w:tcBorders>
              <w:bottom w:val="single" w:sz="8" w:color="949599"/>
            </w:tcBorders>
            <w:shd w:val="clear" w:color="auto" w:fill="ECECED"/>
          </w:tcPr>
          <w:p>
            <w:pPr>
              <w:jc w:val="right"/>
              <w:ind w:right="193"/>
              <w:spacing w:after="0" w:line="149" w:lineRule="exact"/>
              <w:rPr>
                <w:sz w:val="20"/>
                <w:szCs w:val="20"/>
                <w:color w:val="auto"/>
              </w:rPr>
            </w:pPr>
            <w:r>
              <w:rPr>
                <w:rFonts w:ascii="Arial" w:cs="Arial" w:eastAsia="Arial" w:hAnsi="Arial"/>
                <w:sz w:val="14"/>
                <w:szCs w:val="14"/>
                <w:color w:val="auto"/>
              </w:rPr>
              <w:t>599,980</w:t>
            </w:r>
          </w:p>
        </w:tc>
        <w:tc>
          <w:tcPr>
            <w:tcW w:w="86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6,398,364</w:t>
            </w:r>
          </w:p>
        </w:tc>
        <w:tc>
          <w:tcPr>
            <w:tcW w:w="0" w:type="dxa"/>
            <w:vAlign w:val="bottom"/>
          </w:tcPr>
          <w:p>
            <w:pPr>
              <w:spacing w:after="0"/>
              <w:rPr>
                <w:sz w:val="1"/>
                <w:szCs w:val="1"/>
                <w:color w:val="auto"/>
              </w:rPr>
            </w:pPr>
          </w:p>
        </w:tc>
      </w:tr>
      <w:tr>
        <w:trPr>
          <w:trHeight w:val="183"/>
        </w:trPr>
        <w:tc>
          <w:tcPr>
            <w:tcW w:w="4080" w:type="dxa"/>
            <w:vAlign w:val="bottom"/>
          </w:tcPr>
          <w:p>
            <w:pPr>
              <w:ind w:left="40"/>
              <w:spacing w:after="0"/>
              <w:rPr>
                <w:sz w:val="20"/>
                <w:szCs w:val="20"/>
                <w:color w:val="auto"/>
              </w:rPr>
            </w:pPr>
            <w:r>
              <w:rPr>
                <w:rFonts w:ascii="Arial" w:cs="Arial" w:eastAsia="Arial" w:hAnsi="Arial"/>
                <w:sz w:val="14"/>
                <w:szCs w:val="14"/>
                <w:b w:val="1"/>
                <w:bCs w:val="1"/>
                <w:color w:val="215AA8"/>
              </w:rPr>
              <w:t xml:space="preserve">Robert E. Landry </w:t>
            </w:r>
            <w:r>
              <w:rPr>
                <w:rFonts w:ascii="Arial" w:cs="Arial" w:eastAsia="Arial" w:hAnsi="Arial"/>
                <w:sz w:val="14"/>
                <w:szCs w:val="14"/>
                <w:b w:val="1"/>
                <w:bCs w:val="1"/>
                <w:i w:val="1"/>
                <w:iCs w:val="1"/>
                <w:color w:val="215AA8"/>
              </w:rPr>
              <w:t>(retired)</w:t>
            </w:r>
          </w:p>
        </w:tc>
        <w:tc>
          <w:tcPr>
            <w:tcW w:w="1000" w:type="dxa"/>
            <w:vAlign w:val="bottom"/>
            <w:gridSpan w:val="2"/>
          </w:tcPr>
          <w:p>
            <w:pPr>
              <w:jc w:val="right"/>
              <w:ind w:right="152"/>
              <w:spacing w:after="0"/>
              <w:rPr>
                <w:sz w:val="20"/>
                <w:szCs w:val="20"/>
                <w:color w:val="auto"/>
              </w:rPr>
            </w:pPr>
            <w:r>
              <w:rPr>
                <w:rFonts w:ascii="Arial" w:cs="Arial" w:eastAsia="Arial" w:hAnsi="Arial"/>
                <w:sz w:val="14"/>
                <w:szCs w:val="14"/>
                <w:color w:val="auto"/>
              </w:rPr>
              <w:t>2023</w:t>
            </w:r>
          </w:p>
        </w:tc>
        <w:tc>
          <w:tcPr>
            <w:tcW w:w="960" w:type="dxa"/>
            <w:vAlign w:val="bottom"/>
          </w:tcPr>
          <w:p>
            <w:pPr>
              <w:jc w:val="right"/>
              <w:ind w:right="92"/>
              <w:spacing w:after="0"/>
              <w:rPr>
                <w:sz w:val="20"/>
                <w:szCs w:val="20"/>
                <w:color w:val="auto"/>
              </w:rPr>
            </w:pPr>
            <w:r>
              <w:rPr>
                <w:rFonts w:ascii="Arial" w:cs="Arial" w:eastAsia="Arial" w:hAnsi="Arial"/>
                <w:sz w:val="14"/>
                <w:szCs w:val="14"/>
                <w:color w:val="auto"/>
              </w:rPr>
              <w:t>881,406</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996,870</w:t>
            </w:r>
          </w:p>
        </w:tc>
        <w:tc>
          <w:tcPr>
            <w:tcW w:w="1260" w:type="dxa"/>
            <w:vAlign w:val="bottom"/>
          </w:tcPr>
          <w:p>
            <w:pPr>
              <w:jc w:val="right"/>
              <w:ind w:right="133"/>
              <w:spacing w:after="0" w:line="183" w:lineRule="exact"/>
              <w:rPr>
                <w:sz w:val="20"/>
                <w:szCs w:val="20"/>
                <w:color w:val="auto"/>
              </w:rPr>
            </w:pPr>
            <w:r>
              <w:rPr>
                <w:rFonts w:ascii="Arial" w:cs="Arial" w:eastAsia="Arial" w:hAnsi="Arial"/>
                <w:sz w:val="13"/>
                <w:szCs w:val="13"/>
                <w:color w:val="auto"/>
              </w:rPr>
              <w:t>26,200</w:t>
            </w:r>
            <w:r>
              <w:rPr>
                <w:rFonts w:ascii="Arial" w:cs="Arial" w:eastAsia="Arial" w:hAnsi="Arial"/>
                <w:sz w:val="21"/>
                <w:szCs w:val="21"/>
                <w:color w:val="auto"/>
                <w:vertAlign w:val="superscript"/>
              </w:rPr>
              <w:t>6</w:t>
            </w:r>
          </w:p>
        </w:tc>
        <w:tc>
          <w:tcPr>
            <w:tcW w:w="860" w:type="dxa"/>
            <w:vAlign w:val="bottom"/>
          </w:tcPr>
          <w:p>
            <w:pPr>
              <w:jc w:val="right"/>
              <w:spacing w:after="0"/>
              <w:rPr>
                <w:sz w:val="20"/>
                <w:szCs w:val="20"/>
                <w:color w:val="auto"/>
              </w:rPr>
            </w:pPr>
            <w:r>
              <w:rPr>
                <w:rFonts w:ascii="Arial" w:cs="Arial" w:eastAsia="Arial" w:hAnsi="Arial"/>
                <w:sz w:val="14"/>
                <w:szCs w:val="14"/>
                <w:color w:val="auto"/>
              </w:rPr>
              <w:t>1,904,476</w:t>
            </w:r>
          </w:p>
        </w:tc>
        <w:tc>
          <w:tcPr>
            <w:tcW w:w="0" w:type="dxa"/>
            <w:vAlign w:val="bottom"/>
          </w:tcPr>
          <w:p>
            <w:pPr>
              <w:spacing w:after="0"/>
              <w:rPr>
                <w:sz w:val="1"/>
                <w:szCs w:val="1"/>
                <w:color w:val="auto"/>
              </w:rPr>
            </w:pPr>
          </w:p>
        </w:tc>
      </w:tr>
      <w:tr>
        <w:trPr>
          <w:trHeight w:val="127"/>
        </w:trPr>
        <w:tc>
          <w:tcPr>
            <w:tcW w:w="4080" w:type="dxa"/>
            <w:vAlign w:val="bottom"/>
          </w:tcPr>
          <w:p>
            <w:pPr>
              <w:ind w:left="40"/>
              <w:spacing w:after="0" w:line="127" w:lineRule="exact"/>
              <w:rPr>
                <w:sz w:val="20"/>
                <w:szCs w:val="20"/>
                <w:color w:val="auto"/>
              </w:rPr>
            </w:pPr>
            <w:r>
              <w:rPr>
                <w:rFonts w:ascii="Arial" w:cs="Arial" w:eastAsia="Arial" w:hAnsi="Arial"/>
                <w:sz w:val="14"/>
                <w:szCs w:val="14"/>
                <w:color w:val="auto"/>
              </w:rPr>
              <w:t>Former Executive Vice President, Finance and Chief Financial</w:t>
            </w:r>
          </w:p>
        </w:tc>
        <w:tc>
          <w:tcPr>
            <w:tcW w:w="220" w:type="dxa"/>
            <w:vAlign w:val="bottom"/>
          </w:tcPr>
          <w:p>
            <w:pPr>
              <w:spacing w:after="0"/>
              <w:rPr>
                <w:sz w:val="11"/>
                <w:szCs w:val="11"/>
                <w:color w:val="auto"/>
              </w:rPr>
            </w:pPr>
          </w:p>
        </w:tc>
        <w:tc>
          <w:tcPr>
            <w:tcW w:w="780" w:type="dxa"/>
            <w:vAlign w:val="bottom"/>
            <w:tcBorders>
              <w:top w:val="single" w:sz="8" w:color="949599"/>
            </w:tcBorders>
          </w:tcPr>
          <w:p>
            <w:pPr>
              <w:jc w:val="right"/>
              <w:ind w:right="152"/>
              <w:spacing w:after="0" w:line="127" w:lineRule="exact"/>
              <w:rPr>
                <w:sz w:val="20"/>
                <w:szCs w:val="20"/>
                <w:color w:val="auto"/>
              </w:rPr>
            </w:pPr>
            <w:r>
              <w:rPr>
                <w:rFonts w:ascii="Arial" w:cs="Arial" w:eastAsia="Arial" w:hAnsi="Arial"/>
                <w:sz w:val="14"/>
                <w:szCs w:val="14"/>
                <w:color w:val="auto"/>
              </w:rPr>
              <w:t>2022</w:t>
            </w:r>
          </w:p>
        </w:tc>
        <w:tc>
          <w:tcPr>
            <w:tcW w:w="960" w:type="dxa"/>
            <w:vAlign w:val="bottom"/>
            <w:tcBorders>
              <w:top w:val="single" w:sz="8" w:color="949599"/>
            </w:tcBorders>
          </w:tcPr>
          <w:p>
            <w:pPr>
              <w:jc w:val="right"/>
              <w:ind w:right="92"/>
              <w:spacing w:after="0" w:line="127" w:lineRule="exact"/>
              <w:rPr>
                <w:sz w:val="20"/>
                <w:szCs w:val="20"/>
                <w:color w:val="auto"/>
              </w:rPr>
            </w:pPr>
            <w:r>
              <w:rPr>
                <w:rFonts w:ascii="Arial" w:cs="Arial" w:eastAsia="Arial" w:hAnsi="Arial"/>
                <w:sz w:val="14"/>
                <w:szCs w:val="14"/>
                <w:color w:val="auto"/>
              </w:rPr>
              <w:t>851,600</w:t>
            </w:r>
          </w:p>
        </w:tc>
        <w:tc>
          <w:tcPr>
            <w:tcW w:w="1000" w:type="dxa"/>
            <w:vAlign w:val="bottom"/>
            <w:tcBorders>
              <w:top w:val="single" w:sz="8" w:color="949599"/>
            </w:tcBorders>
          </w:tcPr>
          <w:p>
            <w:pPr>
              <w:jc w:val="right"/>
              <w:ind w:right="72"/>
              <w:spacing w:after="0" w:line="127" w:lineRule="exact"/>
              <w:rPr>
                <w:sz w:val="20"/>
                <w:szCs w:val="20"/>
                <w:color w:val="auto"/>
              </w:rPr>
            </w:pPr>
            <w:r>
              <w:rPr>
                <w:rFonts w:ascii="Arial" w:cs="Arial" w:eastAsia="Arial" w:hAnsi="Arial"/>
                <w:sz w:val="14"/>
                <w:szCs w:val="14"/>
                <w:color w:val="auto"/>
              </w:rPr>
              <w:t>2,799,320</w:t>
            </w:r>
          </w:p>
        </w:tc>
        <w:tc>
          <w:tcPr>
            <w:tcW w:w="980" w:type="dxa"/>
            <w:vAlign w:val="bottom"/>
            <w:tcBorders>
              <w:top w:val="single" w:sz="8" w:color="949599"/>
            </w:tcBorders>
          </w:tcPr>
          <w:p>
            <w:pPr>
              <w:jc w:val="right"/>
              <w:ind w:right="52"/>
              <w:spacing w:after="0" w:line="127" w:lineRule="exact"/>
              <w:rPr>
                <w:sz w:val="20"/>
                <w:szCs w:val="20"/>
                <w:color w:val="auto"/>
              </w:rPr>
            </w:pPr>
            <w:r>
              <w:rPr>
                <w:rFonts w:ascii="Arial" w:cs="Arial" w:eastAsia="Arial" w:hAnsi="Arial"/>
                <w:sz w:val="14"/>
                <w:szCs w:val="14"/>
                <w:color w:val="auto"/>
              </w:rPr>
              <w:t>4,199,713</w:t>
            </w:r>
          </w:p>
        </w:tc>
        <w:tc>
          <w:tcPr>
            <w:tcW w:w="1120" w:type="dxa"/>
            <w:vAlign w:val="bottom"/>
            <w:tcBorders>
              <w:top w:val="single" w:sz="8" w:color="949599"/>
            </w:tcBorders>
          </w:tcPr>
          <w:p>
            <w:pPr>
              <w:jc w:val="right"/>
              <w:ind w:right="72"/>
              <w:spacing w:after="0" w:line="127" w:lineRule="exact"/>
              <w:rPr>
                <w:sz w:val="20"/>
                <w:szCs w:val="20"/>
                <w:color w:val="auto"/>
              </w:rPr>
            </w:pPr>
            <w:r>
              <w:rPr>
                <w:rFonts w:ascii="Arial" w:cs="Arial" w:eastAsia="Arial" w:hAnsi="Arial"/>
                <w:sz w:val="14"/>
                <w:szCs w:val="14"/>
                <w:color w:val="auto"/>
              </w:rPr>
              <w:t>963,160</w:t>
            </w:r>
          </w:p>
        </w:tc>
        <w:tc>
          <w:tcPr>
            <w:tcW w:w="1260" w:type="dxa"/>
            <w:vAlign w:val="bottom"/>
            <w:tcBorders>
              <w:top w:val="single" w:sz="8" w:color="949599"/>
            </w:tcBorders>
          </w:tcPr>
          <w:p>
            <w:pPr>
              <w:jc w:val="right"/>
              <w:ind w:right="193"/>
              <w:spacing w:after="0" w:line="127" w:lineRule="exact"/>
              <w:rPr>
                <w:sz w:val="20"/>
                <w:szCs w:val="20"/>
                <w:color w:val="auto"/>
              </w:rPr>
            </w:pPr>
            <w:r>
              <w:rPr>
                <w:rFonts w:ascii="Arial" w:cs="Arial" w:eastAsia="Arial" w:hAnsi="Arial"/>
                <w:sz w:val="14"/>
                <w:szCs w:val="14"/>
                <w:color w:val="auto"/>
              </w:rPr>
              <w:t>24,700</w:t>
            </w:r>
          </w:p>
        </w:tc>
        <w:tc>
          <w:tcPr>
            <w:tcW w:w="860" w:type="dxa"/>
            <w:vAlign w:val="bottom"/>
            <w:tcBorders>
              <w:top w:val="single" w:sz="8" w:color="949599"/>
            </w:tcBorders>
          </w:tcPr>
          <w:p>
            <w:pPr>
              <w:jc w:val="right"/>
              <w:spacing w:after="0" w:line="127" w:lineRule="exact"/>
              <w:rPr>
                <w:sz w:val="20"/>
                <w:szCs w:val="20"/>
                <w:color w:val="auto"/>
              </w:rPr>
            </w:pPr>
            <w:r>
              <w:rPr>
                <w:rFonts w:ascii="Arial" w:cs="Arial" w:eastAsia="Arial" w:hAnsi="Arial"/>
                <w:sz w:val="14"/>
                <w:szCs w:val="14"/>
                <w:color w:val="auto"/>
              </w:rPr>
              <w:t>8,838,493</w:t>
            </w:r>
          </w:p>
        </w:tc>
        <w:tc>
          <w:tcPr>
            <w:tcW w:w="0" w:type="dxa"/>
            <w:vAlign w:val="bottom"/>
          </w:tcPr>
          <w:p>
            <w:pPr>
              <w:spacing w:after="0"/>
              <w:rPr>
                <w:sz w:val="1"/>
                <w:szCs w:val="1"/>
                <w:color w:val="auto"/>
              </w:rPr>
            </w:pPr>
          </w:p>
        </w:tc>
      </w:tr>
      <w:tr>
        <w:trPr>
          <w:trHeight w:val="22"/>
        </w:trPr>
        <w:tc>
          <w:tcPr>
            <w:tcW w:w="4080" w:type="dxa"/>
            <w:vAlign w:val="bottom"/>
            <w:vMerge w:val="restart"/>
          </w:tcPr>
          <w:p>
            <w:pPr>
              <w:ind w:left="40"/>
              <w:spacing w:after="0"/>
              <w:rPr>
                <w:sz w:val="20"/>
                <w:szCs w:val="20"/>
                <w:color w:val="auto"/>
              </w:rPr>
            </w:pPr>
            <w:r>
              <w:rPr>
                <w:rFonts w:ascii="Arial" w:cs="Arial" w:eastAsia="Arial" w:hAnsi="Arial"/>
                <w:sz w:val="14"/>
                <w:szCs w:val="14"/>
                <w:color w:val="auto"/>
              </w:rPr>
              <w:t>Officer</w:t>
            </w:r>
          </w:p>
        </w:tc>
        <w:tc>
          <w:tcPr>
            <w:tcW w:w="1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80" w:type="dxa"/>
            <w:vAlign w:val="bottom"/>
            <w:tcBorders>
              <w:bottom w:val="single" w:sz="8" w:color="949599"/>
            </w:tcBorders>
            <w:vMerge w:val="continue"/>
          </w:tcPr>
          <w:p>
            <w:pPr>
              <w:spacing w:after="0"/>
              <w:rPr>
                <w:sz w:val="12"/>
                <w:szCs w:val="12"/>
                <w:color w:val="auto"/>
              </w:rPr>
            </w:pPr>
          </w:p>
        </w:tc>
        <w:tc>
          <w:tcPr>
            <w:tcW w:w="220" w:type="dxa"/>
            <w:vAlign w:val="bottom"/>
            <w:tcBorders>
              <w:bottom w:val="single" w:sz="8" w:color="949599"/>
            </w:tcBorders>
          </w:tcPr>
          <w:p>
            <w:pPr>
              <w:spacing w:after="0"/>
              <w:rPr>
                <w:sz w:val="12"/>
                <w:szCs w:val="12"/>
                <w:color w:val="auto"/>
              </w:rPr>
            </w:pPr>
          </w:p>
        </w:tc>
        <w:tc>
          <w:tcPr>
            <w:tcW w:w="780" w:type="dxa"/>
            <w:vAlign w:val="bottom"/>
            <w:tcBorders>
              <w:top w:val="single" w:sz="8" w:color="949599"/>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2021</w:t>
            </w:r>
          </w:p>
        </w:tc>
        <w:tc>
          <w:tcPr>
            <w:tcW w:w="960" w:type="dxa"/>
            <w:vAlign w:val="bottom"/>
            <w:tcBorders>
              <w:top w:val="single" w:sz="8" w:color="949599"/>
              <w:bottom w:val="single" w:sz="8" w:color="949599"/>
            </w:tcBorders>
          </w:tcPr>
          <w:p>
            <w:pPr>
              <w:jc w:val="right"/>
              <w:ind w:right="92"/>
              <w:spacing w:after="0" w:line="149" w:lineRule="exact"/>
              <w:rPr>
                <w:sz w:val="20"/>
                <w:szCs w:val="20"/>
                <w:color w:val="auto"/>
              </w:rPr>
            </w:pPr>
            <w:r>
              <w:rPr>
                <w:rFonts w:ascii="Arial" w:cs="Arial" w:eastAsia="Arial" w:hAnsi="Arial"/>
                <w:sz w:val="14"/>
                <w:szCs w:val="14"/>
                <w:color w:val="auto"/>
              </w:rPr>
              <w:t>822,800</w:t>
            </w:r>
          </w:p>
        </w:tc>
        <w:tc>
          <w:tcPr>
            <w:tcW w:w="1000" w:type="dxa"/>
            <w:vAlign w:val="bottom"/>
            <w:tcBorders>
              <w:top w:val="single" w:sz="8" w:color="949599"/>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2,559,468</w:t>
            </w:r>
          </w:p>
        </w:tc>
        <w:tc>
          <w:tcPr>
            <w:tcW w:w="980" w:type="dxa"/>
            <w:vAlign w:val="bottom"/>
            <w:tcBorders>
              <w:top w:val="single" w:sz="8" w:color="949599"/>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3,839,805</w:t>
            </w:r>
          </w:p>
        </w:tc>
        <w:tc>
          <w:tcPr>
            <w:tcW w:w="1120" w:type="dxa"/>
            <w:vAlign w:val="bottom"/>
            <w:tcBorders>
              <w:top w:val="single" w:sz="8" w:color="949599"/>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1,052,182</w:t>
            </w:r>
          </w:p>
        </w:tc>
        <w:tc>
          <w:tcPr>
            <w:tcW w:w="1260" w:type="dxa"/>
            <w:vAlign w:val="bottom"/>
            <w:tcBorders>
              <w:top w:val="single" w:sz="8" w:color="949599"/>
              <w:bottom w:val="single" w:sz="8" w:color="949599"/>
            </w:tcBorders>
          </w:tcPr>
          <w:p>
            <w:pPr>
              <w:jc w:val="right"/>
              <w:ind w:right="193"/>
              <w:spacing w:after="0" w:line="149" w:lineRule="exact"/>
              <w:rPr>
                <w:sz w:val="20"/>
                <w:szCs w:val="20"/>
                <w:color w:val="auto"/>
              </w:rPr>
            </w:pPr>
            <w:r>
              <w:rPr>
                <w:rFonts w:ascii="Arial" w:cs="Arial" w:eastAsia="Arial" w:hAnsi="Arial"/>
                <w:sz w:val="14"/>
                <w:szCs w:val="14"/>
                <w:color w:val="auto"/>
              </w:rPr>
              <w:t>24,200</w:t>
            </w:r>
          </w:p>
        </w:tc>
        <w:tc>
          <w:tcPr>
            <w:tcW w:w="860" w:type="dxa"/>
            <w:vAlign w:val="bottom"/>
            <w:tcBorders>
              <w:top w:val="single" w:sz="8" w:color="949599"/>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8,298,455</w:t>
            </w:r>
          </w:p>
        </w:tc>
        <w:tc>
          <w:tcPr>
            <w:tcW w:w="0" w:type="dxa"/>
            <w:vAlign w:val="bottom"/>
          </w:tcPr>
          <w:p>
            <w:pPr>
              <w:spacing w:after="0"/>
              <w:rPr>
                <w:sz w:val="1"/>
                <w:szCs w:val="1"/>
                <w:color w:val="auto"/>
              </w:rPr>
            </w:pPr>
          </w:p>
        </w:tc>
      </w:tr>
      <w:tr>
        <w:trPr>
          <w:trHeight w:val="183"/>
        </w:trPr>
        <w:tc>
          <w:tcPr>
            <w:tcW w:w="4080" w:type="dxa"/>
            <w:vAlign w:val="bottom"/>
            <w:shd w:val="clear" w:color="auto" w:fill="ECECED"/>
          </w:tcPr>
          <w:p>
            <w:pPr>
              <w:ind w:left="40"/>
              <w:spacing w:after="0"/>
              <w:rPr>
                <w:sz w:val="20"/>
                <w:szCs w:val="20"/>
                <w:color w:val="auto"/>
              </w:rPr>
            </w:pPr>
            <w:r>
              <w:rPr>
                <w:rFonts w:ascii="Arial" w:cs="Arial" w:eastAsia="Arial" w:hAnsi="Arial"/>
                <w:sz w:val="14"/>
                <w:szCs w:val="14"/>
                <w:b w:val="1"/>
                <w:bCs w:val="1"/>
                <w:color w:val="215AA8"/>
              </w:rPr>
              <w:t>Daniel P. Van Plew</w:t>
            </w:r>
          </w:p>
        </w:tc>
        <w:tc>
          <w:tcPr>
            <w:tcW w:w="1000" w:type="dxa"/>
            <w:vAlign w:val="bottom"/>
            <w:gridSpan w:val="2"/>
            <w:shd w:val="clear" w:color="auto" w:fill="ECECED"/>
          </w:tcPr>
          <w:p>
            <w:pPr>
              <w:jc w:val="right"/>
              <w:ind w:right="152"/>
              <w:spacing w:after="0"/>
              <w:rPr>
                <w:sz w:val="20"/>
                <w:szCs w:val="20"/>
                <w:color w:val="auto"/>
              </w:rPr>
            </w:pPr>
            <w:r>
              <w:rPr>
                <w:rFonts w:ascii="Arial" w:cs="Arial" w:eastAsia="Arial" w:hAnsi="Arial"/>
                <w:sz w:val="14"/>
                <w:szCs w:val="14"/>
                <w:color w:val="auto"/>
              </w:rPr>
              <w:t>2023</w:t>
            </w:r>
          </w:p>
        </w:tc>
        <w:tc>
          <w:tcPr>
            <w:tcW w:w="960" w:type="dxa"/>
            <w:vAlign w:val="bottom"/>
            <w:shd w:val="clear" w:color="auto" w:fill="ECECED"/>
          </w:tcPr>
          <w:p>
            <w:pPr>
              <w:jc w:val="right"/>
              <w:ind w:right="92"/>
              <w:spacing w:after="0"/>
              <w:rPr>
                <w:sz w:val="20"/>
                <w:szCs w:val="20"/>
                <w:color w:val="auto"/>
              </w:rPr>
            </w:pPr>
            <w:r>
              <w:rPr>
                <w:rFonts w:ascii="Arial" w:cs="Arial" w:eastAsia="Arial" w:hAnsi="Arial"/>
                <w:sz w:val="14"/>
                <w:szCs w:val="14"/>
                <w:color w:val="auto"/>
              </w:rPr>
              <w:t>931,500</w:t>
            </w:r>
          </w:p>
        </w:tc>
        <w:tc>
          <w:tcPr>
            <w:tcW w:w="1000" w:type="dxa"/>
            <w:vAlign w:val="bottom"/>
            <w:shd w:val="clear" w:color="auto" w:fill="ECECED"/>
          </w:tcPr>
          <w:p>
            <w:pPr>
              <w:jc w:val="right"/>
              <w:ind w:right="72"/>
              <w:spacing w:after="0"/>
              <w:rPr>
                <w:sz w:val="20"/>
                <w:szCs w:val="20"/>
                <w:color w:val="auto"/>
              </w:rPr>
            </w:pPr>
            <w:r>
              <w:rPr>
                <w:rFonts w:ascii="Arial" w:cs="Arial" w:eastAsia="Arial" w:hAnsi="Arial"/>
                <w:sz w:val="14"/>
                <w:szCs w:val="14"/>
                <w:color w:val="auto"/>
              </w:rPr>
              <w:t>2,699,284</w:t>
            </w:r>
          </w:p>
        </w:tc>
        <w:tc>
          <w:tcPr>
            <w:tcW w:w="980" w:type="dxa"/>
            <w:vAlign w:val="bottom"/>
            <w:shd w:val="clear" w:color="auto" w:fill="ECECED"/>
          </w:tcPr>
          <w:p>
            <w:pPr>
              <w:jc w:val="right"/>
              <w:ind w:right="52"/>
              <w:spacing w:after="0"/>
              <w:rPr>
                <w:sz w:val="20"/>
                <w:szCs w:val="20"/>
                <w:color w:val="auto"/>
              </w:rPr>
            </w:pPr>
            <w:r>
              <w:rPr>
                <w:rFonts w:ascii="Arial" w:cs="Arial" w:eastAsia="Arial" w:hAnsi="Arial"/>
                <w:sz w:val="14"/>
                <w:szCs w:val="14"/>
                <w:color w:val="auto"/>
              </w:rPr>
              <w:t>4,049,638</w:t>
            </w:r>
          </w:p>
        </w:tc>
        <w:tc>
          <w:tcPr>
            <w:tcW w:w="1120" w:type="dxa"/>
            <w:vAlign w:val="bottom"/>
            <w:shd w:val="clear" w:color="auto" w:fill="ECECED"/>
          </w:tcPr>
          <w:p>
            <w:pPr>
              <w:jc w:val="right"/>
              <w:ind w:right="72"/>
              <w:spacing w:after="0"/>
              <w:rPr>
                <w:sz w:val="20"/>
                <w:szCs w:val="20"/>
                <w:color w:val="auto"/>
              </w:rPr>
            </w:pPr>
            <w:r>
              <w:rPr>
                <w:rFonts w:ascii="Arial" w:cs="Arial" w:eastAsia="Arial" w:hAnsi="Arial"/>
                <w:sz w:val="14"/>
                <w:szCs w:val="14"/>
                <w:color w:val="auto"/>
              </w:rPr>
              <w:t>1,053,527</w:t>
            </w:r>
          </w:p>
        </w:tc>
        <w:tc>
          <w:tcPr>
            <w:tcW w:w="1260" w:type="dxa"/>
            <w:vAlign w:val="bottom"/>
            <w:shd w:val="clear" w:color="auto" w:fill="ECECED"/>
          </w:tcPr>
          <w:p>
            <w:pPr>
              <w:jc w:val="right"/>
              <w:ind w:right="133"/>
              <w:spacing w:after="0" w:line="183" w:lineRule="exact"/>
              <w:rPr>
                <w:sz w:val="20"/>
                <w:szCs w:val="20"/>
                <w:color w:val="auto"/>
              </w:rPr>
            </w:pPr>
            <w:r>
              <w:rPr>
                <w:rFonts w:ascii="Arial" w:cs="Arial" w:eastAsia="Arial" w:hAnsi="Arial"/>
                <w:sz w:val="13"/>
                <w:szCs w:val="13"/>
                <w:color w:val="auto"/>
              </w:rPr>
              <w:t>26,200</w:t>
            </w:r>
            <w:r>
              <w:rPr>
                <w:rFonts w:ascii="Arial" w:cs="Arial" w:eastAsia="Arial" w:hAnsi="Arial"/>
                <w:sz w:val="21"/>
                <w:szCs w:val="21"/>
                <w:color w:val="auto"/>
                <w:vertAlign w:val="superscript"/>
              </w:rPr>
              <w:t>6</w:t>
            </w:r>
          </w:p>
        </w:tc>
        <w:tc>
          <w:tcPr>
            <w:tcW w:w="860" w:type="dxa"/>
            <w:vAlign w:val="bottom"/>
            <w:shd w:val="clear" w:color="auto" w:fill="ECECED"/>
          </w:tcPr>
          <w:p>
            <w:pPr>
              <w:jc w:val="right"/>
              <w:spacing w:after="0"/>
              <w:rPr>
                <w:sz w:val="20"/>
                <w:szCs w:val="20"/>
                <w:color w:val="auto"/>
              </w:rPr>
            </w:pPr>
            <w:r>
              <w:rPr>
                <w:rFonts w:ascii="Arial" w:cs="Arial" w:eastAsia="Arial" w:hAnsi="Arial"/>
                <w:sz w:val="14"/>
                <w:szCs w:val="14"/>
                <w:color w:val="auto"/>
              </w:rPr>
              <w:t>8,760,149</w:t>
            </w:r>
          </w:p>
        </w:tc>
        <w:tc>
          <w:tcPr>
            <w:tcW w:w="0" w:type="dxa"/>
            <w:vAlign w:val="bottom"/>
          </w:tcPr>
          <w:p>
            <w:pPr>
              <w:spacing w:after="0"/>
              <w:rPr>
                <w:sz w:val="1"/>
                <w:szCs w:val="1"/>
                <w:color w:val="auto"/>
              </w:rPr>
            </w:pPr>
          </w:p>
        </w:tc>
      </w:tr>
      <w:tr>
        <w:trPr>
          <w:trHeight w:val="154"/>
        </w:trPr>
        <w:tc>
          <w:tcPr>
            <w:tcW w:w="4080" w:type="dxa"/>
            <w:vAlign w:val="bottom"/>
            <w:tcBorders>
              <w:top w:val="single" w:sz="8" w:color="ECECED"/>
              <w:bottom w:val="single" w:sz="8" w:color="ECECED"/>
            </w:tcBorders>
            <w:shd w:val="clear" w:color="auto" w:fill="ECECED"/>
          </w:tcPr>
          <w:p>
            <w:pPr>
              <w:ind w:left="40"/>
              <w:spacing w:after="0" w:line="127" w:lineRule="exact"/>
              <w:rPr>
                <w:sz w:val="20"/>
                <w:szCs w:val="20"/>
                <w:color w:val="auto"/>
              </w:rPr>
            </w:pPr>
            <w:r>
              <w:rPr>
                <w:rFonts w:ascii="Arial" w:cs="Arial" w:eastAsia="Arial" w:hAnsi="Arial"/>
                <w:sz w:val="14"/>
                <w:szCs w:val="14"/>
                <w:color w:val="auto"/>
              </w:rPr>
              <w:t>Executive Vice President and General Manager, Industrial</w:t>
            </w:r>
          </w:p>
        </w:tc>
        <w:tc>
          <w:tcPr>
            <w:tcW w:w="220" w:type="dxa"/>
            <w:vAlign w:val="bottom"/>
            <w:tcBorders>
              <w:top w:val="single" w:sz="8" w:color="ECECED"/>
              <w:bottom w:val="single" w:sz="8" w:color="ECECED"/>
            </w:tcBorders>
            <w:shd w:val="clear" w:color="auto" w:fill="ECECED"/>
          </w:tcPr>
          <w:p>
            <w:pPr>
              <w:spacing w:after="0"/>
              <w:rPr>
                <w:sz w:val="12"/>
                <w:szCs w:val="12"/>
                <w:color w:val="auto"/>
              </w:rPr>
            </w:pPr>
          </w:p>
        </w:tc>
        <w:tc>
          <w:tcPr>
            <w:tcW w:w="780" w:type="dxa"/>
            <w:vAlign w:val="bottom"/>
            <w:tcBorders>
              <w:top w:val="single" w:sz="8" w:color="949599"/>
              <w:bottom w:val="single" w:sz="8" w:color="ECECED"/>
            </w:tcBorders>
            <w:shd w:val="clear" w:color="auto" w:fill="ECECED"/>
          </w:tcPr>
          <w:p>
            <w:pPr>
              <w:jc w:val="right"/>
              <w:ind w:right="152"/>
              <w:spacing w:after="0" w:line="127" w:lineRule="exact"/>
              <w:rPr>
                <w:sz w:val="20"/>
                <w:szCs w:val="20"/>
                <w:color w:val="auto"/>
              </w:rPr>
            </w:pPr>
            <w:r>
              <w:rPr>
                <w:rFonts w:ascii="Arial" w:cs="Arial" w:eastAsia="Arial" w:hAnsi="Arial"/>
                <w:sz w:val="14"/>
                <w:szCs w:val="14"/>
                <w:color w:val="auto"/>
              </w:rPr>
              <w:t>2022</w:t>
            </w:r>
          </w:p>
        </w:tc>
        <w:tc>
          <w:tcPr>
            <w:tcW w:w="960" w:type="dxa"/>
            <w:vAlign w:val="bottom"/>
            <w:tcBorders>
              <w:top w:val="single" w:sz="8" w:color="949599"/>
              <w:bottom w:val="single" w:sz="8" w:color="ECECED"/>
            </w:tcBorders>
            <w:shd w:val="clear" w:color="auto" w:fill="ECECED"/>
          </w:tcPr>
          <w:p>
            <w:pPr>
              <w:jc w:val="right"/>
              <w:ind w:right="92"/>
              <w:spacing w:after="0" w:line="127" w:lineRule="exact"/>
              <w:rPr>
                <w:sz w:val="20"/>
                <w:szCs w:val="20"/>
                <w:color w:val="auto"/>
              </w:rPr>
            </w:pPr>
            <w:r>
              <w:rPr>
                <w:rFonts w:ascii="Arial" w:cs="Arial" w:eastAsia="Arial" w:hAnsi="Arial"/>
                <w:sz w:val="14"/>
                <w:szCs w:val="14"/>
                <w:color w:val="auto"/>
              </w:rPr>
              <w:t>900,000</w:t>
            </w:r>
          </w:p>
        </w:tc>
        <w:tc>
          <w:tcPr>
            <w:tcW w:w="1000" w:type="dxa"/>
            <w:vAlign w:val="bottom"/>
            <w:tcBorders>
              <w:top w:val="single" w:sz="8" w:color="949599"/>
              <w:bottom w:val="single" w:sz="8" w:color="ECECED"/>
            </w:tcBorders>
            <w:shd w:val="clear" w:color="auto" w:fill="ECECED"/>
          </w:tcPr>
          <w:p>
            <w:pPr>
              <w:jc w:val="right"/>
              <w:ind w:right="72"/>
              <w:spacing w:after="0" w:line="127" w:lineRule="exact"/>
              <w:rPr>
                <w:sz w:val="20"/>
                <w:szCs w:val="20"/>
                <w:color w:val="auto"/>
              </w:rPr>
            </w:pPr>
            <w:r>
              <w:rPr>
                <w:rFonts w:ascii="Arial" w:cs="Arial" w:eastAsia="Arial" w:hAnsi="Arial"/>
                <w:sz w:val="14"/>
                <w:szCs w:val="14"/>
                <w:color w:val="auto"/>
              </w:rPr>
              <w:t>2,759,361</w:t>
            </w:r>
          </w:p>
        </w:tc>
        <w:tc>
          <w:tcPr>
            <w:tcW w:w="980" w:type="dxa"/>
            <w:vAlign w:val="bottom"/>
            <w:tcBorders>
              <w:top w:val="single" w:sz="8" w:color="949599"/>
              <w:bottom w:val="single" w:sz="8" w:color="ECECED"/>
            </w:tcBorders>
            <w:shd w:val="clear" w:color="auto" w:fill="ECECED"/>
          </w:tcPr>
          <w:p>
            <w:pPr>
              <w:jc w:val="right"/>
              <w:ind w:right="52"/>
              <w:spacing w:after="0" w:line="127" w:lineRule="exact"/>
              <w:rPr>
                <w:sz w:val="20"/>
                <w:szCs w:val="20"/>
                <w:color w:val="auto"/>
              </w:rPr>
            </w:pPr>
            <w:r>
              <w:rPr>
                <w:rFonts w:ascii="Arial" w:cs="Arial" w:eastAsia="Arial" w:hAnsi="Arial"/>
                <w:sz w:val="14"/>
                <w:szCs w:val="14"/>
                <w:color w:val="auto"/>
              </w:rPr>
              <w:t>4,139,777</w:t>
            </w:r>
          </w:p>
        </w:tc>
        <w:tc>
          <w:tcPr>
            <w:tcW w:w="1120" w:type="dxa"/>
            <w:vAlign w:val="bottom"/>
            <w:tcBorders>
              <w:top w:val="single" w:sz="8" w:color="949599"/>
              <w:bottom w:val="single" w:sz="8" w:color="ECECED"/>
            </w:tcBorders>
            <w:shd w:val="clear" w:color="auto" w:fill="ECECED"/>
          </w:tcPr>
          <w:p>
            <w:pPr>
              <w:jc w:val="right"/>
              <w:ind w:right="72"/>
              <w:spacing w:after="0" w:line="127" w:lineRule="exact"/>
              <w:rPr>
                <w:sz w:val="20"/>
                <w:szCs w:val="20"/>
                <w:color w:val="auto"/>
              </w:rPr>
            </w:pPr>
            <w:r>
              <w:rPr>
                <w:rFonts w:ascii="Arial" w:cs="Arial" w:eastAsia="Arial" w:hAnsi="Arial"/>
                <w:sz w:val="14"/>
                <w:szCs w:val="14"/>
                <w:color w:val="auto"/>
              </w:rPr>
              <w:t>1,017,900</w:t>
            </w:r>
          </w:p>
        </w:tc>
        <w:tc>
          <w:tcPr>
            <w:tcW w:w="1260" w:type="dxa"/>
            <w:vAlign w:val="bottom"/>
            <w:tcBorders>
              <w:top w:val="single" w:sz="8" w:color="949599"/>
              <w:bottom w:val="single" w:sz="8" w:color="ECECED"/>
            </w:tcBorders>
            <w:shd w:val="clear" w:color="auto" w:fill="ECECED"/>
          </w:tcPr>
          <w:p>
            <w:pPr>
              <w:jc w:val="right"/>
              <w:ind w:right="193"/>
              <w:spacing w:after="0" w:line="127" w:lineRule="exact"/>
              <w:rPr>
                <w:sz w:val="20"/>
                <w:szCs w:val="20"/>
                <w:color w:val="auto"/>
              </w:rPr>
            </w:pPr>
            <w:r>
              <w:rPr>
                <w:rFonts w:ascii="Arial" w:cs="Arial" w:eastAsia="Arial" w:hAnsi="Arial"/>
                <w:sz w:val="14"/>
                <w:szCs w:val="14"/>
                <w:color w:val="auto"/>
              </w:rPr>
              <w:t>36,499</w:t>
            </w:r>
          </w:p>
        </w:tc>
        <w:tc>
          <w:tcPr>
            <w:tcW w:w="860" w:type="dxa"/>
            <w:vAlign w:val="bottom"/>
            <w:tcBorders>
              <w:top w:val="single" w:sz="8" w:color="949599"/>
              <w:bottom w:val="single" w:sz="8" w:color="ECECED"/>
            </w:tcBorders>
            <w:shd w:val="clear" w:color="auto" w:fill="ECECED"/>
          </w:tcPr>
          <w:p>
            <w:pPr>
              <w:jc w:val="right"/>
              <w:spacing w:after="0" w:line="127" w:lineRule="exact"/>
              <w:rPr>
                <w:sz w:val="20"/>
                <w:szCs w:val="20"/>
                <w:color w:val="auto"/>
              </w:rPr>
            </w:pPr>
            <w:r>
              <w:rPr>
                <w:rFonts w:ascii="Arial" w:cs="Arial" w:eastAsia="Arial" w:hAnsi="Arial"/>
                <w:sz w:val="14"/>
                <w:szCs w:val="14"/>
                <w:color w:val="auto"/>
              </w:rPr>
              <w:t>8,853,537</w:t>
            </w:r>
          </w:p>
        </w:tc>
        <w:tc>
          <w:tcPr>
            <w:tcW w:w="0" w:type="dxa"/>
            <w:vAlign w:val="bottom"/>
          </w:tcPr>
          <w:p>
            <w:pPr>
              <w:spacing w:after="0"/>
              <w:rPr>
                <w:sz w:val="1"/>
                <w:szCs w:val="1"/>
                <w:color w:val="auto"/>
              </w:rPr>
            </w:pPr>
          </w:p>
        </w:tc>
      </w:tr>
      <w:tr>
        <w:trPr>
          <w:trHeight w:val="149"/>
        </w:trPr>
        <w:tc>
          <w:tcPr>
            <w:tcW w:w="4080" w:type="dxa"/>
            <w:vAlign w:val="bottom"/>
            <w:tcBorders>
              <w:top w:val="single" w:sz="8" w:color="ECECED"/>
              <w:bottom w:val="single" w:sz="8" w:color="949599"/>
            </w:tcBorders>
            <w:shd w:val="clear" w:color="auto" w:fill="ECECED"/>
          </w:tcPr>
          <w:p>
            <w:pPr>
              <w:ind w:left="40"/>
              <w:spacing w:after="0" w:line="135" w:lineRule="exact"/>
              <w:rPr>
                <w:sz w:val="20"/>
                <w:szCs w:val="20"/>
                <w:color w:val="auto"/>
              </w:rPr>
            </w:pPr>
            <w:r>
              <w:rPr>
                <w:rFonts w:ascii="Arial" w:cs="Arial" w:eastAsia="Arial" w:hAnsi="Arial"/>
                <w:sz w:val="14"/>
                <w:szCs w:val="14"/>
                <w:color w:val="auto"/>
              </w:rPr>
              <w:t>Operations and Product Supply</w:t>
            </w:r>
          </w:p>
        </w:tc>
        <w:tc>
          <w:tcPr>
            <w:tcW w:w="220" w:type="dxa"/>
            <w:vAlign w:val="bottom"/>
            <w:tcBorders>
              <w:top w:val="single" w:sz="8" w:color="ECECED"/>
              <w:bottom w:val="single" w:sz="8" w:color="949599"/>
            </w:tcBorders>
            <w:shd w:val="clear" w:color="auto" w:fill="ECECED"/>
          </w:tcPr>
          <w:p>
            <w:pPr>
              <w:spacing w:after="0"/>
              <w:rPr>
                <w:sz w:val="12"/>
                <w:szCs w:val="12"/>
                <w:color w:val="auto"/>
              </w:rPr>
            </w:pPr>
          </w:p>
        </w:tc>
        <w:tc>
          <w:tcPr>
            <w:tcW w:w="780" w:type="dxa"/>
            <w:vAlign w:val="bottom"/>
            <w:tcBorders>
              <w:top w:val="single" w:sz="8" w:color="949599"/>
              <w:bottom w:val="single" w:sz="8" w:color="949599"/>
            </w:tcBorders>
            <w:shd w:val="clear" w:color="auto" w:fill="ECECED"/>
          </w:tcPr>
          <w:p>
            <w:pPr>
              <w:jc w:val="right"/>
              <w:ind w:right="152"/>
              <w:spacing w:after="0" w:line="149" w:lineRule="exact"/>
              <w:rPr>
                <w:sz w:val="20"/>
                <w:szCs w:val="20"/>
                <w:color w:val="auto"/>
              </w:rPr>
            </w:pPr>
            <w:r>
              <w:rPr>
                <w:rFonts w:ascii="Arial" w:cs="Arial" w:eastAsia="Arial" w:hAnsi="Arial"/>
                <w:sz w:val="14"/>
                <w:szCs w:val="14"/>
                <w:color w:val="auto"/>
              </w:rPr>
              <w:t>2021</w:t>
            </w:r>
          </w:p>
        </w:tc>
        <w:tc>
          <w:tcPr>
            <w:tcW w:w="960" w:type="dxa"/>
            <w:vAlign w:val="bottom"/>
            <w:tcBorders>
              <w:top w:val="single" w:sz="8" w:color="949599"/>
              <w:bottom w:val="single" w:sz="8" w:color="949599"/>
            </w:tcBorders>
            <w:shd w:val="clear" w:color="auto" w:fill="ECECED"/>
          </w:tcPr>
          <w:p>
            <w:pPr>
              <w:jc w:val="right"/>
              <w:ind w:right="92"/>
              <w:spacing w:after="0" w:line="149" w:lineRule="exact"/>
              <w:rPr>
                <w:sz w:val="20"/>
                <w:szCs w:val="20"/>
                <w:color w:val="auto"/>
              </w:rPr>
            </w:pPr>
            <w:r>
              <w:rPr>
                <w:rFonts w:ascii="Arial" w:cs="Arial" w:eastAsia="Arial" w:hAnsi="Arial"/>
                <w:sz w:val="14"/>
                <w:szCs w:val="14"/>
                <w:color w:val="auto"/>
              </w:rPr>
              <w:t>822,800</w:t>
            </w:r>
          </w:p>
        </w:tc>
        <w:tc>
          <w:tcPr>
            <w:tcW w:w="1000" w:type="dxa"/>
            <w:vAlign w:val="bottom"/>
            <w:tcBorders>
              <w:top w:val="single" w:sz="8" w:color="949599"/>
              <w:bottom w:val="single" w:sz="8" w:color="949599"/>
            </w:tcBorders>
            <w:shd w:val="clear" w:color="auto" w:fill="ECECED"/>
          </w:tcPr>
          <w:p>
            <w:pPr>
              <w:jc w:val="right"/>
              <w:ind w:right="72"/>
              <w:spacing w:after="0" w:line="149" w:lineRule="exact"/>
              <w:rPr>
                <w:sz w:val="20"/>
                <w:szCs w:val="20"/>
                <w:color w:val="auto"/>
              </w:rPr>
            </w:pPr>
            <w:r>
              <w:rPr>
                <w:rFonts w:ascii="Arial" w:cs="Arial" w:eastAsia="Arial" w:hAnsi="Arial"/>
                <w:sz w:val="14"/>
                <w:szCs w:val="14"/>
                <w:color w:val="auto"/>
              </w:rPr>
              <w:t>2,799,882</w:t>
            </w:r>
          </w:p>
        </w:tc>
        <w:tc>
          <w:tcPr>
            <w:tcW w:w="980" w:type="dxa"/>
            <w:vAlign w:val="bottom"/>
            <w:tcBorders>
              <w:top w:val="single" w:sz="8" w:color="949599"/>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4,199,871</w:t>
            </w:r>
          </w:p>
        </w:tc>
        <w:tc>
          <w:tcPr>
            <w:tcW w:w="1120" w:type="dxa"/>
            <w:vAlign w:val="bottom"/>
            <w:tcBorders>
              <w:top w:val="single" w:sz="8" w:color="949599"/>
              <w:bottom w:val="single" w:sz="8" w:color="949599"/>
            </w:tcBorders>
            <w:shd w:val="clear" w:color="auto" w:fill="ECECED"/>
          </w:tcPr>
          <w:p>
            <w:pPr>
              <w:jc w:val="right"/>
              <w:ind w:right="72"/>
              <w:spacing w:after="0" w:line="149" w:lineRule="exact"/>
              <w:rPr>
                <w:sz w:val="20"/>
                <w:szCs w:val="20"/>
                <w:color w:val="auto"/>
              </w:rPr>
            </w:pPr>
            <w:r>
              <w:rPr>
                <w:rFonts w:ascii="Arial" w:cs="Arial" w:eastAsia="Arial" w:hAnsi="Arial"/>
                <w:sz w:val="14"/>
                <w:szCs w:val="14"/>
                <w:color w:val="auto"/>
              </w:rPr>
              <w:t>930,587</w:t>
            </w:r>
          </w:p>
        </w:tc>
        <w:tc>
          <w:tcPr>
            <w:tcW w:w="1260" w:type="dxa"/>
            <w:vAlign w:val="bottom"/>
            <w:tcBorders>
              <w:top w:val="single" w:sz="8" w:color="949599"/>
              <w:bottom w:val="single" w:sz="8" w:color="949599"/>
            </w:tcBorders>
            <w:shd w:val="clear" w:color="auto" w:fill="ECECED"/>
          </w:tcPr>
          <w:p>
            <w:pPr>
              <w:jc w:val="right"/>
              <w:ind w:right="193"/>
              <w:spacing w:after="0" w:line="149" w:lineRule="exact"/>
              <w:rPr>
                <w:sz w:val="20"/>
                <w:szCs w:val="20"/>
                <w:color w:val="auto"/>
              </w:rPr>
            </w:pPr>
            <w:r>
              <w:rPr>
                <w:rFonts w:ascii="Arial" w:cs="Arial" w:eastAsia="Arial" w:hAnsi="Arial"/>
                <w:sz w:val="14"/>
                <w:szCs w:val="14"/>
                <w:color w:val="auto"/>
              </w:rPr>
              <w:t>20,950</w:t>
            </w:r>
          </w:p>
        </w:tc>
        <w:tc>
          <w:tcPr>
            <w:tcW w:w="860" w:type="dxa"/>
            <w:vAlign w:val="bottom"/>
            <w:tcBorders>
              <w:top w:val="single" w:sz="8" w:color="949599"/>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8,774,090</w:t>
            </w:r>
          </w:p>
        </w:tc>
        <w:tc>
          <w:tcPr>
            <w:tcW w:w="0" w:type="dxa"/>
            <w:vAlign w:val="bottom"/>
          </w:tcPr>
          <w:p>
            <w:pPr>
              <w:spacing w:after="0"/>
              <w:rPr>
                <w:sz w:val="1"/>
                <w:szCs w:val="1"/>
                <w:color w:val="auto"/>
              </w:rPr>
            </w:pPr>
          </w:p>
        </w:tc>
      </w:tr>
      <w:tr>
        <w:trPr>
          <w:trHeight w:val="183"/>
        </w:trPr>
        <w:tc>
          <w:tcPr>
            <w:tcW w:w="4080" w:type="dxa"/>
            <w:vAlign w:val="bottom"/>
          </w:tcPr>
          <w:p>
            <w:pPr>
              <w:ind w:left="40"/>
              <w:spacing w:after="0"/>
              <w:rPr>
                <w:sz w:val="20"/>
                <w:szCs w:val="20"/>
                <w:color w:val="auto"/>
              </w:rPr>
            </w:pPr>
            <w:r>
              <w:rPr>
                <w:rFonts w:ascii="Arial" w:cs="Arial" w:eastAsia="Arial" w:hAnsi="Arial"/>
                <w:sz w:val="14"/>
                <w:szCs w:val="14"/>
                <w:b w:val="1"/>
                <w:bCs w:val="1"/>
                <w:color w:val="215AA8"/>
              </w:rPr>
              <w:t>Andrew J. Murphy, Ph.D.</w:t>
            </w:r>
          </w:p>
        </w:tc>
        <w:tc>
          <w:tcPr>
            <w:tcW w:w="1000" w:type="dxa"/>
            <w:vAlign w:val="bottom"/>
            <w:gridSpan w:val="2"/>
          </w:tcPr>
          <w:p>
            <w:pPr>
              <w:jc w:val="right"/>
              <w:ind w:right="152"/>
              <w:spacing w:after="0"/>
              <w:rPr>
                <w:sz w:val="20"/>
                <w:szCs w:val="20"/>
                <w:color w:val="auto"/>
              </w:rPr>
            </w:pPr>
            <w:r>
              <w:rPr>
                <w:rFonts w:ascii="Arial" w:cs="Arial" w:eastAsia="Arial" w:hAnsi="Arial"/>
                <w:sz w:val="14"/>
                <w:szCs w:val="14"/>
                <w:color w:val="auto"/>
              </w:rPr>
              <w:t>2023</w:t>
            </w:r>
          </w:p>
        </w:tc>
        <w:tc>
          <w:tcPr>
            <w:tcW w:w="960" w:type="dxa"/>
            <w:vAlign w:val="bottom"/>
          </w:tcPr>
          <w:p>
            <w:pPr>
              <w:jc w:val="right"/>
              <w:ind w:right="92"/>
              <w:spacing w:after="0"/>
              <w:rPr>
                <w:sz w:val="20"/>
                <w:szCs w:val="20"/>
                <w:color w:val="auto"/>
              </w:rPr>
            </w:pPr>
            <w:r>
              <w:rPr>
                <w:rFonts w:ascii="Arial" w:cs="Arial" w:eastAsia="Arial" w:hAnsi="Arial"/>
                <w:sz w:val="14"/>
                <w:szCs w:val="14"/>
                <w:color w:val="auto"/>
              </w:rPr>
              <w:t>776,250</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2,699,284</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4,049,638</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877,939</w:t>
            </w:r>
          </w:p>
        </w:tc>
        <w:tc>
          <w:tcPr>
            <w:tcW w:w="1260" w:type="dxa"/>
            <w:vAlign w:val="bottom"/>
          </w:tcPr>
          <w:p>
            <w:pPr>
              <w:jc w:val="right"/>
              <w:ind w:right="133"/>
              <w:spacing w:after="0" w:line="183" w:lineRule="exact"/>
              <w:rPr>
                <w:sz w:val="20"/>
                <w:szCs w:val="20"/>
                <w:color w:val="auto"/>
              </w:rPr>
            </w:pPr>
            <w:r>
              <w:rPr>
                <w:rFonts w:ascii="Arial" w:cs="Arial" w:eastAsia="Arial" w:hAnsi="Arial"/>
                <w:sz w:val="13"/>
                <w:szCs w:val="13"/>
                <w:color w:val="auto"/>
              </w:rPr>
              <w:t>26,200</w:t>
            </w:r>
            <w:r>
              <w:rPr>
                <w:rFonts w:ascii="Arial" w:cs="Arial" w:eastAsia="Arial" w:hAnsi="Arial"/>
                <w:sz w:val="21"/>
                <w:szCs w:val="21"/>
                <w:color w:val="auto"/>
                <w:vertAlign w:val="superscript"/>
              </w:rPr>
              <w:t>6</w:t>
            </w:r>
          </w:p>
        </w:tc>
        <w:tc>
          <w:tcPr>
            <w:tcW w:w="860" w:type="dxa"/>
            <w:vAlign w:val="bottom"/>
          </w:tcPr>
          <w:p>
            <w:pPr>
              <w:jc w:val="right"/>
              <w:spacing w:after="0"/>
              <w:rPr>
                <w:sz w:val="20"/>
                <w:szCs w:val="20"/>
                <w:color w:val="auto"/>
              </w:rPr>
            </w:pPr>
            <w:r>
              <w:rPr>
                <w:rFonts w:ascii="Arial" w:cs="Arial" w:eastAsia="Arial" w:hAnsi="Arial"/>
                <w:sz w:val="14"/>
                <w:szCs w:val="14"/>
                <w:color w:val="auto"/>
              </w:rPr>
              <w:t>8,429,311</w:t>
            </w:r>
          </w:p>
        </w:tc>
        <w:tc>
          <w:tcPr>
            <w:tcW w:w="0" w:type="dxa"/>
            <w:vAlign w:val="bottom"/>
          </w:tcPr>
          <w:p>
            <w:pPr>
              <w:spacing w:after="0"/>
              <w:rPr>
                <w:sz w:val="1"/>
                <w:szCs w:val="1"/>
                <w:color w:val="auto"/>
              </w:rPr>
            </w:pPr>
          </w:p>
        </w:tc>
      </w:tr>
      <w:tr>
        <w:trPr>
          <w:trHeight w:val="149"/>
        </w:trPr>
        <w:tc>
          <w:tcPr>
            <w:tcW w:w="4080" w:type="dxa"/>
            <w:vAlign w:val="bottom"/>
          </w:tcPr>
          <w:p>
            <w:pPr>
              <w:ind w:left="40"/>
              <w:spacing w:after="0" w:line="149" w:lineRule="exact"/>
              <w:rPr>
                <w:sz w:val="20"/>
                <w:szCs w:val="20"/>
                <w:color w:val="auto"/>
              </w:rPr>
            </w:pPr>
            <w:r>
              <w:rPr>
                <w:rFonts w:ascii="Arial" w:cs="Arial" w:eastAsia="Arial" w:hAnsi="Arial"/>
                <w:sz w:val="14"/>
                <w:szCs w:val="14"/>
                <w:color w:val="auto"/>
              </w:rPr>
              <w:t>Executive Vice President, Research</w:t>
            </w:r>
          </w:p>
        </w:tc>
        <w:tc>
          <w:tcPr>
            <w:tcW w:w="220" w:type="dxa"/>
            <w:vAlign w:val="bottom"/>
          </w:tcPr>
          <w:p>
            <w:pPr>
              <w:spacing w:after="0"/>
              <w:rPr>
                <w:sz w:val="12"/>
                <w:szCs w:val="12"/>
                <w:color w:val="auto"/>
              </w:rPr>
            </w:pPr>
          </w:p>
        </w:tc>
        <w:tc>
          <w:tcPr>
            <w:tcW w:w="780" w:type="dxa"/>
            <w:vAlign w:val="bottom"/>
            <w:tcBorders>
              <w:top w:val="single" w:sz="8" w:color="949599"/>
              <w:bottom w:val="single" w:sz="8" w:color="949599"/>
            </w:tcBorders>
          </w:tcPr>
          <w:p>
            <w:pPr>
              <w:jc w:val="right"/>
              <w:ind w:right="152"/>
              <w:spacing w:after="0" w:line="149" w:lineRule="exact"/>
              <w:rPr>
                <w:sz w:val="20"/>
                <w:szCs w:val="20"/>
                <w:color w:val="auto"/>
              </w:rPr>
            </w:pPr>
            <w:r>
              <w:rPr>
                <w:rFonts w:ascii="Arial" w:cs="Arial" w:eastAsia="Arial" w:hAnsi="Arial"/>
                <w:sz w:val="14"/>
                <w:szCs w:val="14"/>
                <w:color w:val="auto"/>
              </w:rPr>
              <w:t>2022</w:t>
            </w:r>
          </w:p>
        </w:tc>
        <w:tc>
          <w:tcPr>
            <w:tcW w:w="960" w:type="dxa"/>
            <w:vAlign w:val="bottom"/>
            <w:tcBorders>
              <w:top w:val="single" w:sz="8" w:color="949599"/>
              <w:bottom w:val="single" w:sz="8" w:color="949599"/>
            </w:tcBorders>
          </w:tcPr>
          <w:p>
            <w:pPr>
              <w:jc w:val="right"/>
              <w:ind w:right="92"/>
              <w:spacing w:after="0" w:line="149" w:lineRule="exact"/>
              <w:rPr>
                <w:sz w:val="20"/>
                <w:szCs w:val="20"/>
                <w:color w:val="auto"/>
              </w:rPr>
            </w:pPr>
            <w:r>
              <w:rPr>
                <w:rFonts w:ascii="Arial" w:cs="Arial" w:eastAsia="Arial" w:hAnsi="Arial"/>
                <w:sz w:val="14"/>
                <w:szCs w:val="14"/>
                <w:color w:val="auto"/>
              </w:rPr>
              <w:t>750,000</w:t>
            </w:r>
          </w:p>
        </w:tc>
        <w:tc>
          <w:tcPr>
            <w:tcW w:w="1000" w:type="dxa"/>
            <w:vAlign w:val="bottom"/>
            <w:tcBorders>
              <w:top w:val="single" w:sz="8" w:color="949599"/>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2,999,842</w:t>
            </w:r>
          </w:p>
        </w:tc>
        <w:tc>
          <w:tcPr>
            <w:tcW w:w="980" w:type="dxa"/>
            <w:vAlign w:val="bottom"/>
            <w:tcBorders>
              <w:top w:val="single" w:sz="8" w:color="949599"/>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4,499,737</w:t>
            </w:r>
          </w:p>
        </w:tc>
        <w:tc>
          <w:tcPr>
            <w:tcW w:w="1120" w:type="dxa"/>
            <w:vAlign w:val="bottom"/>
            <w:tcBorders>
              <w:top w:val="single" w:sz="8" w:color="949599"/>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848,250</w:t>
            </w:r>
          </w:p>
        </w:tc>
        <w:tc>
          <w:tcPr>
            <w:tcW w:w="1260" w:type="dxa"/>
            <w:vAlign w:val="bottom"/>
            <w:tcBorders>
              <w:top w:val="single" w:sz="8" w:color="949599"/>
              <w:bottom w:val="single" w:sz="8" w:color="949599"/>
            </w:tcBorders>
          </w:tcPr>
          <w:p>
            <w:pPr>
              <w:jc w:val="right"/>
              <w:ind w:right="193"/>
              <w:spacing w:after="0" w:line="149" w:lineRule="exact"/>
              <w:rPr>
                <w:sz w:val="20"/>
                <w:szCs w:val="20"/>
                <w:color w:val="auto"/>
              </w:rPr>
            </w:pPr>
            <w:r>
              <w:rPr>
                <w:rFonts w:ascii="Arial" w:cs="Arial" w:eastAsia="Arial" w:hAnsi="Arial"/>
                <w:sz w:val="14"/>
                <w:szCs w:val="14"/>
                <w:color w:val="auto"/>
              </w:rPr>
              <w:t>24,700</w:t>
            </w:r>
          </w:p>
        </w:tc>
        <w:tc>
          <w:tcPr>
            <w:tcW w:w="860" w:type="dxa"/>
            <w:vAlign w:val="bottom"/>
            <w:tcBorders>
              <w:top w:val="single" w:sz="8" w:color="949599"/>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9,122,529</w:t>
            </w:r>
          </w:p>
        </w:tc>
        <w:tc>
          <w:tcPr>
            <w:tcW w:w="0" w:type="dxa"/>
            <w:vAlign w:val="bottom"/>
          </w:tcPr>
          <w:p>
            <w:pPr>
              <w:spacing w:after="0"/>
              <w:rPr>
                <w:sz w:val="1"/>
                <w:szCs w:val="1"/>
                <w:color w:val="auto"/>
              </w:rPr>
            </w:pPr>
          </w:p>
        </w:tc>
      </w:tr>
      <w:tr>
        <w:trPr>
          <w:trHeight w:val="151"/>
        </w:trPr>
        <w:tc>
          <w:tcPr>
            <w:tcW w:w="4080" w:type="dxa"/>
            <w:vAlign w:val="bottom"/>
            <w:tcBorders>
              <w:bottom w:val="single" w:sz="8" w:color="215AA8"/>
            </w:tcBorders>
          </w:tcPr>
          <w:p>
            <w:pPr>
              <w:spacing w:after="0"/>
              <w:rPr>
                <w:sz w:val="13"/>
                <w:szCs w:val="13"/>
                <w:color w:val="auto"/>
              </w:rPr>
            </w:pPr>
          </w:p>
        </w:tc>
        <w:tc>
          <w:tcPr>
            <w:tcW w:w="220" w:type="dxa"/>
            <w:vAlign w:val="bottom"/>
            <w:tcBorders>
              <w:bottom w:val="single" w:sz="8" w:color="215AA8"/>
            </w:tcBorders>
          </w:tcPr>
          <w:p>
            <w:pPr>
              <w:spacing w:after="0"/>
              <w:rPr>
                <w:sz w:val="13"/>
                <w:szCs w:val="13"/>
                <w:color w:val="auto"/>
              </w:rPr>
            </w:pPr>
          </w:p>
        </w:tc>
        <w:tc>
          <w:tcPr>
            <w:tcW w:w="780" w:type="dxa"/>
            <w:vAlign w:val="bottom"/>
            <w:tcBorders>
              <w:bottom w:val="single" w:sz="8" w:color="215AA8"/>
            </w:tcBorders>
          </w:tcPr>
          <w:p>
            <w:pPr>
              <w:jc w:val="right"/>
              <w:ind w:right="152"/>
              <w:spacing w:after="0" w:line="149" w:lineRule="exact"/>
              <w:rPr>
                <w:sz w:val="20"/>
                <w:szCs w:val="20"/>
                <w:color w:val="auto"/>
              </w:rPr>
            </w:pPr>
            <w:r>
              <w:rPr>
                <w:rFonts w:ascii="Arial" w:cs="Arial" w:eastAsia="Arial" w:hAnsi="Arial"/>
                <w:sz w:val="14"/>
                <w:szCs w:val="14"/>
                <w:color w:val="auto"/>
              </w:rPr>
              <w:t>2021</w:t>
            </w:r>
          </w:p>
        </w:tc>
        <w:tc>
          <w:tcPr>
            <w:tcW w:w="960" w:type="dxa"/>
            <w:vAlign w:val="bottom"/>
            <w:tcBorders>
              <w:bottom w:val="single" w:sz="8" w:color="215AA8"/>
            </w:tcBorders>
          </w:tcPr>
          <w:p>
            <w:pPr>
              <w:jc w:val="right"/>
              <w:ind w:right="92"/>
              <w:spacing w:after="0" w:line="149" w:lineRule="exact"/>
              <w:rPr>
                <w:sz w:val="20"/>
                <w:szCs w:val="20"/>
                <w:color w:val="auto"/>
              </w:rPr>
            </w:pPr>
            <w:r>
              <w:rPr>
                <w:rFonts w:ascii="Arial" w:cs="Arial" w:eastAsia="Arial" w:hAnsi="Arial"/>
                <w:sz w:val="14"/>
                <w:szCs w:val="14"/>
                <w:color w:val="auto"/>
              </w:rPr>
              <w:t>724,500</w:t>
            </w:r>
          </w:p>
        </w:tc>
        <w:tc>
          <w:tcPr>
            <w:tcW w:w="1000" w:type="dxa"/>
            <w:vAlign w:val="bottom"/>
            <w:tcBorders>
              <w:bottom w:val="single" w:sz="8" w:color="215AA8"/>
            </w:tcBorders>
          </w:tcPr>
          <w:p>
            <w:pPr>
              <w:jc w:val="right"/>
              <w:ind w:right="72"/>
              <w:spacing w:after="0" w:line="149" w:lineRule="exact"/>
              <w:rPr>
                <w:sz w:val="20"/>
                <w:szCs w:val="20"/>
                <w:color w:val="auto"/>
              </w:rPr>
            </w:pPr>
            <w:r>
              <w:rPr>
                <w:rFonts w:ascii="Arial" w:cs="Arial" w:eastAsia="Arial" w:hAnsi="Arial"/>
                <w:sz w:val="14"/>
                <w:szCs w:val="14"/>
                <w:color w:val="auto"/>
              </w:rPr>
              <w:t>2,231,397</w:t>
            </w:r>
          </w:p>
        </w:tc>
        <w:tc>
          <w:tcPr>
            <w:tcW w:w="980" w:type="dxa"/>
            <w:vAlign w:val="bottom"/>
            <w:tcBorders>
              <w:bottom w:val="single" w:sz="8" w:color="215AA8"/>
            </w:tcBorders>
          </w:tcPr>
          <w:p>
            <w:pPr>
              <w:jc w:val="right"/>
              <w:ind w:right="52"/>
              <w:spacing w:after="0" w:line="149" w:lineRule="exact"/>
              <w:rPr>
                <w:sz w:val="20"/>
                <w:szCs w:val="20"/>
                <w:color w:val="auto"/>
              </w:rPr>
            </w:pPr>
            <w:r>
              <w:rPr>
                <w:rFonts w:ascii="Arial" w:cs="Arial" w:eastAsia="Arial" w:hAnsi="Arial"/>
                <w:sz w:val="14"/>
                <w:szCs w:val="14"/>
                <w:color w:val="auto"/>
              </w:rPr>
              <w:t>3,347,323</w:t>
            </w:r>
          </w:p>
        </w:tc>
        <w:tc>
          <w:tcPr>
            <w:tcW w:w="1120" w:type="dxa"/>
            <w:vAlign w:val="bottom"/>
            <w:tcBorders>
              <w:bottom w:val="single" w:sz="8" w:color="215AA8"/>
            </w:tcBorders>
          </w:tcPr>
          <w:p>
            <w:pPr>
              <w:jc w:val="right"/>
              <w:ind w:right="72"/>
              <w:spacing w:after="0" w:line="149" w:lineRule="exact"/>
              <w:rPr>
                <w:sz w:val="20"/>
                <w:szCs w:val="20"/>
                <w:color w:val="auto"/>
              </w:rPr>
            </w:pPr>
            <w:r>
              <w:rPr>
                <w:rFonts w:ascii="Arial" w:cs="Arial" w:eastAsia="Arial" w:hAnsi="Arial"/>
                <w:sz w:val="14"/>
                <w:szCs w:val="14"/>
                <w:color w:val="auto"/>
              </w:rPr>
              <w:t>819,410</w:t>
            </w:r>
          </w:p>
        </w:tc>
        <w:tc>
          <w:tcPr>
            <w:tcW w:w="1260" w:type="dxa"/>
            <w:vAlign w:val="bottom"/>
            <w:tcBorders>
              <w:bottom w:val="single" w:sz="8" w:color="215AA8"/>
            </w:tcBorders>
          </w:tcPr>
          <w:p>
            <w:pPr>
              <w:jc w:val="right"/>
              <w:ind w:right="193"/>
              <w:spacing w:after="0" w:line="149" w:lineRule="exact"/>
              <w:rPr>
                <w:sz w:val="20"/>
                <w:szCs w:val="20"/>
                <w:color w:val="auto"/>
              </w:rPr>
            </w:pPr>
            <w:r>
              <w:rPr>
                <w:rFonts w:ascii="Arial" w:cs="Arial" w:eastAsia="Arial" w:hAnsi="Arial"/>
                <w:sz w:val="14"/>
                <w:szCs w:val="14"/>
                <w:color w:val="auto"/>
              </w:rPr>
              <w:t>24,200</w:t>
            </w:r>
          </w:p>
        </w:tc>
        <w:tc>
          <w:tcPr>
            <w:tcW w:w="860" w:type="dxa"/>
            <w:vAlign w:val="bottom"/>
            <w:tcBorders>
              <w:bottom w:val="single" w:sz="8" w:color="215AA8"/>
            </w:tcBorders>
          </w:tcPr>
          <w:p>
            <w:pPr>
              <w:jc w:val="right"/>
              <w:spacing w:after="0" w:line="149" w:lineRule="exact"/>
              <w:rPr>
                <w:sz w:val="20"/>
                <w:szCs w:val="20"/>
                <w:color w:val="auto"/>
              </w:rPr>
            </w:pPr>
            <w:r>
              <w:rPr>
                <w:rFonts w:ascii="Arial" w:cs="Arial" w:eastAsia="Arial" w:hAnsi="Arial"/>
                <w:sz w:val="14"/>
                <w:szCs w:val="14"/>
                <w:color w:val="auto"/>
              </w:rPr>
              <w:t>7,146,830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70" w:hanging="270"/>
        <w:spacing w:after="0" w:line="203" w:lineRule="auto"/>
        <w:tabs>
          <w:tab w:leader="none" w:pos="270" w:val="left"/>
        </w:tabs>
        <w:numPr>
          <w:ilvl w:val="0"/>
          <w:numId w:val="132"/>
        </w:numPr>
        <w:rPr>
          <w:rFonts w:ascii="Arial" w:cs="Arial" w:eastAsia="Arial" w:hAnsi="Arial"/>
          <w:sz w:val="20"/>
          <w:szCs w:val="20"/>
          <w:color w:val="auto"/>
          <w:vertAlign w:val="superscript"/>
        </w:rPr>
      </w:pPr>
      <w:r>
        <w:rPr>
          <w:rFonts w:ascii="Arial" w:cs="Arial" w:eastAsia="Arial" w:hAnsi="Arial"/>
          <w:sz w:val="12"/>
          <w:szCs w:val="12"/>
          <w:color w:val="auto"/>
        </w:rPr>
        <w:t>The amounts in columns E and F reflect the respective aggregate grant date fair values (disregarding estimated forfeitures) of RSAs and stock option awards granted in 2023, 2022, and 2021, respectively, pursuant to the Second Amended and Restated Regeneron Pharmaceuticals, Inc. 2014 Long-Term Incentive Plan. Valuation assumptions and methodologies used in the calculation of these amounts for 2023 are included in Note 13 to the Company’s audited financial statements for the fiscal year ended December 31, 2023, included in the 2023 Annual Report.</w:t>
      </w:r>
    </w:p>
    <w:p>
      <w:pPr>
        <w:spacing w:after="0" w:line="22" w:lineRule="exact"/>
        <w:rPr>
          <w:sz w:val="20"/>
          <w:szCs w:val="20"/>
          <w:color w:val="auto"/>
        </w:rPr>
      </w:pPr>
    </w:p>
    <w:p>
      <w:pPr>
        <w:ind w:left="270" w:right="160" w:hanging="270"/>
        <w:spacing w:after="0" w:line="191" w:lineRule="auto"/>
        <w:tabs>
          <w:tab w:leader="none" w:pos="270" w:val="left"/>
        </w:tabs>
        <w:numPr>
          <w:ilvl w:val="0"/>
          <w:numId w:val="133"/>
        </w:numPr>
        <w:rPr>
          <w:rFonts w:ascii="Arial" w:cs="Arial" w:eastAsia="Arial" w:hAnsi="Arial"/>
          <w:sz w:val="20"/>
          <w:szCs w:val="20"/>
          <w:color w:val="auto"/>
          <w:vertAlign w:val="superscript"/>
        </w:rPr>
      </w:pPr>
      <w:r>
        <w:rPr>
          <w:rFonts w:ascii="Arial" w:cs="Arial" w:eastAsia="Arial" w:hAnsi="Arial"/>
          <w:sz w:val="12"/>
          <w:szCs w:val="12"/>
          <w:color w:val="auto"/>
        </w:rPr>
        <w:t>Non-equity incentive plan compensation amounts (consisting of cash incentives paid to the NEOs in respect of the relevant year under the Regeneron Pharmaceuticals, Inc. Cash Incentive Bonus Plan) are shown in the year in which they were accrued and earned.</w:t>
      </w:r>
    </w:p>
    <w:p>
      <w:pPr>
        <w:spacing w:after="0" w:line="22" w:lineRule="exact"/>
        <w:rPr>
          <w:sz w:val="20"/>
          <w:szCs w:val="20"/>
          <w:color w:val="auto"/>
        </w:rPr>
      </w:pPr>
    </w:p>
    <w:p>
      <w:pPr>
        <w:ind w:left="270" w:right="40" w:hanging="270"/>
        <w:spacing w:after="0" w:line="191" w:lineRule="auto"/>
        <w:tabs>
          <w:tab w:leader="none" w:pos="270" w:val="left"/>
        </w:tabs>
        <w:numPr>
          <w:ilvl w:val="0"/>
          <w:numId w:val="134"/>
        </w:numPr>
        <w:rPr>
          <w:rFonts w:ascii="Arial" w:cs="Arial" w:eastAsia="Arial" w:hAnsi="Arial"/>
          <w:sz w:val="20"/>
          <w:szCs w:val="20"/>
          <w:color w:val="auto"/>
          <w:vertAlign w:val="superscript"/>
        </w:rPr>
      </w:pPr>
      <w:r>
        <w:rPr>
          <w:rFonts w:ascii="Arial" w:cs="Arial" w:eastAsia="Arial" w:hAnsi="Arial"/>
          <w:sz w:val="12"/>
          <w:szCs w:val="12"/>
          <w:color w:val="auto"/>
        </w:rPr>
        <w:t>See the subsection “Additional Compensation Information—Perquisites and Personal Benefits” below for further information. Certain 2023 perquisites and other personal benefits are quantified for each of the NEOs in the footnotes to this table below based on the actual additional cost incurred by us in providing the perquisite or other personal benefit.</w:t>
      </w:r>
    </w:p>
    <w:p>
      <w:pPr>
        <w:spacing w:after="0" w:line="22" w:lineRule="exact"/>
        <w:rPr>
          <w:sz w:val="20"/>
          <w:szCs w:val="20"/>
          <w:color w:val="auto"/>
        </w:rPr>
      </w:pPr>
    </w:p>
    <w:p>
      <w:pPr>
        <w:ind w:left="270" w:right="80" w:hanging="270"/>
        <w:spacing w:after="0" w:line="219" w:lineRule="auto"/>
        <w:tabs>
          <w:tab w:leader="none" w:pos="270" w:val="left"/>
        </w:tabs>
        <w:numPr>
          <w:ilvl w:val="0"/>
          <w:numId w:val="135"/>
        </w:numPr>
        <w:rPr>
          <w:rFonts w:ascii="Arial" w:cs="Arial" w:eastAsia="Arial" w:hAnsi="Arial"/>
          <w:sz w:val="20"/>
          <w:szCs w:val="20"/>
          <w:color w:val="auto"/>
          <w:vertAlign w:val="superscript"/>
        </w:rPr>
      </w:pPr>
      <w:r>
        <w:rPr>
          <w:rFonts w:ascii="Arial" w:cs="Arial" w:eastAsia="Arial" w:hAnsi="Arial"/>
          <w:sz w:val="12"/>
          <w:szCs w:val="12"/>
          <w:color w:val="auto"/>
        </w:rPr>
        <w:t>Consists of (i) $20,724 for life insurance premiums, (ii) $8,465 for disability insurance premiums, (iii) $28,822 for medical malpractice insurance premiums, (iv) $15,000 for 401(k) Savings Plan matching contributions in respect of 2023, (v) $11,200 for tax and financial planning advisory services, (vi) $400,000 for fees the Company paid on behalf of Dr. Schleifer associated with a filing required to be made by Dr. Schleifer under the Hart-Scott-Rodino Antitrust Improvements Act of 1976, as amended, which related to anticipated acquisitions by Dr. Schleifer of common stock upon the vesting of PSU awards and/or the exercise of his stock options (as described further in the subsection “Additional Compensation Information–Perquisites and Personal Benefits” below), (vii) $417,160 for a tax reimbursement related to the fees referenced in (vi), (viii) $250,000 for personal use of Company-provided aircraft, and (ix) $881,606 for security services (consisting of secure car transportation and personal and residential security services) (in the case of clauses (viii) and (ix), in accordance with our security policy and calculated as described in the subsection “Additional Compensation Information—Perquisites and Personal Benefits” below).</w:t>
      </w:r>
    </w:p>
    <w:p>
      <w:pPr>
        <w:spacing w:after="0" w:line="25" w:lineRule="exact"/>
        <w:rPr>
          <w:sz w:val="20"/>
          <w:szCs w:val="20"/>
          <w:color w:val="auto"/>
        </w:rPr>
      </w:pPr>
    </w:p>
    <w:p>
      <w:pPr>
        <w:ind w:left="270" w:right="20" w:hanging="270"/>
        <w:spacing w:after="0" w:line="217" w:lineRule="auto"/>
        <w:tabs>
          <w:tab w:leader="none" w:pos="270" w:val="left"/>
        </w:tabs>
        <w:numPr>
          <w:ilvl w:val="0"/>
          <w:numId w:val="136"/>
        </w:numPr>
        <w:rPr>
          <w:rFonts w:ascii="Arial" w:cs="Arial" w:eastAsia="Arial" w:hAnsi="Arial"/>
          <w:sz w:val="20"/>
          <w:szCs w:val="20"/>
          <w:color w:val="auto"/>
          <w:vertAlign w:val="superscript"/>
        </w:rPr>
      </w:pPr>
      <w:r>
        <w:rPr>
          <w:rFonts w:ascii="Arial" w:cs="Arial" w:eastAsia="Arial" w:hAnsi="Arial"/>
          <w:sz w:val="12"/>
          <w:szCs w:val="12"/>
          <w:color w:val="auto"/>
        </w:rPr>
        <w:t>Consists of (i) $15,000 for 401(k) Savings Plan matching contributions in respect of 2023, (ii) $2,200 for tax and financial planning advisory services, (iii) $400,000 for fees the Company paid on behalf of Dr. Yancopoulos associated with a filing required to be made by Dr. Yancopoulos under the Hart-Scott-Rodino Antitrust Improvements Act of 1976, as amended, which related to anticipated acquisitions by Dr. Yancopoulos of common stock upon the vesting of PSU awards and/or the exercise of his stock options (as described further in the subsection “Additional Compensation Information–Perquisites and Personal Benefits” below), (iv) $417,160 for a tax reimbursement related to the fees referenced in (iii), (v) $62,578 for personal use of Company-provided aircraft, and (vi) $711,531 for security services (consisting of secure car transportation and personal and residential security services) (in the case of clauses (v) and (vi), in accordance with our security policy and calculated as described in the subsection “Additional Compensation Information—Perquisites and Personal Benefits” below).</w:t>
      </w:r>
    </w:p>
    <w:p>
      <w:pPr>
        <w:ind w:left="270" w:hanging="270"/>
        <w:spacing w:after="0" w:line="190" w:lineRule="auto"/>
        <w:tabs>
          <w:tab w:leader="none" w:pos="270" w:val="left"/>
        </w:tabs>
        <w:numPr>
          <w:ilvl w:val="0"/>
          <w:numId w:val="137"/>
        </w:numPr>
        <w:rPr>
          <w:rFonts w:ascii="Arial" w:cs="Arial" w:eastAsia="Arial" w:hAnsi="Arial"/>
          <w:sz w:val="20"/>
          <w:szCs w:val="20"/>
          <w:color w:val="auto"/>
          <w:vertAlign w:val="superscript"/>
        </w:rPr>
      </w:pPr>
      <w:r>
        <w:rPr>
          <w:rFonts w:ascii="Arial" w:cs="Arial" w:eastAsia="Arial" w:hAnsi="Arial"/>
          <w:sz w:val="12"/>
          <w:szCs w:val="12"/>
          <w:color w:val="auto"/>
        </w:rPr>
        <w:t>Consists of (i) $15,000 for 401(k) Savings Plan matching contributions in respect of 2023 and (ii) $11,200 for tax and financial planning advisory services.</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82</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2023 Grants of Plan-Based Awards</w:t>
      </w:r>
    </w:p>
    <w:p>
      <w:pPr>
        <w:spacing w:after="0" w:line="166"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The following table and explanatory footnotes provide information regarding the annual cash incentive and equity awards granted to our NEOs during 2023.</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3520" w:type="dxa"/>
            <w:vAlign w:val="bottom"/>
            <w:tcBorders>
              <w:bottom w:val="single" w:sz="8" w:color="215AA8"/>
            </w:tcBorders>
          </w:tcPr>
          <w:p>
            <w:pPr>
              <w:ind w:left="1720"/>
              <w:spacing w:after="0"/>
              <w:rPr>
                <w:sz w:val="20"/>
                <w:szCs w:val="20"/>
                <w:color w:val="auto"/>
              </w:rPr>
            </w:pPr>
            <w:r>
              <w:rPr>
                <w:rFonts w:ascii="Arial" w:cs="Arial" w:eastAsia="Arial" w:hAnsi="Arial"/>
                <w:sz w:val="14"/>
                <w:szCs w:val="14"/>
                <w:color w:val="215AA8"/>
              </w:rPr>
              <w:t>A</w:t>
            </w:r>
          </w:p>
        </w:tc>
        <w:tc>
          <w:tcPr>
            <w:tcW w:w="1320" w:type="dxa"/>
            <w:vAlign w:val="bottom"/>
            <w:tcBorders>
              <w:bottom w:val="single" w:sz="8" w:color="215AA8"/>
            </w:tcBorders>
          </w:tcPr>
          <w:p>
            <w:pPr>
              <w:jc w:val="right"/>
              <w:ind w:right="633"/>
              <w:spacing w:after="0"/>
              <w:rPr>
                <w:sz w:val="20"/>
                <w:szCs w:val="20"/>
                <w:color w:val="auto"/>
              </w:rPr>
            </w:pPr>
            <w:r>
              <w:rPr>
                <w:rFonts w:ascii="Arial" w:cs="Arial" w:eastAsia="Arial" w:hAnsi="Arial"/>
                <w:sz w:val="14"/>
                <w:szCs w:val="14"/>
                <w:color w:val="215AA8"/>
              </w:rPr>
              <w:t>B</w:t>
            </w:r>
          </w:p>
        </w:tc>
        <w:tc>
          <w:tcPr>
            <w:tcW w:w="720" w:type="dxa"/>
            <w:vAlign w:val="bottom"/>
            <w:tcBorders>
              <w:bottom w:val="single" w:sz="8" w:color="215AA8"/>
            </w:tcBorders>
          </w:tcPr>
          <w:p>
            <w:pPr>
              <w:jc w:val="right"/>
              <w:ind w:right="312"/>
              <w:spacing w:after="0"/>
              <w:rPr>
                <w:sz w:val="20"/>
                <w:szCs w:val="20"/>
                <w:color w:val="auto"/>
              </w:rPr>
            </w:pPr>
            <w:r>
              <w:rPr>
                <w:rFonts w:ascii="Arial" w:cs="Arial" w:eastAsia="Arial" w:hAnsi="Arial"/>
                <w:sz w:val="14"/>
                <w:szCs w:val="14"/>
                <w:color w:val="215AA8"/>
              </w:rPr>
              <w:t>C</w:t>
            </w:r>
          </w:p>
        </w:tc>
        <w:tc>
          <w:tcPr>
            <w:tcW w:w="820" w:type="dxa"/>
            <w:vAlign w:val="bottom"/>
            <w:tcBorders>
              <w:bottom w:val="single" w:sz="8" w:color="215AA8"/>
            </w:tcBorders>
          </w:tcPr>
          <w:p>
            <w:pPr>
              <w:jc w:val="center"/>
              <w:spacing w:after="0"/>
              <w:rPr>
                <w:sz w:val="20"/>
                <w:szCs w:val="20"/>
                <w:color w:val="auto"/>
              </w:rPr>
            </w:pPr>
            <w:r>
              <w:rPr>
                <w:rFonts w:ascii="Arial" w:cs="Arial" w:eastAsia="Arial" w:hAnsi="Arial"/>
                <w:sz w:val="14"/>
                <w:szCs w:val="14"/>
                <w:color w:val="215AA8"/>
                <w:w w:val="98"/>
              </w:rPr>
              <w:t>D</w:t>
            </w:r>
          </w:p>
        </w:tc>
        <w:tc>
          <w:tcPr>
            <w:tcW w:w="840" w:type="dxa"/>
            <w:vAlign w:val="bottom"/>
            <w:tcBorders>
              <w:bottom w:val="single" w:sz="8" w:color="215AA8"/>
            </w:tcBorders>
            <w:gridSpan w:val="2"/>
          </w:tcPr>
          <w:p>
            <w:pPr>
              <w:jc w:val="right"/>
              <w:ind w:right="380"/>
              <w:spacing w:after="0"/>
              <w:rPr>
                <w:sz w:val="20"/>
                <w:szCs w:val="20"/>
                <w:color w:val="auto"/>
              </w:rPr>
            </w:pPr>
            <w:r>
              <w:rPr>
                <w:rFonts w:ascii="Arial" w:cs="Arial" w:eastAsia="Arial" w:hAnsi="Arial"/>
                <w:sz w:val="14"/>
                <w:szCs w:val="14"/>
                <w:color w:val="215AA8"/>
              </w:rPr>
              <w:t>E</w:t>
            </w:r>
          </w:p>
        </w:tc>
        <w:tc>
          <w:tcPr>
            <w:tcW w:w="780" w:type="dxa"/>
            <w:vAlign w:val="bottom"/>
            <w:tcBorders>
              <w:bottom w:val="single" w:sz="8" w:color="215AA8"/>
            </w:tcBorders>
          </w:tcPr>
          <w:p>
            <w:pPr>
              <w:jc w:val="right"/>
              <w:ind w:right="312"/>
              <w:spacing w:after="0"/>
              <w:rPr>
                <w:sz w:val="20"/>
                <w:szCs w:val="20"/>
                <w:color w:val="auto"/>
              </w:rPr>
            </w:pPr>
            <w:r>
              <w:rPr>
                <w:rFonts w:ascii="Arial" w:cs="Arial" w:eastAsia="Arial" w:hAnsi="Arial"/>
                <w:sz w:val="14"/>
                <w:szCs w:val="14"/>
                <w:color w:val="215AA8"/>
              </w:rPr>
              <w:t>I</w:t>
            </w:r>
          </w:p>
        </w:tc>
        <w:tc>
          <w:tcPr>
            <w:tcW w:w="880" w:type="dxa"/>
            <w:vAlign w:val="bottom"/>
            <w:tcBorders>
              <w:bottom w:val="single" w:sz="8" w:color="215AA8"/>
            </w:tcBorders>
          </w:tcPr>
          <w:p>
            <w:pPr>
              <w:jc w:val="right"/>
              <w:ind w:right="352"/>
              <w:spacing w:after="0"/>
              <w:rPr>
                <w:sz w:val="20"/>
                <w:szCs w:val="20"/>
                <w:color w:val="auto"/>
              </w:rPr>
            </w:pPr>
            <w:r>
              <w:rPr>
                <w:rFonts w:ascii="Arial" w:cs="Arial" w:eastAsia="Arial" w:hAnsi="Arial"/>
                <w:sz w:val="14"/>
                <w:szCs w:val="14"/>
                <w:color w:val="215AA8"/>
              </w:rPr>
              <w:t>J</w:t>
            </w:r>
          </w:p>
        </w:tc>
        <w:tc>
          <w:tcPr>
            <w:tcW w:w="780" w:type="dxa"/>
            <w:vAlign w:val="bottom"/>
            <w:tcBorders>
              <w:bottom w:val="single" w:sz="8" w:color="215AA8"/>
            </w:tcBorders>
          </w:tcPr>
          <w:p>
            <w:pPr>
              <w:jc w:val="right"/>
              <w:ind w:right="292"/>
              <w:spacing w:after="0"/>
              <w:rPr>
                <w:sz w:val="20"/>
                <w:szCs w:val="20"/>
                <w:color w:val="auto"/>
              </w:rPr>
            </w:pPr>
            <w:r>
              <w:rPr>
                <w:rFonts w:ascii="Arial" w:cs="Arial" w:eastAsia="Arial" w:hAnsi="Arial"/>
                <w:sz w:val="14"/>
                <w:szCs w:val="14"/>
                <w:color w:val="215AA8"/>
              </w:rPr>
              <w:t>K</w:t>
            </w:r>
          </w:p>
        </w:tc>
        <w:tc>
          <w:tcPr>
            <w:tcW w:w="800" w:type="dxa"/>
            <w:vAlign w:val="bottom"/>
            <w:tcBorders>
              <w:bottom w:val="single" w:sz="8" w:color="215AA8"/>
            </w:tcBorders>
          </w:tcPr>
          <w:p>
            <w:pPr>
              <w:spacing w:after="0"/>
              <w:rPr>
                <w:sz w:val="14"/>
                <w:szCs w:val="14"/>
                <w:color w:val="auto"/>
              </w:rPr>
            </w:pPr>
          </w:p>
        </w:tc>
        <w:tc>
          <w:tcPr>
            <w:tcW w:w="800" w:type="dxa"/>
            <w:vAlign w:val="bottom"/>
            <w:tcBorders>
              <w:bottom w:val="single" w:sz="8" w:color="215AA8"/>
            </w:tcBorders>
          </w:tcPr>
          <w:p>
            <w:pPr>
              <w:jc w:val="right"/>
              <w:ind w:right="272"/>
              <w:spacing w:after="0"/>
              <w:rPr>
                <w:sz w:val="20"/>
                <w:szCs w:val="20"/>
                <w:color w:val="auto"/>
              </w:rPr>
            </w:pPr>
            <w:r>
              <w:rPr>
                <w:rFonts w:ascii="Arial" w:cs="Arial" w:eastAsia="Arial" w:hAnsi="Arial"/>
                <w:sz w:val="14"/>
                <w:szCs w:val="14"/>
                <w:color w:val="215AA8"/>
              </w:rPr>
              <w:t>L</w:t>
            </w:r>
          </w:p>
        </w:tc>
      </w:tr>
      <w:tr>
        <w:trPr>
          <w:trHeight w:val="147"/>
        </w:trPr>
        <w:tc>
          <w:tcPr>
            <w:tcW w:w="3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32"/>
              <w:spacing w:after="0" w:line="147" w:lineRule="exact"/>
              <w:rPr>
                <w:sz w:val="20"/>
                <w:szCs w:val="20"/>
                <w:color w:val="auto"/>
              </w:rPr>
            </w:pPr>
            <w:r>
              <w:rPr>
                <w:rFonts w:ascii="Arial" w:cs="Arial" w:eastAsia="Arial" w:hAnsi="Arial"/>
                <w:sz w:val="14"/>
                <w:szCs w:val="14"/>
                <w:color w:val="215AA8"/>
              </w:rPr>
              <w:t>All other</w:t>
            </w:r>
          </w:p>
        </w:tc>
        <w:tc>
          <w:tcPr>
            <w:tcW w:w="880" w:type="dxa"/>
            <w:vAlign w:val="bottom"/>
          </w:tcPr>
          <w:p>
            <w:pPr>
              <w:jc w:val="right"/>
              <w:ind w:right="72"/>
              <w:spacing w:after="0" w:line="147" w:lineRule="exact"/>
              <w:rPr>
                <w:sz w:val="20"/>
                <w:szCs w:val="20"/>
                <w:color w:val="auto"/>
              </w:rPr>
            </w:pPr>
            <w:r>
              <w:rPr>
                <w:rFonts w:ascii="Arial" w:cs="Arial" w:eastAsia="Arial" w:hAnsi="Arial"/>
                <w:sz w:val="14"/>
                <w:szCs w:val="14"/>
                <w:color w:val="215AA8"/>
              </w:rPr>
              <w:t>All other</w:t>
            </w:r>
          </w:p>
        </w:tc>
        <w:tc>
          <w:tcPr>
            <w:tcW w:w="780" w:type="dxa"/>
            <w:vAlign w:val="bottom"/>
          </w:tcPr>
          <w:p>
            <w:pPr>
              <w:spacing w:after="0"/>
              <w:rPr>
                <w:sz w:val="12"/>
                <w:szCs w:val="12"/>
                <w:color w:val="auto"/>
              </w:rPr>
            </w:pPr>
          </w:p>
        </w:tc>
        <w:tc>
          <w:tcPr>
            <w:tcW w:w="800" w:type="dxa"/>
            <w:vAlign w:val="bottom"/>
          </w:tcPr>
          <w:p>
            <w:pPr>
              <w:jc w:val="right"/>
              <w:ind w:right="52"/>
              <w:spacing w:after="0" w:line="147" w:lineRule="exact"/>
              <w:rPr>
                <w:sz w:val="20"/>
                <w:szCs w:val="20"/>
                <w:color w:val="auto"/>
              </w:rPr>
            </w:pPr>
            <w:r>
              <w:rPr>
                <w:rFonts w:ascii="Arial" w:cs="Arial" w:eastAsia="Arial" w:hAnsi="Arial"/>
                <w:sz w:val="14"/>
                <w:szCs w:val="14"/>
                <w:color w:val="215AA8"/>
              </w:rPr>
              <w:t>Closing</w:t>
            </w:r>
          </w:p>
        </w:tc>
        <w:tc>
          <w:tcPr>
            <w:tcW w:w="800" w:type="dxa"/>
            <w:vAlign w:val="bottom"/>
          </w:tcPr>
          <w:p>
            <w:pPr>
              <w:spacing w:after="0"/>
              <w:rPr>
                <w:sz w:val="12"/>
                <w:szCs w:val="12"/>
                <w:color w:val="auto"/>
              </w:rPr>
            </w:pPr>
          </w:p>
        </w:tc>
      </w:tr>
      <w:tr>
        <w:trPr>
          <w:trHeight w:val="158"/>
        </w:trPr>
        <w:tc>
          <w:tcPr>
            <w:tcW w:w="3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stock</w:t>
            </w:r>
          </w:p>
        </w:tc>
        <w:tc>
          <w:tcPr>
            <w:tcW w:w="88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option</w:t>
            </w:r>
          </w:p>
        </w:tc>
        <w:tc>
          <w:tcPr>
            <w:tcW w:w="780" w:type="dxa"/>
            <w:vAlign w:val="bottom"/>
          </w:tcPr>
          <w:p>
            <w:pPr>
              <w:spacing w:after="0"/>
              <w:rPr>
                <w:sz w:val="13"/>
                <w:szCs w:val="13"/>
                <w:color w:val="auto"/>
              </w:rPr>
            </w:pPr>
          </w:p>
        </w:tc>
        <w:tc>
          <w:tcPr>
            <w:tcW w:w="800" w:type="dxa"/>
            <w:vAlign w:val="bottom"/>
          </w:tcPr>
          <w:p>
            <w:pPr>
              <w:jc w:val="right"/>
              <w:ind w:right="52"/>
              <w:spacing w:after="0" w:line="157" w:lineRule="exact"/>
              <w:rPr>
                <w:sz w:val="20"/>
                <w:szCs w:val="20"/>
                <w:color w:val="auto"/>
              </w:rPr>
            </w:pPr>
            <w:r>
              <w:rPr>
                <w:rFonts w:ascii="Arial" w:cs="Arial" w:eastAsia="Arial" w:hAnsi="Arial"/>
                <w:sz w:val="14"/>
                <w:szCs w:val="14"/>
                <w:color w:val="215AA8"/>
              </w:rPr>
              <w:t>price of</w:t>
            </w:r>
          </w:p>
        </w:tc>
        <w:tc>
          <w:tcPr>
            <w:tcW w:w="800" w:type="dxa"/>
            <w:vAlign w:val="bottom"/>
          </w:tcPr>
          <w:p>
            <w:pPr>
              <w:spacing w:after="0"/>
              <w:rPr>
                <w:sz w:val="13"/>
                <w:szCs w:val="13"/>
                <w:color w:val="auto"/>
              </w:rPr>
            </w:pPr>
          </w:p>
        </w:tc>
      </w:tr>
      <w:tr>
        <w:trPr>
          <w:trHeight w:val="158"/>
        </w:trPr>
        <w:tc>
          <w:tcPr>
            <w:tcW w:w="3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380" w:type="dxa"/>
            <w:vAlign w:val="bottom"/>
            <w:gridSpan w:val="4"/>
          </w:tcPr>
          <w:p>
            <w:pPr>
              <w:jc w:val="center"/>
              <w:ind w:right="120"/>
              <w:spacing w:after="0" w:line="157" w:lineRule="exact"/>
              <w:rPr>
                <w:sz w:val="20"/>
                <w:szCs w:val="20"/>
                <w:color w:val="auto"/>
              </w:rPr>
            </w:pPr>
            <w:r>
              <w:rPr>
                <w:rFonts w:ascii="Arial" w:cs="Arial" w:eastAsia="Arial" w:hAnsi="Arial"/>
                <w:sz w:val="14"/>
                <w:szCs w:val="14"/>
                <w:color w:val="215AA8"/>
                <w:w w:val="95"/>
              </w:rPr>
              <w:t>Estimated Possible Payouts</w:t>
            </w:r>
          </w:p>
        </w:tc>
        <w:tc>
          <w:tcPr>
            <w:tcW w:w="7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awards:</w:t>
            </w:r>
          </w:p>
        </w:tc>
        <w:tc>
          <w:tcPr>
            <w:tcW w:w="88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awards:</w:t>
            </w:r>
          </w:p>
        </w:tc>
        <w:tc>
          <w:tcPr>
            <w:tcW w:w="780" w:type="dxa"/>
            <w:vAlign w:val="bottom"/>
          </w:tcPr>
          <w:p>
            <w:pPr>
              <w:jc w:val="right"/>
              <w:ind w:right="52"/>
              <w:spacing w:after="0" w:line="157" w:lineRule="exact"/>
              <w:rPr>
                <w:sz w:val="20"/>
                <w:szCs w:val="20"/>
                <w:color w:val="auto"/>
              </w:rPr>
            </w:pPr>
            <w:r>
              <w:rPr>
                <w:rFonts w:ascii="Arial" w:cs="Arial" w:eastAsia="Arial" w:hAnsi="Arial"/>
                <w:sz w:val="14"/>
                <w:szCs w:val="14"/>
                <w:color w:val="215AA8"/>
              </w:rPr>
              <w:t>Exercise</w:t>
            </w:r>
          </w:p>
        </w:tc>
        <w:tc>
          <w:tcPr>
            <w:tcW w:w="800" w:type="dxa"/>
            <w:vAlign w:val="bottom"/>
          </w:tcPr>
          <w:p>
            <w:pPr>
              <w:jc w:val="right"/>
              <w:ind w:right="52"/>
              <w:spacing w:after="0" w:line="157" w:lineRule="exact"/>
              <w:rPr>
                <w:sz w:val="20"/>
                <w:szCs w:val="20"/>
                <w:color w:val="auto"/>
              </w:rPr>
            </w:pPr>
            <w:r>
              <w:rPr>
                <w:rFonts w:ascii="Arial" w:cs="Arial" w:eastAsia="Arial" w:hAnsi="Arial"/>
                <w:sz w:val="14"/>
                <w:szCs w:val="14"/>
                <w:color w:val="215AA8"/>
              </w:rPr>
              <w:t>Company</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215AA8"/>
              </w:rPr>
              <w:t>Grant date</w:t>
            </w:r>
          </w:p>
        </w:tc>
      </w:tr>
      <w:tr>
        <w:trPr>
          <w:trHeight w:val="157"/>
        </w:trPr>
        <w:tc>
          <w:tcPr>
            <w:tcW w:w="3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380" w:type="dxa"/>
            <w:vAlign w:val="bottom"/>
            <w:gridSpan w:val="4"/>
          </w:tcPr>
          <w:p>
            <w:pPr>
              <w:jc w:val="center"/>
              <w:ind w:right="140"/>
              <w:spacing w:after="0" w:line="157" w:lineRule="exact"/>
              <w:rPr>
                <w:sz w:val="20"/>
                <w:szCs w:val="20"/>
                <w:color w:val="auto"/>
              </w:rPr>
            </w:pPr>
            <w:r>
              <w:rPr>
                <w:rFonts w:ascii="Arial" w:cs="Arial" w:eastAsia="Arial" w:hAnsi="Arial"/>
                <w:sz w:val="14"/>
                <w:szCs w:val="14"/>
                <w:color w:val="215AA8"/>
                <w:w w:val="96"/>
              </w:rPr>
              <w:t>Under Non-Equity Incentive Plan</w:t>
            </w:r>
          </w:p>
        </w:tc>
        <w:tc>
          <w:tcPr>
            <w:tcW w:w="7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number</w:t>
            </w:r>
          </w:p>
        </w:tc>
        <w:tc>
          <w:tcPr>
            <w:tcW w:w="88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number of</w:t>
            </w:r>
          </w:p>
        </w:tc>
        <w:tc>
          <w:tcPr>
            <w:tcW w:w="780" w:type="dxa"/>
            <w:vAlign w:val="bottom"/>
          </w:tcPr>
          <w:p>
            <w:pPr>
              <w:jc w:val="right"/>
              <w:ind w:right="52"/>
              <w:spacing w:after="0" w:line="157" w:lineRule="exact"/>
              <w:rPr>
                <w:sz w:val="20"/>
                <w:szCs w:val="20"/>
                <w:color w:val="auto"/>
              </w:rPr>
            </w:pPr>
            <w:r>
              <w:rPr>
                <w:rFonts w:ascii="Arial" w:cs="Arial" w:eastAsia="Arial" w:hAnsi="Arial"/>
                <w:sz w:val="14"/>
                <w:szCs w:val="14"/>
                <w:color w:val="215AA8"/>
              </w:rPr>
              <w:t>or base</w:t>
            </w:r>
          </w:p>
        </w:tc>
        <w:tc>
          <w:tcPr>
            <w:tcW w:w="800" w:type="dxa"/>
            <w:vAlign w:val="bottom"/>
          </w:tcPr>
          <w:p>
            <w:pPr>
              <w:jc w:val="right"/>
              <w:ind w:right="52"/>
              <w:spacing w:after="0" w:line="157" w:lineRule="exact"/>
              <w:rPr>
                <w:sz w:val="20"/>
                <w:szCs w:val="20"/>
                <w:color w:val="auto"/>
              </w:rPr>
            </w:pPr>
            <w:r>
              <w:rPr>
                <w:rFonts w:ascii="Arial" w:cs="Arial" w:eastAsia="Arial" w:hAnsi="Arial"/>
                <w:sz w:val="14"/>
                <w:szCs w:val="14"/>
                <w:color w:val="215AA8"/>
              </w:rPr>
              <w:t>common</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215AA8"/>
              </w:rPr>
              <w:t>fair value</w:t>
            </w:r>
          </w:p>
        </w:tc>
      </w:tr>
      <w:tr>
        <w:trPr>
          <w:trHeight w:val="204"/>
        </w:trPr>
        <w:tc>
          <w:tcPr>
            <w:tcW w:w="3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Borders>
              <w:bottom w:val="single" w:sz="8" w:color="215AA8"/>
            </w:tcBorders>
          </w:tcPr>
          <w:p>
            <w:pPr>
              <w:spacing w:after="0"/>
              <w:rPr>
                <w:sz w:val="17"/>
                <w:szCs w:val="17"/>
                <w:color w:val="auto"/>
              </w:rPr>
            </w:pPr>
          </w:p>
        </w:tc>
        <w:tc>
          <w:tcPr>
            <w:tcW w:w="820" w:type="dxa"/>
            <w:vAlign w:val="bottom"/>
            <w:tcBorders>
              <w:bottom w:val="single" w:sz="8" w:color="215AA8"/>
            </w:tcBorders>
          </w:tcPr>
          <w:p>
            <w:pPr>
              <w:jc w:val="center"/>
              <w:spacing w:after="0" w:line="202" w:lineRule="exact"/>
              <w:rPr>
                <w:sz w:val="20"/>
                <w:szCs w:val="20"/>
                <w:color w:val="auto"/>
              </w:rPr>
            </w:pPr>
            <w:r>
              <w:rPr>
                <w:rFonts w:ascii="Arial" w:cs="Arial" w:eastAsia="Arial" w:hAnsi="Arial"/>
                <w:sz w:val="14"/>
                <w:szCs w:val="14"/>
                <w:color w:val="215AA8"/>
                <w:w w:val="91"/>
              </w:rPr>
              <w:t>Awards</w:t>
            </w:r>
            <w:r>
              <w:rPr>
                <w:rFonts w:ascii="Arial" w:cs="Arial" w:eastAsia="Arial" w:hAnsi="Arial"/>
                <w:sz w:val="22"/>
                <w:szCs w:val="22"/>
                <w:color w:val="215AA8"/>
                <w:w w:val="91"/>
                <w:vertAlign w:val="superscript"/>
              </w:rPr>
              <w:t>1</w:t>
            </w:r>
          </w:p>
        </w:tc>
        <w:tc>
          <w:tcPr>
            <w:tcW w:w="720" w:type="dxa"/>
            <w:vAlign w:val="bottom"/>
            <w:tcBorders>
              <w:bottom w:val="single" w:sz="8" w:color="215AA8"/>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215AA8"/>
              </w:rPr>
              <w:t>of shares</w:t>
            </w:r>
          </w:p>
        </w:tc>
        <w:tc>
          <w:tcPr>
            <w:tcW w:w="880" w:type="dxa"/>
            <w:vAlign w:val="bottom"/>
          </w:tcPr>
          <w:p>
            <w:pPr>
              <w:jc w:val="right"/>
              <w:ind w:right="72"/>
              <w:spacing w:after="0"/>
              <w:rPr>
                <w:sz w:val="20"/>
                <w:szCs w:val="20"/>
                <w:color w:val="auto"/>
              </w:rPr>
            </w:pPr>
            <w:r>
              <w:rPr>
                <w:rFonts w:ascii="Arial" w:cs="Arial" w:eastAsia="Arial" w:hAnsi="Arial"/>
                <w:sz w:val="14"/>
                <w:szCs w:val="14"/>
                <w:color w:val="215AA8"/>
              </w:rPr>
              <w:t>securities</w:t>
            </w:r>
          </w:p>
        </w:tc>
        <w:tc>
          <w:tcPr>
            <w:tcW w:w="780" w:type="dxa"/>
            <w:vAlign w:val="bottom"/>
          </w:tcPr>
          <w:p>
            <w:pPr>
              <w:jc w:val="right"/>
              <w:ind w:right="52"/>
              <w:spacing w:after="0"/>
              <w:rPr>
                <w:sz w:val="20"/>
                <w:szCs w:val="20"/>
                <w:color w:val="auto"/>
              </w:rPr>
            </w:pPr>
            <w:r>
              <w:rPr>
                <w:rFonts w:ascii="Arial" w:cs="Arial" w:eastAsia="Arial" w:hAnsi="Arial"/>
                <w:sz w:val="14"/>
                <w:szCs w:val="14"/>
                <w:color w:val="215AA8"/>
              </w:rPr>
              <w:t>price of</w:t>
            </w:r>
          </w:p>
        </w:tc>
        <w:tc>
          <w:tcPr>
            <w:tcW w:w="800" w:type="dxa"/>
            <w:vAlign w:val="bottom"/>
          </w:tcPr>
          <w:p>
            <w:pPr>
              <w:jc w:val="right"/>
              <w:ind w:right="52"/>
              <w:spacing w:after="0"/>
              <w:rPr>
                <w:sz w:val="20"/>
                <w:szCs w:val="20"/>
                <w:color w:val="auto"/>
              </w:rPr>
            </w:pPr>
            <w:r>
              <w:rPr>
                <w:rFonts w:ascii="Arial" w:cs="Arial" w:eastAsia="Arial" w:hAnsi="Arial"/>
                <w:sz w:val="14"/>
                <w:szCs w:val="14"/>
                <w:color w:val="215AA8"/>
              </w:rPr>
              <w:t>stock</w:t>
            </w:r>
          </w:p>
        </w:tc>
        <w:tc>
          <w:tcPr>
            <w:tcW w:w="800" w:type="dxa"/>
            <w:vAlign w:val="bottom"/>
          </w:tcPr>
          <w:p>
            <w:pPr>
              <w:jc w:val="right"/>
              <w:spacing w:after="0"/>
              <w:rPr>
                <w:sz w:val="20"/>
                <w:szCs w:val="20"/>
                <w:color w:val="auto"/>
              </w:rPr>
            </w:pPr>
            <w:r>
              <w:rPr>
                <w:rFonts w:ascii="Arial" w:cs="Arial" w:eastAsia="Arial" w:hAnsi="Arial"/>
                <w:sz w:val="14"/>
                <w:szCs w:val="14"/>
                <w:color w:val="215AA8"/>
              </w:rPr>
              <w:t>of stock</w:t>
            </w:r>
          </w:p>
        </w:tc>
      </w:tr>
      <w:tr>
        <w:trPr>
          <w:trHeight w:val="147"/>
        </w:trPr>
        <w:tc>
          <w:tcPr>
            <w:tcW w:w="3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32"/>
              <w:spacing w:after="0" w:line="147" w:lineRule="exact"/>
              <w:rPr>
                <w:sz w:val="20"/>
                <w:szCs w:val="20"/>
                <w:color w:val="auto"/>
              </w:rPr>
            </w:pPr>
            <w:r>
              <w:rPr>
                <w:rFonts w:ascii="Arial" w:cs="Arial" w:eastAsia="Arial" w:hAnsi="Arial"/>
                <w:sz w:val="14"/>
                <w:szCs w:val="14"/>
                <w:color w:val="215AA8"/>
              </w:rPr>
              <w:t>of stock</w:t>
            </w:r>
          </w:p>
        </w:tc>
        <w:tc>
          <w:tcPr>
            <w:tcW w:w="880" w:type="dxa"/>
            <w:vAlign w:val="bottom"/>
          </w:tcPr>
          <w:p>
            <w:pPr>
              <w:jc w:val="right"/>
              <w:ind w:right="72"/>
              <w:spacing w:after="0" w:line="147" w:lineRule="exact"/>
              <w:rPr>
                <w:sz w:val="20"/>
                <w:szCs w:val="20"/>
                <w:color w:val="auto"/>
              </w:rPr>
            </w:pPr>
            <w:r>
              <w:rPr>
                <w:rFonts w:ascii="Arial" w:cs="Arial" w:eastAsia="Arial" w:hAnsi="Arial"/>
                <w:sz w:val="14"/>
                <w:szCs w:val="14"/>
                <w:color w:val="215AA8"/>
              </w:rPr>
              <w:t>underlying</w:t>
            </w:r>
          </w:p>
        </w:tc>
        <w:tc>
          <w:tcPr>
            <w:tcW w:w="780" w:type="dxa"/>
            <w:vAlign w:val="bottom"/>
          </w:tcPr>
          <w:p>
            <w:pPr>
              <w:jc w:val="right"/>
              <w:ind w:right="52"/>
              <w:spacing w:after="0" w:line="147" w:lineRule="exact"/>
              <w:rPr>
                <w:sz w:val="20"/>
                <w:szCs w:val="20"/>
                <w:color w:val="auto"/>
              </w:rPr>
            </w:pPr>
            <w:r>
              <w:rPr>
                <w:rFonts w:ascii="Arial" w:cs="Arial" w:eastAsia="Arial" w:hAnsi="Arial"/>
                <w:sz w:val="14"/>
                <w:szCs w:val="14"/>
                <w:color w:val="215AA8"/>
              </w:rPr>
              <w:t>option</w:t>
            </w:r>
          </w:p>
        </w:tc>
        <w:tc>
          <w:tcPr>
            <w:tcW w:w="800" w:type="dxa"/>
            <w:vAlign w:val="bottom"/>
          </w:tcPr>
          <w:p>
            <w:pPr>
              <w:jc w:val="right"/>
              <w:ind w:right="52"/>
              <w:spacing w:after="0" w:line="147" w:lineRule="exact"/>
              <w:rPr>
                <w:sz w:val="20"/>
                <w:szCs w:val="20"/>
                <w:color w:val="auto"/>
              </w:rPr>
            </w:pPr>
            <w:r>
              <w:rPr>
                <w:rFonts w:ascii="Arial" w:cs="Arial" w:eastAsia="Arial" w:hAnsi="Arial"/>
                <w:sz w:val="14"/>
                <w:szCs w:val="14"/>
                <w:color w:val="215AA8"/>
              </w:rPr>
              <w:t>on grant</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215AA8"/>
              </w:rPr>
              <w:t>and option</w:t>
            </w:r>
          </w:p>
        </w:tc>
      </w:tr>
      <w:tr>
        <w:trPr>
          <w:trHeight w:val="157"/>
        </w:trPr>
        <w:tc>
          <w:tcPr>
            <w:tcW w:w="3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tcPr>
          <w:p>
            <w:pPr>
              <w:jc w:val="right"/>
              <w:ind w:right="52"/>
              <w:spacing w:after="0" w:line="157" w:lineRule="exact"/>
              <w:rPr>
                <w:sz w:val="20"/>
                <w:szCs w:val="20"/>
                <w:color w:val="auto"/>
              </w:rPr>
            </w:pPr>
            <w:r>
              <w:rPr>
                <w:rFonts w:ascii="Arial" w:cs="Arial" w:eastAsia="Arial" w:hAnsi="Arial"/>
                <w:sz w:val="14"/>
                <w:szCs w:val="14"/>
                <w:color w:val="215AA8"/>
                <w:w w:val="93"/>
              </w:rPr>
              <w:t>Threshold</w:t>
            </w:r>
          </w:p>
        </w:tc>
        <w:tc>
          <w:tcPr>
            <w:tcW w:w="82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Target</w:t>
            </w:r>
          </w:p>
        </w:tc>
        <w:tc>
          <w:tcPr>
            <w:tcW w:w="8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215AA8"/>
              </w:rPr>
              <w:t>Maximum</w:t>
            </w:r>
          </w:p>
        </w:tc>
        <w:tc>
          <w:tcPr>
            <w:tcW w:w="7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or units</w:t>
            </w:r>
          </w:p>
        </w:tc>
        <w:tc>
          <w:tcPr>
            <w:tcW w:w="88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options</w:t>
            </w:r>
          </w:p>
        </w:tc>
        <w:tc>
          <w:tcPr>
            <w:tcW w:w="780" w:type="dxa"/>
            <w:vAlign w:val="bottom"/>
          </w:tcPr>
          <w:p>
            <w:pPr>
              <w:jc w:val="right"/>
              <w:ind w:right="52"/>
              <w:spacing w:after="0" w:line="157" w:lineRule="exact"/>
              <w:rPr>
                <w:sz w:val="20"/>
                <w:szCs w:val="20"/>
                <w:color w:val="auto"/>
              </w:rPr>
            </w:pPr>
            <w:r>
              <w:rPr>
                <w:rFonts w:ascii="Arial" w:cs="Arial" w:eastAsia="Arial" w:hAnsi="Arial"/>
                <w:sz w:val="14"/>
                <w:szCs w:val="14"/>
                <w:color w:val="215AA8"/>
              </w:rPr>
              <w:t>awards</w:t>
            </w:r>
          </w:p>
        </w:tc>
        <w:tc>
          <w:tcPr>
            <w:tcW w:w="800" w:type="dxa"/>
            <w:vAlign w:val="bottom"/>
          </w:tcPr>
          <w:p>
            <w:pPr>
              <w:jc w:val="right"/>
              <w:ind w:right="52"/>
              <w:spacing w:after="0" w:line="157" w:lineRule="exact"/>
              <w:rPr>
                <w:sz w:val="20"/>
                <w:szCs w:val="20"/>
                <w:color w:val="auto"/>
              </w:rPr>
            </w:pPr>
            <w:r>
              <w:rPr>
                <w:rFonts w:ascii="Arial" w:cs="Arial" w:eastAsia="Arial" w:hAnsi="Arial"/>
                <w:sz w:val="14"/>
                <w:szCs w:val="14"/>
                <w:color w:val="215AA8"/>
              </w:rPr>
              <w:t>date</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215AA8"/>
              </w:rPr>
              <w:t>awards</w:t>
            </w:r>
          </w:p>
        </w:tc>
      </w:tr>
      <w:tr>
        <w:trPr>
          <w:trHeight w:val="204"/>
        </w:trPr>
        <w:tc>
          <w:tcPr>
            <w:tcW w:w="3520" w:type="dxa"/>
            <w:vAlign w:val="bottom"/>
            <w:tcBorders>
              <w:bottom w:val="single" w:sz="8" w:color="215AA8"/>
            </w:tcBorders>
          </w:tcPr>
          <w:p>
            <w:pPr>
              <w:ind w:left="40"/>
              <w:spacing w:after="0"/>
              <w:rPr>
                <w:sz w:val="20"/>
                <w:szCs w:val="20"/>
                <w:color w:val="auto"/>
              </w:rPr>
            </w:pPr>
            <w:r>
              <w:rPr>
                <w:rFonts w:ascii="Arial" w:cs="Arial" w:eastAsia="Arial" w:hAnsi="Arial"/>
                <w:sz w:val="14"/>
                <w:szCs w:val="14"/>
                <w:color w:val="215AA8"/>
              </w:rPr>
              <w:t>Name</w:t>
            </w:r>
          </w:p>
        </w:tc>
        <w:tc>
          <w:tcPr>
            <w:tcW w:w="1320" w:type="dxa"/>
            <w:vAlign w:val="bottom"/>
            <w:tcBorders>
              <w:bottom w:val="single" w:sz="8" w:color="215AA8"/>
            </w:tcBorders>
          </w:tcPr>
          <w:p>
            <w:pPr>
              <w:jc w:val="right"/>
              <w:ind w:right="273"/>
              <w:spacing w:after="0"/>
              <w:rPr>
                <w:sz w:val="20"/>
                <w:szCs w:val="20"/>
                <w:color w:val="auto"/>
              </w:rPr>
            </w:pPr>
            <w:r>
              <w:rPr>
                <w:rFonts w:ascii="Arial" w:cs="Arial" w:eastAsia="Arial" w:hAnsi="Arial"/>
                <w:sz w:val="14"/>
                <w:szCs w:val="14"/>
                <w:color w:val="215AA8"/>
              </w:rPr>
              <w:t>Grant date</w:t>
            </w:r>
          </w:p>
        </w:tc>
        <w:tc>
          <w:tcPr>
            <w:tcW w:w="720" w:type="dxa"/>
            <w:vAlign w:val="bottom"/>
            <w:tcBorders>
              <w:bottom w:val="single" w:sz="8" w:color="215AA8"/>
            </w:tcBorders>
          </w:tcPr>
          <w:p>
            <w:pPr>
              <w:jc w:val="right"/>
              <w:ind w:right="52"/>
              <w:spacing w:after="0"/>
              <w:rPr>
                <w:sz w:val="20"/>
                <w:szCs w:val="20"/>
                <w:color w:val="auto"/>
              </w:rPr>
            </w:pPr>
            <w:r>
              <w:rPr>
                <w:rFonts w:ascii="Arial" w:cs="Arial" w:eastAsia="Arial" w:hAnsi="Arial"/>
                <w:sz w:val="14"/>
                <w:szCs w:val="14"/>
                <w:color w:val="215AA8"/>
              </w:rPr>
              <w:t>($)</w:t>
            </w:r>
          </w:p>
        </w:tc>
        <w:tc>
          <w:tcPr>
            <w:tcW w:w="820" w:type="dxa"/>
            <w:vAlign w:val="bottom"/>
            <w:tcBorders>
              <w:bottom w:val="single" w:sz="8" w:color="215AA8"/>
            </w:tcBorders>
          </w:tcPr>
          <w:p>
            <w:pPr>
              <w:jc w:val="right"/>
              <w:ind w:right="32"/>
              <w:spacing w:after="0"/>
              <w:rPr>
                <w:sz w:val="20"/>
                <w:szCs w:val="20"/>
                <w:color w:val="auto"/>
              </w:rPr>
            </w:pPr>
            <w:r>
              <w:rPr>
                <w:rFonts w:ascii="Arial" w:cs="Arial" w:eastAsia="Arial" w:hAnsi="Arial"/>
                <w:sz w:val="14"/>
                <w:szCs w:val="14"/>
                <w:color w:val="215AA8"/>
              </w:rPr>
              <w:t>($)</w:t>
            </w:r>
          </w:p>
        </w:tc>
        <w:tc>
          <w:tcPr>
            <w:tcW w:w="840" w:type="dxa"/>
            <w:vAlign w:val="bottom"/>
            <w:tcBorders>
              <w:bottom w:val="single" w:sz="8" w:color="215AA8"/>
            </w:tcBorders>
            <w:gridSpan w:val="2"/>
          </w:tcPr>
          <w:p>
            <w:pPr>
              <w:jc w:val="right"/>
              <w:ind w:right="120"/>
              <w:spacing w:after="0"/>
              <w:rPr>
                <w:sz w:val="20"/>
                <w:szCs w:val="20"/>
                <w:color w:val="auto"/>
              </w:rPr>
            </w:pPr>
            <w:r>
              <w:rPr>
                <w:rFonts w:ascii="Arial" w:cs="Arial" w:eastAsia="Arial" w:hAnsi="Arial"/>
                <w:sz w:val="14"/>
                <w:szCs w:val="14"/>
                <w:color w:val="215AA8"/>
              </w:rPr>
              <w:t>($)</w:t>
            </w:r>
          </w:p>
        </w:tc>
        <w:tc>
          <w:tcPr>
            <w:tcW w:w="780" w:type="dxa"/>
            <w:vAlign w:val="bottom"/>
            <w:tcBorders>
              <w:bottom w:val="single" w:sz="8" w:color="215AA8"/>
            </w:tcBorders>
          </w:tcPr>
          <w:p>
            <w:pPr>
              <w:jc w:val="right"/>
              <w:ind w:right="32"/>
              <w:spacing w:after="0"/>
              <w:rPr>
                <w:sz w:val="20"/>
                <w:szCs w:val="20"/>
                <w:color w:val="auto"/>
              </w:rPr>
            </w:pPr>
            <w:r>
              <w:rPr>
                <w:rFonts w:ascii="Arial" w:cs="Arial" w:eastAsia="Arial" w:hAnsi="Arial"/>
                <w:sz w:val="14"/>
                <w:szCs w:val="14"/>
                <w:color w:val="215AA8"/>
              </w:rPr>
              <w:t>(#)</w:t>
            </w:r>
          </w:p>
        </w:tc>
        <w:tc>
          <w:tcPr>
            <w:tcW w:w="880" w:type="dxa"/>
            <w:vAlign w:val="bottom"/>
            <w:tcBorders>
              <w:bottom w:val="single" w:sz="8" w:color="215AA8"/>
            </w:tcBorders>
          </w:tcPr>
          <w:p>
            <w:pPr>
              <w:jc w:val="right"/>
              <w:ind w:right="72"/>
              <w:spacing w:after="0"/>
              <w:rPr>
                <w:sz w:val="20"/>
                <w:szCs w:val="20"/>
                <w:color w:val="auto"/>
              </w:rPr>
            </w:pPr>
            <w:r>
              <w:rPr>
                <w:rFonts w:ascii="Arial" w:cs="Arial" w:eastAsia="Arial" w:hAnsi="Arial"/>
                <w:sz w:val="14"/>
                <w:szCs w:val="14"/>
                <w:color w:val="215AA8"/>
              </w:rPr>
              <w:t>(#)</w:t>
            </w:r>
          </w:p>
        </w:tc>
        <w:tc>
          <w:tcPr>
            <w:tcW w:w="780" w:type="dxa"/>
            <w:vAlign w:val="bottom"/>
            <w:tcBorders>
              <w:bottom w:val="single" w:sz="8" w:color="215AA8"/>
            </w:tcBorders>
          </w:tcPr>
          <w:p>
            <w:pPr>
              <w:jc w:val="right"/>
              <w:ind w:right="52"/>
              <w:spacing w:after="0" w:line="202" w:lineRule="exact"/>
              <w:rPr>
                <w:sz w:val="20"/>
                <w:szCs w:val="20"/>
                <w:color w:val="auto"/>
              </w:rPr>
            </w:pPr>
            <w:r>
              <w:rPr>
                <w:rFonts w:ascii="Arial" w:cs="Arial" w:eastAsia="Arial" w:hAnsi="Arial"/>
                <w:sz w:val="14"/>
                <w:szCs w:val="14"/>
                <w:color w:val="215AA8"/>
              </w:rPr>
              <w:t>($/Sh)</w:t>
            </w:r>
            <w:r>
              <w:rPr>
                <w:rFonts w:ascii="Arial" w:cs="Arial" w:eastAsia="Arial" w:hAnsi="Arial"/>
                <w:sz w:val="22"/>
                <w:szCs w:val="22"/>
                <w:color w:val="215AA8"/>
                <w:vertAlign w:val="superscript"/>
              </w:rPr>
              <w:t>2</w:t>
            </w:r>
          </w:p>
        </w:tc>
        <w:tc>
          <w:tcPr>
            <w:tcW w:w="800" w:type="dxa"/>
            <w:vAlign w:val="bottom"/>
            <w:tcBorders>
              <w:bottom w:val="single" w:sz="8" w:color="215AA8"/>
            </w:tcBorders>
          </w:tcPr>
          <w:p>
            <w:pPr>
              <w:jc w:val="right"/>
              <w:ind w:right="52"/>
              <w:spacing w:after="0" w:line="202" w:lineRule="exact"/>
              <w:rPr>
                <w:sz w:val="20"/>
                <w:szCs w:val="20"/>
                <w:color w:val="auto"/>
              </w:rPr>
            </w:pPr>
            <w:r>
              <w:rPr>
                <w:rFonts w:ascii="Arial" w:cs="Arial" w:eastAsia="Arial" w:hAnsi="Arial"/>
                <w:sz w:val="14"/>
                <w:szCs w:val="14"/>
                <w:color w:val="215AA8"/>
              </w:rPr>
              <w:t>($/Sh)</w:t>
            </w:r>
            <w:r>
              <w:rPr>
                <w:rFonts w:ascii="Arial" w:cs="Arial" w:eastAsia="Arial" w:hAnsi="Arial"/>
                <w:sz w:val="22"/>
                <w:szCs w:val="22"/>
                <w:color w:val="215AA8"/>
                <w:vertAlign w:val="superscript"/>
              </w:rPr>
              <w:t>2</w:t>
            </w:r>
          </w:p>
        </w:tc>
        <w:tc>
          <w:tcPr>
            <w:tcW w:w="800" w:type="dxa"/>
            <w:vAlign w:val="bottom"/>
            <w:tcBorders>
              <w:bottom w:val="single" w:sz="8" w:color="215AA8"/>
            </w:tcBorders>
          </w:tcPr>
          <w:p>
            <w:pPr>
              <w:jc w:val="right"/>
              <w:spacing w:after="0" w:line="202" w:lineRule="exact"/>
              <w:rPr>
                <w:sz w:val="20"/>
                <w:szCs w:val="20"/>
                <w:color w:val="auto"/>
              </w:rPr>
            </w:pPr>
            <w:r>
              <w:rPr>
                <w:rFonts w:ascii="Arial" w:cs="Arial" w:eastAsia="Arial" w:hAnsi="Arial"/>
                <w:sz w:val="14"/>
                <w:szCs w:val="14"/>
                <w:color w:val="215AA8"/>
              </w:rPr>
              <w:t>($)</w:t>
            </w:r>
            <w:r>
              <w:rPr>
                <w:rFonts w:ascii="Arial" w:cs="Arial" w:eastAsia="Arial" w:hAnsi="Arial"/>
                <w:sz w:val="22"/>
                <w:szCs w:val="22"/>
                <w:color w:val="215AA8"/>
                <w:vertAlign w:val="superscript"/>
              </w:rPr>
              <w:t>3</w:t>
            </w:r>
          </w:p>
        </w:tc>
      </w:tr>
      <w:tr>
        <w:trPr>
          <w:trHeight w:val="158"/>
        </w:trPr>
        <w:tc>
          <w:tcPr>
            <w:tcW w:w="3520" w:type="dxa"/>
            <w:vAlign w:val="bottom"/>
            <w:tcBorders>
              <w:bottom w:val="single" w:sz="8" w:color="949599"/>
            </w:tcBorders>
          </w:tcPr>
          <w:p>
            <w:pPr>
              <w:ind w:left="40"/>
              <w:spacing w:after="0" w:line="157" w:lineRule="exact"/>
              <w:rPr>
                <w:sz w:val="20"/>
                <w:szCs w:val="20"/>
                <w:color w:val="auto"/>
              </w:rPr>
            </w:pPr>
            <w:r>
              <w:rPr>
                <w:rFonts w:ascii="Arial" w:cs="Arial" w:eastAsia="Arial" w:hAnsi="Arial"/>
                <w:sz w:val="14"/>
                <w:szCs w:val="14"/>
                <w:b w:val="1"/>
                <w:bCs w:val="1"/>
                <w:color w:val="215AA8"/>
              </w:rPr>
              <w:t>Leonard S. Schleifer, M.D., Ph.D.</w:t>
            </w:r>
          </w:p>
        </w:tc>
        <w:tc>
          <w:tcPr>
            <w:tcW w:w="1320" w:type="dxa"/>
            <w:vAlign w:val="bottom"/>
            <w:tcBorders>
              <w:bottom w:val="single" w:sz="8" w:color="949599"/>
            </w:tcBorders>
          </w:tcPr>
          <w:p>
            <w:pPr>
              <w:jc w:val="right"/>
              <w:ind w:right="273"/>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949599"/>
            </w:tcBorders>
          </w:tcPr>
          <w:p>
            <w:pPr>
              <w:jc w:val="right"/>
              <w:ind w:right="52"/>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tcPr>
          <w:p>
            <w:pPr>
              <w:jc w:val="right"/>
              <w:ind w:right="32"/>
              <w:spacing w:after="0" w:line="157" w:lineRule="exact"/>
              <w:rPr>
                <w:sz w:val="20"/>
                <w:szCs w:val="20"/>
                <w:color w:val="auto"/>
              </w:rPr>
            </w:pPr>
            <w:r>
              <w:rPr>
                <w:rFonts w:ascii="Arial" w:cs="Arial" w:eastAsia="Arial" w:hAnsi="Arial"/>
                <w:sz w:val="14"/>
                <w:szCs w:val="14"/>
                <w:color w:val="auto"/>
              </w:rPr>
              <w:t>2,250,498</w:t>
            </w:r>
          </w:p>
        </w:tc>
        <w:tc>
          <w:tcPr>
            <w:tcW w:w="720" w:type="dxa"/>
            <w:vAlign w:val="bottom"/>
            <w:tcBorders>
              <w:bottom w:val="single" w:sz="8" w:color="949599"/>
            </w:tcBorders>
          </w:tcPr>
          <w:p>
            <w:pPr>
              <w:jc w:val="right"/>
              <w:spacing w:after="0" w:line="157" w:lineRule="exact"/>
              <w:rPr>
                <w:sz w:val="20"/>
                <w:szCs w:val="20"/>
                <w:color w:val="auto"/>
              </w:rPr>
            </w:pPr>
            <w:r>
              <w:rPr>
                <w:rFonts w:ascii="Arial" w:cs="Arial" w:eastAsia="Arial" w:hAnsi="Arial"/>
                <w:sz w:val="14"/>
                <w:szCs w:val="14"/>
                <w:color w:val="auto"/>
              </w:rPr>
              <w:t>4,533,846</w:t>
            </w:r>
          </w:p>
        </w:tc>
        <w:tc>
          <w:tcPr>
            <w:tcW w:w="120" w:type="dxa"/>
            <w:vAlign w:val="bottom"/>
            <w:tcBorders>
              <w:bottom w:val="single" w:sz="8" w:color="949599"/>
            </w:tcBorders>
          </w:tcPr>
          <w:p>
            <w:pPr>
              <w:spacing w:after="0"/>
              <w:rPr>
                <w:sz w:val="13"/>
                <w:szCs w:val="13"/>
                <w:color w:val="auto"/>
              </w:rPr>
            </w:pPr>
          </w:p>
        </w:tc>
        <w:tc>
          <w:tcPr>
            <w:tcW w:w="780" w:type="dxa"/>
            <w:vAlign w:val="bottom"/>
            <w:tcBorders>
              <w:bottom w:val="single" w:sz="8" w:color="949599"/>
            </w:tcBorders>
          </w:tcPr>
          <w:p>
            <w:pPr>
              <w:jc w:val="right"/>
              <w:ind w:right="32"/>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tcPr>
          <w:p>
            <w:pPr>
              <w:jc w:val="right"/>
              <w:ind w:right="72"/>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949599"/>
            </w:tcBorders>
          </w:tcPr>
          <w:p>
            <w:pPr>
              <w:jc w:val="right"/>
              <w:ind w:right="52"/>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949599"/>
            </w:tcBorders>
          </w:tcPr>
          <w:p>
            <w:pPr>
              <w:jc w:val="right"/>
              <w:ind w:right="52"/>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949599"/>
            </w:tcBorders>
          </w:tcPr>
          <w:p>
            <w:pPr>
              <w:jc w:val="right"/>
              <w:spacing w:after="0" w:line="157" w:lineRule="exact"/>
              <w:rPr>
                <w:sz w:val="20"/>
                <w:szCs w:val="20"/>
                <w:color w:val="auto"/>
              </w:rPr>
            </w:pPr>
            <w:r>
              <w:rPr>
                <w:rFonts w:ascii="Arial" w:cs="Arial" w:eastAsia="Arial" w:hAnsi="Arial"/>
                <w:sz w:val="14"/>
                <w:szCs w:val="14"/>
                <w:color w:val="auto"/>
              </w:rPr>
              <w:t>—</w:t>
            </w:r>
          </w:p>
        </w:tc>
      </w:tr>
      <w:tr>
        <w:trPr>
          <w:trHeight w:val="149"/>
        </w:trPr>
        <w:tc>
          <w:tcPr>
            <w:tcW w:w="3520" w:type="dxa"/>
            <w:vAlign w:val="bottom"/>
            <w:tcBorders>
              <w:bottom w:val="single" w:sz="8" w:color="949599"/>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215AA8"/>
              </w:rPr>
              <w:t>George D. Yancopoulos, M.D., Ph.D.</w:t>
            </w:r>
          </w:p>
        </w:tc>
        <w:tc>
          <w:tcPr>
            <w:tcW w:w="1320" w:type="dxa"/>
            <w:vAlign w:val="bottom"/>
            <w:tcBorders>
              <w:bottom w:val="single" w:sz="8" w:color="949599"/>
            </w:tcBorders>
            <w:shd w:val="clear" w:color="auto" w:fill="ECECED"/>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shd w:val="clear" w:color="auto" w:fill="ECECED"/>
          </w:tcPr>
          <w:p>
            <w:pPr>
              <w:jc w:val="right"/>
              <w:ind w:right="32"/>
              <w:spacing w:after="0" w:line="149" w:lineRule="exact"/>
              <w:rPr>
                <w:sz w:val="20"/>
                <w:szCs w:val="20"/>
                <w:color w:val="auto"/>
              </w:rPr>
            </w:pPr>
            <w:r>
              <w:rPr>
                <w:rFonts w:ascii="Arial" w:cs="Arial" w:eastAsia="Arial" w:hAnsi="Arial"/>
                <w:sz w:val="14"/>
                <w:szCs w:val="14"/>
                <w:color w:val="auto"/>
              </w:rPr>
              <w:t>2,250,498</w:t>
            </w:r>
          </w:p>
        </w:tc>
        <w:tc>
          <w:tcPr>
            <w:tcW w:w="72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4,533,846</w:t>
            </w:r>
          </w:p>
        </w:tc>
        <w:tc>
          <w:tcPr>
            <w:tcW w:w="120" w:type="dxa"/>
            <w:vAlign w:val="bottom"/>
            <w:tcBorders>
              <w:bottom w:val="single" w:sz="8" w:color="949599"/>
            </w:tcBorders>
            <w:shd w:val="clear" w:color="auto" w:fill="ECECED"/>
          </w:tcPr>
          <w:p>
            <w:pPr>
              <w:spacing w:after="0"/>
              <w:rPr>
                <w:sz w:val="12"/>
                <w:szCs w:val="12"/>
                <w:color w:val="auto"/>
              </w:rPr>
            </w:pPr>
          </w:p>
        </w:tc>
        <w:tc>
          <w:tcPr>
            <w:tcW w:w="780" w:type="dxa"/>
            <w:vAlign w:val="bottom"/>
            <w:tcBorders>
              <w:bottom w:val="single" w:sz="8" w:color="949599"/>
            </w:tcBorders>
            <w:shd w:val="clear" w:color="auto" w:fill="ECECED"/>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shd w:val="clear" w:color="auto" w:fill="ECECED"/>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520" w:type="dxa"/>
            <w:vAlign w:val="bottom"/>
            <w:tcBorders>
              <w:bottom w:val="single" w:sz="8" w:color="949599"/>
            </w:tcBorders>
          </w:tcPr>
          <w:p>
            <w:pPr>
              <w:ind w:left="40"/>
              <w:spacing w:after="0" w:line="149" w:lineRule="exact"/>
              <w:rPr>
                <w:sz w:val="20"/>
                <w:szCs w:val="20"/>
                <w:color w:val="auto"/>
              </w:rPr>
            </w:pPr>
            <w:r>
              <w:rPr>
                <w:rFonts w:ascii="Arial" w:cs="Arial" w:eastAsia="Arial" w:hAnsi="Arial"/>
                <w:sz w:val="14"/>
                <w:szCs w:val="14"/>
                <w:b w:val="1"/>
                <w:bCs w:val="1"/>
                <w:color w:val="215AA8"/>
              </w:rPr>
              <w:t xml:space="preserve">Robert E. Landry </w:t>
            </w:r>
            <w:r>
              <w:rPr>
                <w:rFonts w:ascii="Arial" w:cs="Arial" w:eastAsia="Arial" w:hAnsi="Arial"/>
                <w:sz w:val="14"/>
                <w:szCs w:val="14"/>
                <w:b w:val="1"/>
                <w:bCs w:val="1"/>
                <w:i w:val="1"/>
                <w:iCs w:val="1"/>
                <w:color w:val="215AA8"/>
              </w:rPr>
              <w:t>(retired)</w:t>
            </w:r>
          </w:p>
        </w:tc>
        <w:tc>
          <w:tcPr>
            <w:tcW w:w="1320" w:type="dxa"/>
            <w:vAlign w:val="bottom"/>
            <w:tcBorders>
              <w:bottom w:val="single" w:sz="8" w:color="949599"/>
            </w:tcBorders>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tcPr>
          <w:p>
            <w:pPr>
              <w:jc w:val="right"/>
              <w:ind w:right="32"/>
              <w:spacing w:after="0" w:line="149" w:lineRule="exact"/>
              <w:rPr>
                <w:sz w:val="20"/>
                <w:szCs w:val="20"/>
                <w:color w:val="auto"/>
              </w:rPr>
            </w:pPr>
            <w:r>
              <w:rPr>
                <w:rFonts w:ascii="Arial" w:cs="Arial" w:eastAsia="Arial" w:hAnsi="Arial"/>
                <w:sz w:val="14"/>
                <w:szCs w:val="14"/>
                <w:color w:val="auto"/>
              </w:rPr>
              <w:t>572,914</w:t>
            </w:r>
          </w:p>
        </w:tc>
        <w:tc>
          <w:tcPr>
            <w:tcW w:w="72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1,046,272</w:t>
            </w:r>
          </w:p>
        </w:tc>
        <w:tc>
          <w:tcPr>
            <w:tcW w:w="120" w:type="dxa"/>
            <w:vAlign w:val="bottom"/>
            <w:tcBorders>
              <w:bottom w:val="single" w:sz="8" w:color="949599"/>
            </w:tcBorders>
          </w:tcPr>
          <w:p>
            <w:pPr>
              <w:spacing w:after="0"/>
              <w:rPr>
                <w:sz w:val="12"/>
                <w:szCs w:val="12"/>
                <w:color w:val="auto"/>
              </w:rPr>
            </w:pPr>
          </w:p>
        </w:tc>
        <w:tc>
          <w:tcPr>
            <w:tcW w:w="780" w:type="dxa"/>
            <w:vAlign w:val="bottom"/>
            <w:tcBorders>
              <w:bottom w:val="single" w:sz="8" w:color="949599"/>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60"/>
        </w:trPr>
        <w:tc>
          <w:tcPr>
            <w:tcW w:w="3520" w:type="dxa"/>
            <w:vAlign w:val="bottom"/>
            <w:tcBorders>
              <w:bottom w:val="single" w:sz="8" w:color="ECECED"/>
            </w:tcBorders>
            <w:shd w:val="clear" w:color="auto" w:fill="ECECED"/>
          </w:tcPr>
          <w:p>
            <w:pPr>
              <w:ind w:left="40"/>
              <w:spacing w:after="0"/>
              <w:rPr>
                <w:sz w:val="20"/>
                <w:szCs w:val="20"/>
                <w:color w:val="auto"/>
              </w:rPr>
            </w:pPr>
            <w:r>
              <w:rPr>
                <w:rFonts w:ascii="Arial" w:cs="Arial" w:eastAsia="Arial" w:hAnsi="Arial"/>
                <w:sz w:val="14"/>
                <w:szCs w:val="14"/>
                <w:b w:val="1"/>
                <w:bCs w:val="1"/>
                <w:color w:val="215AA8"/>
              </w:rPr>
              <w:t>Daniel P. Van Plew</w:t>
            </w:r>
          </w:p>
        </w:tc>
        <w:tc>
          <w:tcPr>
            <w:tcW w:w="1320" w:type="dxa"/>
            <w:vAlign w:val="bottom"/>
            <w:tcBorders>
              <w:bottom w:val="single" w:sz="8" w:color="949599"/>
            </w:tcBorders>
            <w:shd w:val="clear" w:color="auto" w:fill="ECECED"/>
          </w:tcPr>
          <w:p>
            <w:pPr>
              <w:jc w:val="right"/>
              <w:ind w:right="27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49599"/>
            </w:tcBorders>
            <w:shd w:val="clear" w:color="auto" w:fill="ECECED"/>
          </w:tcPr>
          <w:p>
            <w:pPr>
              <w:jc w:val="right"/>
              <w:ind w:right="5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605,475</w:t>
            </w:r>
          </w:p>
        </w:tc>
        <w:tc>
          <w:tcPr>
            <w:tcW w:w="72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1,220,651</w:t>
            </w:r>
          </w:p>
        </w:tc>
        <w:tc>
          <w:tcPr>
            <w:tcW w:w="120" w:type="dxa"/>
            <w:vAlign w:val="bottom"/>
            <w:tcBorders>
              <w:bottom w:val="single" w:sz="8" w:color="949599"/>
            </w:tcBorders>
            <w:shd w:val="clear" w:color="auto" w:fill="ECECED"/>
          </w:tcPr>
          <w:p>
            <w:pPr>
              <w:spacing w:after="0"/>
              <w:rPr>
                <w:sz w:val="13"/>
                <w:szCs w:val="13"/>
                <w:color w:val="auto"/>
              </w:rPr>
            </w:pPr>
          </w:p>
        </w:tc>
        <w:tc>
          <w:tcPr>
            <w:tcW w:w="78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shd w:val="clear" w:color="auto" w:fill="ECECED"/>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49599"/>
            </w:tcBorders>
            <w:shd w:val="clear" w:color="auto" w:fill="ECECED"/>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49599"/>
            </w:tcBorders>
            <w:shd w:val="clear" w:color="auto" w:fill="ECECED"/>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3520" w:type="dxa"/>
            <w:vAlign w:val="bottom"/>
            <w:tcBorders>
              <w:bottom w:val="single" w:sz="8" w:color="ECECED"/>
            </w:tcBorders>
            <w:shd w:val="clear" w:color="auto" w:fill="ECECED"/>
          </w:tcPr>
          <w:p>
            <w:pPr>
              <w:spacing w:after="0"/>
              <w:rPr>
                <w:sz w:val="15"/>
                <w:szCs w:val="15"/>
                <w:color w:val="auto"/>
              </w:rPr>
            </w:pPr>
          </w:p>
        </w:tc>
        <w:tc>
          <w:tcPr>
            <w:tcW w:w="1320" w:type="dxa"/>
            <w:vAlign w:val="bottom"/>
            <w:tcBorders>
              <w:bottom w:val="single" w:sz="8" w:color="949599"/>
            </w:tcBorders>
            <w:shd w:val="clear" w:color="auto" w:fill="ECECED"/>
          </w:tcPr>
          <w:p>
            <w:pPr>
              <w:jc w:val="right"/>
              <w:ind w:right="213"/>
              <w:spacing w:after="0" w:line="183" w:lineRule="exact"/>
              <w:rPr>
                <w:sz w:val="20"/>
                <w:szCs w:val="20"/>
                <w:color w:val="auto"/>
              </w:rPr>
            </w:pPr>
            <w:r>
              <w:rPr>
                <w:rFonts w:ascii="Arial" w:cs="Arial" w:eastAsia="Arial" w:hAnsi="Arial"/>
                <w:sz w:val="13"/>
                <w:szCs w:val="13"/>
                <w:color w:val="auto"/>
              </w:rPr>
              <w:t>12/08/2023</w:t>
            </w:r>
            <w:r>
              <w:rPr>
                <w:rFonts w:ascii="Arial" w:cs="Arial" w:eastAsia="Arial" w:hAnsi="Arial"/>
                <w:sz w:val="21"/>
                <w:szCs w:val="21"/>
                <w:color w:val="auto"/>
                <w:vertAlign w:val="superscript"/>
              </w:rPr>
              <w:t>4</w:t>
            </w:r>
          </w:p>
        </w:tc>
        <w:tc>
          <w:tcPr>
            <w:tcW w:w="720" w:type="dxa"/>
            <w:vAlign w:val="bottom"/>
            <w:tcBorders>
              <w:bottom w:val="single" w:sz="8" w:color="949599"/>
            </w:tcBorders>
            <w:shd w:val="clear" w:color="auto" w:fill="ECECED"/>
          </w:tcPr>
          <w:p>
            <w:pPr>
              <w:jc w:val="right"/>
              <w:ind w:right="5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49599"/>
            </w:tcBorders>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shd w:val="clear" w:color="auto" w:fill="ECECED"/>
          </w:tcPr>
          <w:p>
            <w:pPr>
              <w:jc w:val="right"/>
              <w:ind w:right="72"/>
              <w:spacing w:after="0"/>
              <w:rPr>
                <w:sz w:val="20"/>
                <w:szCs w:val="20"/>
                <w:color w:val="auto"/>
              </w:rPr>
            </w:pPr>
            <w:r>
              <w:rPr>
                <w:rFonts w:ascii="Arial" w:cs="Arial" w:eastAsia="Arial" w:hAnsi="Arial"/>
                <w:sz w:val="14"/>
                <w:szCs w:val="14"/>
                <w:color w:val="auto"/>
              </w:rPr>
              <w:t>11,473</w:t>
            </w:r>
          </w:p>
        </w:tc>
        <w:tc>
          <w:tcPr>
            <w:tcW w:w="780" w:type="dxa"/>
            <w:vAlign w:val="bottom"/>
            <w:tcBorders>
              <w:bottom w:val="single" w:sz="8" w:color="949599"/>
            </w:tcBorders>
            <w:shd w:val="clear" w:color="auto" w:fill="ECECED"/>
          </w:tcPr>
          <w:p>
            <w:pPr>
              <w:jc w:val="right"/>
              <w:ind w:right="52"/>
              <w:spacing w:after="0"/>
              <w:rPr>
                <w:sz w:val="20"/>
                <w:szCs w:val="20"/>
                <w:color w:val="auto"/>
              </w:rPr>
            </w:pPr>
            <w:r>
              <w:rPr>
                <w:rFonts w:ascii="Arial" w:cs="Arial" w:eastAsia="Arial" w:hAnsi="Arial"/>
                <w:sz w:val="14"/>
                <w:szCs w:val="14"/>
                <w:color w:val="auto"/>
              </w:rPr>
              <w:t>843.79</w:t>
            </w:r>
          </w:p>
        </w:tc>
        <w:tc>
          <w:tcPr>
            <w:tcW w:w="800" w:type="dxa"/>
            <w:vAlign w:val="bottom"/>
            <w:tcBorders>
              <w:bottom w:val="single" w:sz="8" w:color="949599"/>
            </w:tcBorders>
            <w:shd w:val="clear" w:color="auto" w:fill="ECECED"/>
          </w:tcPr>
          <w:p>
            <w:pPr>
              <w:jc w:val="right"/>
              <w:ind w:right="52"/>
              <w:spacing w:after="0"/>
              <w:rPr>
                <w:sz w:val="20"/>
                <w:szCs w:val="20"/>
                <w:color w:val="auto"/>
              </w:rPr>
            </w:pPr>
            <w:r>
              <w:rPr>
                <w:rFonts w:ascii="Arial" w:cs="Arial" w:eastAsia="Arial" w:hAnsi="Arial"/>
                <w:sz w:val="14"/>
                <w:szCs w:val="14"/>
                <w:color w:val="auto"/>
              </w:rPr>
              <w:t>840.14</w:t>
            </w:r>
          </w:p>
        </w:tc>
        <w:tc>
          <w:tcPr>
            <w:tcW w:w="80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4,049,638</w:t>
            </w:r>
          </w:p>
        </w:tc>
      </w:tr>
      <w:tr>
        <w:trPr>
          <w:trHeight w:val="183"/>
        </w:trPr>
        <w:tc>
          <w:tcPr>
            <w:tcW w:w="3520" w:type="dxa"/>
            <w:vAlign w:val="bottom"/>
            <w:tcBorders>
              <w:bottom w:val="single" w:sz="8" w:color="949599"/>
            </w:tcBorders>
            <w:shd w:val="clear" w:color="auto" w:fill="ECECED"/>
          </w:tcPr>
          <w:p>
            <w:pPr>
              <w:spacing w:after="0"/>
              <w:rPr>
                <w:sz w:val="15"/>
                <w:szCs w:val="15"/>
                <w:color w:val="auto"/>
              </w:rPr>
            </w:pPr>
          </w:p>
        </w:tc>
        <w:tc>
          <w:tcPr>
            <w:tcW w:w="1320" w:type="dxa"/>
            <w:vAlign w:val="bottom"/>
            <w:tcBorders>
              <w:bottom w:val="single" w:sz="8" w:color="949599"/>
            </w:tcBorders>
            <w:shd w:val="clear" w:color="auto" w:fill="ECECED"/>
          </w:tcPr>
          <w:p>
            <w:pPr>
              <w:jc w:val="right"/>
              <w:ind w:right="213"/>
              <w:spacing w:after="0" w:line="183" w:lineRule="exact"/>
              <w:rPr>
                <w:sz w:val="20"/>
                <w:szCs w:val="20"/>
                <w:color w:val="auto"/>
              </w:rPr>
            </w:pPr>
            <w:r>
              <w:rPr>
                <w:rFonts w:ascii="Arial" w:cs="Arial" w:eastAsia="Arial" w:hAnsi="Arial"/>
                <w:sz w:val="13"/>
                <w:szCs w:val="13"/>
                <w:color w:val="auto"/>
              </w:rPr>
              <w:t>12/08/2023</w:t>
            </w:r>
            <w:r>
              <w:rPr>
                <w:rFonts w:ascii="Arial" w:cs="Arial" w:eastAsia="Arial" w:hAnsi="Arial"/>
                <w:sz w:val="21"/>
                <w:szCs w:val="21"/>
                <w:color w:val="auto"/>
                <w:vertAlign w:val="superscript"/>
              </w:rPr>
              <w:t>5</w:t>
            </w:r>
          </w:p>
        </w:tc>
        <w:tc>
          <w:tcPr>
            <w:tcW w:w="720" w:type="dxa"/>
            <w:vAlign w:val="bottom"/>
            <w:tcBorders>
              <w:bottom w:val="single" w:sz="8" w:color="949599"/>
            </w:tcBorders>
            <w:shd w:val="clear" w:color="auto" w:fill="ECECED"/>
          </w:tcPr>
          <w:p>
            <w:pPr>
              <w:jc w:val="right"/>
              <w:ind w:right="5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49599"/>
            </w:tcBorders>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3,199</w:t>
            </w:r>
          </w:p>
        </w:tc>
        <w:tc>
          <w:tcPr>
            <w:tcW w:w="880" w:type="dxa"/>
            <w:vAlign w:val="bottom"/>
            <w:tcBorders>
              <w:bottom w:val="single" w:sz="8" w:color="949599"/>
            </w:tcBorders>
            <w:shd w:val="clear" w:color="auto" w:fill="ECECED"/>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49599"/>
            </w:tcBorders>
            <w:shd w:val="clear" w:color="auto" w:fill="ECECED"/>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49599"/>
            </w:tcBorders>
            <w:shd w:val="clear" w:color="auto" w:fill="ECECED"/>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2,699,284</w:t>
            </w:r>
          </w:p>
        </w:tc>
      </w:tr>
      <w:tr>
        <w:trPr>
          <w:trHeight w:val="160"/>
        </w:trPr>
        <w:tc>
          <w:tcPr>
            <w:tcW w:w="3520" w:type="dxa"/>
            <w:vAlign w:val="bottom"/>
          </w:tcPr>
          <w:p>
            <w:pPr>
              <w:ind w:left="40"/>
              <w:spacing w:after="0"/>
              <w:rPr>
                <w:sz w:val="20"/>
                <w:szCs w:val="20"/>
                <w:color w:val="auto"/>
              </w:rPr>
            </w:pPr>
            <w:r>
              <w:rPr>
                <w:rFonts w:ascii="Arial" w:cs="Arial" w:eastAsia="Arial" w:hAnsi="Arial"/>
                <w:sz w:val="14"/>
                <w:szCs w:val="14"/>
                <w:b w:val="1"/>
                <w:bCs w:val="1"/>
                <w:color w:val="215AA8"/>
              </w:rPr>
              <w:t>Andrew J. Murphy, Ph.D.</w:t>
            </w:r>
          </w:p>
        </w:tc>
        <w:tc>
          <w:tcPr>
            <w:tcW w:w="1320" w:type="dxa"/>
            <w:vAlign w:val="bottom"/>
            <w:tcBorders>
              <w:bottom w:val="single" w:sz="8" w:color="949599"/>
            </w:tcBorders>
          </w:tcPr>
          <w:p>
            <w:pPr>
              <w:jc w:val="right"/>
              <w:ind w:right="27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49599"/>
            </w:tcBorders>
          </w:tcPr>
          <w:p>
            <w:pPr>
              <w:jc w:val="right"/>
              <w:ind w:right="5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rPr>
              <w:t>504,563</w:t>
            </w:r>
          </w:p>
        </w:tc>
        <w:tc>
          <w:tcPr>
            <w:tcW w:w="72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1,046,272</w:t>
            </w:r>
          </w:p>
        </w:tc>
        <w:tc>
          <w:tcPr>
            <w:tcW w:w="120" w:type="dxa"/>
            <w:vAlign w:val="bottom"/>
            <w:tcBorders>
              <w:bottom w:val="single" w:sz="8" w:color="949599"/>
            </w:tcBorders>
          </w:tcPr>
          <w:p>
            <w:pPr>
              <w:spacing w:after="0"/>
              <w:rPr>
                <w:sz w:val="13"/>
                <w:szCs w:val="13"/>
                <w:color w:val="auto"/>
              </w:rPr>
            </w:pPr>
          </w:p>
        </w:tc>
        <w:tc>
          <w:tcPr>
            <w:tcW w:w="78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49599"/>
            </w:tcBorders>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49599"/>
            </w:tcBorders>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3520" w:type="dxa"/>
            <w:vAlign w:val="bottom"/>
          </w:tcPr>
          <w:p>
            <w:pPr>
              <w:spacing w:after="0"/>
              <w:rPr>
                <w:sz w:val="15"/>
                <w:szCs w:val="15"/>
                <w:color w:val="auto"/>
              </w:rPr>
            </w:pPr>
          </w:p>
        </w:tc>
        <w:tc>
          <w:tcPr>
            <w:tcW w:w="1320" w:type="dxa"/>
            <w:vAlign w:val="bottom"/>
            <w:tcBorders>
              <w:bottom w:val="single" w:sz="8" w:color="949599"/>
            </w:tcBorders>
          </w:tcPr>
          <w:p>
            <w:pPr>
              <w:jc w:val="right"/>
              <w:ind w:right="213"/>
              <w:spacing w:after="0" w:line="183" w:lineRule="exact"/>
              <w:rPr>
                <w:sz w:val="20"/>
                <w:szCs w:val="20"/>
                <w:color w:val="auto"/>
              </w:rPr>
            </w:pPr>
            <w:r>
              <w:rPr>
                <w:rFonts w:ascii="Arial" w:cs="Arial" w:eastAsia="Arial" w:hAnsi="Arial"/>
                <w:sz w:val="13"/>
                <w:szCs w:val="13"/>
                <w:color w:val="auto"/>
              </w:rPr>
              <w:t>12/08/2023</w:t>
            </w:r>
            <w:r>
              <w:rPr>
                <w:rFonts w:ascii="Arial" w:cs="Arial" w:eastAsia="Arial" w:hAnsi="Arial"/>
                <w:sz w:val="21"/>
                <w:szCs w:val="21"/>
                <w:color w:val="auto"/>
                <w:vertAlign w:val="superscript"/>
              </w:rPr>
              <w:t>4</w:t>
            </w:r>
          </w:p>
        </w:tc>
        <w:tc>
          <w:tcPr>
            <w:tcW w:w="720" w:type="dxa"/>
            <w:vAlign w:val="bottom"/>
            <w:tcBorders>
              <w:bottom w:val="single" w:sz="8" w:color="949599"/>
            </w:tcBorders>
          </w:tcPr>
          <w:p>
            <w:pPr>
              <w:jc w:val="right"/>
              <w:ind w:right="5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49599"/>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tcPr>
          <w:p>
            <w:pPr>
              <w:jc w:val="right"/>
              <w:ind w:right="72"/>
              <w:spacing w:after="0"/>
              <w:rPr>
                <w:sz w:val="20"/>
                <w:szCs w:val="20"/>
                <w:color w:val="auto"/>
              </w:rPr>
            </w:pPr>
            <w:r>
              <w:rPr>
                <w:rFonts w:ascii="Arial" w:cs="Arial" w:eastAsia="Arial" w:hAnsi="Arial"/>
                <w:sz w:val="14"/>
                <w:szCs w:val="14"/>
                <w:color w:val="auto"/>
              </w:rPr>
              <w:t>11,473</w:t>
            </w:r>
          </w:p>
        </w:tc>
        <w:tc>
          <w:tcPr>
            <w:tcW w:w="780" w:type="dxa"/>
            <w:vAlign w:val="bottom"/>
            <w:tcBorders>
              <w:bottom w:val="single" w:sz="8" w:color="949599"/>
            </w:tcBorders>
          </w:tcPr>
          <w:p>
            <w:pPr>
              <w:jc w:val="right"/>
              <w:ind w:right="52"/>
              <w:spacing w:after="0"/>
              <w:rPr>
                <w:sz w:val="20"/>
                <w:szCs w:val="20"/>
                <w:color w:val="auto"/>
              </w:rPr>
            </w:pPr>
            <w:r>
              <w:rPr>
                <w:rFonts w:ascii="Arial" w:cs="Arial" w:eastAsia="Arial" w:hAnsi="Arial"/>
                <w:sz w:val="14"/>
                <w:szCs w:val="14"/>
                <w:color w:val="auto"/>
              </w:rPr>
              <w:t>843.79</w:t>
            </w:r>
          </w:p>
        </w:tc>
        <w:tc>
          <w:tcPr>
            <w:tcW w:w="800" w:type="dxa"/>
            <w:vAlign w:val="bottom"/>
            <w:tcBorders>
              <w:bottom w:val="single" w:sz="8" w:color="949599"/>
            </w:tcBorders>
          </w:tcPr>
          <w:p>
            <w:pPr>
              <w:jc w:val="right"/>
              <w:ind w:right="52"/>
              <w:spacing w:after="0"/>
              <w:rPr>
                <w:sz w:val="20"/>
                <w:szCs w:val="20"/>
                <w:color w:val="auto"/>
              </w:rPr>
            </w:pPr>
            <w:r>
              <w:rPr>
                <w:rFonts w:ascii="Arial" w:cs="Arial" w:eastAsia="Arial" w:hAnsi="Arial"/>
                <w:sz w:val="14"/>
                <w:szCs w:val="14"/>
                <w:color w:val="auto"/>
              </w:rPr>
              <w:t>840.14</w:t>
            </w:r>
          </w:p>
        </w:tc>
        <w:tc>
          <w:tcPr>
            <w:tcW w:w="8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4,049,638</w:t>
            </w:r>
          </w:p>
        </w:tc>
      </w:tr>
      <w:tr>
        <w:trPr>
          <w:trHeight w:val="185"/>
        </w:trPr>
        <w:tc>
          <w:tcPr>
            <w:tcW w:w="3520" w:type="dxa"/>
            <w:vAlign w:val="bottom"/>
            <w:tcBorders>
              <w:bottom w:val="single" w:sz="8" w:color="215AA8"/>
            </w:tcBorders>
          </w:tcPr>
          <w:p>
            <w:pPr>
              <w:spacing w:after="0"/>
              <w:rPr>
                <w:sz w:val="16"/>
                <w:szCs w:val="16"/>
                <w:color w:val="auto"/>
              </w:rPr>
            </w:pPr>
          </w:p>
        </w:tc>
        <w:tc>
          <w:tcPr>
            <w:tcW w:w="1320" w:type="dxa"/>
            <w:vAlign w:val="bottom"/>
            <w:tcBorders>
              <w:bottom w:val="single" w:sz="8" w:color="215AA8"/>
            </w:tcBorders>
          </w:tcPr>
          <w:p>
            <w:pPr>
              <w:jc w:val="right"/>
              <w:ind w:right="213"/>
              <w:spacing w:after="0" w:line="183" w:lineRule="exact"/>
              <w:rPr>
                <w:sz w:val="20"/>
                <w:szCs w:val="20"/>
                <w:color w:val="auto"/>
              </w:rPr>
            </w:pPr>
            <w:r>
              <w:rPr>
                <w:rFonts w:ascii="Arial" w:cs="Arial" w:eastAsia="Arial" w:hAnsi="Arial"/>
                <w:sz w:val="13"/>
                <w:szCs w:val="13"/>
                <w:color w:val="auto"/>
              </w:rPr>
              <w:t>12/08/2023</w:t>
            </w:r>
            <w:r>
              <w:rPr>
                <w:rFonts w:ascii="Arial" w:cs="Arial" w:eastAsia="Arial" w:hAnsi="Arial"/>
                <w:sz w:val="21"/>
                <w:szCs w:val="21"/>
                <w:color w:val="auto"/>
                <w:vertAlign w:val="superscript"/>
              </w:rPr>
              <w:t>5</w:t>
            </w:r>
          </w:p>
        </w:tc>
        <w:tc>
          <w:tcPr>
            <w:tcW w:w="720" w:type="dxa"/>
            <w:vAlign w:val="bottom"/>
            <w:tcBorders>
              <w:bottom w:val="single" w:sz="8" w:color="215AA8"/>
            </w:tcBorders>
          </w:tcPr>
          <w:p>
            <w:pPr>
              <w:jc w:val="right"/>
              <w:ind w:right="5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15AA8"/>
            </w:tcBorders>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15AA8"/>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215AA8"/>
            </w:tcBorders>
          </w:tcPr>
          <w:p>
            <w:pPr>
              <w:jc w:val="right"/>
              <w:ind w:right="32"/>
              <w:spacing w:after="0"/>
              <w:rPr>
                <w:sz w:val="20"/>
                <w:szCs w:val="20"/>
                <w:color w:val="auto"/>
              </w:rPr>
            </w:pPr>
            <w:r>
              <w:rPr>
                <w:rFonts w:ascii="Arial" w:cs="Arial" w:eastAsia="Arial" w:hAnsi="Arial"/>
                <w:sz w:val="14"/>
                <w:szCs w:val="14"/>
                <w:color w:val="auto"/>
              </w:rPr>
              <w:t>3,199</w:t>
            </w:r>
          </w:p>
        </w:tc>
        <w:tc>
          <w:tcPr>
            <w:tcW w:w="880" w:type="dxa"/>
            <w:vAlign w:val="bottom"/>
            <w:tcBorders>
              <w:bottom w:val="single" w:sz="8" w:color="215AA8"/>
            </w:tcBorders>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215AA8"/>
            </w:tcBorders>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15AA8"/>
            </w:tcBorders>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auto"/>
              </w:rPr>
              <w:t>2,699,284</w:t>
            </w:r>
          </w:p>
        </w:tc>
      </w:tr>
    </w:tbl>
    <w:p>
      <w:pPr>
        <w:spacing w:after="0" w:line="93" w:lineRule="exact"/>
        <w:rPr>
          <w:sz w:val="20"/>
          <w:szCs w:val="20"/>
          <w:color w:val="auto"/>
        </w:rPr>
      </w:pPr>
    </w:p>
    <w:p>
      <w:pPr>
        <w:ind w:left="270" w:right="320" w:hanging="270"/>
        <w:spacing w:after="0" w:line="203" w:lineRule="auto"/>
        <w:tabs>
          <w:tab w:leader="none" w:pos="270" w:val="left"/>
        </w:tabs>
        <w:numPr>
          <w:ilvl w:val="0"/>
          <w:numId w:val="138"/>
        </w:numPr>
        <w:rPr>
          <w:rFonts w:ascii="Arial" w:cs="Arial" w:eastAsia="Arial" w:hAnsi="Arial"/>
          <w:sz w:val="20"/>
          <w:szCs w:val="20"/>
          <w:color w:val="auto"/>
          <w:vertAlign w:val="superscript"/>
        </w:rPr>
      </w:pPr>
      <w:r>
        <w:rPr>
          <w:rFonts w:ascii="Arial" w:cs="Arial" w:eastAsia="Arial" w:hAnsi="Arial"/>
          <w:sz w:val="12"/>
          <w:szCs w:val="12"/>
          <w:color w:val="auto"/>
        </w:rPr>
        <w:t>Cash incentive awards under the Regeneron Pharmaceuticals, Inc. Cash Incentive Bonus Plan. The actual cash incentive awards earned in respect of 2023 and paid out in January 2024 are reported as “Non-Equity Incentive Plan Compensation” in the Summary Compensation Table above. The maximum amount in this column represents the maximum cash incentive allocated to each executive by the Compensation Committee in March 2023 under the Cash Incentive Bonus Plan.</w:t>
      </w:r>
    </w:p>
    <w:p>
      <w:pPr>
        <w:spacing w:after="0" w:line="22" w:lineRule="exact"/>
        <w:rPr>
          <w:sz w:val="20"/>
          <w:szCs w:val="20"/>
          <w:color w:val="auto"/>
        </w:rPr>
      </w:pPr>
    </w:p>
    <w:p>
      <w:pPr>
        <w:ind w:left="270" w:right="20" w:hanging="270"/>
        <w:spacing w:after="0" w:line="191" w:lineRule="auto"/>
        <w:tabs>
          <w:tab w:leader="none" w:pos="270" w:val="left"/>
        </w:tabs>
        <w:numPr>
          <w:ilvl w:val="0"/>
          <w:numId w:val="139"/>
        </w:numPr>
        <w:rPr>
          <w:rFonts w:ascii="Arial" w:cs="Arial" w:eastAsia="Arial" w:hAnsi="Arial"/>
          <w:sz w:val="20"/>
          <w:szCs w:val="20"/>
          <w:color w:val="auto"/>
          <w:vertAlign w:val="superscript"/>
        </w:rPr>
      </w:pPr>
      <w:r>
        <w:rPr>
          <w:rFonts w:ascii="Arial" w:cs="Arial" w:eastAsia="Arial" w:hAnsi="Arial"/>
          <w:sz w:val="12"/>
          <w:szCs w:val="12"/>
          <w:color w:val="auto"/>
        </w:rPr>
        <w:t>These options have an exercise price equal to the average of the high and low sales price per share of the Company’s common stock on the date of grant. Therefore, the closing price of our common stock on the grant date may be higher or lower than the exercise price of these options.</w:t>
      </w:r>
    </w:p>
    <w:p>
      <w:pPr>
        <w:spacing w:after="0" w:line="22" w:lineRule="exact"/>
        <w:rPr>
          <w:sz w:val="20"/>
          <w:szCs w:val="20"/>
          <w:color w:val="auto"/>
        </w:rPr>
      </w:pPr>
    </w:p>
    <w:p>
      <w:pPr>
        <w:ind w:left="270" w:right="40" w:hanging="270"/>
        <w:spacing w:after="0" w:line="203" w:lineRule="auto"/>
        <w:tabs>
          <w:tab w:leader="none" w:pos="270" w:val="left"/>
        </w:tabs>
        <w:numPr>
          <w:ilvl w:val="0"/>
          <w:numId w:val="140"/>
        </w:numPr>
        <w:rPr>
          <w:rFonts w:ascii="Arial" w:cs="Arial" w:eastAsia="Arial" w:hAnsi="Arial"/>
          <w:sz w:val="20"/>
          <w:szCs w:val="20"/>
          <w:color w:val="auto"/>
          <w:vertAlign w:val="superscript"/>
        </w:rPr>
      </w:pPr>
      <w:r>
        <w:rPr>
          <w:rFonts w:ascii="Arial" w:cs="Arial" w:eastAsia="Arial" w:hAnsi="Arial"/>
          <w:sz w:val="12"/>
          <w:szCs w:val="12"/>
          <w:color w:val="auto"/>
        </w:rPr>
        <w:t>The amounts in this column represent the grant date fair value (disregarding estimated forfeitures) of the awards made pursuant to the Second Amended and Restated Regeneron Pharmaceuticals, Inc. 2014 Long-Term Incentive Plan. The valuation assumptions and methodologies used in the calculation of these amounts are included in Note 13 to the Company’s audited financial statements for the fiscal year ended December 31, 2023, included in the 2023 Annual Report.</w:t>
      </w:r>
    </w:p>
    <w:p>
      <w:pPr>
        <w:ind w:left="270" w:hanging="270"/>
        <w:spacing w:after="0" w:line="188" w:lineRule="auto"/>
        <w:tabs>
          <w:tab w:leader="none" w:pos="270" w:val="left"/>
        </w:tabs>
        <w:numPr>
          <w:ilvl w:val="0"/>
          <w:numId w:val="141"/>
        </w:numPr>
        <w:rPr>
          <w:rFonts w:ascii="Arial" w:cs="Arial" w:eastAsia="Arial" w:hAnsi="Arial"/>
          <w:sz w:val="20"/>
          <w:szCs w:val="20"/>
          <w:color w:val="auto"/>
          <w:vertAlign w:val="superscript"/>
        </w:rPr>
      </w:pPr>
      <w:r>
        <w:rPr>
          <w:rFonts w:ascii="Arial" w:cs="Arial" w:eastAsia="Arial" w:hAnsi="Arial"/>
          <w:sz w:val="12"/>
          <w:szCs w:val="12"/>
          <w:color w:val="auto"/>
        </w:rPr>
        <w:t>The NEO received a non-qualified stock option award that vests subject to continued employment at a rate of 25% per year over the first four years of the maximum ten-year option term.</w:t>
      </w:r>
    </w:p>
    <w:p>
      <w:pPr>
        <w:ind w:left="270" w:hanging="270"/>
        <w:spacing w:after="0" w:line="188" w:lineRule="auto"/>
        <w:tabs>
          <w:tab w:leader="none" w:pos="270" w:val="left"/>
        </w:tabs>
        <w:numPr>
          <w:ilvl w:val="0"/>
          <w:numId w:val="142"/>
        </w:numPr>
        <w:rPr>
          <w:rFonts w:ascii="Arial" w:cs="Arial" w:eastAsia="Arial" w:hAnsi="Arial"/>
          <w:sz w:val="20"/>
          <w:szCs w:val="20"/>
          <w:color w:val="auto"/>
          <w:vertAlign w:val="superscript"/>
        </w:rPr>
      </w:pPr>
      <w:r>
        <w:rPr>
          <w:rFonts w:ascii="Arial" w:cs="Arial" w:eastAsia="Arial" w:hAnsi="Arial"/>
          <w:sz w:val="12"/>
          <w:szCs w:val="12"/>
          <w:color w:val="auto"/>
        </w:rPr>
        <w:t>The NEO received an annual RSA that vests 50% on the second anniversary of the date of grant and 50% on the fourth anniversary of the date of grant, subject to the NEO’s continued employment.</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83</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Outstanding Equity Awards at 2023 Fiscal Year-End</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and explanatory footnotes provide information regarding unexercised stock options and PSUs or RSAs (as applicable) held by our NEOs as of December 31,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40" w:type="dxa"/>
            <w:vAlign w:val="bottom"/>
            <w:tcBorders>
              <w:bottom w:val="single" w:sz="8" w:color="215AA8"/>
            </w:tcBorders>
          </w:tcPr>
          <w:p>
            <w:pPr>
              <w:ind w:left="620"/>
              <w:spacing w:after="0"/>
              <w:rPr>
                <w:sz w:val="20"/>
                <w:szCs w:val="20"/>
                <w:color w:val="auto"/>
              </w:rPr>
            </w:pPr>
            <w:r>
              <w:rPr>
                <w:rFonts w:ascii="Arial" w:cs="Arial" w:eastAsia="Arial" w:hAnsi="Arial"/>
                <w:sz w:val="14"/>
                <w:szCs w:val="14"/>
                <w:color w:val="215AA8"/>
              </w:rPr>
              <w:t>A</w:t>
            </w:r>
          </w:p>
        </w:tc>
        <w:tc>
          <w:tcPr>
            <w:tcW w:w="1080" w:type="dxa"/>
            <w:vAlign w:val="bottom"/>
            <w:tcBorders>
              <w:bottom w:val="single" w:sz="8" w:color="215AA8"/>
            </w:tcBorders>
            <w:gridSpan w:val="2"/>
          </w:tcPr>
          <w:p>
            <w:pPr>
              <w:jc w:val="center"/>
              <w:ind w:right="340"/>
              <w:spacing w:after="0"/>
              <w:rPr>
                <w:sz w:val="20"/>
                <w:szCs w:val="20"/>
                <w:color w:val="auto"/>
              </w:rPr>
            </w:pPr>
            <w:r>
              <w:rPr>
                <w:rFonts w:ascii="Arial" w:cs="Arial" w:eastAsia="Arial" w:hAnsi="Arial"/>
                <w:sz w:val="14"/>
                <w:szCs w:val="14"/>
                <w:color w:val="215AA8"/>
              </w:rPr>
              <w:t>B</w:t>
            </w:r>
          </w:p>
        </w:tc>
        <w:tc>
          <w:tcPr>
            <w:tcW w:w="200" w:type="dxa"/>
            <w:vAlign w:val="bottom"/>
            <w:tcBorders>
              <w:bottom w:val="single" w:sz="8" w:color="215AA8"/>
            </w:tcBorders>
          </w:tcPr>
          <w:p>
            <w:pPr>
              <w:spacing w:after="0"/>
              <w:rPr>
                <w:sz w:val="14"/>
                <w:szCs w:val="14"/>
                <w:color w:val="auto"/>
              </w:rPr>
            </w:pPr>
          </w:p>
        </w:tc>
        <w:tc>
          <w:tcPr>
            <w:tcW w:w="740" w:type="dxa"/>
            <w:vAlign w:val="bottom"/>
            <w:tcBorders>
              <w:bottom w:val="single" w:sz="8" w:color="215AA8"/>
            </w:tcBorders>
          </w:tcPr>
          <w:p>
            <w:pPr>
              <w:ind w:left="160"/>
              <w:spacing w:after="0"/>
              <w:rPr>
                <w:sz w:val="20"/>
                <w:szCs w:val="20"/>
                <w:color w:val="auto"/>
              </w:rPr>
            </w:pPr>
            <w:r>
              <w:rPr>
                <w:rFonts w:ascii="Arial" w:cs="Arial" w:eastAsia="Arial" w:hAnsi="Arial"/>
                <w:sz w:val="14"/>
                <w:szCs w:val="14"/>
                <w:color w:val="215AA8"/>
              </w:rPr>
              <w:t>C</w:t>
            </w:r>
          </w:p>
        </w:tc>
        <w:tc>
          <w:tcPr>
            <w:tcW w:w="360" w:type="dxa"/>
            <w:vAlign w:val="bottom"/>
            <w:tcBorders>
              <w:bottom w:val="single" w:sz="8" w:color="215AA8"/>
            </w:tcBorders>
          </w:tcPr>
          <w:p>
            <w:pPr>
              <w:spacing w:after="0"/>
              <w:rPr>
                <w:sz w:val="14"/>
                <w:szCs w:val="14"/>
                <w:color w:val="auto"/>
              </w:rPr>
            </w:pPr>
          </w:p>
        </w:tc>
        <w:tc>
          <w:tcPr>
            <w:tcW w:w="900" w:type="dxa"/>
            <w:vAlign w:val="bottom"/>
            <w:tcBorders>
              <w:bottom w:val="single" w:sz="8" w:color="215AA8"/>
            </w:tcBorders>
          </w:tcPr>
          <w:p>
            <w:pPr>
              <w:jc w:val="right"/>
              <w:ind w:right="412"/>
              <w:spacing w:after="0"/>
              <w:rPr>
                <w:sz w:val="20"/>
                <w:szCs w:val="20"/>
                <w:color w:val="auto"/>
              </w:rPr>
            </w:pPr>
            <w:r>
              <w:rPr>
                <w:rFonts w:ascii="Arial" w:cs="Arial" w:eastAsia="Arial" w:hAnsi="Arial"/>
                <w:sz w:val="14"/>
                <w:szCs w:val="14"/>
                <w:color w:val="215AA8"/>
              </w:rPr>
              <w:t>D</w:t>
            </w:r>
          </w:p>
        </w:tc>
        <w:tc>
          <w:tcPr>
            <w:tcW w:w="860" w:type="dxa"/>
            <w:vAlign w:val="bottom"/>
            <w:tcBorders>
              <w:bottom w:val="single" w:sz="8" w:color="215AA8"/>
            </w:tcBorders>
          </w:tcPr>
          <w:p>
            <w:pPr>
              <w:jc w:val="right"/>
              <w:ind w:right="312"/>
              <w:spacing w:after="0"/>
              <w:rPr>
                <w:sz w:val="20"/>
                <w:szCs w:val="20"/>
                <w:color w:val="auto"/>
              </w:rPr>
            </w:pPr>
            <w:r>
              <w:rPr>
                <w:rFonts w:ascii="Arial" w:cs="Arial" w:eastAsia="Arial" w:hAnsi="Arial"/>
                <w:sz w:val="14"/>
                <w:szCs w:val="14"/>
                <w:color w:val="215AA8"/>
              </w:rPr>
              <w:t>E</w:t>
            </w:r>
          </w:p>
        </w:tc>
        <w:tc>
          <w:tcPr>
            <w:tcW w:w="1040" w:type="dxa"/>
            <w:vAlign w:val="bottom"/>
            <w:tcBorders>
              <w:bottom w:val="single" w:sz="8" w:color="215AA8"/>
            </w:tcBorders>
            <w:gridSpan w:val="2"/>
          </w:tcPr>
          <w:p>
            <w:pPr>
              <w:jc w:val="right"/>
              <w:ind w:right="480"/>
              <w:spacing w:after="0"/>
              <w:rPr>
                <w:sz w:val="20"/>
                <w:szCs w:val="20"/>
                <w:color w:val="auto"/>
              </w:rPr>
            </w:pPr>
            <w:r>
              <w:rPr>
                <w:rFonts w:ascii="Arial" w:cs="Arial" w:eastAsia="Arial" w:hAnsi="Arial"/>
                <w:sz w:val="14"/>
                <w:szCs w:val="14"/>
                <w:color w:val="215AA8"/>
              </w:rPr>
              <w:t>F</w:t>
            </w:r>
          </w:p>
        </w:tc>
        <w:tc>
          <w:tcPr>
            <w:tcW w:w="180" w:type="dxa"/>
            <w:vAlign w:val="bottom"/>
            <w:tcBorders>
              <w:bottom w:val="single" w:sz="8" w:color="215AA8"/>
            </w:tcBorders>
          </w:tcPr>
          <w:p>
            <w:pPr>
              <w:spacing w:after="0"/>
              <w:rPr>
                <w:sz w:val="14"/>
                <w:szCs w:val="14"/>
                <w:color w:val="auto"/>
              </w:rPr>
            </w:pPr>
          </w:p>
        </w:tc>
        <w:tc>
          <w:tcPr>
            <w:tcW w:w="760" w:type="dxa"/>
            <w:vAlign w:val="bottom"/>
            <w:tcBorders>
              <w:bottom w:val="single" w:sz="8" w:color="215AA8"/>
            </w:tcBorders>
          </w:tcPr>
          <w:p>
            <w:pPr>
              <w:jc w:val="right"/>
              <w:ind w:right="412"/>
              <w:spacing w:after="0"/>
              <w:rPr>
                <w:sz w:val="20"/>
                <w:szCs w:val="20"/>
                <w:color w:val="auto"/>
              </w:rPr>
            </w:pPr>
            <w:r>
              <w:rPr>
                <w:rFonts w:ascii="Arial" w:cs="Arial" w:eastAsia="Arial" w:hAnsi="Arial"/>
                <w:sz w:val="14"/>
                <w:szCs w:val="14"/>
                <w:color w:val="215AA8"/>
              </w:rPr>
              <w:t>G</w:t>
            </w:r>
          </w:p>
        </w:tc>
        <w:tc>
          <w:tcPr>
            <w:tcW w:w="940" w:type="dxa"/>
            <w:vAlign w:val="bottom"/>
            <w:tcBorders>
              <w:bottom w:val="single" w:sz="8" w:color="215AA8"/>
            </w:tcBorders>
          </w:tcPr>
          <w:p>
            <w:pPr>
              <w:jc w:val="right"/>
              <w:ind w:right="313"/>
              <w:spacing w:after="0"/>
              <w:rPr>
                <w:sz w:val="20"/>
                <w:szCs w:val="20"/>
                <w:color w:val="auto"/>
              </w:rPr>
            </w:pPr>
            <w:r>
              <w:rPr>
                <w:rFonts w:ascii="Arial" w:cs="Arial" w:eastAsia="Arial" w:hAnsi="Arial"/>
                <w:sz w:val="14"/>
                <w:szCs w:val="14"/>
                <w:color w:val="215AA8"/>
              </w:rPr>
              <w:t>H</w:t>
            </w:r>
          </w:p>
        </w:tc>
        <w:tc>
          <w:tcPr>
            <w:tcW w:w="1440" w:type="dxa"/>
            <w:vAlign w:val="bottom"/>
            <w:tcBorders>
              <w:bottom w:val="single" w:sz="8" w:color="215AA8"/>
            </w:tcBorders>
          </w:tcPr>
          <w:p>
            <w:pPr>
              <w:jc w:val="right"/>
              <w:ind w:right="593"/>
              <w:spacing w:after="0"/>
              <w:rPr>
                <w:sz w:val="20"/>
                <w:szCs w:val="20"/>
                <w:color w:val="auto"/>
              </w:rPr>
            </w:pPr>
            <w:r>
              <w:rPr>
                <w:rFonts w:ascii="Arial" w:cs="Arial" w:eastAsia="Arial" w:hAnsi="Arial"/>
                <w:sz w:val="14"/>
                <w:szCs w:val="14"/>
                <w:color w:val="215AA8"/>
              </w:rPr>
              <w:t>I</w:t>
            </w:r>
          </w:p>
        </w:tc>
        <w:tc>
          <w:tcPr>
            <w:tcW w:w="1120" w:type="dxa"/>
            <w:vAlign w:val="bottom"/>
            <w:tcBorders>
              <w:bottom w:val="single" w:sz="8" w:color="215AA8"/>
            </w:tcBorders>
          </w:tcPr>
          <w:p>
            <w:pPr>
              <w:jc w:val="right"/>
              <w:ind w:right="433"/>
              <w:spacing w:after="0"/>
              <w:rPr>
                <w:sz w:val="20"/>
                <w:szCs w:val="20"/>
                <w:color w:val="auto"/>
              </w:rPr>
            </w:pPr>
            <w:r>
              <w:rPr>
                <w:rFonts w:ascii="Arial" w:cs="Arial" w:eastAsia="Arial" w:hAnsi="Arial"/>
                <w:sz w:val="14"/>
                <w:szCs w:val="14"/>
                <w:color w:val="215AA8"/>
              </w:rPr>
              <w:t>J</w:t>
            </w: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740" w:type="dxa"/>
            <w:vAlign w:val="bottom"/>
            <w:tcBorders>
              <w:bottom w:val="single" w:sz="8" w:color="215AA8"/>
            </w:tcBorders>
          </w:tcPr>
          <w:p>
            <w:pPr>
              <w:spacing w:after="0"/>
              <w:rPr>
                <w:sz w:val="13"/>
                <w:szCs w:val="13"/>
                <w:color w:val="auto"/>
              </w:rPr>
            </w:pPr>
          </w:p>
        </w:tc>
        <w:tc>
          <w:tcPr>
            <w:tcW w:w="340" w:type="dxa"/>
            <w:vAlign w:val="bottom"/>
            <w:tcBorders>
              <w:bottom w:val="single" w:sz="8" w:color="215AA8"/>
            </w:tcBorders>
          </w:tcPr>
          <w:p>
            <w:pPr>
              <w:spacing w:after="0"/>
              <w:rPr>
                <w:sz w:val="13"/>
                <w:szCs w:val="13"/>
                <w:color w:val="auto"/>
              </w:rPr>
            </w:pPr>
          </w:p>
        </w:tc>
        <w:tc>
          <w:tcPr>
            <w:tcW w:w="200" w:type="dxa"/>
            <w:vAlign w:val="bottom"/>
            <w:tcBorders>
              <w:bottom w:val="single" w:sz="8" w:color="215AA8"/>
            </w:tcBorders>
          </w:tcPr>
          <w:p>
            <w:pPr>
              <w:spacing w:after="0"/>
              <w:rPr>
                <w:sz w:val="13"/>
                <w:szCs w:val="13"/>
                <w:color w:val="auto"/>
              </w:rPr>
            </w:pPr>
          </w:p>
        </w:tc>
        <w:tc>
          <w:tcPr>
            <w:tcW w:w="740" w:type="dxa"/>
            <w:vAlign w:val="bottom"/>
            <w:tcBorders>
              <w:bottom w:val="single" w:sz="8" w:color="215AA8"/>
            </w:tcBorders>
          </w:tcPr>
          <w:p>
            <w:pPr>
              <w:spacing w:after="0"/>
              <w:rPr>
                <w:sz w:val="13"/>
                <w:szCs w:val="13"/>
                <w:color w:val="auto"/>
              </w:rPr>
            </w:pPr>
          </w:p>
        </w:tc>
        <w:tc>
          <w:tcPr>
            <w:tcW w:w="1260" w:type="dxa"/>
            <w:vAlign w:val="bottom"/>
            <w:tcBorders>
              <w:bottom w:val="single" w:sz="8" w:color="215AA8"/>
            </w:tcBorders>
            <w:gridSpan w:val="2"/>
          </w:tcPr>
          <w:p>
            <w:pPr>
              <w:jc w:val="right"/>
              <w:ind w:right="272"/>
              <w:spacing w:after="0" w:line="157" w:lineRule="exact"/>
              <w:rPr>
                <w:sz w:val="20"/>
                <w:szCs w:val="20"/>
                <w:color w:val="auto"/>
              </w:rPr>
            </w:pPr>
            <w:r>
              <w:rPr>
                <w:rFonts w:ascii="Arial" w:cs="Arial" w:eastAsia="Arial" w:hAnsi="Arial"/>
                <w:sz w:val="14"/>
                <w:szCs w:val="14"/>
                <w:color w:val="215AA8"/>
                <w:w w:val="97"/>
              </w:rPr>
              <w:t>Option Awards</w:t>
            </w:r>
          </w:p>
        </w:tc>
        <w:tc>
          <w:tcPr>
            <w:tcW w:w="860" w:type="dxa"/>
            <w:vAlign w:val="bottom"/>
            <w:tcBorders>
              <w:bottom w:val="single" w:sz="8" w:color="215AA8"/>
            </w:tcBorders>
          </w:tcPr>
          <w:p>
            <w:pPr>
              <w:spacing w:after="0"/>
              <w:rPr>
                <w:sz w:val="13"/>
                <w:szCs w:val="13"/>
                <w:color w:val="auto"/>
              </w:rPr>
            </w:pPr>
          </w:p>
        </w:tc>
        <w:tc>
          <w:tcPr>
            <w:tcW w:w="860" w:type="dxa"/>
            <w:vAlign w:val="bottom"/>
            <w:tcBorders>
              <w:bottom w:val="single" w:sz="8" w:color="215AA8"/>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bottom w:val="single" w:sz="8" w:color="215AA8"/>
            </w:tcBorders>
          </w:tcPr>
          <w:p>
            <w:pPr>
              <w:spacing w:after="0"/>
              <w:rPr>
                <w:sz w:val="13"/>
                <w:szCs w:val="13"/>
                <w:color w:val="auto"/>
              </w:rPr>
            </w:pPr>
          </w:p>
        </w:tc>
        <w:tc>
          <w:tcPr>
            <w:tcW w:w="940" w:type="dxa"/>
            <w:vAlign w:val="bottom"/>
            <w:tcBorders>
              <w:bottom w:val="single" w:sz="8" w:color="215AA8"/>
            </w:tcBorders>
          </w:tcPr>
          <w:p>
            <w:pPr>
              <w:spacing w:after="0"/>
              <w:rPr>
                <w:sz w:val="13"/>
                <w:szCs w:val="13"/>
                <w:color w:val="auto"/>
              </w:rPr>
            </w:pPr>
          </w:p>
        </w:tc>
        <w:tc>
          <w:tcPr>
            <w:tcW w:w="1440" w:type="dxa"/>
            <w:vAlign w:val="bottom"/>
            <w:tcBorders>
              <w:bottom w:val="single" w:sz="8" w:color="215AA8"/>
            </w:tcBorders>
          </w:tcPr>
          <w:p>
            <w:pPr>
              <w:jc w:val="right"/>
              <w:ind w:right="533"/>
              <w:spacing w:after="0" w:line="157" w:lineRule="exact"/>
              <w:rPr>
                <w:sz w:val="20"/>
                <w:szCs w:val="20"/>
                <w:color w:val="auto"/>
              </w:rPr>
            </w:pPr>
            <w:r>
              <w:rPr>
                <w:rFonts w:ascii="Arial" w:cs="Arial" w:eastAsia="Arial" w:hAnsi="Arial"/>
                <w:sz w:val="14"/>
                <w:szCs w:val="14"/>
                <w:color w:val="215AA8"/>
                <w:w w:val="95"/>
              </w:rPr>
              <w:t>Stock Awards</w:t>
            </w:r>
          </w:p>
        </w:tc>
        <w:tc>
          <w:tcPr>
            <w:tcW w:w="1120" w:type="dxa"/>
            <w:vAlign w:val="bottom"/>
            <w:tcBorders>
              <w:bottom w:val="single" w:sz="8" w:color="215AA8"/>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jc w:val="right"/>
              <w:ind w:right="53"/>
              <w:spacing w:after="0" w:line="147" w:lineRule="exact"/>
              <w:rPr>
                <w:sz w:val="20"/>
                <w:szCs w:val="20"/>
                <w:color w:val="auto"/>
              </w:rPr>
            </w:pPr>
            <w:r>
              <w:rPr>
                <w:rFonts w:ascii="Arial" w:cs="Arial" w:eastAsia="Arial" w:hAnsi="Arial"/>
                <w:sz w:val="14"/>
                <w:szCs w:val="14"/>
                <w:color w:val="215AA8"/>
              </w:rPr>
              <w:t>Equity</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20" w:type="dxa"/>
            <w:vAlign w:val="bottom"/>
          </w:tcPr>
          <w:p>
            <w:pPr>
              <w:jc w:val="right"/>
              <w:ind w:right="53"/>
              <w:spacing w:after="0" w:line="157" w:lineRule="exact"/>
              <w:rPr>
                <w:sz w:val="20"/>
                <w:szCs w:val="20"/>
                <w:color w:val="auto"/>
              </w:rPr>
            </w:pPr>
            <w:r>
              <w:rPr>
                <w:rFonts w:ascii="Arial" w:cs="Arial" w:eastAsia="Arial" w:hAnsi="Arial"/>
                <w:sz w:val="14"/>
                <w:szCs w:val="14"/>
                <w:color w:val="215AA8"/>
              </w:rPr>
              <w:t>incentive</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92"/>
              <w:spacing w:after="0" w:line="157" w:lineRule="exact"/>
              <w:rPr>
                <w:sz w:val="20"/>
                <w:szCs w:val="20"/>
                <w:color w:val="auto"/>
              </w:rPr>
            </w:pPr>
            <w:r>
              <w:rPr>
                <w:rFonts w:ascii="Arial" w:cs="Arial" w:eastAsia="Arial" w:hAnsi="Arial"/>
                <w:sz w:val="14"/>
                <w:szCs w:val="14"/>
                <w:color w:val="215AA8"/>
              </w:rPr>
              <w:t>Equity</w:t>
            </w: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tcPr>
          <w:p>
            <w:pPr>
              <w:jc w:val="right"/>
              <w:ind w:right="213"/>
              <w:spacing w:after="0" w:line="157" w:lineRule="exact"/>
              <w:rPr>
                <w:sz w:val="20"/>
                <w:szCs w:val="20"/>
                <w:color w:val="auto"/>
              </w:rPr>
            </w:pPr>
            <w:r>
              <w:rPr>
                <w:rFonts w:ascii="Arial" w:cs="Arial" w:eastAsia="Arial" w:hAnsi="Arial"/>
                <w:sz w:val="14"/>
                <w:szCs w:val="14"/>
                <w:color w:val="215AA8"/>
              </w:rPr>
              <w:t>Equity</w:t>
            </w:r>
          </w:p>
        </w:tc>
        <w:tc>
          <w:tcPr>
            <w:tcW w:w="1120" w:type="dxa"/>
            <w:vAlign w:val="bottom"/>
          </w:tcPr>
          <w:p>
            <w:pPr>
              <w:jc w:val="right"/>
              <w:ind w:right="53"/>
              <w:spacing w:after="0" w:line="157" w:lineRule="exact"/>
              <w:rPr>
                <w:sz w:val="20"/>
                <w:szCs w:val="20"/>
                <w:color w:val="auto"/>
              </w:rPr>
            </w:pPr>
            <w:r>
              <w:rPr>
                <w:rFonts w:ascii="Arial" w:cs="Arial" w:eastAsia="Arial" w:hAnsi="Arial"/>
                <w:sz w:val="14"/>
                <w:szCs w:val="14"/>
                <w:color w:val="215AA8"/>
              </w:rPr>
              <w:t>plan awards:</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92"/>
              <w:spacing w:after="0" w:line="157" w:lineRule="exact"/>
              <w:rPr>
                <w:sz w:val="20"/>
                <w:szCs w:val="20"/>
                <w:color w:val="auto"/>
              </w:rPr>
            </w:pPr>
            <w:r>
              <w:rPr>
                <w:rFonts w:ascii="Arial" w:cs="Arial" w:eastAsia="Arial" w:hAnsi="Arial"/>
                <w:sz w:val="14"/>
                <w:szCs w:val="14"/>
                <w:color w:val="215AA8"/>
              </w:rPr>
              <w:t>incentive</w:t>
            </w: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12"/>
              <w:spacing w:after="0" w:line="157" w:lineRule="exact"/>
              <w:rPr>
                <w:sz w:val="20"/>
                <w:szCs w:val="20"/>
                <w:color w:val="auto"/>
              </w:rPr>
            </w:pPr>
            <w:r>
              <w:rPr>
                <w:rFonts w:ascii="Arial" w:cs="Arial" w:eastAsia="Arial" w:hAnsi="Arial"/>
                <w:sz w:val="14"/>
                <w:szCs w:val="14"/>
                <w:color w:val="215AA8"/>
              </w:rPr>
              <w:t>Number</w:t>
            </w:r>
          </w:p>
        </w:tc>
        <w:tc>
          <w:tcPr>
            <w:tcW w:w="940" w:type="dxa"/>
            <w:vAlign w:val="bottom"/>
          </w:tcPr>
          <w:p>
            <w:pPr>
              <w:jc w:val="right"/>
              <w:ind w:right="13"/>
              <w:spacing w:after="0" w:line="157" w:lineRule="exact"/>
              <w:rPr>
                <w:sz w:val="20"/>
                <w:szCs w:val="20"/>
                <w:color w:val="auto"/>
              </w:rPr>
            </w:pPr>
            <w:r>
              <w:rPr>
                <w:rFonts w:ascii="Arial" w:cs="Arial" w:eastAsia="Arial" w:hAnsi="Arial"/>
                <w:sz w:val="14"/>
                <w:szCs w:val="14"/>
                <w:color w:val="215AA8"/>
              </w:rPr>
              <w:t>Market</w:t>
            </w:r>
          </w:p>
        </w:tc>
        <w:tc>
          <w:tcPr>
            <w:tcW w:w="1440" w:type="dxa"/>
            <w:vAlign w:val="bottom"/>
          </w:tcPr>
          <w:p>
            <w:pPr>
              <w:jc w:val="right"/>
              <w:ind w:right="213"/>
              <w:spacing w:after="0" w:line="157" w:lineRule="exact"/>
              <w:rPr>
                <w:sz w:val="20"/>
                <w:szCs w:val="20"/>
                <w:color w:val="auto"/>
              </w:rPr>
            </w:pPr>
            <w:r>
              <w:rPr>
                <w:rFonts w:ascii="Arial" w:cs="Arial" w:eastAsia="Arial" w:hAnsi="Arial"/>
                <w:sz w:val="14"/>
                <w:szCs w:val="14"/>
                <w:color w:val="215AA8"/>
              </w:rPr>
              <w:t>incentive</w:t>
            </w:r>
          </w:p>
        </w:tc>
        <w:tc>
          <w:tcPr>
            <w:tcW w:w="1120" w:type="dxa"/>
            <w:vAlign w:val="bottom"/>
          </w:tcPr>
          <w:p>
            <w:pPr>
              <w:jc w:val="right"/>
              <w:ind w:right="53"/>
              <w:spacing w:after="0" w:line="157" w:lineRule="exact"/>
              <w:rPr>
                <w:sz w:val="20"/>
                <w:szCs w:val="20"/>
                <w:color w:val="auto"/>
              </w:rPr>
            </w:pPr>
            <w:r>
              <w:rPr>
                <w:rFonts w:ascii="Arial" w:cs="Arial" w:eastAsia="Arial" w:hAnsi="Arial"/>
                <w:sz w:val="14"/>
                <w:szCs w:val="14"/>
                <w:color w:val="215AA8"/>
              </w:rPr>
              <w:t>market or</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92"/>
              <w:spacing w:after="0" w:line="157" w:lineRule="exact"/>
              <w:rPr>
                <w:sz w:val="20"/>
                <w:szCs w:val="20"/>
                <w:color w:val="auto"/>
              </w:rPr>
            </w:pPr>
            <w:r>
              <w:rPr>
                <w:rFonts w:ascii="Arial" w:cs="Arial" w:eastAsia="Arial" w:hAnsi="Arial"/>
                <w:sz w:val="14"/>
                <w:szCs w:val="14"/>
                <w:color w:val="215AA8"/>
              </w:rPr>
              <w:t>plan</w:t>
            </w: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32"/>
              <w:spacing w:after="0" w:line="157" w:lineRule="exact"/>
              <w:rPr>
                <w:sz w:val="20"/>
                <w:szCs w:val="20"/>
                <w:color w:val="auto"/>
              </w:rPr>
            </w:pPr>
            <w:r>
              <w:rPr>
                <w:rFonts w:ascii="Arial" w:cs="Arial" w:eastAsia="Arial" w:hAnsi="Arial"/>
                <w:sz w:val="14"/>
                <w:szCs w:val="14"/>
                <w:color w:val="215AA8"/>
              </w:rPr>
              <w:t>of</w:t>
            </w:r>
          </w:p>
        </w:tc>
        <w:tc>
          <w:tcPr>
            <w:tcW w:w="940" w:type="dxa"/>
            <w:vAlign w:val="bottom"/>
          </w:tcPr>
          <w:p>
            <w:pPr>
              <w:jc w:val="right"/>
              <w:ind w:right="13"/>
              <w:spacing w:after="0" w:line="157" w:lineRule="exact"/>
              <w:rPr>
                <w:sz w:val="20"/>
                <w:szCs w:val="20"/>
                <w:color w:val="auto"/>
              </w:rPr>
            </w:pPr>
            <w:r>
              <w:rPr>
                <w:rFonts w:ascii="Arial" w:cs="Arial" w:eastAsia="Arial" w:hAnsi="Arial"/>
                <w:sz w:val="14"/>
                <w:szCs w:val="14"/>
                <w:color w:val="215AA8"/>
              </w:rPr>
              <w:t>value</w:t>
            </w:r>
          </w:p>
        </w:tc>
        <w:tc>
          <w:tcPr>
            <w:tcW w:w="1440" w:type="dxa"/>
            <w:vAlign w:val="bottom"/>
          </w:tcPr>
          <w:p>
            <w:pPr>
              <w:jc w:val="right"/>
              <w:ind w:right="213"/>
              <w:spacing w:after="0" w:line="157" w:lineRule="exact"/>
              <w:rPr>
                <w:sz w:val="20"/>
                <w:szCs w:val="20"/>
                <w:color w:val="auto"/>
              </w:rPr>
            </w:pPr>
            <w:r>
              <w:rPr>
                <w:rFonts w:ascii="Arial" w:cs="Arial" w:eastAsia="Arial" w:hAnsi="Arial"/>
                <w:sz w:val="14"/>
                <w:szCs w:val="14"/>
                <w:color w:val="215AA8"/>
              </w:rPr>
              <w:t>plan awards:</w:t>
            </w:r>
          </w:p>
        </w:tc>
        <w:tc>
          <w:tcPr>
            <w:tcW w:w="1120" w:type="dxa"/>
            <w:vAlign w:val="bottom"/>
          </w:tcPr>
          <w:p>
            <w:pPr>
              <w:jc w:val="right"/>
              <w:ind w:right="53"/>
              <w:spacing w:after="0" w:line="157" w:lineRule="exact"/>
              <w:rPr>
                <w:sz w:val="20"/>
                <w:szCs w:val="20"/>
                <w:color w:val="auto"/>
              </w:rPr>
            </w:pPr>
            <w:r>
              <w:rPr>
                <w:rFonts w:ascii="Arial" w:cs="Arial" w:eastAsia="Arial" w:hAnsi="Arial"/>
                <w:sz w:val="14"/>
                <w:szCs w:val="14"/>
                <w:color w:val="215AA8"/>
              </w:rPr>
              <w:t>payout value</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92"/>
              <w:spacing w:after="0" w:line="157" w:lineRule="exact"/>
              <w:rPr>
                <w:sz w:val="20"/>
                <w:szCs w:val="20"/>
                <w:color w:val="auto"/>
              </w:rPr>
            </w:pPr>
            <w:r>
              <w:rPr>
                <w:rFonts w:ascii="Arial" w:cs="Arial" w:eastAsia="Arial" w:hAnsi="Arial"/>
                <w:sz w:val="14"/>
                <w:szCs w:val="14"/>
                <w:color w:val="215AA8"/>
              </w:rPr>
              <w:t>awards:</w:t>
            </w: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32"/>
              <w:spacing w:after="0" w:line="157" w:lineRule="exact"/>
              <w:rPr>
                <w:sz w:val="20"/>
                <w:szCs w:val="20"/>
                <w:color w:val="auto"/>
              </w:rPr>
            </w:pPr>
            <w:r>
              <w:rPr>
                <w:rFonts w:ascii="Arial" w:cs="Arial" w:eastAsia="Arial" w:hAnsi="Arial"/>
                <w:sz w:val="14"/>
                <w:szCs w:val="14"/>
                <w:color w:val="215AA8"/>
              </w:rPr>
              <w:t>shares</w:t>
            </w:r>
          </w:p>
        </w:tc>
        <w:tc>
          <w:tcPr>
            <w:tcW w:w="940" w:type="dxa"/>
            <w:vAlign w:val="bottom"/>
          </w:tcPr>
          <w:p>
            <w:pPr>
              <w:jc w:val="right"/>
              <w:ind w:right="13"/>
              <w:spacing w:after="0" w:line="157" w:lineRule="exact"/>
              <w:rPr>
                <w:sz w:val="20"/>
                <w:szCs w:val="20"/>
                <w:color w:val="auto"/>
              </w:rPr>
            </w:pPr>
            <w:r>
              <w:rPr>
                <w:rFonts w:ascii="Arial" w:cs="Arial" w:eastAsia="Arial" w:hAnsi="Arial"/>
                <w:sz w:val="14"/>
                <w:szCs w:val="14"/>
                <w:color w:val="215AA8"/>
              </w:rPr>
              <w:t>of shares</w:t>
            </w:r>
          </w:p>
        </w:tc>
        <w:tc>
          <w:tcPr>
            <w:tcW w:w="1440" w:type="dxa"/>
            <w:vAlign w:val="bottom"/>
          </w:tcPr>
          <w:p>
            <w:pPr>
              <w:jc w:val="right"/>
              <w:ind w:right="213"/>
              <w:spacing w:after="0" w:line="157" w:lineRule="exact"/>
              <w:rPr>
                <w:sz w:val="20"/>
                <w:szCs w:val="20"/>
                <w:color w:val="auto"/>
              </w:rPr>
            </w:pPr>
            <w:r>
              <w:rPr>
                <w:rFonts w:ascii="Arial" w:cs="Arial" w:eastAsia="Arial" w:hAnsi="Arial"/>
                <w:sz w:val="14"/>
                <w:szCs w:val="14"/>
                <w:color w:val="215AA8"/>
              </w:rPr>
              <w:t>number of</w:t>
            </w:r>
          </w:p>
        </w:tc>
        <w:tc>
          <w:tcPr>
            <w:tcW w:w="1120" w:type="dxa"/>
            <w:vAlign w:val="bottom"/>
          </w:tcPr>
          <w:p>
            <w:pPr>
              <w:jc w:val="right"/>
              <w:ind w:right="53"/>
              <w:spacing w:after="0" w:line="157" w:lineRule="exact"/>
              <w:rPr>
                <w:sz w:val="20"/>
                <w:szCs w:val="20"/>
                <w:color w:val="auto"/>
              </w:rPr>
            </w:pPr>
            <w:r>
              <w:rPr>
                <w:rFonts w:ascii="Arial" w:cs="Arial" w:eastAsia="Arial" w:hAnsi="Arial"/>
                <w:sz w:val="14"/>
                <w:szCs w:val="14"/>
                <w:color w:val="215AA8"/>
              </w:rPr>
              <w:t>of unearned</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08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215AA8"/>
              </w:rPr>
              <w:t>Number of</w:t>
            </w:r>
          </w:p>
        </w:tc>
        <w:tc>
          <w:tcPr>
            <w:tcW w:w="940" w:type="dxa"/>
            <w:vAlign w:val="bottom"/>
            <w:gridSpan w:val="2"/>
          </w:tcPr>
          <w:p>
            <w:pPr>
              <w:jc w:val="right"/>
              <w:ind w:right="52"/>
              <w:spacing w:after="0" w:line="157" w:lineRule="exact"/>
              <w:rPr>
                <w:sz w:val="20"/>
                <w:szCs w:val="20"/>
                <w:color w:val="auto"/>
              </w:rPr>
            </w:pPr>
            <w:r>
              <w:rPr>
                <w:rFonts w:ascii="Arial" w:cs="Arial" w:eastAsia="Arial" w:hAnsi="Arial"/>
                <w:sz w:val="14"/>
                <w:szCs w:val="14"/>
                <w:color w:val="215AA8"/>
              </w:rPr>
              <w:t>Number of</w:t>
            </w:r>
          </w:p>
        </w:tc>
        <w:tc>
          <w:tcPr>
            <w:tcW w:w="360" w:type="dxa"/>
            <w:vAlign w:val="bottom"/>
          </w:tcPr>
          <w:p>
            <w:pPr>
              <w:spacing w:after="0"/>
              <w:rPr>
                <w:sz w:val="13"/>
                <w:szCs w:val="13"/>
                <w:color w:val="auto"/>
              </w:rPr>
            </w:pPr>
          </w:p>
        </w:tc>
        <w:tc>
          <w:tcPr>
            <w:tcW w:w="900" w:type="dxa"/>
            <w:vAlign w:val="bottom"/>
          </w:tcPr>
          <w:p>
            <w:pPr>
              <w:jc w:val="right"/>
              <w:ind w:right="92"/>
              <w:spacing w:after="0" w:line="157" w:lineRule="exact"/>
              <w:rPr>
                <w:sz w:val="20"/>
                <w:szCs w:val="20"/>
                <w:color w:val="auto"/>
              </w:rPr>
            </w:pPr>
            <w:r>
              <w:rPr>
                <w:rFonts w:ascii="Arial" w:cs="Arial" w:eastAsia="Arial" w:hAnsi="Arial"/>
                <w:sz w:val="14"/>
                <w:szCs w:val="14"/>
                <w:color w:val="215AA8"/>
              </w:rPr>
              <w:t>number of</w:t>
            </w: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32"/>
              <w:spacing w:after="0" w:line="157" w:lineRule="exact"/>
              <w:rPr>
                <w:sz w:val="20"/>
                <w:szCs w:val="20"/>
                <w:color w:val="auto"/>
              </w:rPr>
            </w:pPr>
            <w:r>
              <w:rPr>
                <w:rFonts w:ascii="Arial" w:cs="Arial" w:eastAsia="Arial" w:hAnsi="Arial"/>
                <w:sz w:val="14"/>
                <w:szCs w:val="14"/>
                <w:color w:val="215AA8"/>
                <w:w w:val="95"/>
              </w:rPr>
              <w:t>or units</w:t>
            </w:r>
          </w:p>
        </w:tc>
        <w:tc>
          <w:tcPr>
            <w:tcW w:w="940" w:type="dxa"/>
            <w:vAlign w:val="bottom"/>
          </w:tcPr>
          <w:p>
            <w:pPr>
              <w:jc w:val="right"/>
              <w:ind w:right="13"/>
              <w:spacing w:after="0" w:line="157" w:lineRule="exact"/>
              <w:rPr>
                <w:sz w:val="20"/>
                <w:szCs w:val="20"/>
                <w:color w:val="auto"/>
              </w:rPr>
            </w:pPr>
            <w:r>
              <w:rPr>
                <w:rFonts w:ascii="Arial" w:cs="Arial" w:eastAsia="Arial" w:hAnsi="Arial"/>
                <w:sz w:val="14"/>
                <w:szCs w:val="14"/>
                <w:color w:val="215AA8"/>
              </w:rPr>
              <w:t>or</w:t>
            </w:r>
          </w:p>
        </w:tc>
        <w:tc>
          <w:tcPr>
            <w:tcW w:w="1440" w:type="dxa"/>
            <w:vAlign w:val="bottom"/>
          </w:tcPr>
          <w:p>
            <w:pPr>
              <w:jc w:val="right"/>
              <w:ind w:right="213"/>
              <w:spacing w:after="0" w:line="157" w:lineRule="exact"/>
              <w:rPr>
                <w:sz w:val="20"/>
                <w:szCs w:val="20"/>
                <w:color w:val="auto"/>
              </w:rPr>
            </w:pPr>
            <w:r>
              <w:rPr>
                <w:rFonts w:ascii="Arial" w:cs="Arial" w:eastAsia="Arial" w:hAnsi="Arial"/>
                <w:sz w:val="14"/>
                <w:szCs w:val="14"/>
                <w:color w:val="215AA8"/>
              </w:rPr>
              <w:t>unearned</w:t>
            </w:r>
          </w:p>
        </w:tc>
        <w:tc>
          <w:tcPr>
            <w:tcW w:w="1120" w:type="dxa"/>
            <w:vAlign w:val="bottom"/>
          </w:tcPr>
          <w:p>
            <w:pPr>
              <w:jc w:val="right"/>
              <w:ind w:right="53"/>
              <w:spacing w:after="0" w:line="157" w:lineRule="exact"/>
              <w:rPr>
                <w:sz w:val="20"/>
                <w:szCs w:val="20"/>
                <w:color w:val="auto"/>
              </w:rPr>
            </w:pPr>
            <w:r>
              <w:rPr>
                <w:rFonts w:ascii="Arial" w:cs="Arial" w:eastAsia="Arial" w:hAnsi="Arial"/>
                <w:sz w:val="14"/>
                <w:szCs w:val="14"/>
                <w:color w:val="215AA8"/>
              </w:rPr>
              <w:t>shares, units</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08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215AA8"/>
              </w:rPr>
              <w:t>securities</w:t>
            </w:r>
          </w:p>
        </w:tc>
        <w:tc>
          <w:tcPr>
            <w:tcW w:w="200" w:type="dxa"/>
            <w:vAlign w:val="bottom"/>
          </w:tcPr>
          <w:p>
            <w:pPr>
              <w:spacing w:after="0"/>
              <w:rPr>
                <w:sz w:val="13"/>
                <w:szCs w:val="13"/>
                <w:color w:val="auto"/>
              </w:rPr>
            </w:pPr>
          </w:p>
        </w:tc>
        <w:tc>
          <w:tcPr>
            <w:tcW w:w="740" w:type="dxa"/>
            <w:vAlign w:val="bottom"/>
          </w:tcPr>
          <w:p>
            <w:pPr>
              <w:jc w:val="right"/>
              <w:ind w:right="52"/>
              <w:spacing w:after="0" w:line="157" w:lineRule="exact"/>
              <w:rPr>
                <w:sz w:val="20"/>
                <w:szCs w:val="20"/>
                <w:color w:val="auto"/>
              </w:rPr>
            </w:pPr>
            <w:r>
              <w:rPr>
                <w:rFonts w:ascii="Arial" w:cs="Arial" w:eastAsia="Arial" w:hAnsi="Arial"/>
                <w:sz w:val="14"/>
                <w:szCs w:val="14"/>
                <w:color w:val="215AA8"/>
              </w:rPr>
              <w:t>securities</w:t>
            </w:r>
          </w:p>
        </w:tc>
        <w:tc>
          <w:tcPr>
            <w:tcW w:w="360" w:type="dxa"/>
            <w:vAlign w:val="bottom"/>
          </w:tcPr>
          <w:p>
            <w:pPr>
              <w:spacing w:after="0"/>
              <w:rPr>
                <w:sz w:val="13"/>
                <w:szCs w:val="13"/>
                <w:color w:val="auto"/>
              </w:rPr>
            </w:pPr>
          </w:p>
        </w:tc>
        <w:tc>
          <w:tcPr>
            <w:tcW w:w="900" w:type="dxa"/>
            <w:vAlign w:val="bottom"/>
          </w:tcPr>
          <w:p>
            <w:pPr>
              <w:jc w:val="right"/>
              <w:ind w:right="92"/>
              <w:spacing w:after="0" w:line="157" w:lineRule="exact"/>
              <w:rPr>
                <w:sz w:val="20"/>
                <w:szCs w:val="20"/>
                <w:color w:val="auto"/>
              </w:rPr>
            </w:pPr>
            <w:r>
              <w:rPr>
                <w:rFonts w:ascii="Arial" w:cs="Arial" w:eastAsia="Arial" w:hAnsi="Arial"/>
                <w:sz w:val="14"/>
                <w:szCs w:val="14"/>
                <w:color w:val="215AA8"/>
              </w:rPr>
              <w:t>securities</w:t>
            </w: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32"/>
              <w:spacing w:after="0" w:line="157" w:lineRule="exact"/>
              <w:rPr>
                <w:sz w:val="20"/>
                <w:szCs w:val="20"/>
                <w:color w:val="auto"/>
              </w:rPr>
            </w:pPr>
            <w:r>
              <w:rPr>
                <w:rFonts w:ascii="Arial" w:cs="Arial" w:eastAsia="Arial" w:hAnsi="Arial"/>
                <w:sz w:val="14"/>
                <w:szCs w:val="14"/>
                <w:color w:val="215AA8"/>
                <w:w w:val="91"/>
              </w:rPr>
              <w:t>of stock</w:t>
            </w:r>
          </w:p>
        </w:tc>
        <w:tc>
          <w:tcPr>
            <w:tcW w:w="940" w:type="dxa"/>
            <w:vAlign w:val="bottom"/>
          </w:tcPr>
          <w:p>
            <w:pPr>
              <w:jc w:val="right"/>
              <w:ind w:right="13"/>
              <w:spacing w:after="0" w:line="157" w:lineRule="exact"/>
              <w:rPr>
                <w:sz w:val="20"/>
                <w:szCs w:val="20"/>
                <w:color w:val="auto"/>
              </w:rPr>
            </w:pPr>
            <w:r>
              <w:rPr>
                <w:rFonts w:ascii="Arial" w:cs="Arial" w:eastAsia="Arial" w:hAnsi="Arial"/>
                <w:sz w:val="14"/>
                <w:szCs w:val="14"/>
                <w:color w:val="215AA8"/>
              </w:rPr>
              <w:t>units of</w:t>
            </w:r>
          </w:p>
        </w:tc>
        <w:tc>
          <w:tcPr>
            <w:tcW w:w="1440" w:type="dxa"/>
            <w:vAlign w:val="bottom"/>
          </w:tcPr>
          <w:p>
            <w:pPr>
              <w:jc w:val="right"/>
              <w:ind w:right="213"/>
              <w:spacing w:after="0" w:line="157" w:lineRule="exact"/>
              <w:rPr>
                <w:sz w:val="20"/>
                <w:szCs w:val="20"/>
                <w:color w:val="auto"/>
              </w:rPr>
            </w:pPr>
            <w:r>
              <w:rPr>
                <w:rFonts w:ascii="Arial" w:cs="Arial" w:eastAsia="Arial" w:hAnsi="Arial"/>
                <w:sz w:val="14"/>
                <w:szCs w:val="14"/>
                <w:color w:val="215AA8"/>
              </w:rPr>
              <w:t>shares, units</w:t>
            </w:r>
          </w:p>
        </w:tc>
        <w:tc>
          <w:tcPr>
            <w:tcW w:w="1120" w:type="dxa"/>
            <w:vAlign w:val="bottom"/>
          </w:tcPr>
          <w:p>
            <w:pPr>
              <w:jc w:val="right"/>
              <w:ind w:right="53"/>
              <w:spacing w:after="0" w:line="157" w:lineRule="exact"/>
              <w:rPr>
                <w:sz w:val="20"/>
                <w:szCs w:val="20"/>
                <w:color w:val="auto"/>
              </w:rPr>
            </w:pPr>
            <w:r>
              <w:rPr>
                <w:rFonts w:ascii="Arial" w:cs="Arial" w:eastAsia="Arial" w:hAnsi="Arial"/>
                <w:sz w:val="14"/>
                <w:szCs w:val="14"/>
                <w:color w:val="215AA8"/>
              </w:rPr>
              <w:t>or other</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08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215AA8"/>
              </w:rPr>
              <w:t>underlying</w:t>
            </w:r>
          </w:p>
        </w:tc>
        <w:tc>
          <w:tcPr>
            <w:tcW w:w="200" w:type="dxa"/>
            <w:vAlign w:val="bottom"/>
          </w:tcPr>
          <w:p>
            <w:pPr>
              <w:spacing w:after="0"/>
              <w:rPr>
                <w:sz w:val="13"/>
                <w:szCs w:val="13"/>
                <w:color w:val="auto"/>
              </w:rPr>
            </w:pPr>
          </w:p>
        </w:tc>
        <w:tc>
          <w:tcPr>
            <w:tcW w:w="740" w:type="dxa"/>
            <w:vAlign w:val="bottom"/>
          </w:tcPr>
          <w:p>
            <w:pPr>
              <w:jc w:val="right"/>
              <w:ind w:right="52"/>
              <w:spacing w:after="0" w:line="157" w:lineRule="exact"/>
              <w:rPr>
                <w:sz w:val="20"/>
                <w:szCs w:val="20"/>
                <w:color w:val="auto"/>
              </w:rPr>
            </w:pPr>
            <w:r>
              <w:rPr>
                <w:rFonts w:ascii="Arial" w:cs="Arial" w:eastAsia="Arial" w:hAnsi="Arial"/>
                <w:sz w:val="14"/>
                <w:szCs w:val="14"/>
                <w:color w:val="215AA8"/>
                <w:w w:val="92"/>
              </w:rPr>
              <w:t>underlying</w:t>
            </w:r>
          </w:p>
        </w:tc>
        <w:tc>
          <w:tcPr>
            <w:tcW w:w="360" w:type="dxa"/>
            <w:vAlign w:val="bottom"/>
          </w:tcPr>
          <w:p>
            <w:pPr>
              <w:spacing w:after="0"/>
              <w:rPr>
                <w:sz w:val="13"/>
                <w:szCs w:val="13"/>
                <w:color w:val="auto"/>
              </w:rPr>
            </w:pPr>
          </w:p>
        </w:tc>
        <w:tc>
          <w:tcPr>
            <w:tcW w:w="900" w:type="dxa"/>
            <w:vAlign w:val="bottom"/>
          </w:tcPr>
          <w:p>
            <w:pPr>
              <w:jc w:val="right"/>
              <w:ind w:right="92"/>
              <w:spacing w:after="0" w:line="157" w:lineRule="exact"/>
              <w:rPr>
                <w:sz w:val="20"/>
                <w:szCs w:val="20"/>
                <w:color w:val="auto"/>
              </w:rPr>
            </w:pPr>
            <w:r>
              <w:rPr>
                <w:rFonts w:ascii="Arial" w:cs="Arial" w:eastAsia="Arial" w:hAnsi="Arial"/>
                <w:sz w:val="14"/>
                <w:szCs w:val="14"/>
                <w:color w:val="215AA8"/>
              </w:rPr>
              <w:t>underlying</w:t>
            </w: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32"/>
              <w:spacing w:after="0" w:line="157" w:lineRule="exact"/>
              <w:rPr>
                <w:sz w:val="20"/>
                <w:szCs w:val="20"/>
                <w:color w:val="auto"/>
              </w:rPr>
            </w:pPr>
            <w:r>
              <w:rPr>
                <w:rFonts w:ascii="Arial" w:cs="Arial" w:eastAsia="Arial" w:hAnsi="Arial"/>
                <w:sz w:val="14"/>
                <w:szCs w:val="14"/>
                <w:color w:val="215AA8"/>
              </w:rPr>
              <w:t>that</w:t>
            </w:r>
          </w:p>
        </w:tc>
        <w:tc>
          <w:tcPr>
            <w:tcW w:w="940" w:type="dxa"/>
            <w:vAlign w:val="bottom"/>
          </w:tcPr>
          <w:p>
            <w:pPr>
              <w:jc w:val="right"/>
              <w:ind w:right="13"/>
              <w:spacing w:after="0" w:line="157" w:lineRule="exact"/>
              <w:rPr>
                <w:sz w:val="20"/>
                <w:szCs w:val="20"/>
                <w:color w:val="auto"/>
              </w:rPr>
            </w:pPr>
            <w:r>
              <w:rPr>
                <w:rFonts w:ascii="Arial" w:cs="Arial" w:eastAsia="Arial" w:hAnsi="Arial"/>
                <w:sz w:val="14"/>
                <w:szCs w:val="14"/>
                <w:color w:val="215AA8"/>
              </w:rPr>
              <w:t>stock</w:t>
            </w:r>
          </w:p>
        </w:tc>
        <w:tc>
          <w:tcPr>
            <w:tcW w:w="1440" w:type="dxa"/>
            <w:vAlign w:val="bottom"/>
          </w:tcPr>
          <w:p>
            <w:pPr>
              <w:jc w:val="right"/>
              <w:ind w:right="213"/>
              <w:spacing w:after="0" w:line="157" w:lineRule="exact"/>
              <w:rPr>
                <w:sz w:val="20"/>
                <w:szCs w:val="20"/>
                <w:color w:val="auto"/>
              </w:rPr>
            </w:pPr>
            <w:r>
              <w:rPr>
                <w:rFonts w:ascii="Arial" w:cs="Arial" w:eastAsia="Arial" w:hAnsi="Arial"/>
                <w:sz w:val="14"/>
                <w:szCs w:val="14"/>
                <w:color w:val="215AA8"/>
              </w:rPr>
              <w:t>or other</w:t>
            </w:r>
          </w:p>
        </w:tc>
        <w:tc>
          <w:tcPr>
            <w:tcW w:w="1120" w:type="dxa"/>
            <w:vAlign w:val="bottom"/>
          </w:tcPr>
          <w:p>
            <w:pPr>
              <w:jc w:val="right"/>
              <w:ind w:right="53"/>
              <w:spacing w:after="0" w:line="157" w:lineRule="exact"/>
              <w:rPr>
                <w:sz w:val="20"/>
                <w:szCs w:val="20"/>
                <w:color w:val="auto"/>
              </w:rPr>
            </w:pPr>
            <w:r>
              <w:rPr>
                <w:rFonts w:ascii="Arial" w:cs="Arial" w:eastAsia="Arial" w:hAnsi="Arial"/>
                <w:sz w:val="14"/>
                <w:szCs w:val="14"/>
                <w:color w:val="215AA8"/>
              </w:rPr>
              <w:t>rights</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08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215AA8"/>
                <w:w w:val="95"/>
              </w:rPr>
              <w:t>unexercised</w:t>
            </w:r>
          </w:p>
        </w:tc>
        <w:tc>
          <w:tcPr>
            <w:tcW w:w="940" w:type="dxa"/>
            <w:vAlign w:val="bottom"/>
            <w:gridSpan w:val="2"/>
          </w:tcPr>
          <w:p>
            <w:pPr>
              <w:jc w:val="right"/>
              <w:ind w:right="52"/>
              <w:spacing w:after="0" w:line="157" w:lineRule="exact"/>
              <w:rPr>
                <w:sz w:val="20"/>
                <w:szCs w:val="20"/>
                <w:color w:val="auto"/>
              </w:rPr>
            </w:pPr>
            <w:r>
              <w:rPr>
                <w:rFonts w:ascii="Arial" w:cs="Arial" w:eastAsia="Arial" w:hAnsi="Arial"/>
                <w:sz w:val="14"/>
                <w:szCs w:val="14"/>
                <w:color w:val="215AA8"/>
              </w:rPr>
              <w:t>unexercised</w:t>
            </w:r>
          </w:p>
        </w:tc>
        <w:tc>
          <w:tcPr>
            <w:tcW w:w="360" w:type="dxa"/>
            <w:vAlign w:val="bottom"/>
          </w:tcPr>
          <w:p>
            <w:pPr>
              <w:spacing w:after="0"/>
              <w:rPr>
                <w:sz w:val="13"/>
                <w:szCs w:val="13"/>
                <w:color w:val="auto"/>
              </w:rPr>
            </w:pPr>
          </w:p>
        </w:tc>
        <w:tc>
          <w:tcPr>
            <w:tcW w:w="900" w:type="dxa"/>
            <w:vAlign w:val="bottom"/>
          </w:tcPr>
          <w:p>
            <w:pPr>
              <w:jc w:val="right"/>
              <w:ind w:right="92"/>
              <w:spacing w:after="0" w:line="157" w:lineRule="exact"/>
              <w:rPr>
                <w:sz w:val="20"/>
                <w:szCs w:val="20"/>
                <w:color w:val="auto"/>
              </w:rPr>
            </w:pPr>
            <w:r>
              <w:rPr>
                <w:rFonts w:ascii="Arial" w:cs="Arial" w:eastAsia="Arial" w:hAnsi="Arial"/>
                <w:sz w:val="14"/>
                <w:szCs w:val="14"/>
                <w:color w:val="215AA8"/>
                <w:w w:val="95"/>
              </w:rPr>
              <w:t>unexercised</w:t>
            </w:r>
          </w:p>
        </w:tc>
        <w:tc>
          <w:tcPr>
            <w:tcW w:w="860" w:type="dxa"/>
            <w:vAlign w:val="bottom"/>
          </w:tcPr>
          <w:p>
            <w:pPr>
              <w:jc w:val="right"/>
              <w:ind w:right="112"/>
              <w:spacing w:after="0" w:line="157" w:lineRule="exact"/>
              <w:rPr>
                <w:sz w:val="20"/>
                <w:szCs w:val="20"/>
                <w:color w:val="auto"/>
              </w:rPr>
            </w:pPr>
            <w:r>
              <w:rPr>
                <w:rFonts w:ascii="Arial" w:cs="Arial" w:eastAsia="Arial" w:hAnsi="Arial"/>
                <w:sz w:val="14"/>
                <w:szCs w:val="14"/>
                <w:color w:val="215AA8"/>
              </w:rPr>
              <w:t>Option</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32"/>
              <w:spacing w:after="0" w:line="157" w:lineRule="exact"/>
              <w:rPr>
                <w:sz w:val="20"/>
                <w:szCs w:val="20"/>
                <w:color w:val="auto"/>
              </w:rPr>
            </w:pPr>
            <w:r>
              <w:rPr>
                <w:rFonts w:ascii="Arial" w:cs="Arial" w:eastAsia="Arial" w:hAnsi="Arial"/>
                <w:sz w:val="14"/>
                <w:szCs w:val="14"/>
                <w:color w:val="215AA8"/>
              </w:rPr>
              <w:t>have</w:t>
            </w:r>
          </w:p>
        </w:tc>
        <w:tc>
          <w:tcPr>
            <w:tcW w:w="940" w:type="dxa"/>
            <w:vAlign w:val="bottom"/>
          </w:tcPr>
          <w:p>
            <w:pPr>
              <w:jc w:val="right"/>
              <w:ind w:right="13"/>
              <w:spacing w:after="0" w:line="157" w:lineRule="exact"/>
              <w:rPr>
                <w:sz w:val="20"/>
                <w:szCs w:val="20"/>
                <w:color w:val="auto"/>
              </w:rPr>
            </w:pPr>
            <w:r>
              <w:rPr>
                <w:rFonts w:ascii="Arial" w:cs="Arial" w:eastAsia="Arial" w:hAnsi="Arial"/>
                <w:sz w:val="14"/>
                <w:szCs w:val="14"/>
                <w:color w:val="215AA8"/>
              </w:rPr>
              <w:t>that have</w:t>
            </w:r>
          </w:p>
        </w:tc>
        <w:tc>
          <w:tcPr>
            <w:tcW w:w="1440" w:type="dxa"/>
            <w:vAlign w:val="bottom"/>
          </w:tcPr>
          <w:p>
            <w:pPr>
              <w:jc w:val="right"/>
              <w:ind w:right="213"/>
              <w:spacing w:after="0" w:line="157" w:lineRule="exact"/>
              <w:rPr>
                <w:sz w:val="20"/>
                <w:szCs w:val="20"/>
                <w:color w:val="auto"/>
              </w:rPr>
            </w:pPr>
            <w:r>
              <w:rPr>
                <w:rFonts w:ascii="Arial" w:cs="Arial" w:eastAsia="Arial" w:hAnsi="Arial"/>
                <w:sz w:val="14"/>
                <w:szCs w:val="14"/>
                <w:color w:val="215AA8"/>
              </w:rPr>
              <w:t>rights</w:t>
            </w:r>
          </w:p>
        </w:tc>
        <w:tc>
          <w:tcPr>
            <w:tcW w:w="1120" w:type="dxa"/>
            <w:vAlign w:val="bottom"/>
          </w:tcPr>
          <w:p>
            <w:pPr>
              <w:jc w:val="right"/>
              <w:ind w:right="53"/>
              <w:spacing w:after="0" w:line="157" w:lineRule="exact"/>
              <w:rPr>
                <w:sz w:val="20"/>
                <w:szCs w:val="20"/>
                <w:color w:val="auto"/>
              </w:rPr>
            </w:pPr>
            <w:r>
              <w:rPr>
                <w:rFonts w:ascii="Arial" w:cs="Arial" w:eastAsia="Arial" w:hAnsi="Arial"/>
                <w:sz w:val="14"/>
                <w:szCs w:val="14"/>
                <w:color w:val="215AA8"/>
              </w:rPr>
              <w:t>that have</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08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215AA8"/>
              </w:rPr>
              <w:t>options</w:t>
            </w:r>
          </w:p>
        </w:tc>
        <w:tc>
          <w:tcPr>
            <w:tcW w:w="200" w:type="dxa"/>
            <w:vAlign w:val="bottom"/>
          </w:tcPr>
          <w:p>
            <w:pPr>
              <w:spacing w:after="0"/>
              <w:rPr>
                <w:sz w:val="13"/>
                <w:szCs w:val="13"/>
                <w:color w:val="auto"/>
              </w:rPr>
            </w:pPr>
          </w:p>
        </w:tc>
        <w:tc>
          <w:tcPr>
            <w:tcW w:w="740" w:type="dxa"/>
            <w:vAlign w:val="bottom"/>
          </w:tcPr>
          <w:p>
            <w:pPr>
              <w:jc w:val="right"/>
              <w:ind w:right="52"/>
              <w:spacing w:after="0" w:line="157" w:lineRule="exact"/>
              <w:rPr>
                <w:sz w:val="20"/>
                <w:szCs w:val="20"/>
                <w:color w:val="auto"/>
              </w:rPr>
            </w:pPr>
            <w:r>
              <w:rPr>
                <w:rFonts w:ascii="Arial" w:cs="Arial" w:eastAsia="Arial" w:hAnsi="Arial"/>
                <w:sz w:val="14"/>
                <w:szCs w:val="14"/>
                <w:color w:val="215AA8"/>
              </w:rPr>
              <w:t>options</w:t>
            </w:r>
          </w:p>
        </w:tc>
        <w:tc>
          <w:tcPr>
            <w:tcW w:w="360" w:type="dxa"/>
            <w:vAlign w:val="bottom"/>
          </w:tcPr>
          <w:p>
            <w:pPr>
              <w:spacing w:after="0"/>
              <w:rPr>
                <w:sz w:val="13"/>
                <w:szCs w:val="13"/>
                <w:color w:val="auto"/>
              </w:rPr>
            </w:pPr>
          </w:p>
        </w:tc>
        <w:tc>
          <w:tcPr>
            <w:tcW w:w="900" w:type="dxa"/>
            <w:vAlign w:val="bottom"/>
          </w:tcPr>
          <w:p>
            <w:pPr>
              <w:jc w:val="right"/>
              <w:ind w:right="92"/>
              <w:spacing w:after="0" w:line="157" w:lineRule="exact"/>
              <w:rPr>
                <w:sz w:val="20"/>
                <w:szCs w:val="20"/>
                <w:color w:val="auto"/>
              </w:rPr>
            </w:pPr>
            <w:r>
              <w:rPr>
                <w:rFonts w:ascii="Arial" w:cs="Arial" w:eastAsia="Arial" w:hAnsi="Arial"/>
                <w:sz w:val="14"/>
                <w:szCs w:val="14"/>
                <w:color w:val="215AA8"/>
              </w:rPr>
              <w:t>unearned</w:t>
            </w:r>
          </w:p>
        </w:tc>
        <w:tc>
          <w:tcPr>
            <w:tcW w:w="860" w:type="dxa"/>
            <w:vAlign w:val="bottom"/>
          </w:tcPr>
          <w:p>
            <w:pPr>
              <w:jc w:val="right"/>
              <w:ind w:right="112"/>
              <w:spacing w:after="0" w:line="157" w:lineRule="exact"/>
              <w:rPr>
                <w:sz w:val="20"/>
                <w:szCs w:val="20"/>
                <w:color w:val="auto"/>
              </w:rPr>
            </w:pPr>
            <w:r>
              <w:rPr>
                <w:rFonts w:ascii="Arial" w:cs="Arial" w:eastAsia="Arial" w:hAnsi="Arial"/>
                <w:sz w:val="14"/>
                <w:szCs w:val="14"/>
                <w:color w:val="215AA8"/>
              </w:rPr>
              <w:t>exercise</w:t>
            </w:r>
          </w:p>
        </w:tc>
        <w:tc>
          <w:tcPr>
            <w:tcW w:w="10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215AA8"/>
              </w:rPr>
              <w:t>Option</w:t>
            </w:r>
          </w:p>
        </w:tc>
        <w:tc>
          <w:tcPr>
            <w:tcW w:w="180" w:type="dxa"/>
            <w:vAlign w:val="bottom"/>
          </w:tcPr>
          <w:p>
            <w:pPr>
              <w:spacing w:after="0"/>
              <w:rPr>
                <w:sz w:val="13"/>
                <w:szCs w:val="13"/>
                <w:color w:val="auto"/>
              </w:rPr>
            </w:pPr>
          </w:p>
        </w:tc>
        <w:tc>
          <w:tcPr>
            <w:tcW w:w="760" w:type="dxa"/>
            <w:vAlign w:val="bottom"/>
          </w:tcPr>
          <w:p>
            <w:pPr>
              <w:jc w:val="right"/>
              <w:ind w:right="232"/>
              <w:spacing w:after="0" w:line="157" w:lineRule="exact"/>
              <w:rPr>
                <w:sz w:val="20"/>
                <w:szCs w:val="20"/>
                <w:color w:val="auto"/>
              </w:rPr>
            </w:pPr>
            <w:r>
              <w:rPr>
                <w:rFonts w:ascii="Arial" w:cs="Arial" w:eastAsia="Arial" w:hAnsi="Arial"/>
                <w:sz w:val="14"/>
                <w:szCs w:val="14"/>
                <w:color w:val="215AA8"/>
              </w:rPr>
              <w:t>not</w:t>
            </w:r>
          </w:p>
        </w:tc>
        <w:tc>
          <w:tcPr>
            <w:tcW w:w="940" w:type="dxa"/>
            <w:vAlign w:val="bottom"/>
          </w:tcPr>
          <w:p>
            <w:pPr>
              <w:jc w:val="right"/>
              <w:ind w:right="13"/>
              <w:spacing w:after="0" w:line="157" w:lineRule="exact"/>
              <w:rPr>
                <w:sz w:val="20"/>
                <w:szCs w:val="20"/>
                <w:color w:val="auto"/>
              </w:rPr>
            </w:pPr>
            <w:r>
              <w:rPr>
                <w:rFonts w:ascii="Arial" w:cs="Arial" w:eastAsia="Arial" w:hAnsi="Arial"/>
                <w:sz w:val="14"/>
                <w:szCs w:val="14"/>
                <w:color w:val="215AA8"/>
              </w:rPr>
              <w:t>not</w:t>
            </w:r>
          </w:p>
        </w:tc>
        <w:tc>
          <w:tcPr>
            <w:tcW w:w="1440" w:type="dxa"/>
            <w:vAlign w:val="bottom"/>
          </w:tcPr>
          <w:p>
            <w:pPr>
              <w:jc w:val="right"/>
              <w:ind w:right="213"/>
              <w:spacing w:after="0" w:line="157" w:lineRule="exact"/>
              <w:rPr>
                <w:sz w:val="20"/>
                <w:szCs w:val="20"/>
                <w:color w:val="auto"/>
              </w:rPr>
            </w:pPr>
            <w:r>
              <w:rPr>
                <w:rFonts w:ascii="Arial" w:cs="Arial" w:eastAsia="Arial" w:hAnsi="Arial"/>
                <w:sz w:val="14"/>
                <w:szCs w:val="14"/>
                <w:color w:val="215AA8"/>
              </w:rPr>
              <w:t>that have not</w:t>
            </w:r>
          </w:p>
        </w:tc>
        <w:tc>
          <w:tcPr>
            <w:tcW w:w="1120" w:type="dxa"/>
            <w:vAlign w:val="bottom"/>
          </w:tcPr>
          <w:p>
            <w:pPr>
              <w:jc w:val="right"/>
              <w:ind w:right="53"/>
              <w:spacing w:after="0" w:line="157" w:lineRule="exact"/>
              <w:rPr>
                <w:sz w:val="20"/>
                <w:szCs w:val="20"/>
                <w:color w:val="auto"/>
              </w:rPr>
            </w:pPr>
            <w:r>
              <w:rPr>
                <w:rFonts w:ascii="Arial" w:cs="Arial" w:eastAsia="Arial" w:hAnsi="Arial"/>
                <w:sz w:val="14"/>
                <w:szCs w:val="14"/>
                <w:color w:val="215AA8"/>
              </w:rPr>
              <w:t>not</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08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215AA8"/>
                <w:w w:val="95"/>
              </w:rPr>
              <w:t>exercisable</w:t>
            </w:r>
          </w:p>
        </w:tc>
        <w:tc>
          <w:tcPr>
            <w:tcW w:w="940" w:type="dxa"/>
            <w:vAlign w:val="bottom"/>
            <w:gridSpan w:val="2"/>
          </w:tcPr>
          <w:p>
            <w:pPr>
              <w:jc w:val="right"/>
              <w:ind w:right="52"/>
              <w:spacing w:after="0" w:line="157" w:lineRule="exact"/>
              <w:rPr>
                <w:sz w:val="20"/>
                <w:szCs w:val="20"/>
                <w:color w:val="auto"/>
              </w:rPr>
            </w:pPr>
            <w:r>
              <w:rPr>
                <w:rFonts w:ascii="Arial" w:cs="Arial" w:eastAsia="Arial" w:hAnsi="Arial"/>
                <w:sz w:val="14"/>
                <w:szCs w:val="14"/>
                <w:color w:val="215AA8"/>
                <w:w w:val="92"/>
              </w:rPr>
              <w:t>unexercisable</w:t>
            </w:r>
          </w:p>
        </w:tc>
        <w:tc>
          <w:tcPr>
            <w:tcW w:w="360" w:type="dxa"/>
            <w:vAlign w:val="bottom"/>
          </w:tcPr>
          <w:p>
            <w:pPr>
              <w:spacing w:after="0"/>
              <w:rPr>
                <w:sz w:val="13"/>
                <w:szCs w:val="13"/>
                <w:color w:val="auto"/>
              </w:rPr>
            </w:pPr>
          </w:p>
        </w:tc>
        <w:tc>
          <w:tcPr>
            <w:tcW w:w="900" w:type="dxa"/>
            <w:vAlign w:val="bottom"/>
          </w:tcPr>
          <w:p>
            <w:pPr>
              <w:jc w:val="right"/>
              <w:ind w:right="92"/>
              <w:spacing w:after="0" w:line="157" w:lineRule="exact"/>
              <w:rPr>
                <w:sz w:val="20"/>
                <w:szCs w:val="20"/>
                <w:color w:val="auto"/>
              </w:rPr>
            </w:pPr>
            <w:r>
              <w:rPr>
                <w:rFonts w:ascii="Arial" w:cs="Arial" w:eastAsia="Arial" w:hAnsi="Arial"/>
                <w:sz w:val="14"/>
                <w:szCs w:val="14"/>
                <w:color w:val="215AA8"/>
              </w:rPr>
              <w:t>options</w:t>
            </w:r>
          </w:p>
        </w:tc>
        <w:tc>
          <w:tcPr>
            <w:tcW w:w="860" w:type="dxa"/>
            <w:vAlign w:val="bottom"/>
          </w:tcPr>
          <w:p>
            <w:pPr>
              <w:jc w:val="right"/>
              <w:ind w:right="112"/>
              <w:spacing w:after="0" w:line="157" w:lineRule="exact"/>
              <w:rPr>
                <w:sz w:val="20"/>
                <w:szCs w:val="20"/>
                <w:color w:val="auto"/>
              </w:rPr>
            </w:pPr>
            <w:r>
              <w:rPr>
                <w:rFonts w:ascii="Arial" w:cs="Arial" w:eastAsia="Arial" w:hAnsi="Arial"/>
                <w:sz w:val="14"/>
                <w:szCs w:val="14"/>
                <w:color w:val="215AA8"/>
              </w:rPr>
              <w:t>price</w:t>
            </w:r>
          </w:p>
        </w:tc>
        <w:tc>
          <w:tcPr>
            <w:tcW w:w="10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215AA8"/>
              </w:rPr>
              <w:t>expiration</w:t>
            </w:r>
          </w:p>
        </w:tc>
        <w:tc>
          <w:tcPr>
            <w:tcW w:w="180" w:type="dxa"/>
            <w:vAlign w:val="bottom"/>
          </w:tcPr>
          <w:p>
            <w:pPr>
              <w:spacing w:after="0"/>
              <w:rPr>
                <w:sz w:val="13"/>
                <w:szCs w:val="13"/>
                <w:color w:val="auto"/>
              </w:rPr>
            </w:pPr>
          </w:p>
        </w:tc>
        <w:tc>
          <w:tcPr>
            <w:tcW w:w="760" w:type="dxa"/>
            <w:vAlign w:val="bottom"/>
          </w:tcPr>
          <w:p>
            <w:pPr>
              <w:jc w:val="right"/>
              <w:ind w:right="232"/>
              <w:spacing w:after="0" w:line="157" w:lineRule="exact"/>
              <w:rPr>
                <w:sz w:val="20"/>
                <w:szCs w:val="20"/>
                <w:color w:val="auto"/>
              </w:rPr>
            </w:pPr>
            <w:r>
              <w:rPr>
                <w:rFonts w:ascii="Arial" w:cs="Arial" w:eastAsia="Arial" w:hAnsi="Arial"/>
                <w:sz w:val="14"/>
                <w:szCs w:val="14"/>
                <w:color w:val="215AA8"/>
              </w:rPr>
              <w:t>vested</w:t>
            </w:r>
          </w:p>
        </w:tc>
        <w:tc>
          <w:tcPr>
            <w:tcW w:w="940" w:type="dxa"/>
            <w:vAlign w:val="bottom"/>
          </w:tcPr>
          <w:p>
            <w:pPr>
              <w:jc w:val="right"/>
              <w:ind w:right="13"/>
              <w:spacing w:after="0" w:line="157" w:lineRule="exact"/>
              <w:rPr>
                <w:sz w:val="20"/>
                <w:szCs w:val="20"/>
                <w:color w:val="auto"/>
              </w:rPr>
            </w:pPr>
            <w:r>
              <w:rPr>
                <w:rFonts w:ascii="Arial" w:cs="Arial" w:eastAsia="Arial" w:hAnsi="Arial"/>
                <w:sz w:val="14"/>
                <w:szCs w:val="14"/>
                <w:color w:val="215AA8"/>
              </w:rPr>
              <w:t>vested</w:t>
            </w:r>
          </w:p>
        </w:tc>
        <w:tc>
          <w:tcPr>
            <w:tcW w:w="1440" w:type="dxa"/>
            <w:vAlign w:val="bottom"/>
          </w:tcPr>
          <w:p>
            <w:pPr>
              <w:jc w:val="right"/>
              <w:ind w:right="213"/>
              <w:spacing w:after="0" w:line="157" w:lineRule="exact"/>
              <w:rPr>
                <w:sz w:val="20"/>
                <w:szCs w:val="20"/>
                <w:color w:val="auto"/>
              </w:rPr>
            </w:pPr>
            <w:r>
              <w:rPr>
                <w:rFonts w:ascii="Arial" w:cs="Arial" w:eastAsia="Arial" w:hAnsi="Arial"/>
                <w:sz w:val="14"/>
                <w:szCs w:val="14"/>
                <w:color w:val="215AA8"/>
              </w:rPr>
              <w:t>vested</w:t>
            </w:r>
          </w:p>
        </w:tc>
        <w:tc>
          <w:tcPr>
            <w:tcW w:w="1120" w:type="dxa"/>
            <w:vAlign w:val="bottom"/>
          </w:tcPr>
          <w:p>
            <w:pPr>
              <w:jc w:val="right"/>
              <w:ind w:right="53"/>
              <w:spacing w:after="0" w:line="157" w:lineRule="exact"/>
              <w:rPr>
                <w:sz w:val="20"/>
                <w:szCs w:val="20"/>
                <w:color w:val="auto"/>
              </w:rPr>
            </w:pPr>
            <w:r>
              <w:rPr>
                <w:rFonts w:ascii="Arial" w:cs="Arial" w:eastAsia="Arial" w:hAnsi="Arial"/>
                <w:sz w:val="14"/>
                <w:szCs w:val="14"/>
                <w:color w:val="215AA8"/>
              </w:rPr>
              <w:t>vested</w:t>
            </w:r>
          </w:p>
        </w:tc>
        <w:tc>
          <w:tcPr>
            <w:tcW w:w="0" w:type="dxa"/>
            <w:vAlign w:val="bottom"/>
          </w:tcPr>
          <w:p>
            <w:pPr>
              <w:spacing w:after="0"/>
              <w:rPr>
                <w:sz w:val="1"/>
                <w:szCs w:val="1"/>
                <w:color w:val="auto"/>
              </w:rPr>
            </w:pPr>
          </w:p>
        </w:tc>
      </w:tr>
      <w:tr>
        <w:trPr>
          <w:trHeight w:val="171"/>
        </w:trPr>
        <w:tc>
          <w:tcPr>
            <w:tcW w:w="1640" w:type="dxa"/>
            <w:vAlign w:val="bottom"/>
            <w:tcBorders>
              <w:bottom w:val="single" w:sz="8" w:color="215AA8"/>
            </w:tcBorders>
          </w:tcPr>
          <w:p>
            <w:pPr>
              <w:ind w:left="40"/>
              <w:spacing w:after="0"/>
              <w:rPr>
                <w:sz w:val="20"/>
                <w:szCs w:val="20"/>
                <w:color w:val="auto"/>
              </w:rPr>
            </w:pPr>
            <w:r>
              <w:rPr>
                <w:rFonts w:ascii="Arial" w:cs="Arial" w:eastAsia="Arial" w:hAnsi="Arial"/>
                <w:sz w:val="14"/>
                <w:szCs w:val="14"/>
                <w:color w:val="215AA8"/>
              </w:rPr>
              <w:t>Name</w:t>
            </w:r>
          </w:p>
        </w:tc>
        <w:tc>
          <w:tcPr>
            <w:tcW w:w="1080" w:type="dxa"/>
            <w:vAlign w:val="bottom"/>
            <w:tcBorders>
              <w:bottom w:val="single" w:sz="8" w:color="215AA8"/>
            </w:tcBorders>
            <w:gridSpan w:val="2"/>
          </w:tcPr>
          <w:p>
            <w:pPr>
              <w:jc w:val="right"/>
              <w:ind w:right="340"/>
              <w:spacing w:after="0"/>
              <w:rPr>
                <w:sz w:val="20"/>
                <w:szCs w:val="20"/>
                <w:color w:val="auto"/>
              </w:rPr>
            </w:pPr>
            <w:r>
              <w:rPr>
                <w:rFonts w:ascii="Arial" w:cs="Arial" w:eastAsia="Arial" w:hAnsi="Arial"/>
                <w:sz w:val="14"/>
                <w:szCs w:val="14"/>
                <w:color w:val="215AA8"/>
              </w:rPr>
              <w:t>(#)</w:t>
            </w:r>
          </w:p>
        </w:tc>
        <w:tc>
          <w:tcPr>
            <w:tcW w:w="940" w:type="dxa"/>
            <w:vAlign w:val="bottom"/>
            <w:tcBorders>
              <w:bottom w:val="single" w:sz="8" w:color="215AA8"/>
            </w:tcBorders>
            <w:gridSpan w:val="2"/>
          </w:tcPr>
          <w:p>
            <w:pPr>
              <w:jc w:val="right"/>
              <w:ind w:right="52"/>
              <w:spacing w:after="0"/>
              <w:rPr>
                <w:sz w:val="20"/>
                <w:szCs w:val="20"/>
                <w:color w:val="auto"/>
              </w:rPr>
            </w:pPr>
            <w:r>
              <w:rPr>
                <w:rFonts w:ascii="Arial" w:cs="Arial" w:eastAsia="Arial" w:hAnsi="Arial"/>
                <w:sz w:val="14"/>
                <w:szCs w:val="14"/>
                <w:color w:val="215AA8"/>
              </w:rPr>
              <w:t>(#)</w:t>
            </w:r>
          </w:p>
        </w:tc>
        <w:tc>
          <w:tcPr>
            <w:tcW w:w="1260" w:type="dxa"/>
            <w:vAlign w:val="bottom"/>
            <w:tcBorders>
              <w:bottom w:val="single" w:sz="8" w:color="215AA8"/>
            </w:tcBorders>
            <w:gridSpan w:val="2"/>
          </w:tcPr>
          <w:p>
            <w:pPr>
              <w:jc w:val="right"/>
              <w:ind w:right="92"/>
              <w:spacing w:after="0"/>
              <w:rPr>
                <w:sz w:val="20"/>
                <w:szCs w:val="20"/>
                <w:color w:val="auto"/>
              </w:rPr>
            </w:pPr>
            <w:r>
              <w:rPr>
                <w:rFonts w:ascii="Arial" w:cs="Arial" w:eastAsia="Arial" w:hAnsi="Arial"/>
                <w:sz w:val="14"/>
                <w:szCs w:val="14"/>
                <w:color w:val="215AA8"/>
              </w:rPr>
              <w:t>(#)</w:t>
            </w:r>
          </w:p>
        </w:tc>
        <w:tc>
          <w:tcPr>
            <w:tcW w:w="860" w:type="dxa"/>
            <w:vAlign w:val="bottom"/>
            <w:tcBorders>
              <w:bottom w:val="single" w:sz="8" w:color="215AA8"/>
            </w:tcBorders>
          </w:tcPr>
          <w:p>
            <w:pPr>
              <w:jc w:val="right"/>
              <w:ind w:right="112"/>
              <w:spacing w:after="0"/>
              <w:rPr>
                <w:sz w:val="20"/>
                <w:szCs w:val="20"/>
                <w:color w:val="auto"/>
              </w:rPr>
            </w:pPr>
            <w:r>
              <w:rPr>
                <w:rFonts w:ascii="Arial" w:cs="Arial" w:eastAsia="Arial" w:hAnsi="Arial"/>
                <w:sz w:val="14"/>
                <w:szCs w:val="14"/>
                <w:color w:val="215AA8"/>
              </w:rPr>
              <w:t>($)</w:t>
            </w:r>
          </w:p>
        </w:tc>
        <w:tc>
          <w:tcPr>
            <w:tcW w:w="1040" w:type="dxa"/>
            <w:vAlign w:val="bottom"/>
            <w:tcBorders>
              <w:bottom w:val="single" w:sz="8" w:color="215AA8"/>
            </w:tcBorders>
            <w:gridSpan w:val="2"/>
          </w:tcPr>
          <w:p>
            <w:pPr>
              <w:jc w:val="right"/>
              <w:ind w:right="180"/>
              <w:spacing w:after="0"/>
              <w:rPr>
                <w:sz w:val="20"/>
                <w:szCs w:val="20"/>
                <w:color w:val="auto"/>
              </w:rPr>
            </w:pPr>
            <w:r>
              <w:rPr>
                <w:rFonts w:ascii="Arial" w:cs="Arial" w:eastAsia="Arial" w:hAnsi="Arial"/>
                <w:sz w:val="14"/>
                <w:szCs w:val="14"/>
                <w:color w:val="215AA8"/>
              </w:rPr>
              <w:t>date</w:t>
            </w:r>
          </w:p>
        </w:tc>
        <w:tc>
          <w:tcPr>
            <w:tcW w:w="940" w:type="dxa"/>
            <w:vAlign w:val="bottom"/>
            <w:tcBorders>
              <w:bottom w:val="single" w:sz="8" w:color="215AA8"/>
            </w:tcBorders>
            <w:gridSpan w:val="2"/>
          </w:tcPr>
          <w:p>
            <w:pPr>
              <w:jc w:val="right"/>
              <w:ind w:right="232"/>
              <w:spacing w:after="0"/>
              <w:rPr>
                <w:sz w:val="20"/>
                <w:szCs w:val="20"/>
                <w:color w:val="auto"/>
              </w:rPr>
            </w:pPr>
            <w:r>
              <w:rPr>
                <w:rFonts w:ascii="Arial" w:cs="Arial" w:eastAsia="Arial" w:hAnsi="Arial"/>
                <w:sz w:val="14"/>
                <w:szCs w:val="14"/>
                <w:color w:val="215AA8"/>
              </w:rPr>
              <w:t>(#)</w:t>
            </w:r>
          </w:p>
        </w:tc>
        <w:tc>
          <w:tcPr>
            <w:tcW w:w="940" w:type="dxa"/>
            <w:vAlign w:val="bottom"/>
            <w:tcBorders>
              <w:bottom w:val="single" w:sz="8" w:color="215AA8"/>
            </w:tcBorders>
          </w:tcPr>
          <w:p>
            <w:pPr>
              <w:jc w:val="right"/>
              <w:ind w:right="13"/>
              <w:spacing w:after="0"/>
              <w:rPr>
                <w:sz w:val="20"/>
                <w:szCs w:val="20"/>
                <w:color w:val="auto"/>
              </w:rPr>
            </w:pPr>
            <w:r>
              <w:rPr>
                <w:rFonts w:ascii="Arial" w:cs="Arial" w:eastAsia="Arial" w:hAnsi="Arial"/>
                <w:sz w:val="14"/>
                <w:szCs w:val="14"/>
                <w:color w:val="215AA8"/>
              </w:rPr>
              <w:t>($)</w:t>
            </w:r>
          </w:p>
        </w:tc>
        <w:tc>
          <w:tcPr>
            <w:tcW w:w="1440" w:type="dxa"/>
            <w:vAlign w:val="bottom"/>
            <w:tcBorders>
              <w:bottom w:val="single" w:sz="8" w:color="215AA8"/>
            </w:tcBorders>
          </w:tcPr>
          <w:p>
            <w:pPr>
              <w:jc w:val="right"/>
              <w:ind w:right="213"/>
              <w:spacing w:after="0"/>
              <w:rPr>
                <w:sz w:val="20"/>
                <w:szCs w:val="20"/>
                <w:color w:val="auto"/>
              </w:rPr>
            </w:pPr>
            <w:r>
              <w:rPr>
                <w:rFonts w:ascii="Arial" w:cs="Arial" w:eastAsia="Arial" w:hAnsi="Arial"/>
                <w:sz w:val="14"/>
                <w:szCs w:val="14"/>
                <w:color w:val="215AA8"/>
              </w:rPr>
              <w:t>(#)</w:t>
            </w:r>
          </w:p>
        </w:tc>
        <w:tc>
          <w:tcPr>
            <w:tcW w:w="1120" w:type="dxa"/>
            <w:vAlign w:val="bottom"/>
            <w:tcBorders>
              <w:bottom w:val="single" w:sz="8" w:color="215AA8"/>
            </w:tcBorders>
          </w:tcPr>
          <w:p>
            <w:pPr>
              <w:jc w:val="right"/>
              <w:ind w:right="53"/>
              <w:spacing w:after="0"/>
              <w:rPr>
                <w:sz w:val="20"/>
                <w:szCs w:val="20"/>
                <w:color w:val="auto"/>
              </w:rPr>
            </w:pPr>
            <w:r>
              <w:rPr>
                <w:rFonts w:ascii="Arial" w:cs="Arial" w:eastAsia="Arial" w:hAnsi="Arial"/>
                <w:sz w:val="14"/>
                <w:szCs w:val="14"/>
                <w:color w:val="215AA8"/>
              </w:rPr>
              <w:t>($)</w:t>
            </w:r>
          </w:p>
        </w:tc>
        <w:tc>
          <w:tcPr>
            <w:tcW w:w="0" w:type="dxa"/>
            <w:vAlign w:val="bottom"/>
          </w:tcPr>
          <w:p>
            <w:pPr>
              <w:spacing w:after="0"/>
              <w:rPr>
                <w:sz w:val="1"/>
                <w:szCs w:val="1"/>
                <w:color w:val="auto"/>
              </w:rPr>
            </w:pPr>
          </w:p>
        </w:tc>
      </w:tr>
      <w:tr>
        <w:trPr>
          <w:trHeight w:val="169"/>
        </w:trPr>
        <w:tc>
          <w:tcPr>
            <w:tcW w:w="1640" w:type="dxa"/>
            <w:vAlign w:val="bottom"/>
          </w:tcPr>
          <w:p>
            <w:pPr>
              <w:spacing w:after="0"/>
              <w:rPr>
                <w:sz w:val="14"/>
                <w:szCs w:val="14"/>
                <w:color w:val="auto"/>
              </w:rPr>
            </w:pPr>
          </w:p>
        </w:tc>
        <w:tc>
          <w:tcPr>
            <w:tcW w:w="74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81,278</w:t>
            </w:r>
          </w:p>
        </w:tc>
        <w:tc>
          <w:tcPr>
            <w:tcW w:w="340" w:type="dxa"/>
            <w:vAlign w:val="bottom"/>
            <w:tcBorders>
              <w:bottom w:val="single" w:sz="8" w:color="949599"/>
            </w:tcBorders>
          </w:tcPr>
          <w:p>
            <w:pPr>
              <w:spacing w:after="0"/>
              <w:rPr>
                <w:sz w:val="14"/>
                <w:szCs w:val="14"/>
                <w:color w:val="auto"/>
              </w:rPr>
            </w:pPr>
          </w:p>
        </w:tc>
        <w:tc>
          <w:tcPr>
            <w:tcW w:w="200" w:type="dxa"/>
            <w:vAlign w:val="bottom"/>
            <w:tcBorders>
              <w:bottom w:val="single" w:sz="8" w:color="949599"/>
            </w:tcBorders>
          </w:tcPr>
          <w:p>
            <w:pPr>
              <w:spacing w:after="0"/>
              <w:rPr>
                <w:sz w:val="14"/>
                <w:szCs w:val="14"/>
                <w:color w:val="auto"/>
              </w:rPr>
            </w:pPr>
          </w:p>
        </w:tc>
        <w:tc>
          <w:tcPr>
            <w:tcW w:w="740" w:type="dxa"/>
            <w:vAlign w:val="bottom"/>
            <w:tcBorders>
              <w:bottom w:val="single" w:sz="8" w:color="949599"/>
            </w:tcBorders>
          </w:tcPr>
          <w:p>
            <w:pPr>
              <w:ind w:left="5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tcPr>
          <w:p>
            <w:pPr>
              <w:spacing w:after="0"/>
              <w:rPr>
                <w:sz w:val="14"/>
                <w:szCs w:val="14"/>
                <w:color w:val="auto"/>
              </w:rPr>
            </w:pPr>
          </w:p>
        </w:tc>
        <w:tc>
          <w:tcPr>
            <w:tcW w:w="900" w:type="dxa"/>
            <w:vAlign w:val="bottom"/>
            <w:tcBorders>
              <w:bottom w:val="single" w:sz="8" w:color="949599"/>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rPr>
                <w:sz w:val="20"/>
                <w:szCs w:val="20"/>
                <w:color w:val="auto"/>
              </w:rPr>
            </w:pPr>
            <w:r>
              <w:rPr>
                <w:rFonts w:ascii="Arial" w:cs="Arial" w:eastAsia="Arial" w:hAnsi="Arial"/>
                <w:sz w:val="14"/>
                <w:szCs w:val="14"/>
                <w:color w:val="auto"/>
              </w:rPr>
              <w:t>372.46</w:t>
            </w:r>
          </w:p>
        </w:tc>
        <w:tc>
          <w:tcPr>
            <w:tcW w:w="1040" w:type="dxa"/>
            <w:vAlign w:val="bottom"/>
            <w:tcBorders>
              <w:bottom w:val="single" w:sz="8" w:color="949599"/>
            </w:tcBorders>
            <w:gridSpan w:val="2"/>
          </w:tcPr>
          <w:p>
            <w:pPr>
              <w:jc w:val="right"/>
              <w:ind w:right="180"/>
              <w:spacing w:after="0"/>
              <w:rPr>
                <w:sz w:val="20"/>
                <w:szCs w:val="20"/>
                <w:color w:val="auto"/>
              </w:rPr>
            </w:pPr>
            <w:r>
              <w:rPr>
                <w:rFonts w:ascii="Arial" w:cs="Arial" w:eastAsia="Arial" w:hAnsi="Arial"/>
                <w:sz w:val="14"/>
                <w:szCs w:val="14"/>
                <w:color w:val="auto"/>
              </w:rPr>
              <w:t>12/11/2029</w:t>
            </w:r>
          </w:p>
        </w:tc>
        <w:tc>
          <w:tcPr>
            <w:tcW w:w="180" w:type="dxa"/>
            <w:vAlign w:val="bottom"/>
            <w:tcBorders>
              <w:bottom w:val="single" w:sz="8" w:color="949599"/>
            </w:tcBorders>
          </w:tcPr>
          <w:p>
            <w:pPr>
              <w:spacing w:after="0"/>
              <w:rPr>
                <w:sz w:val="14"/>
                <w:szCs w:val="14"/>
                <w:color w:val="auto"/>
              </w:rPr>
            </w:pPr>
          </w:p>
        </w:tc>
        <w:tc>
          <w:tcPr>
            <w:tcW w:w="760" w:type="dxa"/>
            <w:vAlign w:val="bottom"/>
            <w:tcBorders>
              <w:bottom w:val="single" w:sz="8" w:color="949599"/>
            </w:tcBorders>
          </w:tcPr>
          <w:p>
            <w:pPr>
              <w:jc w:val="right"/>
              <w:ind w:right="2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tcPr>
          <w:p>
            <w:pPr>
              <w:jc w:val="right"/>
              <w:ind w:right="13"/>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tcPr>
          <w:p>
            <w:pPr>
              <w:jc w:val="right"/>
              <w:ind w:right="213"/>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4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129,013</w:t>
            </w:r>
          </w:p>
        </w:tc>
        <w:tc>
          <w:tcPr>
            <w:tcW w:w="340" w:type="dxa"/>
            <w:vAlign w:val="bottom"/>
            <w:tcBorders>
              <w:bottom w:val="single" w:sz="8" w:color="949599"/>
            </w:tcBorders>
          </w:tcPr>
          <w:p>
            <w:pPr>
              <w:spacing w:after="0"/>
              <w:rPr>
                <w:sz w:val="12"/>
                <w:szCs w:val="12"/>
                <w:color w:val="auto"/>
              </w:rPr>
            </w:pPr>
          </w:p>
        </w:tc>
        <w:tc>
          <w:tcPr>
            <w:tcW w:w="200" w:type="dxa"/>
            <w:vAlign w:val="bottom"/>
            <w:tcBorders>
              <w:bottom w:val="single" w:sz="8" w:color="949599"/>
            </w:tcBorders>
          </w:tcPr>
          <w:p>
            <w:pPr>
              <w:spacing w:after="0"/>
              <w:rPr>
                <w:sz w:val="12"/>
                <w:szCs w:val="12"/>
                <w:color w:val="auto"/>
              </w:rPr>
            </w:pPr>
          </w:p>
        </w:tc>
        <w:tc>
          <w:tcPr>
            <w:tcW w:w="740" w:type="dxa"/>
            <w:vAlign w:val="bottom"/>
            <w:tcBorders>
              <w:bottom w:val="single" w:sz="8" w:color="949599"/>
            </w:tcBorders>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tcPr>
          <w:p>
            <w:pPr>
              <w:spacing w:after="0"/>
              <w:rPr>
                <w:sz w:val="12"/>
                <w:szCs w:val="12"/>
                <w:color w:val="auto"/>
              </w:rPr>
            </w:pPr>
          </w:p>
        </w:tc>
        <w:tc>
          <w:tcPr>
            <w:tcW w:w="900" w:type="dxa"/>
            <w:vAlign w:val="bottom"/>
            <w:tcBorders>
              <w:bottom w:val="single" w:sz="8" w:color="949599"/>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line="149" w:lineRule="exact"/>
              <w:rPr>
                <w:sz w:val="20"/>
                <w:szCs w:val="20"/>
                <w:color w:val="auto"/>
              </w:rPr>
            </w:pPr>
            <w:r>
              <w:rPr>
                <w:rFonts w:ascii="Arial" w:cs="Arial" w:eastAsia="Arial" w:hAnsi="Arial"/>
                <w:sz w:val="14"/>
                <w:szCs w:val="14"/>
                <w:color w:val="auto"/>
              </w:rPr>
              <w:t>381.40</w:t>
            </w:r>
          </w:p>
        </w:tc>
        <w:tc>
          <w:tcPr>
            <w:tcW w:w="1040" w:type="dxa"/>
            <w:vAlign w:val="bottom"/>
            <w:tcBorders>
              <w:bottom w:val="single" w:sz="8" w:color="949599"/>
            </w:tcBorders>
            <w:gridSpan w:val="2"/>
          </w:tcPr>
          <w:p>
            <w:pPr>
              <w:jc w:val="right"/>
              <w:ind w:right="180"/>
              <w:spacing w:after="0" w:line="149" w:lineRule="exact"/>
              <w:rPr>
                <w:sz w:val="20"/>
                <w:szCs w:val="20"/>
                <w:color w:val="auto"/>
              </w:rPr>
            </w:pPr>
            <w:r>
              <w:rPr>
                <w:rFonts w:ascii="Arial" w:cs="Arial" w:eastAsia="Arial" w:hAnsi="Arial"/>
                <w:sz w:val="14"/>
                <w:szCs w:val="14"/>
                <w:color w:val="auto"/>
              </w:rPr>
              <w:t>12/12/2028</w:t>
            </w:r>
          </w:p>
        </w:tc>
        <w:tc>
          <w:tcPr>
            <w:tcW w:w="180" w:type="dxa"/>
            <w:vAlign w:val="bottom"/>
            <w:tcBorders>
              <w:bottom w:val="single" w:sz="8" w:color="949599"/>
            </w:tcBorders>
          </w:tcPr>
          <w:p>
            <w:pPr>
              <w:spacing w:after="0"/>
              <w:rPr>
                <w:sz w:val="12"/>
                <w:szCs w:val="12"/>
                <w:color w:val="auto"/>
              </w:rPr>
            </w:pPr>
          </w:p>
        </w:tc>
        <w:tc>
          <w:tcPr>
            <w:tcW w:w="760" w:type="dxa"/>
            <w:vAlign w:val="bottom"/>
            <w:tcBorders>
              <w:bottom w:val="single" w:sz="8" w:color="949599"/>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tcPr>
          <w:p>
            <w:pPr>
              <w:ind w:left="40"/>
              <w:spacing w:after="0" w:line="149" w:lineRule="exact"/>
              <w:rPr>
                <w:sz w:val="20"/>
                <w:szCs w:val="20"/>
                <w:color w:val="auto"/>
              </w:rPr>
            </w:pPr>
            <w:r>
              <w:rPr>
                <w:rFonts w:ascii="Arial" w:cs="Arial" w:eastAsia="Arial" w:hAnsi="Arial"/>
                <w:sz w:val="14"/>
                <w:szCs w:val="14"/>
                <w:b w:val="1"/>
                <w:bCs w:val="1"/>
                <w:color w:val="215AA8"/>
              </w:rPr>
              <w:t>Leonard S.</w:t>
            </w:r>
          </w:p>
        </w:tc>
        <w:tc>
          <w:tcPr>
            <w:tcW w:w="74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139,474</w:t>
            </w:r>
          </w:p>
        </w:tc>
        <w:tc>
          <w:tcPr>
            <w:tcW w:w="340" w:type="dxa"/>
            <w:vAlign w:val="bottom"/>
            <w:tcBorders>
              <w:bottom w:val="single" w:sz="8" w:color="949599"/>
            </w:tcBorders>
          </w:tcPr>
          <w:p>
            <w:pPr>
              <w:spacing w:after="0"/>
              <w:rPr>
                <w:sz w:val="12"/>
                <w:szCs w:val="12"/>
                <w:color w:val="auto"/>
              </w:rPr>
            </w:pPr>
          </w:p>
        </w:tc>
        <w:tc>
          <w:tcPr>
            <w:tcW w:w="200" w:type="dxa"/>
            <w:vAlign w:val="bottom"/>
            <w:tcBorders>
              <w:bottom w:val="single" w:sz="8" w:color="949599"/>
            </w:tcBorders>
          </w:tcPr>
          <w:p>
            <w:pPr>
              <w:spacing w:after="0"/>
              <w:rPr>
                <w:sz w:val="12"/>
                <w:szCs w:val="12"/>
                <w:color w:val="auto"/>
              </w:rPr>
            </w:pPr>
          </w:p>
        </w:tc>
        <w:tc>
          <w:tcPr>
            <w:tcW w:w="740" w:type="dxa"/>
            <w:vAlign w:val="bottom"/>
            <w:tcBorders>
              <w:bottom w:val="single" w:sz="8" w:color="949599"/>
            </w:tcBorders>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tcPr>
          <w:p>
            <w:pPr>
              <w:spacing w:after="0"/>
              <w:rPr>
                <w:sz w:val="12"/>
                <w:szCs w:val="12"/>
                <w:color w:val="auto"/>
              </w:rPr>
            </w:pPr>
          </w:p>
        </w:tc>
        <w:tc>
          <w:tcPr>
            <w:tcW w:w="900" w:type="dxa"/>
            <w:vAlign w:val="bottom"/>
            <w:tcBorders>
              <w:bottom w:val="single" w:sz="8" w:color="949599"/>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line="149" w:lineRule="exact"/>
              <w:rPr>
                <w:sz w:val="20"/>
                <w:szCs w:val="20"/>
                <w:color w:val="auto"/>
              </w:rPr>
            </w:pPr>
            <w:r>
              <w:rPr>
                <w:rFonts w:ascii="Arial" w:cs="Arial" w:eastAsia="Arial" w:hAnsi="Arial"/>
                <w:sz w:val="14"/>
                <w:szCs w:val="14"/>
                <w:color w:val="auto"/>
              </w:rPr>
              <w:t>378.98</w:t>
            </w:r>
          </w:p>
        </w:tc>
        <w:tc>
          <w:tcPr>
            <w:tcW w:w="1040" w:type="dxa"/>
            <w:vAlign w:val="bottom"/>
            <w:tcBorders>
              <w:bottom w:val="single" w:sz="8" w:color="949599"/>
            </w:tcBorders>
            <w:gridSpan w:val="2"/>
          </w:tcPr>
          <w:p>
            <w:pPr>
              <w:jc w:val="right"/>
              <w:ind w:right="180"/>
              <w:spacing w:after="0" w:line="149" w:lineRule="exact"/>
              <w:rPr>
                <w:sz w:val="20"/>
                <w:szCs w:val="20"/>
                <w:color w:val="auto"/>
              </w:rPr>
            </w:pPr>
            <w:r>
              <w:rPr>
                <w:rFonts w:ascii="Arial" w:cs="Arial" w:eastAsia="Arial" w:hAnsi="Arial"/>
                <w:sz w:val="14"/>
                <w:szCs w:val="14"/>
                <w:color w:val="auto"/>
              </w:rPr>
              <w:t>12/12/2027</w:t>
            </w:r>
          </w:p>
        </w:tc>
        <w:tc>
          <w:tcPr>
            <w:tcW w:w="180" w:type="dxa"/>
            <w:vAlign w:val="bottom"/>
            <w:tcBorders>
              <w:bottom w:val="single" w:sz="8" w:color="949599"/>
            </w:tcBorders>
          </w:tcPr>
          <w:p>
            <w:pPr>
              <w:spacing w:after="0"/>
              <w:rPr>
                <w:sz w:val="12"/>
                <w:szCs w:val="12"/>
                <w:color w:val="auto"/>
              </w:rPr>
            </w:pPr>
          </w:p>
        </w:tc>
        <w:tc>
          <w:tcPr>
            <w:tcW w:w="760" w:type="dxa"/>
            <w:vAlign w:val="bottom"/>
            <w:tcBorders>
              <w:bottom w:val="single" w:sz="8" w:color="949599"/>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tcPr>
          <w:p>
            <w:pPr>
              <w:ind w:left="40"/>
              <w:spacing w:after="0" w:line="149" w:lineRule="exact"/>
              <w:rPr>
                <w:sz w:val="20"/>
                <w:szCs w:val="20"/>
                <w:color w:val="auto"/>
              </w:rPr>
            </w:pPr>
            <w:r>
              <w:rPr>
                <w:rFonts w:ascii="Arial" w:cs="Arial" w:eastAsia="Arial" w:hAnsi="Arial"/>
                <w:sz w:val="14"/>
                <w:szCs w:val="14"/>
                <w:b w:val="1"/>
                <w:bCs w:val="1"/>
                <w:color w:val="215AA8"/>
              </w:rPr>
              <w:t>Schleifer,</w:t>
            </w:r>
          </w:p>
        </w:tc>
        <w:tc>
          <w:tcPr>
            <w:tcW w:w="74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146,815</w:t>
            </w:r>
          </w:p>
        </w:tc>
        <w:tc>
          <w:tcPr>
            <w:tcW w:w="340" w:type="dxa"/>
            <w:vAlign w:val="bottom"/>
            <w:tcBorders>
              <w:bottom w:val="single" w:sz="8" w:color="949599"/>
            </w:tcBorders>
          </w:tcPr>
          <w:p>
            <w:pPr>
              <w:spacing w:after="0"/>
              <w:rPr>
                <w:sz w:val="12"/>
                <w:szCs w:val="12"/>
                <w:color w:val="auto"/>
              </w:rPr>
            </w:pPr>
          </w:p>
        </w:tc>
        <w:tc>
          <w:tcPr>
            <w:tcW w:w="200" w:type="dxa"/>
            <w:vAlign w:val="bottom"/>
            <w:tcBorders>
              <w:bottom w:val="single" w:sz="8" w:color="949599"/>
            </w:tcBorders>
          </w:tcPr>
          <w:p>
            <w:pPr>
              <w:spacing w:after="0"/>
              <w:rPr>
                <w:sz w:val="12"/>
                <w:szCs w:val="12"/>
                <w:color w:val="auto"/>
              </w:rPr>
            </w:pPr>
          </w:p>
        </w:tc>
        <w:tc>
          <w:tcPr>
            <w:tcW w:w="740" w:type="dxa"/>
            <w:vAlign w:val="bottom"/>
            <w:tcBorders>
              <w:bottom w:val="single" w:sz="8" w:color="949599"/>
            </w:tcBorders>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tcPr>
          <w:p>
            <w:pPr>
              <w:spacing w:after="0"/>
              <w:rPr>
                <w:sz w:val="12"/>
                <w:szCs w:val="12"/>
                <w:color w:val="auto"/>
              </w:rPr>
            </w:pPr>
          </w:p>
        </w:tc>
        <w:tc>
          <w:tcPr>
            <w:tcW w:w="900" w:type="dxa"/>
            <w:vAlign w:val="bottom"/>
            <w:tcBorders>
              <w:bottom w:val="single" w:sz="8" w:color="949599"/>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line="149" w:lineRule="exact"/>
              <w:rPr>
                <w:sz w:val="20"/>
                <w:szCs w:val="20"/>
                <w:color w:val="auto"/>
              </w:rPr>
            </w:pPr>
            <w:r>
              <w:rPr>
                <w:rFonts w:ascii="Arial" w:cs="Arial" w:eastAsia="Arial" w:hAnsi="Arial"/>
                <w:sz w:val="14"/>
                <w:szCs w:val="14"/>
                <w:color w:val="auto"/>
              </w:rPr>
              <w:t>381.92</w:t>
            </w:r>
          </w:p>
        </w:tc>
        <w:tc>
          <w:tcPr>
            <w:tcW w:w="1040" w:type="dxa"/>
            <w:vAlign w:val="bottom"/>
            <w:tcBorders>
              <w:bottom w:val="single" w:sz="8" w:color="949599"/>
            </w:tcBorders>
            <w:gridSpan w:val="2"/>
          </w:tcPr>
          <w:p>
            <w:pPr>
              <w:jc w:val="right"/>
              <w:ind w:right="180"/>
              <w:spacing w:after="0" w:line="149" w:lineRule="exact"/>
              <w:rPr>
                <w:sz w:val="20"/>
                <w:szCs w:val="20"/>
                <w:color w:val="auto"/>
              </w:rPr>
            </w:pPr>
            <w:r>
              <w:rPr>
                <w:rFonts w:ascii="Arial" w:cs="Arial" w:eastAsia="Arial" w:hAnsi="Arial"/>
                <w:sz w:val="14"/>
                <w:szCs w:val="14"/>
                <w:color w:val="auto"/>
              </w:rPr>
              <w:t>12/16/2026</w:t>
            </w:r>
          </w:p>
        </w:tc>
        <w:tc>
          <w:tcPr>
            <w:tcW w:w="180" w:type="dxa"/>
            <w:vAlign w:val="bottom"/>
            <w:tcBorders>
              <w:bottom w:val="single" w:sz="8" w:color="949599"/>
            </w:tcBorders>
          </w:tcPr>
          <w:p>
            <w:pPr>
              <w:spacing w:after="0"/>
              <w:rPr>
                <w:sz w:val="12"/>
                <w:szCs w:val="12"/>
                <w:color w:val="auto"/>
              </w:rPr>
            </w:pPr>
          </w:p>
        </w:tc>
        <w:tc>
          <w:tcPr>
            <w:tcW w:w="760" w:type="dxa"/>
            <w:vAlign w:val="bottom"/>
            <w:tcBorders>
              <w:bottom w:val="single" w:sz="8" w:color="949599"/>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tcPr>
          <w:p>
            <w:pPr>
              <w:ind w:left="40"/>
              <w:spacing w:after="0" w:line="149" w:lineRule="exact"/>
              <w:rPr>
                <w:sz w:val="20"/>
                <w:szCs w:val="20"/>
                <w:color w:val="auto"/>
              </w:rPr>
            </w:pPr>
            <w:r>
              <w:rPr>
                <w:rFonts w:ascii="Arial" w:cs="Arial" w:eastAsia="Arial" w:hAnsi="Arial"/>
                <w:sz w:val="14"/>
                <w:szCs w:val="14"/>
                <w:b w:val="1"/>
                <w:bCs w:val="1"/>
                <w:color w:val="215AA8"/>
              </w:rPr>
              <w:t>M.D., Ph.D.</w:t>
            </w:r>
          </w:p>
        </w:tc>
        <w:tc>
          <w:tcPr>
            <w:tcW w:w="74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172,723</w:t>
            </w:r>
          </w:p>
        </w:tc>
        <w:tc>
          <w:tcPr>
            <w:tcW w:w="340" w:type="dxa"/>
            <w:vAlign w:val="bottom"/>
            <w:tcBorders>
              <w:bottom w:val="single" w:sz="8" w:color="949599"/>
            </w:tcBorders>
          </w:tcPr>
          <w:p>
            <w:pPr>
              <w:spacing w:after="0"/>
              <w:rPr>
                <w:sz w:val="12"/>
                <w:szCs w:val="12"/>
                <w:color w:val="auto"/>
              </w:rPr>
            </w:pPr>
          </w:p>
        </w:tc>
        <w:tc>
          <w:tcPr>
            <w:tcW w:w="200" w:type="dxa"/>
            <w:vAlign w:val="bottom"/>
            <w:tcBorders>
              <w:bottom w:val="single" w:sz="8" w:color="949599"/>
            </w:tcBorders>
          </w:tcPr>
          <w:p>
            <w:pPr>
              <w:spacing w:after="0"/>
              <w:rPr>
                <w:sz w:val="12"/>
                <w:szCs w:val="12"/>
                <w:color w:val="auto"/>
              </w:rPr>
            </w:pPr>
          </w:p>
        </w:tc>
        <w:tc>
          <w:tcPr>
            <w:tcW w:w="740" w:type="dxa"/>
            <w:vAlign w:val="bottom"/>
            <w:tcBorders>
              <w:bottom w:val="single" w:sz="8" w:color="949599"/>
            </w:tcBorders>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tcPr>
          <w:p>
            <w:pPr>
              <w:spacing w:after="0"/>
              <w:rPr>
                <w:sz w:val="12"/>
                <w:szCs w:val="12"/>
                <w:color w:val="auto"/>
              </w:rPr>
            </w:pPr>
          </w:p>
        </w:tc>
        <w:tc>
          <w:tcPr>
            <w:tcW w:w="900" w:type="dxa"/>
            <w:vAlign w:val="bottom"/>
            <w:tcBorders>
              <w:bottom w:val="single" w:sz="8" w:color="949599"/>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line="149" w:lineRule="exact"/>
              <w:rPr>
                <w:sz w:val="20"/>
                <w:szCs w:val="20"/>
                <w:color w:val="auto"/>
              </w:rPr>
            </w:pPr>
            <w:r>
              <w:rPr>
                <w:rFonts w:ascii="Arial" w:cs="Arial" w:eastAsia="Arial" w:hAnsi="Arial"/>
                <w:sz w:val="14"/>
                <w:szCs w:val="14"/>
                <w:color w:val="auto"/>
              </w:rPr>
              <w:t>555.67</w:t>
            </w:r>
          </w:p>
        </w:tc>
        <w:tc>
          <w:tcPr>
            <w:tcW w:w="1040" w:type="dxa"/>
            <w:vAlign w:val="bottom"/>
            <w:tcBorders>
              <w:bottom w:val="single" w:sz="8" w:color="949599"/>
            </w:tcBorders>
            <w:gridSpan w:val="2"/>
          </w:tcPr>
          <w:p>
            <w:pPr>
              <w:jc w:val="right"/>
              <w:ind w:right="180"/>
              <w:spacing w:after="0" w:line="149" w:lineRule="exact"/>
              <w:rPr>
                <w:sz w:val="20"/>
                <w:szCs w:val="20"/>
                <w:color w:val="auto"/>
              </w:rPr>
            </w:pPr>
            <w:r>
              <w:rPr>
                <w:rFonts w:ascii="Arial" w:cs="Arial" w:eastAsia="Arial" w:hAnsi="Arial"/>
                <w:sz w:val="14"/>
                <w:szCs w:val="14"/>
                <w:color w:val="auto"/>
              </w:rPr>
              <w:t>12/16/2025</w:t>
            </w:r>
          </w:p>
        </w:tc>
        <w:tc>
          <w:tcPr>
            <w:tcW w:w="180" w:type="dxa"/>
            <w:vAlign w:val="bottom"/>
            <w:tcBorders>
              <w:bottom w:val="single" w:sz="8" w:color="949599"/>
            </w:tcBorders>
          </w:tcPr>
          <w:p>
            <w:pPr>
              <w:spacing w:after="0"/>
              <w:rPr>
                <w:sz w:val="12"/>
                <w:szCs w:val="12"/>
                <w:color w:val="auto"/>
              </w:rPr>
            </w:pPr>
          </w:p>
        </w:tc>
        <w:tc>
          <w:tcPr>
            <w:tcW w:w="760" w:type="dxa"/>
            <w:vAlign w:val="bottom"/>
            <w:tcBorders>
              <w:bottom w:val="single" w:sz="8" w:color="949599"/>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4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203,204</w:t>
            </w:r>
          </w:p>
        </w:tc>
        <w:tc>
          <w:tcPr>
            <w:tcW w:w="340" w:type="dxa"/>
            <w:vAlign w:val="bottom"/>
            <w:tcBorders>
              <w:bottom w:val="single" w:sz="8" w:color="949599"/>
            </w:tcBorders>
          </w:tcPr>
          <w:p>
            <w:pPr>
              <w:spacing w:after="0"/>
              <w:rPr>
                <w:sz w:val="12"/>
                <w:szCs w:val="12"/>
                <w:color w:val="auto"/>
              </w:rPr>
            </w:pPr>
          </w:p>
        </w:tc>
        <w:tc>
          <w:tcPr>
            <w:tcW w:w="200" w:type="dxa"/>
            <w:vAlign w:val="bottom"/>
            <w:tcBorders>
              <w:bottom w:val="single" w:sz="8" w:color="949599"/>
            </w:tcBorders>
          </w:tcPr>
          <w:p>
            <w:pPr>
              <w:spacing w:after="0"/>
              <w:rPr>
                <w:sz w:val="12"/>
                <w:szCs w:val="12"/>
                <w:color w:val="auto"/>
              </w:rPr>
            </w:pPr>
          </w:p>
        </w:tc>
        <w:tc>
          <w:tcPr>
            <w:tcW w:w="740" w:type="dxa"/>
            <w:vAlign w:val="bottom"/>
            <w:tcBorders>
              <w:bottom w:val="single" w:sz="8" w:color="949599"/>
            </w:tcBorders>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tcPr>
          <w:p>
            <w:pPr>
              <w:spacing w:after="0"/>
              <w:rPr>
                <w:sz w:val="12"/>
                <w:szCs w:val="12"/>
                <w:color w:val="auto"/>
              </w:rPr>
            </w:pPr>
          </w:p>
        </w:tc>
        <w:tc>
          <w:tcPr>
            <w:tcW w:w="900" w:type="dxa"/>
            <w:vAlign w:val="bottom"/>
            <w:tcBorders>
              <w:bottom w:val="single" w:sz="8" w:color="949599"/>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line="149" w:lineRule="exact"/>
              <w:rPr>
                <w:sz w:val="20"/>
                <w:szCs w:val="20"/>
                <w:color w:val="auto"/>
              </w:rPr>
            </w:pPr>
            <w:r>
              <w:rPr>
                <w:rFonts w:ascii="Arial" w:cs="Arial" w:eastAsia="Arial" w:hAnsi="Arial"/>
                <w:sz w:val="14"/>
                <w:szCs w:val="14"/>
                <w:color w:val="auto"/>
              </w:rPr>
              <w:t>399.66</w:t>
            </w:r>
          </w:p>
        </w:tc>
        <w:tc>
          <w:tcPr>
            <w:tcW w:w="1040" w:type="dxa"/>
            <w:vAlign w:val="bottom"/>
            <w:tcBorders>
              <w:bottom w:val="single" w:sz="8" w:color="949599"/>
            </w:tcBorders>
            <w:gridSpan w:val="2"/>
          </w:tcPr>
          <w:p>
            <w:pPr>
              <w:jc w:val="right"/>
              <w:ind w:right="180"/>
              <w:spacing w:after="0" w:line="149" w:lineRule="exact"/>
              <w:rPr>
                <w:sz w:val="20"/>
                <w:szCs w:val="20"/>
                <w:color w:val="auto"/>
              </w:rPr>
            </w:pPr>
            <w:r>
              <w:rPr>
                <w:rFonts w:ascii="Arial" w:cs="Arial" w:eastAsia="Arial" w:hAnsi="Arial"/>
                <w:sz w:val="14"/>
                <w:szCs w:val="14"/>
                <w:color w:val="auto"/>
              </w:rPr>
              <w:t>12/16/2024</w:t>
            </w:r>
          </w:p>
        </w:tc>
        <w:tc>
          <w:tcPr>
            <w:tcW w:w="180" w:type="dxa"/>
            <w:vAlign w:val="bottom"/>
            <w:tcBorders>
              <w:bottom w:val="single" w:sz="8" w:color="949599"/>
            </w:tcBorders>
          </w:tcPr>
          <w:p>
            <w:pPr>
              <w:spacing w:after="0"/>
              <w:rPr>
                <w:sz w:val="12"/>
                <w:szCs w:val="12"/>
                <w:color w:val="auto"/>
              </w:rPr>
            </w:pPr>
          </w:p>
        </w:tc>
        <w:tc>
          <w:tcPr>
            <w:tcW w:w="760" w:type="dxa"/>
            <w:vAlign w:val="bottom"/>
            <w:tcBorders>
              <w:bottom w:val="single" w:sz="8" w:color="949599"/>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949599"/>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49599"/>
            </w:tcBorders>
          </w:tcPr>
          <w:p>
            <w:pPr>
              <w:spacing w:after="0"/>
              <w:rPr>
                <w:sz w:val="15"/>
                <w:szCs w:val="15"/>
                <w:color w:val="auto"/>
              </w:rPr>
            </w:pPr>
          </w:p>
        </w:tc>
        <w:tc>
          <w:tcPr>
            <w:tcW w:w="740" w:type="dxa"/>
            <w:vAlign w:val="bottom"/>
            <w:tcBorders>
              <w:bottom w:val="single" w:sz="8" w:color="949599"/>
            </w:tcBorders>
          </w:tcPr>
          <w:p>
            <w:pPr>
              <w:ind w:left="5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tcPr>
          <w:p>
            <w:pPr>
              <w:spacing w:after="0"/>
              <w:rPr>
                <w:sz w:val="15"/>
                <w:szCs w:val="15"/>
                <w:color w:val="auto"/>
              </w:rPr>
            </w:pPr>
          </w:p>
        </w:tc>
        <w:tc>
          <w:tcPr>
            <w:tcW w:w="900" w:type="dxa"/>
            <w:vAlign w:val="bottom"/>
            <w:tcBorders>
              <w:bottom w:val="single" w:sz="8" w:color="949599"/>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49599"/>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949599"/>
            </w:tcBorders>
          </w:tcPr>
          <w:p>
            <w:pPr>
              <w:spacing w:after="0"/>
              <w:rPr>
                <w:sz w:val="15"/>
                <w:szCs w:val="15"/>
                <w:color w:val="auto"/>
              </w:rPr>
            </w:pPr>
          </w:p>
        </w:tc>
        <w:tc>
          <w:tcPr>
            <w:tcW w:w="760" w:type="dxa"/>
            <w:vAlign w:val="bottom"/>
            <w:tcBorders>
              <w:bottom w:val="single" w:sz="8" w:color="949599"/>
            </w:tcBorders>
          </w:tcPr>
          <w:p>
            <w:pPr>
              <w:jc w:val="right"/>
              <w:ind w:right="2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tcPr>
          <w:p>
            <w:pPr>
              <w:jc w:val="right"/>
              <w:ind w:right="13"/>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tcPr>
          <w:p>
            <w:pPr>
              <w:jc w:val="right"/>
              <w:ind w:right="153"/>
              <w:spacing w:after="0" w:line="183" w:lineRule="exact"/>
              <w:rPr>
                <w:sz w:val="20"/>
                <w:szCs w:val="20"/>
                <w:color w:val="auto"/>
              </w:rPr>
            </w:pPr>
            <w:r>
              <w:rPr>
                <w:rFonts w:ascii="Arial" w:cs="Arial" w:eastAsia="Arial" w:hAnsi="Arial"/>
                <w:sz w:val="13"/>
                <w:szCs w:val="13"/>
                <w:color w:val="auto"/>
              </w:rPr>
              <w:t>620,270</w:t>
            </w:r>
            <w:r>
              <w:rPr>
                <w:rFonts w:ascii="Arial" w:cs="Arial" w:eastAsia="Arial" w:hAnsi="Arial"/>
                <w:sz w:val="21"/>
                <w:szCs w:val="21"/>
                <w:color w:val="auto"/>
                <w:vertAlign w:val="superscript"/>
              </w:rPr>
              <w:t>1</w:t>
            </w:r>
          </w:p>
        </w:tc>
        <w:tc>
          <w:tcPr>
            <w:tcW w:w="1120" w:type="dxa"/>
            <w:vAlign w:val="bottom"/>
            <w:tcBorders>
              <w:bottom w:val="single" w:sz="8" w:color="949599"/>
            </w:tcBorders>
          </w:tcPr>
          <w:p>
            <w:pPr>
              <w:jc w:val="right"/>
              <w:spacing w:after="0" w:line="183" w:lineRule="exact"/>
              <w:rPr>
                <w:sz w:val="20"/>
                <w:szCs w:val="20"/>
                <w:color w:val="auto"/>
              </w:rPr>
            </w:pPr>
            <w:r>
              <w:rPr>
                <w:rFonts w:ascii="Arial" w:cs="Arial" w:eastAsia="Arial" w:hAnsi="Arial"/>
                <w:sz w:val="13"/>
                <w:szCs w:val="13"/>
                <w:color w:val="auto"/>
              </w:rPr>
              <w:t>544,776,938</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949599"/>
            </w:tcBorders>
            <w:vMerge w:val="continue"/>
          </w:tcPr>
          <w:p>
            <w:pPr>
              <w:spacing w:after="0"/>
              <w:rPr>
                <w:sz w:val="12"/>
                <w:szCs w:val="12"/>
                <w:color w:val="auto"/>
              </w:rPr>
            </w:pPr>
          </w:p>
        </w:tc>
        <w:tc>
          <w:tcPr>
            <w:tcW w:w="74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b w:val="1"/>
                <w:bCs w:val="1"/>
                <w:color w:val="auto"/>
              </w:rPr>
              <w:t>872,507</w:t>
            </w:r>
          </w:p>
        </w:tc>
        <w:tc>
          <w:tcPr>
            <w:tcW w:w="340" w:type="dxa"/>
            <w:vAlign w:val="bottom"/>
            <w:tcBorders>
              <w:bottom w:val="single" w:sz="8" w:color="949599"/>
            </w:tcBorders>
          </w:tcPr>
          <w:p>
            <w:pPr>
              <w:spacing w:after="0"/>
              <w:rPr>
                <w:sz w:val="12"/>
                <w:szCs w:val="12"/>
                <w:color w:val="auto"/>
              </w:rPr>
            </w:pPr>
          </w:p>
        </w:tc>
        <w:tc>
          <w:tcPr>
            <w:tcW w:w="200" w:type="dxa"/>
            <w:vAlign w:val="bottom"/>
            <w:tcBorders>
              <w:bottom w:val="single" w:sz="8" w:color="949599"/>
            </w:tcBorders>
          </w:tcPr>
          <w:p>
            <w:pPr>
              <w:spacing w:after="0"/>
              <w:rPr>
                <w:sz w:val="12"/>
                <w:szCs w:val="12"/>
                <w:color w:val="auto"/>
              </w:rPr>
            </w:pPr>
          </w:p>
        </w:tc>
        <w:tc>
          <w:tcPr>
            <w:tcW w:w="740" w:type="dxa"/>
            <w:vAlign w:val="bottom"/>
            <w:tcBorders>
              <w:bottom w:val="single" w:sz="8" w:color="949599"/>
            </w:tcBorders>
          </w:tcPr>
          <w:p>
            <w:pPr>
              <w:spacing w:after="0"/>
              <w:rPr>
                <w:sz w:val="12"/>
                <w:szCs w:val="12"/>
                <w:color w:val="auto"/>
              </w:rPr>
            </w:pPr>
          </w:p>
        </w:tc>
        <w:tc>
          <w:tcPr>
            <w:tcW w:w="360" w:type="dxa"/>
            <w:vAlign w:val="bottom"/>
            <w:tcBorders>
              <w:bottom w:val="single" w:sz="8" w:color="949599"/>
            </w:tcBorders>
          </w:tcPr>
          <w:p>
            <w:pPr>
              <w:spacing w:after="0"/>
              <w:rPr>
                <w:sz w:val="12"/>
                <w:szCs w:val="12"/>
                <w:color w:val="auto"/>
              </w:rPr>
            </w:pPr>
          </w:p>
        </w:tc>
        <w:tc>
          <w:tcPr>
            <w:tcW w:w="900" w:type="dxa"/>
            <w:vAlign w:val="bottom"/>
            <w:tcBorders>
              <w:bottom w:val="single" w:sz="8" w:color="949599"/>
            </w:tcBorders>
          </w:tcPr>
          <w:p>
            <w:pPr>
              <w:spacing w:after="0"/>
              <w:rPr>
                <w:sz w:val="12"/>
                <w:szCs w:val="12"/>
                <w:color w:val="auto"/>
              </w:rPr>
            </w:pPr>
          </w:p>
        </w:tc>
        <w:tc>
          <w:tcPr>
            <w:tcW w:w="860" w:type="dxa"/>
            <w:vAlign w:val="bottom"/>
            <w:tcBorders>
              <w:bottom w:val="single" w:sz="8" w:color="949599"/>
            </w:tcBorders>
          </w:tcPr>
          <w:p>
            <w:pPr>
              <w:spacing w:after="0"/>
              <w:rPr>
                <w:sz w:val="12"/>
                <w:szCs w:val="12"/>
                <w:color w:val="auto"/>
              </w:rPr>
            </w:pPr>
          </w:p>
        </w:tc>
        <w:tc>
          <w:tcPr>
            <w:tcW w:w="860" w:type="dxa"/>
            <w:vAlign w:val="bottom"/>
            <w:tcBorders>
              <w:bottom w:val="single" w:sz="8" w:color="949599"/>
            </w:tcBorders>
          </w:tcPr>
          <w:p>
            <w:pPr>
              <w:spacing w:after="0"/>
              <w:rPr>
                <w:sz w:val="12"/>
                <w:szCs w:val="12"/>
                <w:color w:val="auto"/>
              </w:rPr>
            </w:pPr>
          </w:p>
        </w:tc>
        <w:tc>
          <w:tcPr>
            <w:tcW w:w="180" w:type="dxa"/>
            <w:vAlign w:val="bottom"/>
            <w:tcBorders>
              <w:bottom w:val="single" w:sz="8" w:color="949599"/>
            </w:tcBorders>
          </w:tcPr>
          <w:p>
            <w:pPr>
              <w:spacing w:after="0"/>
              <w:rPr>
                <w:sz w:val="12"/>
                <w:szCs w:val="12"/>
                <w:color w:val="auto"/>
              </w:rPr>
            </w:pPr>
          </w:p>
        </w:tc>
        <w:tc>
          <w:tcPr>
            <w:tcW w:w="180" w:type="dxa"/>
            <w:vAlign w:val="bottom"/>
            <w:tcBorders>
              <w:bottom w:val="single" w:sz="8" w:color="949599"/>
            </w:tcBorders>
          </w:tcPr>
          <w:p>
            <w:pPr>
              <w:spacing w:after="0"/>
              <w:rPr>
                <w:sz w:val="12"/>
                <w:szCs w:val="12"/>
                <w:color w:val="auto"/>
              </w:rPr>
            </w:pPr>
          </w:p>
        </w:tc>
        <w:tc>
          <w:tcPr>
            <w:tcW w:w="760" w:type="dxa"/>
            <w:vAlign w:val="bottom"/>
            <w:tcBorders>
              <w:bottom w:val="single" w:sz="8" w:color="949599"/>
            </w:tcBorders>
          </w:tcPr>
          <w:p>
            <w:pPr>
              <w:spacing w:after="0"/>
              <w:rPr>
                <w:sz w:val="12"/>
                <w:szCs w:val="12"/>
                <w:color w:val="auto"/>
              </w:rPr>
            </w:pPr>
          </w:p>
        </w:tc>
        <w:tc>
          <w:tcPr>
            <w:tcW w:w="940" w:type="dxa"/>
            <w:vAlign w:val="bottom"/>
            <w:tcBorders>
              <w:bottom w:val="single" w:sz="8" w:color="949599"/>
            </w:tcBorders>
          </w:tcPr>
          <w:p>
            <w:pPr>
              <w:spacing w:after="0"/>
              <w:rPr>
                <w:sz w:val="12"/>
                <w:szCs w:val="12"/>
                <w:color w:val="auto"/>
              </w:rPr>
            </w:pPr>
          </w:p>
        </w:tc>
        <w:tc>
          <w:tcPr>
            <w:tcW w:w="1440" w:type="dxa"/>
            <w:vAlign w:val="bottom"/>
            <w:tcBorders>
              <w:bottom w:val="single" w:sz="8" w:color="949599"/>
            </w:tcBorders>
          </w:tcPr>
          <w:p>
            <w:pPr>
              <w:jc w:val="right"/>
              <w:ind w:right="213"/>
              <w:spacing w:after="0" w:line="149" w:lineRule="exact"/>
              <w:rPr>
                <w:sz w:val="20"/>
                <w:szCs w:val="20"/>
                <w:color w:val="auto"/>
              </w:rPr>
            </w:pPr>
            <w:r>
              <w:rPr>
                <w:rFonts w:ascii="Arial" w:cs="Arial" w:eastAsia="Arial" w:hAnsi="Arial"/>
                <w:sz w:val="14"/>
                <w:szCs w:val="14"/>
                <w:b w:val="1"/>
                <w:bCs w:val="1"/>
                <w:color w:val="auto"/>
              </w:rPr>
              <w:t>620,270</w:t>
            </w:r>
          </w:p>
        </w:tc>
        <w:tc>
          <w:tcPr>
            <w:tcW w:w="1120" w:type="dxa"/>
            <w:vAlign w:val="bottom"/>
            <w:tcBorders>
              <w:bottom w:val="single" w:sz="8" w:color="949599"/>
            </w:tcBorders>
          </w:tcPr>
          <w:p>
            <w:pPr>
              <w:jc w:val="right"/>
              <w:ind w:right="53"/>
              <w:spacing w:after="0" w:line="149" w:lineRule="exact"/>
              <w:rPr>
                <w:sz w:val="20"/>
                <w:szCs w:val="20"/>
                <w:color w:val="auto"/>
              </w:rPr>
            </w:pPr>
            <w:r>
              <w:rPr>
                <w:rFonts w:ascii="Arial" w:cs="Arial" w:eastAsia="Arial" w:hAnsi="Arial"/>
                <w:sz w:val="14"/>
                <w:szCs w:val="14"/>
                <w:b w:val="1"/>
                <w:bCs w:val="1"/>
                <w:color w:val="auto"/>
              </w:rPr>
              <w:t>544,776,938</w:t>
            </w:r>
          </w:p>
        </w:tc>
        <w:tc>
          <w:tcPr>
            <w:tcW w:w="0" w:type="dxa"/>
            <w:vAlign w:val="bottom"/>
          </w:tcPr>
          <w:p>
            <w:pPr>
              <w:spacing w:after="0"/>
              <w:rPr>
                <w:sz w:val="1"/>
                <w:szCs w:val="1"/>
                <w:color w:val="auto"/>
              </w:rPr>
            </w:pPr>
          </w:p>
        </w:tc>
      </w:tr>
      <w:tr>
        <w:trPr>
          <w:trHeight w:val="160"/>
        </w:trPr>
        <w:tc>
          <w:tcPr>
            <w:tcW w:w="1640" w:type="dxa"/>
            <w:vAlign w:val="bottom"/>
            <w:tcBorders>
              <w:bottom w:val="single" w:sz="8" w:color="ECECED"/>
            </w:tcBorders>
            <w:shd w:val="clear" w:color="auto" w:fill="ECECED"/>
          </w:tcPr>
          <w:p>
            <w:pPr>
              <w:spacing w:after="0"/>
              <w:rPr>
                <w:sz w:val="13"/>
                <w:szCs w:val="13"/>
                <w:color w:val="auto"/>
              </w:rPr>
            </w:pPr>
          </w:p>
        </w:tc>
        <w:tc>
          <w:tcPr>
            <w:tcW w:w="74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81,278</w:t>
            </w:r>
          </w:p>
        </w:tc>
        <w:tc>
          <w:tcPr>
            <w:tcW w:w="340" w:type="dxa"/>
            <w:vAlign w:val="bottom"/>
            <w:tcBorders>
              <w:bottom w:val="single" w:sz="8" w:color="949599"/>
            </w:tcBorders>
            <w:shd w:val="clear" w:color="auto" w:fill="ECECED"/>
          </w:tcPr>
          <w:p>
            <w:pPr>
              <w:spacing w:after="0"/>
              <w:rPr>
                <w:sz w:val="13"/>
                <w:szCs w:val="13"/>
                <w:color w:val="auto"/>
              </w:rPr>
            </w:pPr>
          </w:p>
        </w:tc>
        <w:tc>
          <w:tcPr>
            <w:tcW w:w="200" w:type="dxa"/>
            <w:vAlign w:val="bottom"/>
            <w:tcBorders>
              <w:bottom w:val="single" w:sz="8" w:color="949599"/>
            </w:tcBorders>
            <w:shd w:val="clear" w:color="auto" w:fill="ECECED"/>
          </w:tcPr>
          <w:p>
            <w:pPr>
              <w:spacing w:after="0"/>
              <w:rPr>
                <w:sz w:val="13"/>
                <w:szCs w:val="13"/>
                <w:color w:val="auto"/>
              </w:rPr>
            </w:pPr>
          </w:p>
        </w:tc>
        <w:tc>
          <w:tcPr>
            <w:tcW w:w="740" w:type="dxa"/>
            <w:vAlign w:val="bottom"/>
            <w:tcBorders>
              <w:bottom w:val="single" w:sz="8" w:color="949599"/>
            </w:tcBorders>
            <w:shd w:val="clear" w:color="auto" w:fill="ECECED"/>
          </w:tcPr>
          <w:p>
            <w:pPr>
              <w:ind w:left="5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shd w:val="clear" w:color="auto" w:fill="ECECED"/>
          </w:tcPr>
          <w:p>
            <w:pPr>
              <w:spacing w:after="0"/>
              <w:rPr>
                <w:sz w:val="13"/>
                <w:szCs w:val="13"/>
                <w:color w:val="auto"/>
              </w:rPr>
            </w:pPr>
          </w:p>
        </w:tc>
        <w:tc>
          <w:tcPr>
            <w:tcW w:w="900" w:type="dxa"/>
            <w:vAlign w:val="bottom"/>
            <w:tcBorders>
              <w:bottom w:val="single" w:sz="8" w:color="949599"/>
            </w:tcBorders>
            <w:shd w:val="clear" w:color="auto" w:fill="ECECED"/>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shd w:val="clear" w:color="auto" w:fill="ECECED"/>
          </w:tcPr>
          <w:p>
            <w:pPr>
              <w:jc w:val="right"/>
              <w:ind w:right="112"/>
              <w:spacing w:after="0"/>
              <w:rPr>
                <w:sz w:val="20"/>
                <w:szCs w:val="20"/>
                <w:color w:val="auto"/>
              </w:rPr>
            </w:pPr>
            <w:r>
              <w:rPr>
                <w:rFonts w:ascii="Arial" w:cs="Arial" w:eastAsia="Arial" w:hAnsi="Arial"/>
                <w:sz w:val="14"/>
                <w:szCs w:val="14"/>
                <w:color w:val="auto"/>
              </w:rPr>
              <w:t>372.46</w:t>
            </w:r>
          </w:p>
        </w:tc>
        <w:tc>
          <w:tcPr>
            <w:tcW w:w="1040" w:type="dxa"/>
            <w:vAlign w:val="bottom"/>
            <w:tcBorders>
              <w:bottom w:val="single" w:sz="8" w:color="949599"/>
            </w:tcBorders>
            <w:gridSpan w:val="2"/>
            <w:shd w:val="clear" w:color="auto" w:fill="ECECED"/>
          </w:tcPr>
          <w:p>
            <w:pPr>
              <w:jc w:val="right"/>
              <w:ind w:right="180"/>
              <w:spacing w:after="0"/>
              <w:rPr>
                <w:sz w:val="20"/>
                <w:szCs w:val="20"/>
                <w:color w:val="auto"/>
              </w:rPr>
            </w:pPr>
            <w:r>
              <w:rPr>
                <w:rFonts w:ascii="Arial" w:cs="Arial" w:eastAsia="Arial" w:hAnsi="Arial"/>
                <w:sz w:val="14"/>
                <w:szCs w:val="14"/>
                <w:color w:val="auto"/>
              </w:rPr>
              <w:t>12/11/2029</w:t>
            </w:r>
          </w:p>
        </w:tc>
        <w:tc>
          <w:tcPr>
            <w:tcW w:w="180" w:type="dxa"/>
            <w:vAlign w:val="bottom"/>
            <w:tcBorders>
              <w:bottom w:val="single" w:sz="8" w:color="949599"/>
            </w:tcBorders>
            <w:shd w:val="clear" w:color="auto" w:fill="ECECED"/>
          </w:tcPr>
          <w:p>
            <w:pPr>
              <w:spacing w:after="0"/>
              <w:rPr>
                <w:sz w:val="13"/>
                <w:szCs w:val="13"/>
                <w:color w:val="auto"/>
              </w:rPr>
            </w:pPr>
          </w:p>
        </w:tc>
        <w:tc>
          <w:tcPr>
            <w:tcW w:w="760" w:type="dxa"/>
            <w:vAlign w:val="bottom"/>
            <w:tcBorders>
              <w:bottom w:val="single" w:sz="8" w:color="949599"/>
            </w:tcBorders>
            <w:shd w:val="clear" w:color="auto" w:fill="ECECED"/>
          </w:tcPr>
          <w:p>
            <w:pPr>
              <w:jc w:val="right"/>
              <w:ind w:right="2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shd w:val="clear" w:color="auto" w:fill="ECECED"/>
          </w:tcPr>
          <w:p>
            <w:pPr>
              <w:jc w:val="right"/>
              <w:ind w:right="13"/>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shd w:val="clear" w:color="auto" w:fill="ECECED"/>
          </w:tcPr>
          <w:p>
            <w:pPr>
              <w:jc w:val="right"/>
              <w:ind w:right="213"/>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shd w:val="clear" w:color="auto" w:fill="ECECED"/>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ECECED"/>
            </w:tcBorders>
            <w:shd w:val="clear" w:color="auto" w:fill="ECECED"/>
          </w:tcPr>
          <w:p>
            <w:pPr>
              <w:spacing w:after="0"/>
              <w:rPr>
                <w:sz w:val="12"/>
                <w:szCs w:val="12"/>
                <w:color w:val="auto"/>
              </w:rPr>
            </w:pPr>
          </w:p>
        </w:tc>
        <w:tc>
          <w:tcPr>
            <w:tcW w:w="74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129,013</w:t>
            </w:r>
          </w:p>
        </w:tc>
        <w:tc>
          <w:tcPr>
            <w:tcW w:w="340" w:type="dxa"/>
            <w:vAlign w:val="bottom"/>
            <w:tcBorders>
              <w:bottom w:val="single" w:sz="8" w:color="949599"/>
            </w:tcBorders>
            <w:shd w:val="clear" w:color="auto" w:fill="ECECED"/>
          </w:tcPr>
          <w:p>
            <w:pPr>
              <w:spacing w:after="0"/>
              <w:rPr>
                <w:sz w:val="12"/>
                <w:szCs w:val="12"/>
                <w:color w:val="auto"/>
              </w:rPr>
            </w:pPr>
          </w:p>
        </w:tc>
        <w:tc>
          <w:tcPr>
            <w:tcW w:w="200" w:type="dxa"/>
            <w:vAlign w:val="bottom"/>
            <w:tcBorders>
              <w:bottom w:val="single" w:sz="8" w:color="949599"/>
            </w:tcBorders>
            <w:shd w:val="clear" w:color="auto" w:fill="ECECED"/>
          </w:tcPr>
          <w:p>
            <w:pPr>
              <w:spacing w:after="0"/>
              <w:rPr>
                <w:sz w:val="12"/>
                <w:szCs w:val="12"/>
                <w:color w:val="auto"/>
              </w:rPr>
            </w:pPr>
          </w:p>
        </w:tc>
        <w:tc>
          <w:tcPr>
            <w:tcW w:w="740" w:type="dxa"/>
            <w:vAlign w:val="bottom"/>
            <w:tcBorders>
              <w:bottom w:val="single" w:sz="8" w:color="949599"/>
            </w:tcBorders>
            <w:shd w:val="clear" w:color="auto" w:fill="ECECED"/>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shd w:val="clear" w:color="auto" w:fill="ECECED"/>
          </w:tcPr>
          <w:p>
            <w:pPr>
              <w:spacing w:after="0"/>
              <w:rPr>
                <w:sz w:val="12"/>
                <w:szCs w:val="12"/>
                <w:color w:val="auto"/>
              </w:rPr>
            </w:pPr>
          </w:p>
        </w:tc>
        <w:tc>
          <w:tcPr>
            <w:tcW w:w="900" w:type="dxa"/>
            <w:vAlign w:val="bottom"/>
            <w:tcBorders>
              <w:bottom w:val="single" w:sz="8" w:color="949599"/>
            </w:tcBorders>
            <w:shd w:val="clear" w:color="auto" w:fill="ECECED"/>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shd w:val="clear" w:color="auto" w:fill="ECECED"/>
          </w:tcPr>
          <w:p>
            <w:pPr>
              <w:jc w:val="right"/>
              <w:ind w:right="112"/>
              <w:spacing w:after="0" w:line="149" w:lineRule="exact"/>
              <w:rPr>
                <w:sz w:val="20"/>
                <w:szCs w:val="20"/>
                <w:color w:val="auto"/>
              </w:rPr>
            </w:pPr>
            <w:r>
              <w:rPr>
                <w:rFonts w:ascii="Arial" w:cs="Arial" w:eastAsia="Arial" w:hAnsi="Arial"/>
                <w:sz w:val="14"/>
                <w:szCs w:val="14"/>
                <w:color w:val="auto"/>
              </w:rPr>
              <w:t>381.40</w:t>
            </w:r>
          </w:p>
        </w:tc>
        <w:tc>
          <w:tcPr>
            <w:tcW w:w="1040" w:type="dxa"/>
            <w:vAlign w:val="bottom"/>
            <w:tcBorders>
              <w:bottom w:val="single" w:sz="8" w:color="949599"/>
            </w:tcBorders>
            <w:gridSpan w:val="2"/>
            <w:shd w:val="clear" w:color="auto" w:fill="ECECED"/>
          </w:tcPr>
          <w:p>
            <w:pPr>
              <w:jc w:val="right"/>
              <w:ind w:right="180"/>
              <w:spacing w:after="0" w:line="149" w:lineRule="exact"/>
              <w:rPr>
                <w:sz w:val="20"/>
                <w:szCs w:val="20"/>
                <w:color w:val="auto"/>
              </w:rPr>
            </w:pPr>
            <w:r>
              <w:rPr>
                <w:rFonts w:ascii="Arial" w:cs="Arial" w:eastAsia="Arial" w:hAnsi="Arial"/>
                <w:sz w:val="14"/>
                <w:szCs w:val="14"/>
                <w:color w:val="auto"/>
              </w:rPr>
              <w:t>12/12/2028</w:t>
            </w:r>
          </w:p>
        </w:tc>
        <w:tc>
          <w:tcPr>
            <w:tcW w:w="180" w:type="dxa"/>
            <w:vAlign w:val="bottom"/>
            <w:tcBorders>
              <w:bottom w:val="single" w:sz="8" w:color="949599"/>
            </w:tcBorders>
            <w:shd w:val="clear" w:color="auto" w:fill="ECECED"/>
          </w:tcPr>
          <w:p>
            <w:pPr>
              <w:spacing w:after="0"/>
              <w:rPr>
                <w:sz w:val="12"/>
                <w:szCs w:val="12"/>
                <w:color w:val="auto"/>
              </w:rPr>
            </w:pPr>
          </w:p>
        </w:tc>
        <w:tc>
          <w:tcPr>
            <w:tcW w:w="760" w:type="dxa"/>
            <w:vAlign w:val="bottom"/>
            <w:tcBorders>
              <w:bottom w:val="single" w:sz="8" w:color="949599"/>
            </w:tcBorders>
            <w:shd w:val="clear" w:color="auto" w:fill="ECECED"/>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shd w:val="clear" w:color="auto" w:fill="ECECED"/>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shd w:val="clear" w:color="auto" w:fill="ECECED"/>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shd w:val="clear" w:color="auto" w:fill="ECECED"/>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ECECED"/>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215AA8"/>
              </w:rPr>
              <w:t>George D.</w:t>
            </w:r>
          </w:p>
        </w:tc>
        <w:tc>
          <w:tcPr>
            <w:tcW w:w="74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139,474</w:t>
            </w:r>
          </w:p>
        </w:tc>
        <w:tc>
          <w:tcPr>
            <w:tcW w:w="340" w:type="dxa"/>
            <w:vAlign w:val="bottom"/>
            <w:tcBorders>
              <w:bottom w:val="single" w:sz="8" w:color="949599"/>
            </w:tcBorders>
            <w:shd w:val="clear" w:color="auto" w:fill="ECECED"/>
          </w:tcPr>
          <w:p>
            <w:pPr>
              <w:spacing w:after="0"/>
              <w:rPr>
                <w:sz w:val="12"/>
                <w:szCs w:val="12"/>
                <w:color w:val="auto"/>
              </w:rPr>
            </w:pPr>
          </w:p>
        </w:tc>
        <w:tc>
          <w:tcPr>
            <w:tcW w:w="200" w:type="dxa"/>
            <w:vAlign w:val="bottom"/>
            <w:tcBorders>
              <w:bottom w:val="single" w:sz="8" w:color="949599"/>
            </w:tcBorders>
            <w:shd w:val="clear" w:color="auto" w:fill="ECECED"/>
          </w:tcPr>
          <w:p>
            <w:pPr>
              <w:spacing w:after="0"/>
              <w:rPr>
                <w:sz w:val="12"/>
                <w:szCs w:val="12"/>
                <w:color w:val="auto"/>
              </w:rPr>
            </w:pPr>
          </w:p>
        </w:tc>
        <w:tc>
          <w:tcPr>
            <w:tcW w:w="740" w:type="dxa"/>
            <w:vAlign w:val="bottom"/>
            <w:tcBorders>
              <w:bottom w:val="single" w:sz="8" w:color="949599"/>
            </w:tcBorders>
            <w:shd w:val="clear" w:color="auto" w:fill="ECECED"/>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shd w:val="clear" w:color="auto" w:fill="ECECED"/>
          </w:tcPr>
          <w:p>
            <w:pPr>
              <w:spacing w:after="0"/>
              <w:rPr>
                <w:sz w:val="12"/>
                <w:szCs w:val="12"/>
                <w:color w:val="auto"/>
              </w:rPr>
            </w:pPr>
          </w:p>
        </w:tc>
        <w:tc>
          <w:tcPr>
            <w:tcW w:w="900" w:type="dxa"/>
            <w:vAlign w:val="bottom"/>
            <w:tcBorders>
              <w:bottom w:val="single" w:sz="8" w:color="949599"/>
            </w:tcBorders>
            <w:shd w:val="clear" w:color="auto" w:fill="ECECED"/>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shd w:val="clear" w:color="auto" w:fill="ECECED"/>
          </w:tcPr>
          <w:p>
            <w:pPr>
              <w:jc w:val="right"/>
              <w:ind w:right="112"/>
              <w:spacing w:after="0" w:line="149" w:lineRule="exact"/>
              <w:rPr>
                <w:sz w:val="20"/>
                <w:szCs w:val="20"/>
                <w:color w:val="auto"/>
              </w:rPr>
            </w:pPr>
            <w:r>
              <w:rPr>
                <w:rFonts w:ascii="Arial" w:cs="Arial" w:eastAsia="Arial" w:hAnsi="Arial"/>
                <w:sz w:val="14"/>
                <w:szCs w:val="14"/>
                <w:color w:val="auto"/>
              </w:rPr>
              <w:t>378.98</w:t>
            </w:r>
          </w:p>
        </w:tc>
        <w:tc>
          <w:tcPr>
            <w:tcW w:w="1040" w:type="dxa"/>
            <w:vAlign w:val="bottom"/>
            <w:tcBorders>
              <w:bottom w:val="single" w:sz="8" w:color="949599"/>
            </w:tcBorders>
            <w:gridSpan w:val="2"/>
            <w:shd w:val="clear" w:color="auto" w:fill="ECECED"/>
          </w:tcPr>
          <w:p>
            <w:pPr>
              <w:jc w:val="right"/>
              <w:ind w:right="180"/>
              <w:spacing w:after="0" w:line="149" w:lineRule="exact"/>
              <w:rPr>
                <w:sz w:val="20"/>
                <w:szCs w:val="20"/>
                <w:color w:val="auto"/>
              </w:rPr>
            </w:pPr>
            <w:r>
              <w:rPr>
                <w:rFonts w:ascii="Arial" w:cs="Arial" w:eastAsia="Arial" w:hAnsi="Arial"/>
                <w:sz w:val="14"/>
                <w:szCs w:val="14"/>
                <w:color w:val="auto"/>
              </w:rPr>
              <w:t>12/12/2027</w:t>
            </w:r>
          </w:p>
        </w:tc>
        <w:tc>
          <w:tcPr>
            <w:tcW w:w="180" w:type="dxa"/>
            <w:vAlign w:val="bottom"/>
            <w:tcBorders>
              <w:bottom w:val="single" w:sz="8" w:color="949599"/>
            </w:tcBorders>
            <w:shd w:val="clear" w:color="auto" w:fill="ECECED"/>
          </w:tcPr>
          <w:p>
            <w:pPr>
              <w:spacing w:after="0"/>
              <w:rPr>
                <w:sz w:val="12"/>
                <w:szCs w:val="12"/>
                <w:color w:val="auto"/>
              </w:rPr>
            </w:pPr>
          </w:p>
        </w:tc>
        <w:tc>
          <w:tcPr>
            <w:tcW w:w="760" w:type="dxa"/>
            <w:vAlign w:val="bottom"/>
            <w:tcBorders>
              <w:bottom w:val="single" w:sz="8" w:color="949599"/>
            </w:tcBorders>
            <w:shd w:val="clear" w:color="auto" w:fill="ECECED"/>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shd w:val="clear" w:color="auto" w:fill="ECECED"/>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shd w:val="clear" w:color="auto" w:fill="ECECED"/>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shd w:val="clear" w:color="auto" w:fill="ECECED"/>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ECECED"/>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215AA8"/>
              </w:rPr>
              <w:t>Yancopoulos,</w:t>
            </w:r>
          </w:p>
        </w:tc>
        <w:tc>
          <w:tcPr>
            <w:tcW w:w="74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146,815</w:t>
            </w:r>
          </w:p>
        </w:tc>
        <w:tc>
          <w:tcPr>
            <w:tcW w:w="340" w:type="dxa"/>
            <w:vAlign w:val="bottom"/>
            <w:tcBorders>
              <w:bottom w:val="single" w:sz="8" w:color="949599"/>
            </w:tcBorders>
            <w:shd w:val="clear" w:color="auto" w:fill="ECECED"/>
          </w:tcPr>
          <w:p>
            <w:pPr>
              <w:spacing w:after="0"/>
              <w:rPr>
                <w:sz w:val="12"/>
                <w:szCs w:val="12"/>
                <w:color w:val="auto"/>
              </w:rPr>
            </w:pPr>
          </w:p>
        </w:tc>
        <w:tc>
          <w:tcPr>
            <w:tcW w:w="200" w:type="dxa"/>
            <w:vAlign w:val="bottom"/>
            <w:tcBorders>
              <w:bottom w:val="single" w:sz="8" w:color="949599"/>
            </w:tcBorders>
            <w:shd w:val="clear" w:color="auto" w:fill="ECECED"/>
          </w:tcPr>
          <w:p>
            <w:pPr>
              <w:spacing w:after="0"/>
              <w:rPr>
                <w:sz w:val="12"/>
                <w:szCs w:val="12"/>
                <w:color w:val="auto"/>
              </w:rPr>
            </w:pPr>
          </w:p>
        </w:tc>
        <w:tc>
          <w:tcPr>
            <w:tcW w:w="740" w:type="dxa"/>
            <w:vAlign w:val="bottom"/>
            <w:tcBorders>
              <w:bottom w:val="single" w:sz="8" w:color="949599"/>
            </w:tcBorders>
            <w:shd w:val="clear" w:color="auto" w:fill="ECECED"/>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shd w:val="clear" w:color="auto" w:fill="ECECED"/>
          </w:tcPr>
          <w:p>
            <w:pPr>
              <w:spacing w:after="0"/>
              <w:rPr>
                <w:sz w:val="12"/>
                <w:szCs w:val="12"/>
                <w:color w:val="auto"/>
              </w:rPr>
            </w:pPr>
          </w:p>
        </w:tc>
        <w:tc>
          <w:tcPr>
            <w:tcW w:w="900" w:type="dxa"/>
            <w:vAlign w:val="bottom"/>
            <w:tcBorders>
              <w:bottom w:val="single" w:sz="8" w:color="949599"/>
            </w:tcBorders>
            <w:shd w:val="clear" w:color="auto" w:fill="ECECED"/>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shd w:val="clear" w:color="auto" w:fill="ECECED"/>
          </w:tcPr>
          <w:p>
            <w:pPr>
              <w:jc w:val="right"/>
              <w:ind w:right="112"/>
              <w:spacing w:after="0" w:line="149" w:lineRule="exact"/>
              <w:rPr>
                <w:sz w:val="20"/>
                <w:szCs w:val="20"/>
                <w:color w:val="auto"/>
              </w:rPr>
            </w:pPr>
            <w:r>
              <w:rPr>
                <w:rFonts w:ascii="Arial" w:cs="Arial" w:eastAsia="Arial" w:hAnsi="Arial"/>
                <w:sz w:val="14"/>
                <w:szCs w:val="14"/>
                <w:color w:val="auto"/>
              </w:rPr>
              <w:t>381.92</w:t>
            </w:r>
          </w:p>
        </w:tc>
        <w:tc>
          <w:tcPr>
            <w:tcW w:w="1040" w:type="dxa"/>
            <w:vAlign w:val="bottom"/>
            <w:tcBorders>
              <w:bottom w:val="single" w:sz="8" w:color="949599"/>
            </w:tcBorders>
            <w:gridSpan w:val="2"/>
            <w:shd w:val="clear" w:color="auto" w:fill="ECECED"/>
          </w:tcPr>
          <w:p>
            <w:pPr>
              <w:jc w:val="right"/>
              <w:ind w:right="180"/>
              <w:spacing w:after="0" w:line="149" w:lineRule="exact"/>
              <w:rPr>
                <w:sz w:val="20"/>
                <w:szCs w:val="20"/>
                <w:color w:val="auto"/>
              </w:rPr>
            </w:pPr>
            <w:r>
              <w:rPr>
                <w:rFonts w:ascii="Arial" w:cs="Arial" w:eastAsia="Arial" w:hAnsi="Arial"/>
                <w:sz w:val="14"/>
                <w:szCs w:val="14"/>
                <w:color w:val="auto"/>
              </w:rPr>
              <w:t>12/16/2026</w:t>
            </w:r>
          </w:p>
        </w:tc>
        <w:tc>
          <w:tcPr>
            <w:tcW w:w="180" w:type="dxa"/>
            <w:vAlign w:val="bottom"/>
            <w:tcBorders>
              <w:bottom w:val="single" w:sz="8" w:color="949599"/>
            </w:tcBorders>
            <w:shd w:val="clear" w:color="auto" w:fill="ECECED"/>
          </w:tcPr>
          <w:p>
            <w:pPr>
              <w:spacing w:after="0"/>
              <w:rPr>
                <w:sz w:val="12"/>
                <w:szCs w:val="12"/>
                <w:color w:val="auto"/>
              </w:rPr>
            </w:pPr>
          </w:p>
        </w:tc>
        <w:tc>
          <w:tcPr>
            <w:tcW w:w="760" w:type="dxa"/>
            <w:vAlign w:val="bottom"/>
            <w:tcBorders>
              <w:bottom w:val="single" w:sz="8" w:color="949599"/>
            </w:tcBorders>
            <w:shd w:val="clear" w:color="auto" w:fill="ECECED"/>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shd w:val="clear" w:color="auto" w:fill="ECECED"/>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shd w:val="clear" w:color="auto" w:fill="ECECED"/>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shd w:val="clear" w:color="auto" w:fill="ECECED"/>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ECECED"/>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215AA8"/>
              </w:rPr>
              <w:t>M.D., Ph.D.</w:t>
            </w:r>
          </w:p>
        </w:tc>
        <w:tc>
          <w:tcPr>
            <w:tcW w:w="74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146,815</w:t>
            </w:r>
          </w:p>
        </w:tc>
        <w:tc>
          <w:tcPr>
            <w:tcW w:w="340" w:type="dxa"/>
            <w:vAlign w:val="bottom"/>
            <w:tcBorders>
              <w:bottom w:val="single" w:sz="8" w:color="949599"/>
            </w:tcBorders>
            <w:shd w:val="clear" w:color="auto" w:fill="ECECED"/>
          </w:tcPr>
          <w:p>
            <w:pPr>
              <w:spacing w:after="0"/>
              <w:rPr>
                <w:sz w:val="12"/>
                <w:szCs w:val="12"/>
                <w:color w:val="auto"/>
              </w:rPr>
            </w:pPr>
          </w:p>
        </w:tc>
        <w:tc>
          <w:tcPr>
            <w:tcW w:w="200" w:type="dxa"/>
            <w:vAlign w:val="bottom"/>
            <w:tcBorders>
              <w:bottom w:val="single" w:sz="8" w:color="949599"/>
            </w:tcBorders>
            <w:shd w:val="clear" w:color="auto" w:fill="ECECED"/>
          </w:tcPr>
          <w:p>
            <w:pPr>
              <w:spacing w:after="0"/>
              <w:rPr>
                <w:sz w:val="12"/>
                <w:szCs w:val="12"/>
                <w:color w:val="auto"/>
              </w:rPr>
            </w:pPr>
          </w:p>
        </w:tc>
        <w:tc>
          <w:tcPr>
            <w:tcW w:w="740" w:type="dxa"/>
            <w:vAlign w:val="bottom"/>
            <w:tcBorders>
              <w:bottom w:val="single" w:sz="8" w:color="949599"/>
            </w:tcBorders>
            <w:shd w:val="clear" w:color="auto" w:fill="ECECED"/>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shd w:val="clear" w:color="auto" w:fill="ECECED"/>
          </w:tcPr>
          <w:p>
            <w:pPr>
              <w:spacing w:after="0"/>
              <w:rPr>
                <w:sz w:val="12"/>
                <w:szCs w:val="12"/>
                <w:color w:val="auto"/>
              </w:rPr>
            </w:pPr>
          </w:p>
        </w:tc>
        <w:tc>
          <w:tcPr>
            <w:tcW w:w="900" w:type="dxa"/>
            <w:vAlign w:val="bottom"/>
            <w:tcBorders>
              <w:bottom w:val="single" w:sz="8" w:color="949599"/>
            </w:tcBorders>
            <w:shd w:val="clear" w:color="auto" w:fill="ECECED"/>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shd w:val="clear" w:color="auto" w:fill="ECECED"/>
          </w:tcPr>
          <w:p>
            <w:pPr>
              <w:jc w:val="right"/>
              <w:ind w:right="112"/>
              <w:spacing w:after="0" w:line="149" w:lineRule="exact"/>
              <w:rPr>
                <w:sz w:val="20"/>
                <w:szCs w:val="20"/>
                <w:color w:val="auto"/>
              </w:rPr>
            </w:pPr>
            <w:r>
              <w:rPr>
                <w:rFonts w:ascii="Arial" w:cs="Arial" w:eastAsia="Arial" w:hAnsi="Arial"/>
                <w:sz w:val="14"/>
                <w:szCs w:val="14"/>
                <w:color w:val="auto"/>
              </w:rPr>
              <w:t>555.67</w:t>
            </w:r>
          </w:p>
        </w:tc>
        <w:tc>
          <w:tcPr>
            <w:tcW w:w="1040" w:type="dxa"/>
            <w:vAlign w:val="bottom"/>
            <w:tcBorders>
              <w:bottom w:val="single" w:sz="8" w:color="949599"/>
            </w:tcBorders>
            <w:gridSpan w:val="2"/>
            <w:shd w:val="clear" w:color="auto" w:fill="ECECED"/>
          </w:tcPr>
          <w:p>
            <w:pPr>
              <w:jc w:val="right"/>
              <w:ind w:right="180"/>
              <w:spacing w:after="0" w:line="149" w:lineRule="exact"/>
              <w:rPr>
                <w:sz w:val="20"/>
                <w:szCs w:val="20"/>
                <w:color w:val="auto"/>
              </w:rPr>
            </w:pPr>
            <w:r>
              <w:rPr>
                <w:rFonts w:ascii="Arial" w:cs="Arial" w:eastAsia="Arial" w:hAnsi="Arial"/>
                <w:sz w:val="14"/>
                <w:szCs w:val="14"/>
                <w:color w:val="auto"/>
              </w:rPr>
              <w:t>12/16/2025</w:t>
            </w:r>
          </w:p>
        </w:tc>
        <w:tc>
          <w:tcPr>
            <w:tcW w:w="180" w:type="dxa"/>
            <w:vAlign w:val="bottom"/>
            <w:tcBorders>
              <w:bottom w:val="single" w:sz="8" w:color="949599"/>
            </w:tcBorders>
            <w:shd w:val="clear" w:color="auto" w:fill="ECECED"/>
          </w:tcPr>
          <w:p>
            <w:pPr>
              <w:spacing w:after="0"/>
              <w:rPr>
                <w:sz w:val="12"/>
                <w:szCs w:val="12"/>
                <w:color w:val="auto"/>
              </w:rPr>
            </w:pPr>
          </w:p>
        </w:tc>
        <w:tc>
          <w:tcPr>
            <w:tcW w:w="760" w:type="dxa"/>
            <w:vAlign w:val="bottom"/>
            <w:tcBorders>
              <w:bottom w:val="single" w:sz="8" w:color="949599"/>
            </w:tcBorders>
            <w:shd w:val="clear" w:color="auto" w:fill="ECECED"/>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shd w:val="clear" w:color="auto" w:fill="ECECED"/>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shd w:val="clear" w:color="auto" w:fill="ECECED"/>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shd w:val="clear" w:color="auto" w:fill="ECECED"/>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ECECED"/>
            </w:tcBorders>
            <w:shd w:val="clear" w:color="auto" w:fill="ECECED"/>
          </w:tcPr>
          <w:p>
            <w:pPr>
              <w:spacing w:after="0"/>
              <w:rPr>
                <w:sz w:val="12"/>
                <w:szCs w:val="12"/>
                <w:color w:val="auto"/>
              </w:rPr>
            </w:pPr>
          </w:p>
        </w:tc>
        <w:tc>
          <w:tcPr>
            <w:tcW w:w="74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172,723</w:t>
            </w:r>
          </w:p>
        </w:tc>
        <w:tc>
          <w:tcPr>
            <w:tcW w:w="340" w:type="dxa"/>
            <w:vAlign w:val="bottom"/>
            <w:tcBorders>
              <w:bottom w:val="single" w:sz="8" w:color="949599"/>
            </w:tcBorders>
            <w:shd w:val="clear" w:color="auto" w:fill="ECECED"/>
          </w:tcPr>
          <w:p>
            <w:pPr>
              <w:spacing w:after="0"/>
              <w:rPr>
                <w:sz w:val="12"/>
                <w:szCs w:val="12"/>
                <w:color w:val="auto"/>
              </w:rPr>
            </w:pPr>
          </w:p>
        </w:tc>
        <w:tc>
          <w:tcPr>
            <w:tcW w:w="200" w:type="dxa"/>
            <w:vAlign w:val="bottom"/>
            <w:tcBorders>
              <w:bottom w:val="single" w:sz="8" w:color="949599"/>
            </w:tcBorders>
            <w:shd w:val="clear" w:color="auto" w:fill="ECECED"/>
          </w:tcPr>
          <w:p>
            <w:pPr>
              <w:spacing w:after="0"/>
              <w:rPr>
                <w:sz w:val="12"/>
                <w:szCs w:val="12"/>
                <w:color w:val="auto"/>
              </w:rPr>
            </w:pPr>
          </w:p>
        </w:tc>
        <w:tc>
          <w:tcPr>
            <w:tcW w:w="740" w:type="dxa"/>
            <w:vAlign w:val="bottom"/>
            <w:tcBorders>
              <w:bottom w:val="single" w:sz="8" w:color="949599"/>
            </w:tcBorders>
            <w:shd w:val="clear" w:color="auto" w:fill="ECECED"/>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shd w:val="clear" w:color="auto" w:fill="ECECED"/>
          </w:tcPr>
          <w:p>
            <w:pPr>
              <w:spacing w:after="0"/>
              <w:rPr>
                <w:sz w:val="12"/>
                <w:szCs w:val="12"/>
                <w:color w:val="auto"/>
              </w:rPr>
            </w:pPr>
          </w:p>
        </w:tc>
        <w:tc>
          <w:tcPr>
            <w:tcW w:w="900" w:type="dxa"/>
            <w:vAlign w:val="bottom"/>
            <w:tcBorders>
              <w:bottom w:val="single" w:sz="8" w:color="949599"/>
            </w:tcBorders>
            <w:shd w:val="clear" w:color="auto" w:fill="ECECED"/>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shd w:val="clear" w:color="auto" w:fill="ECECED"/>
          </w:tcPr>
          <w:p>
            <w:pPr>
              <w:jc w:val="right"/>
              <w:ind w:right="112"/>
              <w:spacing w:after="0" w:line="149" w:lineRule="exact"/>
              <w:rPr>
                <w:sz w:val="20"/>
                <w:szCs w:val="20"/>
                <w:color w:val="auto"/>
              </w:rPr>
            </w:pPr>
            <w:r>
              <w:rPr>
                <w:rFonts w:ascii="Arial" w:cs="Arial" w:eastAsia="Arial" w:hAnsi="Arial"/>
                <w:sz w:val="14"/>
                <w:szCs w:val="14"/>
                <w:color w:val="auto"/>
              </w:rPr>
              <w:t>399.66</w:t>
            </w:r>
          </w:p>
        </w:tc>
        <w:tc>
          <w:tcPr>
            <w:tcW w:w="1040" w:type="dxa"/>
            <w:vAlign w:val="bottom"/>
            <w:tcBorders>
              <w:bottom w:val="single" w:sz="8" w:color="949599"/>
            </w:tcBorders>
            <w:gridSpan w:val="2"/>
            <w:shd w:val="clear" w:color="auto" w:fill="ECECED"/>
          </w:tcPr>
          <w:p>
            <w:pPr>
              <w:jc w:val="right"/>
              <w:ind w:right="180"/>
              <w:spacing w:after="0" w:line="149" w:lineRule="exact"/>
              <w:rPr>
                <w:sz w:val="20"/>
                <w:szCs w:val="20"/>
                <w:color w:val="auto"/>
              </w:rPr>
            </w:pPr>
            <w:r>
              <w:rPr>
                <w:rFonts w:ascii="Arial" w:cs="Arial" w:eastAsia="Arial" w:hAnsi="Arial"/>
                <w:sz w:val="14"/>
                <w:szCs w:val="14"/>
                <w:color w:val="auto"/>
              </w:rPr>
              <w:t>12/16/2024</w:t>
            </w:r>
          </w:p>
        </w:tc>
        <w:tc>
          <w:tcPr>
            <w:tcW w:w="180" w:type="dxa"/>
            <w:vAlign w:val="bottom"/>
            <w:tcBorders>
              <w:bottom w:val="single" w:sz="8" w:color="949599"/>
            </w:tcBorders>
            <w:shd w:val="clear" w:color="auto" w:fill="ECECED"/>
          </w:tcPr>
          <w:p>
            <w:pPr>
              <w:spacing w:after="0"/>
              <w:rPr>
                <w:sz w:val="12"/>
                <w:szCs w:val="12"/>
                <w:color w:val="auto"/>
              </w:rPr>
            </w:pPr>
          </w:p>
        </w:tc>
        <w:tc>
          <w:tcPr>
            <w:tcW w:w="760" w:type="dxa"/>
            <w:vAlign w:val="bottom"/>
            <w:tcBorders>
              <w:bottom w:val="single" w:sz="8" w:color="949599"/>
            </w:tcBorders>
            <w:shd w:val="clear" w:color="auto" w:fill="ECECED"/>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shd w:val="clear" w:color="auto" w:fill="ECECED"/>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shd w:val="clear" w:color="auto" w:fill="ECECED"/>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shd w:val="clear" w:color="auto" w:fill="ECECED"/>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tcBorders>
              <w:bottom w:val="single" w:sz="8" w:color="ECECED"/>
            </w:tcBorders>
            <w:vMerge w:val="restart"/>
            <w:shd w:val="clear" w:color="auto" w:fill="ECECED"/>
          </w:tcPr>
          <w:p>
            <w:pPr>
              <w:ind w:left="860"/>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949599"/>
            </w:tcBorders>
            <w:shd w:val="clear" w:color="auto" w:fill="ECECED"/>
          </w:tcPr>
          <w:p>
            <w:pPr>
              <w:spacing w:after="0"/>
              <w:rPr>
                <w:sz w:val="15"/>
                <w:szCs w:val="15"/>
                <w:color w:val="auto"/>
              </w:rPr>
            </w:pPr>
          </w:p>
        </w:tc>
        <w:tc>
          <w:tcPr>
            <w:tcW w:w="200" w:type="dxa"/>
            <w:vAlign w:val="bottom"/>
            <w:tcBorders>
              <w:bottom w:val="single" w:sz="8" w:color="949599"/>
            </w:tcBorders>
            <w:shd w:val="clear" w:color="auto" w:fill="ECECED"/>
          </w:tcPr>
          <w:p>
            <w:pPr>
              <w:spacing w:after="0"/>
              <w:rPr>
                <w:sz w:val="15"/>
                <w:szCs w:val="15"/>
                <w:color w:val="auto"/>
              </w:rPr>
            </w:pPr>
          </w:p>
        </w:tc>
        <w:tc>
          <w:tcPr>
            <w:tcW w:w="740" w:type="dxa"/>
            <w:vAlign w:val="bottom"/>
            <w:tcBorders>
              <w:bottom w:val="single" w:sz="8" w:color="949599"/>
            </w:tcBorders>
            <w:shd w:val="clear" w:color="auto" w:fill="ECECED"/>
          </w:tcPr>
          <w:p>
            <w:pPr>
              <w:ind w:left="5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shd w:val="clear" w:color="auto" w:fill="ECECED"/>
          </w:tcPr>
          <w:p>
            <w:pPr>
              <w:spacing w:after="0"/>
              <w:rPr>
                <w:sz w:val="15"/>
                <w:szCs w:val="15"/>
                <w:color w:val="auto"/>
              </w:rPr>
            </w:pPr>
          </w:p>
        </w:tc>
        <w:tc>
          <w:tcPr>
            <w:tcW w:w="900" w:type="dxa"/>
            <w:vAlign w:val="bottom"/>
            <w:tcBorders>
              <w:bottom w:val="single" w:sz="8" w:color="949599"/>
            </w:tcBorders>
            <w:shd w:val="clear" w:color="auto" w:fill="ECECED"/>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shd w:val="clear" w:color="auto" w:fill="ECECED"/>
          </w:tcPr>
          <w:p>
            <w:pPr>
              <w:jc w:val="right"/>
              <w:ind w:right="11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49599"/>
            </w:tcBorders>
            <w:gridSpan w:val="2"/>
            <w:shd w:val="clear" w:color="auto" w:fill="ECECED"/>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949599"/>
            </w:tcBorders>
            <w:shd w:val="clear" w:color="auto" w:fill="ECECED"/>
          </w:tcPr>
          <w:p>
            <w:pPr>
              <w:spacing w:after="0"/>
              <w:rPr>
                <w:sz w:val="15"/>
                <w:szCs w:val="15"/>
                <w:color w:val="auto"/>
              </w:rPr>
            </w:pPr>
          </w:p>
        </w:tc>
        <w:tc>
          <w:tcPr>
            <w:tcW w:w="760" w:type="dxa"/>
            <w:vAlign w:val="bottom"/>
            <w:tcBorders>
              <w:bottom w:val="single" w:sz="8" w:color="949599"/>
            </w:tcBorders>
            <w:shd w:val="clear" w:color="auto" w:fill="ECECED"/>
          </w:tcPr>
          <w:p>
            <w:pPr>
              <w:jc w:val="right"/>
              <w:ind w:right="2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shd w:val="clear" w:color="auto" w:fill="ECECED"/>
          </w:tcPr>
          <w:p>
            <w:pPr>
              <w:jc w:val="right"/>
              <w:ind w:right="13"/>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shd w:val="clear" w:color="auto" w:fill="ECECED"/>
          </w:tcPr>
          <w:p>
            <w:pPr>
              <w:jc w:val="right"/>
              <w:ind w:right="153"/>
              <w:spacing w:after="0" w:line="183" w:lineRule="exact"/>
              <w:rPr>
                <w:sz w:val="20"/>
                <w:szCs w:val="20"/>
                <w:color w:val="auto"/>
              </w:rPr>
            </w:pPr>
            <w:r>
              <w:rPr>
                <w:rFonts w:ascii="Arial" w:cs="Arial" w:eastAsia="Arial" w:hAnsi="Arial"/>
                <w:sz w:val="13"/>
                <w:szCs w:val="13"/>
                <w:color w:val="auto"/>
              </w:rPr>
              <w:t>620,270</w:t>
            </w:r>
            <w:r>
              <w:rPr>
                <w:rFonts w:ascii="Arial" w:cs="Arial" w:eastAsia="Arial" w:hAnsi="Arial"/>
                <w:sz w:val="21"/>
                <w:szCs w:val="21"/>
                <w:color w:val="auto"/>
                <w:vertAlign w:val="superscript"/>
              </w:rPr>
              <w:t>1</w:t>
            </w:r>
          </w:p>
        </w:tc>
        <w:tc>
          <w:tcPr>
            <w:tcW w:w="1120" w:type="dxa"/>
            <w:vAlign w:val="bottom"/>
            <w:tcBorders>
              <w:bottom w:val="single" w:sz="8" w:color="949599"/>
            </w:tcBorders>
            <w:shd w:val="clear" w:color="auto" w:fill="ECECED"/>
          </w:tcPr>
          <w:p>
            <w:pPr>
              <w:jc w:val="right"/>
              <w:spacing w:after="0" w:line="183" w:lineRule="exact"/>
              <w:rPr>
                <w:sz w:val="20"/>
                <w:szCs w:val="20"/>
                <w:color w:val="auto"/>
              </w:rPr>
            </w:pPr>
            <w:r>
              <w:rPr>
                <w:rFonts w:ascii="Arial" w:cs="Arial" w:eastAsia="Arial" w:hAnsi="Arial"/>
                <w:sz w:val="13"/>
                <w:szCs w:val="13"/>
                <w:color w:val="auto"/>
              </w:rPr>
              <w:t>544,776,938</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949599"/>
            </w:tcBorders>
            <w:vMerge w:val="continue"/>
            <w:shd w:val="clear" w:color="auto" w:fill="ECECED"/>
          </w:tcPr>
          <w:p>
            <w:pPr>
              <w:spacing w:after="0"/>
              <w:rPr>
                <w:sz w:val="12"/>
                <w:szCs w:val="12"/>
                <w:color w:val="auto"/>
              </w:rPr>
            </w:pPr>
          </w:p>
        </w:tc>
        <w:tc>
          <w:tcPr>
            <w:tcW w:w="74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b w:val="1"/>
                <w:bCs w:val="1"/>
                <w:color w:val="auto"/>
              </w:rPr>
              <w:t>816,118</w:t>
            </w:r>
          </w:p>
        </w:tc>
        <w:tc>
          <w:tcPr>
            <w:tcW w:w="340" w:type="dxa"/>
            <w:vAlign w:val="bottom"/>
            <w:tcBorders>
              <w:bottom w:val="single" w:sz="8" w:color="949599"/>
            </w:tcBorders>
            <w:shd w:val="clear" w:color="auto" w:fill="ECECED"/>
          </w:tcPr>
          <w:p>
            <w:pPr>
              <w:spacing w:after="0"/>
              <w:rPr>
                <w:sz w:val="12"/>
                <w:szCs w:val="12"/>
                <w:color w:val="auto"/>
              </w:rPr>
            </w:pPr>
          </w:p>
        </w:tc>
        <w:tc>
          <w:tcPr>
            <w:tcW w:w="200" w:type="dxa"/>
            <w:vAlign w:val="bottom"/>
            <w:tcBorders>
              <w:bottom w:val="single" w:sz="8" w:color="949599"/>
            </w:tcBorders>
            <w:shd w:val="clear" w:color="auto" w:fill="ECECED"/>
          </w:tcPr>
          <w:p>
            <w:pPr>
              <w:spacing w:after="0"/>
              <w:rPr>
                <w:sz w:val="12"/>
                <w:szCs w:val="12"/>
                <w:color w:val="auto"/>
              </w:rPr>
            </w:pPr>
          </w:p>
        </w:tc>
        <w:tc>
          <w:tcPr>
            <w:tcW w:w="740" w:type="dxa"/>
            <w:vAlign w:val="bottom"/>
            <w:tcBorders>
              <w:bottom w:val="single" w:sz="8" w:color="949599"/>
            </w:tcBorders>
            <w:shd w:val="clear" w:color="auto" w:fill="ECECED"/>
          </w:tcPr>
          <w:p>
            <w:pPr>
              <w:spacing w:after="0"/>
              <w:rPr>
                <w:sz w:val="12"/>
                <w:szCs w:val="12"/>
                <w:color w:val="auto"/>
              </w:rPr>
            </w:pPr>
          </w:p>
        </w:tc>
        <w:tc>
          <w:tcPr>
            <w:tcW w:w="360" w:type="dxa"/>
            <w:vAlign w:val="bottom"/>
            <w:tcBorders>
              <w:bottom w:val="single" w:sz="8" w:color="949599"/>
            </w:tcBorders>
            <w:shd w:val="clear" w:color="auto" w:fill="ECECED"/>
          </w:tcPr>
          <w:p>
            <w:pPr>
              <w:spacing w:after="0"/>
              <w:rPr>
                <w:sz w:val="12"/>
                <w:szCs w:val="12"/>
                <w:color w:val="auto"/>
              </w:rPr>
            </w:pPr>
          </w:p>
        </w:tc>
        <w:tc>
          <w:tcPr>
            <w:tcW w:w="900" w:type="dxa"/>
            <w:vAlign w:val="bottom"/>
            <w:tcBorders>
              <w:bottom w:val="single" w:sz="8" w:color="949599"/>
            </w:tcBorders>
            <w:shd w:val="clear" w:color="auto" w:fill="ECECED"/>
          </w:tcPr>
          <w:p>
            <w:pPr>
              <w:spacing w:after="0"/>
              <w:rPr>
                <w:sz w:val="12"/>
                <w:szCs w:val="12"/>
                <w:color w:val="auto"/>
              </w:rPr>
            </w:pPr>
          </w:p>
        </w:tc>
        <w:tc>
          <w:tcPr>
            <w:tcW w:w="860" w:type="dxa"/>
            <w:vAlign w:val="bottom"/>
            <w:tcBorders>
              <w:bottom w:val="single" w:sz="8" w:color="949599"/>
            </w:tcBorders>
            <w:shd w:val="clear" w:color="auto" w:fill="ECECED"/>
          </w:tcPr>
          <w:p>
            <w:pPr>
              <w:spacing w:after="0"/>
              <w:rPr>
                <w:sz w:val="12"/>
                <w:szCs w:val="12"/>
                <w:color w:val="auto"/>
              </w:rPr>
            </w:pPr>
          </w:p>
        </w:tc>
        <w:tc>
          <w:tcPr>
            <w:tcW w:w="860" w:type="dxa"/>
            <w:vAlign w:val="bottom"/>
            <w:tcBorders>
              <w:bottom w:val="single" w:sz="8" w:color="949599"/>
            </w:tcBorders>
            <w:shd w:val="clear" w:color="auto" w:fill="ECECED"/>
          </w:tcPr>
          <w:p>
            <w:pPr>
              <w:spacing w:after="0"/>
              <w:rPr>
                <w:sz w:val="12"/>
                <w:szCs w:val="12"/>
                <w:color w:val="auto"/>
              </w:rPr>
            </w:pPr>
          </w:p>
        </w:tc>
        <w:tc>
          <w:tcPr>
            <w:tcW w:w="180" w:type="dxa"/>
            <w:vAlign w:val="bottom"/>
            <w:tcBorders>
              <w:bottom w:val="single" w:sz="8" w:color="949599"/>
            </w:tcBorders>
            <w:shd w:val="clear" w:color="auto" w:fill="ECECED"/>
          </w:tcPr>
          <w:p>
            <w:pPr>
              <w:spacing w:after="0"/>
              <w:rPr>
                <w:sz w:val="12"/>
                <w:szCs w:val="12"/>
                <w:color w:val="auto"/>
              </w:rPr>
            </w:pPr>
          </w:p>
        </w:tc>
        <w:tc>
          <w:tcPr>
            <w:tcW w:w="180" w:type="dxa"/>
            <w:vAlign w:val="bottom"/>
            <w:tcBorders>
              <w:bottom w:val="single" w:sz="8" w:color="949599"/>
            </w:tcBorders>
            <w:shd w:val="clear" w:color="auto" w:fill="ECECED"/>
          </w:tcPr>
          <w:p>
            <w:pPr>
              <w:spacing w:after="0"/>
              <w:rPr>
                <w:sz w:val="12"/>
                <w:szCs w:val="12"/>
                <w:color w:val="auto"/>
              </w:rPr>
            </w:pPr>
          </w:p>
        </w:tc>
        <w:tc>
          <w:tcPr>
            <w:tcW w:w="760" w:type="dxa"/>
            <w:vAlign w:val="bottom"/>
            <w:tcBorders>
              <w:bottom w:val="single" w:sz="8" w:color="949599"/>
            </w:tcBorders>
            <w:shd w:val="clear" w:color="auto" w:fill="ECECED"/>
          </w:tcPr>
          <w:p>
            <w:pPr>
              <w:spacing w:after="0"/>
              <w:rPr>
                <w:sz w:val="12"/>
                <w:szCs w:val="12"/>
                <w:color w:val="auto"/>
              </w:rPr>
            </w:pPr>
          </w:p>
        </w:tc>
        <w:tc>
          <w:tcPr>
            <w:tcW w:w="940" w:type="dxa"/>
            <w:vAlign w:val="bottom"/>
            <w:tcBorders>
              <w:bottom w:val="single" w:sz="8" w:color="949599"/>
            </w:tcBorders>
            <w:shd w:val="clear" w:color="auto" w:fill="ECECED"/>
          </w:tcPr>
          <w:p>
            <w:pPr>
              <w:spacing w:after="0"/>
              <w:rPr>
                <w:sz w:val="12"/>
                <w:szCs w:val="12"/>
                <w:color w:val="auto"/>
              </w:rPr>
            </w:pPr>
          </w:p>
        </w:tc>
        <w:tc>
          <w:tcPr>
            <w:tcW w:w="1440" w:type="dxa"/>
            <w:vAlign w:val="bottom"/>
            <w:tcBorders>
              <w:bottom w:val="single" w:sz="8" w:color="949599"/>
            </w:tcBorders>
            <w:shd w:val="clear" w:color="auto" w:fill="ECECED"/>
          </w:tcPr>
          <w:p>
            <w:pPr>
              <w:jc w:val="right"/>
              <w:ind w:right="213"/>
              <w:spacing w:after="0" w:line="149" w:lineRule="exact"/>
              <w:rPr>
                <w:sz w:val="20"/>
                <w:szCs w:val="20"/>
                <w:color w:val="auto"/>
              </w:rPr>
            </w:pPr>
            <w:r>
              <w:rPr>
                <w:rFonts w:ascii="Arial" w:cs="Arial" w:eastAsia="Arial" w:hAnsi="Arial"/>
                <w:sz w:val="14"/>
                <w:szCs w:val="14"/>
                <w:b w:val="1"/>
                <w:bCs w:val="1"/>
                <w:color w:val="auto"/>
              </w:rPr>
              <w:t>620,270</w:t>
            </w:r>
          </w:p>
        </w:tc>
        <w:tc>
          <w:tcPr>
            <w:tcW w:w="1120" w:type="dxa"/>
            <w:vAlign w:val="bottom"/>
            <w:tcBorders>
              <w:bottom w:val="single" w:sz="8" w:color="949599"/>
            </w:tcBorders>
            <w:shd w:val="clear" w:color="auto" w:fill="ECECED"/>
          </w:tcPr>
          <w:p>
            <w:pPr>
              <w:jc w:val="right"/>
              <w:ind w:right="53"/>
              <w:spacing w:after="0" w:line="149" w:lineRule="exact"/>
              <w:rPr>
                <w:sz w:val="20"/>
                <w:szCs w:val="20"/>
                <w:color w:val="auto"/>
              </w:rPr>
            </w:pPr>
            <w:r>
              <w:rPr>
                <w:rFonts w:ascii="Arial" w:cs="Arial" w:eastAsia="Arial" w:hAnsi="Arial"/>
                <w:sz w:val="14"/>
                <w:szCs w:val="14"/>
                <w:b w:val="1"/>
                <w:bCs w:val="1"/>
                <w:color w:val="auto"/>
              </w:rPr>
              <w:t>544,776,938</w:t>
            </w: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1080" w:type="dxa"/>
            <w:vAlign w:val="bottom"/>
            <w:tcBorders>
              <w:bottom w:val="single" w:sz="8" w:color="949599"/>
            </w:tcBorders>
            <w:gridSpan w:val="2"/>
          </w:tcPr>
          <w:p>
            <w:pPr>
              <w:jc w:val="right"/>
              <w:ind w:right="340"/>
              <w:spacing w:after="0"/>
              <w:rPr>
                <w:sz w:val="20"/>
                <w:szCs w:val="20"/>
                <w:color w:val="auto"/>
              </w:rPr>
            </w:pPr>
            <w:r>
              <w:rPr>
                <w:rFonts w:ascii="Arial" w:cs="Arial" w:eastAsia="Arial" w:hAnsi="Arial"/>
                <w:sz w:val="14"/>
                <w:szCs w:val="14"/>
                <w:color w:val="auto"/>
              </w:rPr>
              <w:t>3,556</w:t>
            </w:r>
          </w:p>
        </w:tc>
        <w:tc>
          <w:tcPr>
            <w:tcW w:w="940" w:type="dxa"/>
            <w:vAlign w:val="bottom"/>
            <w:tcBorders>
              <w:bottom w:val="single" w:sz="8" w:color="949599"/>
            </w:tcBorders>
            <w:gridSpan w:val="2"/>
          </w:tcPr>
          <w:p>
            <w:pPr>
              <w:jc w:val="right"/>
              <w:spacing w:after="0" w:line="183" w:lineRule="exact"/>
              <w:rPr>
                <w:sz w:val="20"/>
                <w:szCs w:val="20"/>
                <w:color w:val="auto"/>
              </w:rPr>
            </w:pPr>
            <w:r>
              <w:rPr>
                <w:rFonts w:ascii="Arial" w:cs="Arial" w:eastAsia="Arial" w:hAnsi="Arial"/>
                <w:sz w:val="13"/>
                <w:szCs w:val="13"/>
                <w:color w:val="auto"/>
              </w:rPr>
              <w:t>10,666</w:t>
            </w:r>
            <w:r>
              <w:rPr>
                <w:rFonts w:ascii="Arial" w:cs="Arial" w:eastAsia="Arial" w:hAnsi="Arial"/>
                <w:sz w:val="21"/>
                <w:szCs w:val="21"/>
                <w:color w:val="auto"/>
                <w:vertAlign w:val="superscript"/>
              </w:rPr>
              <w:t>3</w:t>
            </w:r>
          </w:p>
        </w:tc>
        <w:tc>
          <w:tcPr>
            <w:tcW w:w="360" w:type="dxa"/>
            <w:vAlign w:val="bottom"/>
            <w:tcBorders>
              <w:bottom w:val="single" w:sz="8" w:color="949599"/>
            </w:tcBorders>
          </w:tcPr>
          <w:p>
            <w:pPr>
              <w:spacing w:after="0"/>
              <w:rPr>
                <w:sz w:val="15"/>
                <w:szCs w:val="15"/>
                <w:color w:val="auto"/>
              </w:rPr>
            </w:pPr>
          </w:p>
        </w:tc>
        <w:tc>
          <w:tcPr>
            <w:tcW w:w="900" w:type="dxa"/>
            <w:vAlign w:val="bottom"/>
            <w:tcBorders>
              <w:bottom w:val="single" w:sz="8" w:color="949599"/>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rPr>
                <w:sz w:val="20"/>
                <w:szCs w:val="20"/>
                <w:color w:val="auto"/>
              </w:rPr>
            </w:pPr>
            <w:r>
              <w:rPr>
                <w:rFonts w:ascii="Arial" w:cs="Arial" w:eastAsia="Arial" w:hAnsi="Arial"/>
                <w:sz w:val="14"/>
                <w:szCs w:val="14"/>
                <w:color w:val="auto"/>
              </w:rPr>
              <w:t>726.53</w:t>
            </w:r>
          </w:p>
        </w:tc>
        <w:tc>
          <w:tcPr>
            <w:tcW w:w="1040" w:type="dxa"/>
            <w:vAlign w:val="bottom"/>
            <w:tcBorders>
              <w:bottom w:val="single" w:sz="8" w:color="949599"/>
            </w:tcBorders>
            <w:gridSpan w:val="2"/>
          </w:tcPr>
          <w:p>
            <w:pPr>
              <w:jc w:val="right"/>
              <w:ind w:right="180"/>
              <w:spacing w:after="0"/>
              <w:rPr>
                <w:sz w:val="20"/>
                <w:szCs w:val="20"/>
                <w:color w:val="auto"/>
              </w:rPr>
            </w:pPr>
            <w:r>
              <w:rPr>
                <w:rFonts w:ascii="Arial" w:cs="Arial" w:eastAsia="Arial" w:hAnsi="Arial"/>
                <w:sz w:val="14"/>
                <w:szCs w:val="14"/>
                <w:color w:val="auto"/>
              </w:rPr>
              <w:t>12/16/2032</w:t>
            </w:r>
          </w:p>
        </w:tc>
        <w:tc>
          <w:tcPr>
            <w:tcW w:w="180" w:type="dxa"/>
            <w:vAlign w:val="bottom"/>
            <w:tcBorders>
              <w:bottom w:val="single" w:sz="8" w:color="949599"/>
            </w:tcBorders>
          </w:tcPr>
          <w:p>
            <w:pPr>
              <w:spacing w:after="0"/>
              <w:rPr>
                <w:sz w:val="15"/>
                <w:szCs w:val="15"/>
                <w:color w:val="auto"/>
              </w:rPr>
            </w:pPr>
          </w:p>
        </w:tc>
        <w:tc>
          <w:tcPr>
            <w:tcW w:w="760" w:type="dxa"/>
            <w:vAlign w:val="bottom"/>
            <w:tcBorders>
              <w:bottom w:val="single" w:sz="8" w:color="949599"/>
            </w:tcBorders>
          </w:tcPr>
          <w:p>
            <w:pPr>
              <w:jc w:val="right"/>
              <w:ind w:right="2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tcPr>
          <w:p>
            <w:pPr>
              <w:jc w:val="right"/>
              <w:ind w:right="13"/>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tcPr>
          <w:p>
            <w:pPr>
              <w:jc w:val="right"/>
              <w:ind w:right="213"/>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1080" w:type="dxa"/>
            <w:vAlign w:val="bottom"/>
            <w:tcBorders>
              <w:bottom w:val="single" w:sz="8" w:color="949599"/>
            </w:tcBorders>
            <w:gridSpan w:val="2"/>
          </w:tcPr>
          <w:p>
            <w:pPr>
              <w:jc w:val="right"/>
              <w:ind w:right="340"/>
              <w:spacing w:after="0"/>
              <w:rPr>
                <w:sz w:val="20"/>
                <w:szCs w:val="20"/>
                <w:color w:val="auto"/>
              </w:rPr>
            </w:pPr>
            <w:r>
              <w:rPr>
                <w:rFonts w:ascii="Arial" w:cs="Arial" w:eastAsia="Arial" w:hAnsi="Arial"/>
                <w:sz w:val="14"/>
                <w:szCs w:val="14"/>
                <w:color w:val="auto"/>
              </w:rPr>
              <w:t>8,480</w:t>
            </w:r>
          </w:p>
        </w:tc>
        <w:tc>
          <w:tcPr>
            <w:tcW w:w="940" w:type="dxa"/>
            <w:vAlign w:val="bottom"/>
            <w:tcBorders>
              <w:bottom w:val="single" w:sz="8" w:color="949599"/>
            </w:tcBorders>
            <w:gridSpan w:val="2"/>
          </w:tcPr>
          <w:p>
            <w:pPr>
              <w:jc w:val="right"/>
              <w:spacing w:after="0" w:line="183" w:lineRule="exact"/>
              <w:rPr>
                <w:sz w:val="20"/>
                <w:szCs w:val="20"/>
                <w:color w:val="auto"/>
              </w:rPr>
            </w:pPr>
            <w:r>
              <w:rPr>
                <w:rFonts w:ascii="Arial" w:cs="Arial" w:eastAsia="Arial" w:hAnsi="Arial"/>
                <w:sz w:val="13"/>
                <w:szCs w:val="13"/>
                <w:color w:val="auto"/>
              </w:rPr>
              <w:t>8,478</w:t>
            </w:r>
            <w:r>
              <w:rPr>
                <w:rFonts w:ascii="Arial" w:cs="Arial" w:eastAsia="Arial" w:hAnsi="Arial"/>
                <w:sz w:val="21"/>
                <w:szCs w:val="21"/>
                <w:color w:val="auto"/>
                <w:vertAlign w:val="superscript"/>
              </w:rPr>
              <w:t>4</w:t>
            </w:r>
          </w:p>
        </w:tc>
        <w:tc>
          <w:tcPr>
            <w:tcW w:w="360" w:type="dxa"/>
            <w:vAlign w:val="bottom"/>
            <w:tcBorders>
              <w:bottom w:val="single" w:sz="8" w:color="949599"/>
            </w:tcBorders>
          </w:tcPr>
          <w:p>
            <w:pPr>
              <w:spacing w:after="0"/>
              <w:rPr>
                <w:sz w:val="15"/>
                <w:szCs w:val="15"/>
                <w:color w:val="auto"/>
              </w:rPr>
            </w:pPr>
          </w:p>
        </w:tc>
        <w:tc>
          <w:tcPr>
            <w:tcW w:w="900" w:type="dxa"/>
            <w:vAlign w:val="bottom"/>
            <w:tcBorders>
              <w:bottom w:val="single" w:sz="8" w:color="949599"/>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rPr>
                <w:sz w:val="20"/>
                <w:szCs w:val="20"/>
                <w:color w:val="auto"/>
              </w:rPr>
            </w:pPr>
            <w:r>
              <w:rPr>
                <w:rFonts w:ascii="Arial" w:cs="Arial" w:eastAsia="Arial" w:hAnsi="Arial"/>
                <w:sz w:val="14"/>
                <w:szCs w:val="14"/>
                <w:color w:val="auto"/>
              </w:rPr>
              <w:t>644.54</w:t>
            </w:r>
          </w:p>
        </w:tc>
        <w:tc>
          <w:tcPr>
            <w:tcW w:w="1040" w:type="dxa"/>
            <w:vAlign w:val="bottom"/>
            <w:tcBorders>
              <w:bottom w:val="single" w:sz="8" w:color="949599"/>
            </w:tcBorders>
            <w:gridSpan w:val="2"/>
          </w:tcPr>
          <w:p>
            <w:pPr>
              <w:jc w:val="right"/>
              <w:ind w:right="180"/>
              <w:spacing w:after="0"/>
              <w:rPr>
                <w:sz w:val="20"/>
                <w:szCs w:val="20"/>
                <w:color w:val="auto"/>
              </w:rPr>
            </w:pPr>
            <w:r>
              <w:rPr>
                <w:rFonts w:ascii="Arial" w:cs="Arial" w:eastAsia="Arial" w:hAnsi="Arial"/>
                <w:sz w:val="14"/>
                <w:szCs w:val="14"/>
                <w:color w:val="auto"/>
              </w:rPr>
              <w:t>12/08/2031</w:t>
            </w:r>
          </w:p>
        </w:tc>
        <w:tc>
          <w:tcPr>
            <w:tcW w:w="180" w:type="dxa"/>
            <w:vAlign w:val="bottom"/>
            <w:tcBorders>
              <w:bottom w:val="single" w:sz="8" w:color="949599"/>
            </w:tcBorders>
          </w:tcPr>
          <w:p>
            <w:pPr>
              <w:spacing w:after="0"/>
              <w:rPr>
                <w:sz w:val="15"/>
                <w:szCs w:val="15"/>
                <w:color w:val="auto"/>
              </w:rPr>
            </w:pPr>
          </w:p>
        </w:tc>
        <w:tc>
          <w:tcPr>
            <w:tcW w:w="760" w:type="dxa"/>
            <w:vAlign w:val="bottom"/>
            <w:tcBorders>
              <w:bottom w:val="single" w:sz="8" w:color="949599"/>
            </w:tcBorders>
          </w:tcPr>
          <w:p>
            <w:pPr>
              <w:jc w:val="right"/>
              <w:ind w:right="2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tcPr>
          <w:p>
            <w:pPr>
              <w:jc w:val="right"/>
              <w:ind w:right="13"/>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tcPr>
          <w:p>
            <w:pPr>
              <w:jc w:val="right"/>
              <w:ind w:right="213"/>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74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14,963</w:t>
            </w:r>
          </w:p>
        </w:tc>
        <w:tc>
          <w:tcPr>
            <w:tcW w:w="340" w:type="dxa"/>
            <w:vAlign w:val="bottom"/>
            <w:tcBorders>
              <w:bottom w:val="single" w:sz="8" w:color="949599"/>
            </w:tcBorders>
          </w:tcPr>
          <w:p>
            <w:pPr>
              <w:spacing w:after="0"/>
              <w:rPr>
                <w:sz w:val="15"/>
                <w:szCs w:val="15"/>
                <w:color w:val="auto"/>
              </w:rPr>
            </w:pPr>
          </w:p>
        </w:tc>
        <w:tc>
          <w:tcPr>
            <w:tcW w:w="940" w:type="dxa"/>
            <w:vAlign w:val="bottom"/>
            <w:tcBorders>
              <w:bottom w:val="single" w:sz="8" w:color="949599"/>
            </w:tcBorders>
            <w:gridSpan w:val="2"/>
          </w:tcPr>
          <w:p>
            <w:pPr>
              <w:jc w:val="right"/>
              <w:spacing w:after="0" w:line="183" w:lineRule="exact"/>
              <w:rPr>
                <w:sz w:val="20"/>
                <w:szCs w:val="20"/>
                <w:color w:val="auto"/>
              </w:rPr>
            </w:pPr>
            <w:r>
              <w:rPr>
                <w:rFonts w:ascii="Arial" w:cs="Arial" w:eastAsia="Arial" w:hAnsi="Arial"/>
                <w:sz w:val="13"/>
                <w:szCs w:val="13"/>
                <w:color w:val="auto"/>
              </w:rPr>
              <w:t>4,987</w:t>
            </w:r>
            <w:r>
              <w:rPr>
                <w:rFonts w:ascii="Arial" w:cs="Arial" w:eastAsia="Arial" w:hAnsi="Arial"/>
                <w:sz w:val="21"/>
                <w:szCs w:val="21"/>
                <w:color w:val="auto"/>
                <w:vertAlign w:val="superscript"/>
              </w:rPr>
              <w:t>5</w:t>
            </w:r>
          </w:p>
        </w:tc>
        <w:tc>
          <w:tcPr>
            <w:tcW w:w="360" w:type="dxa"/>
            <w:vAlign w:val="bottom"/>
            <w:tcBorders>
              <w:bottom w:val="single" w:sz="8" w:color="949599"/>
            </w:tcBorders>
          </w:tcPr>
          <w:p>
            <w:pPr>
              <w:spacing w:after="0"/>
              <w:rPr>
                <w:sz w:val="15"/>
                <w:szCs w:val="15"/>
                <w:color w:val="auto"/>
              </w:rPr>
            </w:pPr>
          </w:p>
        </w:tc>
        <w:tc>
          <w:tcPr>
            <w:tcW w:w="900" w:type="dxa"/>
            <w:vAlign w:val="bottom"/>
            <w:tcBorders>
              <w:bottom w:val="single" w:sz="8" w:color="949599"/>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rPr>
                <w:sz w:val="20"/>
                <w:szCs w:val="20"/>
                <w:color w:val="auto"/>
              </w:rPr>
            </w:pPr>
            <w:r>
              <w:rPr>
                <w:rFonts w:ascii="Arial" w:cs="Arial" w:eastAsia="Arial" w:hAnsi="Arial"/>
                <w:sz w:val="14"/>
                <w:szCs w:val="14"/>
                <w:color w:val="auto"/>
              </w:rPr>
              <w:t>492.00</w:t>
            </w:r>
          </w:p>
        </w:tc>
        <w:tc>
          <w:tcPr>
            <w:tcW w:w="1040" w:type="dxa"/>
            <w:vAlign w:val="bottom"/>
            <w:tcBorders>
              <w:bottom w:val="single" w:sz="8" w:color="949599"/>
            </w:tcBorders>
            <w:gridSpan w:val="2"/>
          </w:tcPr>
          <w:p>
            <w:pPr>
              <w:jc w:val="right"/>
              <w:ind w:right="180"/>
              <w:spacing w:after="0"/>
              <w:rPr>
                <w:sz w:val="20"/>
                <w:szCs w:val="20"/>
                <w:color w:val="auto"/>
              </w:rPr>
            </w:pPr>
            <w:r>
              <w:rPr>
                <w:rFonts w:ascii="Arial" w:cs="Arial" w:eastAsia="Arial" w:hAnsi="Arial"/>
                <w:sz w:val="14"/>
                <w:szCs w:val="14"/>
                <w:color w:val="auto"/>
              </w:rPr>
              <w:t>12/09/2030</w:t>
            </w:r>
          </w:p>
        </w:tc>
        <w:tc>
          <w:tcPr>
            <w:tcW w:w="180" w:type="dxa"/>
            <w:vAlign w:val="bottom"/>
            <w:tcBorders>
              <w:bottom w:val="single" w:sz="8" w:color="949599"/>
            </w:tcBorders>
          </w:tcPr>
          <w:p>
            <w:pPr>
              <w:spacing w:after="0"/>
              <w:rPr>
                <w:sz w:val="15"/>
                <w:szCs w:val="15"/>
                <w:color w:val="auto"/>
              </w:rPr>
            </w:pPr>
          </w:p>
        </w:tc>
        <w:tc>
          <w:tcPr>
            <w:tcW w:w="760" w:type="dxa"/>
            <w:vAlign w:val="bottom"/>
            <w:tcBorders>
              <w:bottom w:val="single" w:sz="8" w:color="949599"/>
            </w:tcBorders>
          </w:tcPr>
          <w:p>
            <w:pPr>
              <w:jc w:val="right"/>
              <w:ind w:right="2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tcPr>
          <w:p>
            <w:pPr>
              <w:jc w:val="right"/>
              <w:ind w:right="13"/>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tcPr>
          <w:p>
            <w:pPr>
              <w:jc w:val="right"/>
              <w:ind w:right="213"/>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vMerge w:val="restart"/>
          </w:tcPr>
          <w:p>
            <w:pPr>
              <w:ind w:left="40"/>
              <w:spacing w:after="0"/>
              <w:rPr>
                <w:sz w:val="20"/>
                <w:szCs w:val="20"/>
                <w:color w:val="auto"/>
              </w:rPr>
            </w:pPr>
            <w:r>
              <w:rPr>
                <w:rFonts w:ascii="Arial" w:cs="Arial" w:eastAsia="Arial" w:hAnsi="Arial"/>
                <w:sz w:val="14"/>
                <w:szCs w:val="14"/>
                <w:b w:val="1"/>
                <w:bCs w:val="1"/>
                <w:color w:val="215AA8"/>
              </w:rPr>
              <w:t>Robert E. Landry</w:t>
            </w:r>
          </w:p>
        </w:tc>
        <w:tc>
          <w:tcPr>
            <w:tcW w:w="74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24,500</w:t>
            </w:r>
          </w:p>
        </w:tc>
        <w:tc>
          <w:tcPr>
            <w:tcW w:w="340" w:type="dxa"/>
            <w:vAlign w:val="bottom"/>
            <w:tcBorders>
              <w:bottom w:val="single" w:sz="8" w:color="949599"/>
            </w:tcBorders>
          </w:tcPr>
          <w:p>
            <w:pPr>
              <w:spacing w:after="0"/>
              <w:rPr>
                <w:sz w:val="12"/>
                <w:szCs w:val="12"/>
                <w:color w:val="auto"/>
              </w:rPr>
            </w:pPr>
          </w:p>
        </w:tc>
        <w:tc>
          <w:tcPr>
            <w:tcW w:w="200" w:type="dxa"/>
            <w:vAlign w:val="bottom"/>
            <w:tcBorders>
              <w:bottom w:val="single" w:sz="8" w:color="949599"/>
            </w:tcBorders>
          </w:tcPr>
          <w:p>
            <w:pPr>
              <w:spacing w:after="0"/>
              <w:rPr>
                <w:sz w:val="12"/>
                <w:szCs w:val="12"/>
                <w:color w:val="auto"/>
              </w:rPr>
            </w:pPr>
          </w:p>
        </w:tc>
        <w:tc>
          <w:tcPr>
            <w:tcW w:w="740" w:type="dxa"/>
            <w:vAlign w:val="bottom"/>
            <w:tcBorders>
              <w:bottom w:val="single" w:sz="8" w:color="949599"/>
            </w:tcBorders>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tcPr>
          <w:p>
            <w:pPr>
              <w:spacing w:after="0"/>
              <w:rPr>
                <w:sz w:val="12"/>
                <w:szCs w:val="12"/>
                <w:color w:val="auto"/>
              </w:rPr>
            </w:pPr>
          </w:p>
        </w:tc>
        <w:tc>
          <w:tcPr>
            <w:tcW w:w="900" w:type="dxa"/>
            <w:vAlign w:val="bottom"/>
            <w:tcBorders>
              <w:bottom w:val="single" w:sz="8" w:color="949599"/>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line="149" w:lineRule="exact"/>
              <w:rPr>
                <w:sz w:val="20"/>
                <w:szCs w:val="20"/>
                <w:color w:val="auto"/>
              </w:rPr>
            </w:pPr>
            <w:r>
              <w:rPr>
                <w:rFonts w:ascii="Arial" w:cs="Arial" w:eastAsia="Arial" w:hAnsi="Arial"/>
                <w:sz w:val="14"/>
                <w:szCs w:val="14"/>
                <w:color w:val="auto"/>
              </w:rPr>
              <w:t>372.46</w:t>
            </w:r>
          </w:p>
        </w:tc>
        <w:tc>
          <w:tcPr>
            <w:tcW w:w="1040" w:type="dxa"/>
            <w:vAlign w:val="bottom"/>
            <w:tcBorders>
              <w:bottom w:val="single" w:sz="8" w:color="949599"/>
            </w:tcBorders>
            <w:gridSpan w:val="2"/>
          </w:tcPr>
          <w:p>
            <w:pPr>
              <w:jc w:val="right"/>
              <w:ind w:right="180"/>
              <w:spacing w:after="0" w:line="149" w:lineRule="exact"/>
              <w:rPr>
                <w:sz w:val="20"/>
                <w:szCs w:val="20"/>
                <w:color w:val="auto"/>
              </w:rPr>
            </w:pPr>
            <w:r>
              <w:rPr>
                <w:rFonts w:ascii="Arial" w:cs="Arial" w:eastAsia="Arial" w:hAnsi="Arial"/>
                <w:sz w:val="14"/>
                <w:szCs w:val="14"/>
                <w:color w:val="auto"/>
              </w:rPr>
              <w:t>12/11/2029</w:t>
            </w:r>
          </w:p>
        </w:tc>
        <w:tc>
          <w:tcPr>
            <w:tcW w:w="180" w:type="dxa"/>
            <w:vAlign w:val="bottom"/>
            <w:tcBorders>
              <w:bottom w:val="single" w:sz="8" w:color="949599"/>
            </w:tcBorders>
          </w:tcPr>
          <w:p>
            <w:pPr>
              <w:spacing w:after="0"/>
              <w:rPr>
                <w:sz w:val="12"/>
                <w:szCs w:val="12"/>
                <w:color w:val="auto"/>
              </w:rPr>
            </w:pPr>
          </w:p>
        </w:tc>
        <w:tc>
          <w:tcPr>
            <w:tcW w:w="760" w:type="dxa"/>
            <w:vAlign w:val="bottom"/>
            <w:tcBorders>
              <w:bottom w:val="single" w:sz="8" w:color="949599"/>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949599"/>
            </w:tcBorders>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640" w:type="dxa"/>
            <w:vAlign w:val="bottom"/>
            <w:vMerge w:val="continue"/>
          </w:tcPr>
          <w:p>
            <w:pPr>
              <w:spacing w:after="0"/>
              <w:rPr>
                <w:sz w:val="4"/>
                <w:szCs w:val="4"/>
                <w:color w:val="auto"/>
              </w:rPr>
            </w:pPr>
          </w:p>
        </w:tc>
        <w:tc>
          <w:tcPr>
            <w:tcW w:w="7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20,000</w:t>
            </w: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restart"/>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4"/>
                <w:szCs w:val="4"/>
                <w:color w:val="auto"/>
              </w:rPr>
            </w:pPr>
          </w:p>
        </w:tc>
        <w:tc>
          <w:tcPr>
            <w:tcW w:w="900" w:type="dxa"/>
            <w:vAlign w:val="bottom"/>
            <w:vMerge w:val="restart"/>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line="149" w:lineRule="exact"/>
              <w:rPr>
                <w:sz w:val="20"/>
                <w:szCs w:val="20"/>
                <w:color w:val="auto"/>
              </w:rPr>
            </w:pPr>
            <w:r>
              <w:rPr>
                <w:rFonts w:ascii="Arial" w:cs="Arial" w:eastAsia="Arial" w:hAnsi="Arial"/>
                <w:sz w:val="14"/>
                <w:szCs w:val="14"/>
                <w:color w:val="auto"/>
              </w:rPr>
              <w:t>381.40</w:t>
            </w:r>
          </w:p>
        </w:tc>
        <w:tc>
          <w:tcPr>
            <w:tcW w:w="104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color w:val="auto"/>
              </w:rPr>
              <w:t>12/12/2028</w:t>
            </w:r>
          </w:p>
        </w:tc>
        <w:tc>
          <w:tcPr>
            <w:tcW w:w="180" w:type="dxa"/>
            <w:vAlign w:val="bottom"/>
          </w:tcPr>
          <w:p>
            <w:pPr>
              <w:spacing w:after="0"/>
              <w:rPr>
                <w:sz w:val="4"/>
                <w:szCs w:val="4"/>
                <w:color w:val="auto"/>
              </w:rPr>
            </w:pPr>
          </w:p>
        </w:tc>
        <w:tc>
          <w:tcPr>
            <w:tcW w:w="760" w:type="dxa"/>
            <w:vAlign w:val="bottom"/>
            <w:vMerge w:val="restart"/>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164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215AA8"/>
              </w:rPr>
              <w:t>(retired)</w:t>
            </w:r>
          </w:p>
        </w:tc>
        <w:tc>
          <w:tcPr>
            <w:tcW w:w="740" w:type="dxa"/>
            <w:vAlign w:val="bottom"/>
            <w:tcBorders>
              <w:bottom w:val="single" w:sz="8" w:color="949599"/>
            </w:tcBorders>
            <w:vMerge w:val="continue"/>
          </w:tcPr>
          <w:p>
            <w:pPr>
              <w:spacing w:after="0"/>
              <w:rPr>
                <w:sz w:val="8"/>
                <w:szCs w:val="8"/>
                <w:color w:val="auto"/>
              </w:rPr>
            </w:pPr>
          </w:p>
        </w:tc>
        <w:tc>
          <w:tcPr>
            <w:tcW w:w="340" w:type="dxa"/>
            <w:vAlign w:val="bottom"/>
            <w:tcBorders>
              <w:bottom w:val="single" w:sz="8" w:color="949599"/>
            </w:tcBorders>
          </w:tcPr>
          <w:p>
            <w:pPr>
              <w:spacing w:after="0"/>
              <w:rPr>
                <w:sz w:val="8"/>
                <w:szCs w:val="8"/>
                <w:color w:val="auto"/>
              </w:rPr>
            </w:pPr>
          </w:p>
        </w:tc>
        <w:tc>
          <w:tcPr>
            <w:tcW w:w="200" w:type="dxa"/>
            <w:vAlign w:val="bottom"/>
            <w:tcBorders>
              <w:bottom w:val="single" w:sz="8" w:color="949599"/>
            </w:tcBorders>
          </w:tcPr>
          <w:p>
            <w:pPr>
              <w:spacing w:after="0"/>
              <w:rPr>
                <w:sz w:val="8"/>
                <w:szCs w:val="8"/>
                <w:color w:val="auto"/>
              </w:rPr>
            </w:pPr>
          </w:p>
        </w:tc>
        <w:tc>
          <w:tcPr>
            <w:tcW w:w="740" w:type="dxa"/>
            <w:vAlign w:val="bottom"/>
            <w:tcBorders>
              <w:bottom w:val="single" w:sz="8" w:color="949599"/>
            </w:tcBorders>
            <w:vMerge w:val="continue"/>
          </w:tcPr>
          <w:p>
            <w:pPr>
              <w:spacing w:after="0"/>
              <w:rPr>
                <w:sz w:val="8"/>
                <w:szCs w:val="8"/>
                <w:color w:val="auto"/>
              </w:rPr>
            </w:pPr>
          </w:p>
        </w:tc>
        <w:tc>
          <w:tcPr>
            <w:tcW w:w="360" w:type="dxa"/>
            <w:vAlign w:val="bottom"/>
            <w:tcBorders>
              <w:bottom w:val="single" w:sz="8" w:color="949599"/>
            </w:tcBorders>
          </w:tcPr>
          <w:p>
            <w:pPr>
              <w:spacing w:after="0"/>
              <w:rPr>
                <w:sz w:val="8"/>
                <w:szCs w:val="8"/>
                <w:color w:val="auto"/>
              </w:rPr>
            </w:pPr>
          </w:p>
        </w:tc>
        <w:tc>
          <w:tcPr>
            <w:tcW w:w="900" w:type="dxa"/>
            <w:vAlign w:val="bottom"/>
            <w:tcBorders>
              <w:bottom w:val="single" w:sz="8" w:color="949599"/>
            </w:tcBorders>
            <w:vMerge w:val="continue"/>
          </w:tcPr>
          <w:p>
            <w:pPr>
              <w:spacing w:after="0"/>
              <w:rPr>
                <w:sz w:val="8"/>
                <w:szCs w:val="8"/>
                <w:color w:val="auto"/>
              </w:rPr>
            </w:pPr>
          </w:p>
        </w:tc>
        <w:tc>
          <w:tcPr>
            <w:tcW w:w="860" w:type="dxa"/>
            <w:vAlign w:val="bottom"/>
            <w:tcBorders>
              <w:bottom w:val="single" w:sz="8" w:color="949599"/>
            </w:tcBorders>
            <w:vMerge w:val="continue"/>
          </w:tcPr>
          <w:p>
            <w:pPr>
              <w:spacing w:after="0"/>
              <w:rPr>
                <w:sz w:val="8"/>
                <w:szCs w:val="8"/>
                <w:color w:val="auto"/>
              </w:rPr>
            </w:pPr>
          </w:p>
        </w:tc>
        <w:tc>
          <w:tcPr>
            <w:tcW w:w="1040" w:type="dxa"/>
            <w:vAlign w:val="bottom"/>
            <w:tcBorders>
              <w:bottom w:val="single" w:sz="8" w:color="949599"/>
            </w:tcBorders>
            <w:gridSpan w:val="2"/>
            <w:vMerge w:val="continue"/>
          </w:tcPr>
          <w:p>
            <w:pPr>
              <w:spacing w:after="0"/>
              <w:rPr>
                <w:sz w:val="8"/>
                <w:szCs w:val="8"/>
                <w:color w:val="auto"/>
              </w:rPr>
            </w:pPr>
          </w:p>
        </w:tc>
        <w:tc>
          <w:tcPr>
            <w:tcW w:w="180" w:type="dxa"/>
            <w:vAlign w:val="bottom"/>
            <w:tcBorders>
              <w:bottom w:val="single" w:sz="8" w:color="949599"/>
            </w:tcBorders>
          </w:tcPr>
          <w:p>
            <w:pPr>
              <w:spacing w:after="0"/>
              <w:rPr>
                <w:sz w:val="8"/>
                <w:szCs w:val="8"/>
                <w:color w:val="auto"/>
              </w:rPr>
            </w:pPr>
          </w:p>
        </w:tc>
        <w:tc>
          <w:tcPr>
            <w:tcW w:w="760" w:type="dxa"/>
            <w:vAlign w:val="bottom"/>
            <w:tcBorders>
              <w:bottom w:val="single" w:sz="8" w:color="949599"/>
            </w:tcBorders>
            <w:vMerge w:val="continue"/>
          </w:tcPr>
          <w:p>
            <w:pPr>
              <w:spacing w:after="0"/>
              <w:rPr>
                <w:sz w:val="8"/>
                <w:szCs w:val="8"/>
                <w:color w:val="auto"/>
              </w:rPr>
            </w:pPr>
          </w:p>
        </w:tc>
        <w:tc>
          <w:tcPr>
            <w:tcW w:w="940" w:type="dxa"/>
            <w:vAlign w:val="bottom"/>
            <w:tcBorders>
              <w:bottom w:val="single" w:sz="8" w:color="949599"/>
            </w:tcBorders>
            <w:vMerge w:val="continue"/>
          </w:tcPr>
          <w:p>
            <w:pPr>
              <w:spacing w:after="0"/>
              <w:rPr>
                <w:sz w:val="8"/>
                <w:szCs w:val="8"/>
                <w:color w:val="auto"/>
              </w:rPr>
            </w:pPr>
          </w:p>
        </w:tc>
        <w:tc>
          <w:tcPr>
            <w:tcW w:w="1440" w:type="dxa"/>
            <w:vAlign w:val="bottom"/>
            <w:tcBorders>
              <w:bottom w:val="single" w:sz="8" w:color="949599"/>
            </w:tcBorders>
            <w:vMerge w:val="continue"/>
          </w:tcPr>
          <w:p>
            <w:pPr>
              <w:spacing w:after="0"/>
              <w:rPr>
                <w:sz w:val="8"/>
                <w:szCs w:val="8"/>
                <w:color w:val="auto"/>
              </w:rPr>
            </w:pPr>
          </w:p>
        </w:tc>
        <w:tc>
          <w:tcPr>
            <w:tcW w:w="1120" w:type="dxa"/>
            <w:vAlign w:val="bottom"/>
            <w:tcBorders>
              <w:bottom w:val="single" w:sz="8" w:color="949599"/>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640" w:type="dxa"/>
            <w:vAlign w:val="bottom"/>
            <w:vMerge w:val="continue"/>
          </w:tcPr>
          <w:p>
            <w:pPr>
              <w:spacing w:after="0"/>
              <w:rPr>
                <w:sz w:val="5"/>
                <w:szCs w:val="5"/>
                <w:color w:val="auto"/>
              </w:rPr>
            </w:pPr>
          </w:p>
        </w:tc>
        <w:tc>
          <w:tcPr>
            <w:tcW w:w="7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17,737</w:t>
            </w: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restart"/>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5"/>
                <w:szCs w:val="5"/>
                <w:color w:val="auto"/>
              </w:rPr>
            </w:pPr>
          </w:p>
        </w:tc>
        <w:tc>
          <w:tcPr>
            <w:tcW w:w="900" w:type="dxa"/>
            <w:vAlign w:val="bottom"/>
            <w:vMerge w:val="restart"/>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line="149" w:lineRule="exact"/>
              <w:rPr>
                <w:sz w:val="20"/>
                <w:szCs w:val="20"/>
                <w:color w:val="auto"/>
              </w:rPr>
            </w:pPr>
            <w:r>
              <w:rPr>
                <w:rFonts w:ascii="Arial" w:cs="Arial" w:eastAsia="Arial" w:hAnsi="Arial"/>
                <w:sz w:val="14"/>
                <w:szCs w:val="14"/>
                <w:color w:val="auto"/>
              </w:rPr>
              <w:t>378.98</w:t>
            </w:r>
          </w:p>
        </w:tc>
        <w:tc>
          <w:tcPr>
            <w:tcW w:w="104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color w:val="auto"/>
              </w:rPr>
              <w:t>12/12/2027</w:t>
            </w:r>
          </w:p>
        </w:tc>
        <w:tc>
          <w:tcPr>
            <w:tcW w:w="180" w:type="dxa"/>
            <w:vAlign w:val="bottom"/>
          </w:tcPr>
          <w:p>
            <w:pPr>
              <w:spacing w:after="0"/>
              <w:rPr>
                <w:sz w:val="5"/>
                <w:szCs w:val="5"/>
                <w:color w:val="auto"/>
              </w:rPr>
            </w:pPr>
          </w:p>
        </w:tc>
        <w:tc>
          <w:tcPr>
            <w:tcW w:w="760" w:type="dxa"/>
            <w:vAlign w:val="bottom"/>
            <w:vMerge w:val="restart"/>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1640" w:type="dxa"/>
            <w:vAlign w:val="bottom"/>
          </w:tcPr>
          <w:p>
            <w:pPr>
              <w:spacing w:after="0"/>
              <w:rPr>
                <w:sz w:val="7"/>
                <w:szCs w:val="7"/>
                <w:color w:val="auto"/>
              </w:rPr>
            </w:pPr>
          </w:p>
        </w:tc>
        <w:tc>
          <w:tcPr>
            <w:tcW w:w="740" w:type="dxa"/>
            <w:vAlign w:val="bottom"/>
            <w:tcBorders>
              <w:bottom w:val="single" w:sz="8" w:color="949599"/>
            </w:tcBorders>
            <w:vMerge w:val="continue"/>
          </w:tcPr>
          <w:p>
            <w:pPr>
              <w:spacing w:after="0"/>
              <w:rPr>
                <w:sz w:val="7"/>
                <w:szCs w:val="7"/>
                <w:color w:val="auto"/>
              </w:rPr>
            </w:pPr>
          </w:p>
        </w:tc>
        <w:tc>
          <w:tcPr>
            <w:tcW w:w="340" w:type="dxa"/>
            <w:vAlign w:val="bottom"/>
            <w:tcBorders>
              <w:bottom w:val="single" w:sz="8" w:color="949599"/>
            </w:tcBorders>
          </w:tcPr>
          <w:p>
            <w:pPr>
              <w:spacing w:after="0"/>
              <w:rPr>
                <w:sz w:val="7"/>
                <w:szCs w:val="7"/>
                <w:color w:val="auto"/>
              </w:rPr>
            </w:pPr>
          </w:p>
        </w:tc>
        <w:tc>
          <w:tcPr>
            <w:tcW w:w="200" w:type="dxa"/>
            <w:vAlign w:val="bottom"/>
            <w:tcBorders>
              <w:bottom w:val="single" w:sz="8" w:color="949599"/>
            </w:tcBorders>
          </w:tcPr>
          <w:p>
            <w:pPr>
              <w:spacing w:after="0"/>
              <w:rPr>
                <w:sz w:val="7"/>
                <w:szCs w:val="7"/>
                <w:color w:val="auto"/>
              </w:rPr>
            </w:pPr>
          </w:p>
        </w:tc>
        <w:tc>
          <w:tcPr>
            <w:tcW w:w="740" w:type="dxa"/>
            <w:vAlign w:val="bottom"/>
            <w:tcBorders>
              <w:bottom w:val="single" w:sz="8" w:color="949599"/>
            </w:tcBorders>
            <w:vMerge w:val="continue"/>
          </w:tcPr>
          <w:p>
            <w:pPr>
              <w:spacing w:after="0"/>
              <w:rPr>
                <w:sz w:val="7"/>
                <w:szCs w:val="7"/>
                <w:color w:val="auto"/>
              </w:rPr>
            </w:pPr>
          </w:p>
        </w:tc>
        <w:tc>
          <w:tcPr>
            <w:tcW w:w="360" w:type="dxa"/>
            <w:vAlign w:val="bottom"/>
            <w:tcBorders>
              <w:bottom w:val="single" w:sz="8" w:color="949599"/>
            </w:tcBorders>
          </w:tcPr>
          <w:p>
            <w:pPr>
              <w:spacing w:after="0"/>
              <w:rPr>
                <w:sz w:val="7"/>
                <w:szCs w:val="7"/>
                <w:color w:val="auto"/>
              </w:rPr>
            </w:pPr>
          </w:p>
        </w:tc>
        <w:tc>
          <w:tcPr>
            <w:tcW w:w="900" w:type="dxa"/>
            <w:vAlign w:val="bottom"/>
            <w:tcBorders>
              <w:bottom w:val="single" w:sz="8" w:color="949599"/>
            </w:tcBorders>
            <w:vMerge w:val="continue"/>
          </w:tcPr>
          <w:p>
            <w:pPr>
              <w:spacing w:after="0"/>
              <w:rPr>
                <w:sz w:val="7"/>
                <w:szCs w:val="7"/>
                <w:color w:val="auto"/>
              </w:rPr>
            </w:pPr>
          </w:p>
        </w:tc>
        <w:tc>
          <w:tcPr>
            <w:tcW w:w="860" w:type="dxa"/>
            <w:vAlign w:val="bottom"/>
            <w:tcBorders>
              <w:bottom w:val="single" w:sz="8" w:color="949599"/>
            </w:tcBorders>
            <w:vMerge w:val="continue"/>
          </w:tcPr>
          <w:p>
            <w:pPr>
              <w:spacing w:after="0"/>
              <w:rPr>
                <w:sz w:val="7"/>
                <w:szCs w:val="7"/>
                <w:color w:val="auto"/>
              </w:rPr>
            </w:pPr>
          </w:p>
        </w:tc>
        <w:tc>
          <w:tcPr>
            <w:tcW w:w="1040" w:type="dxa"/>
            <w:vAlign w:val="bottom"/>
            <w:tcBorders>
              <w:bottom w:val="single" w:sz="8" w:color="949599"/>
            </w:tcBorders>
            <w:gridSpan w:val="2"/>
            <w:vMerge w:val="continue"/>
          </w:tcPr>
          <w:p>
            <w:pPr>
              <w:spacing w:after="0"/>
              <w:rPr>
                <w:sz w:val="7"/>
                <w:szCs w:val="7"/>
                <w:color w:val="auto"/>
              </w:rPr>
            </w:pPr>
          </w:p>
        </w:tc>
        <w:tc>
          <w:tcPr>
            <w:tcW w:w="180" w:type="dxa"/>
            <w:vAlign w:val="bottom"/>
            <w:tcBorders>
              <w:bottom w:val="single" w:sz="8" w:color="949599"/>
            </w:tcBorders>
          </w:tcPr>
          <w:p>
            <w:pPr>
              <w:spacing w:after="0"/>
              <w:rPr>
                <w:sz w:val="7"/>
                <w:szCs w:val="7"/>
                <w:color w:val="auto"/>
              </w:rPr>
            </w:pPr>
          </w:p>
        </w:tc>
        <w:tc>
          <w:tcPr>
            <w:tcW w:w="760" w:type="dxa"/>
            <w:vAlign w:val="bottom"/>
            <w:tcBorders>
              <w:bottom w:val="single" w:sz="8" w:color="949599"/>
            </w:tcBorders>
            <w:vMerge w:val="continue"/>
          </w:tcPr>
          <w:p>
            <w:pPr>
              <w:spacing w:after="0"/>
              <w:rPr>
                <w:sz w:val="7"/>
                <w:szCs w:val="7"/>
                <w:color w:val="auto"/>
              </w:rPr>
            </w:pPr>
          </w:p>
        </w:tc>
        <w:tc>
          <w:tcPr>
            <w:tcW w:w="940" w:type="dxa"/>
            <w:vAlign w:val="bottom"/>
            <w:tcBorders>
              <w:bottom w:val="single" w:sz="8" w:color="949599"/>
            </w:tcBorders>
            <w:vMerge w:val="continue"/>
          </w:tcPr>
          <w:p>
            <w:pPr>
              <w:spacing w:after="0"/>
              <w:rPr>
                <w:sz w:val="7"/>
                <w:szCs w:val="7"/>
                <w:color w:val="auto"/>
              </w:rPr>
            </w:pPr>
          </w:p>
        </w:tc>
        <w:tc>
          <w:tcPr>
            <w:tcW w:w="1440" w:type="dxa"/>
            <w:vAlign w:val="bottom"/>
            <w:tcBorders>
              <w:bottom w:val="single" w:sz="8" w:color="949599"/>
            </w:tcBorders>
            <w:vMerge w:val="continue"/>
          </w:tcPr>
          <w:p>
            <w:pPr>
              <w:spacing w:after="0"/>
              <w:rPr>
                <w:sz w:val="7"/>
                <w:szCs w:val="7"/>
                <w:color w:val="auto"/>
              </w:rPr>
            </w:pPr>
          </w:p>
        </w:tc>
        <w:tc>
          <w:tcPr>
            <w:tcW w:w="1120" w:type="dxa"/>
            <w:vAlign w:val="bottom"/>
            <w:tcBorders>
              <w:bottom w:val="single" w:sz="8" w:color="94959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1080" w:type="dxa"/>
            <w:vAlign w:val="bottom"/>
            <w:tcBorders>
              <w:bottom w:val="single" w:sz="8" w:color="949599"/>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49599"/>
            </w:tcBorders>
          </w:tcPr>
          <w:p>
            <w:pPr>
              <w:spacing w:after="0"/>
              <w:rPr>
                <w:sz w:val="15"/>
                <w:szCs w:val="15"/>
                <w:color w:val="auto"/>
              </w:rPr>
            </w:pPr>
          </w:p>
        </w:tc>
        <w:tc>
          <w:tcPr>
            <w:tcW w:w="740" w:type="dxa"/>
            <w:vAlign w:val="bottom"/>
            <w:tcBorders>
              <w:bottom w:val="single" w:sz="8" w:color="949599"/>
            </w:tcBorders>
          </w:tcPr>
          <w:p>
            <w:pPr>
              <w:ind w:left="5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tcPr>
          <w:p>
            <w:pPr>
              <w:spacing w:after="0"/>
              <w:rPr>
                <w:sz w:val="15"/>
                <w:szCs w:val="15"/>
                <w:color w:val="auto"/>
              </w:rPr>
            </w:pPr>
          </w:p>
        </w:tc>
        <w:tc>
          <w:tcPr>
            <w:tcW w:w="900" w:type="dxa"/>
            <w:vAlign w:val="bottom"/>
            <w:tcBorders>
              <w:bottom w:val="single" w:sz="8" w:color="949599"/>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49599"/>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gridSpan w:val="2"/>
          </w:tcPr>
          <w:p>
            <w:pPr>
              <w:jc w:val="right"/>
              <w:ind w:right="172"/>
              <w:spacing w:after="0" w:line="183" w:lineRule="exact"/>
              <w:rPr>
                <w:sz w:val="20"/>
                <w:szCs w:val="20"/>
                <w:color w:val="auto"/>
              </w:rPr>
            </w:pPr>
            <w:r>
              <w:rPr>
                <w:rFonts w:ascii="Arial" w:cs="Arial" w:eastAsia="Arial" w:hAnsi="Arial"/>
                <w:sz w:val="13"/>
                <w:szCs w:val="13"/>
                <w:color w:val="auto"/>
              </w:rPr>
              <w:t>3,853</w:t>
            </w:r>
            <w:r>
              <w:rPr>
                <w:rFonts w:ascii="Arial" w:cs="Arial" w:eastAsia="Arial" w:hAnsi="Arial"/>
                <w:sz w:val="21"/>
                <w:szCs w:val="21"/>
                <w:color w:val="auto"/>
                <w:vertAlign w:val="superscript"/>
              </w:rPr>
              <w:t>6</w:t>
            </w:r>
          </w:p>
        </w:tc>
        <w:tc>
          <w:tcPr>
            <w:tcW w:w="940" w:type="dxa"/>
            <w:vAlign w:val="bottom"/>
            <w:tcBorders>
              <w:bottom w:val="single" w:sz="8" w:color="949599"/>
            </w:tcBorders>
          </w:tcPr>
          <w:p>
            <w:pPr>
              <w:jc w:val="right"/>
              <w:spacing w:after="0" w:line="183" w:lineRule="exact"/>
              <w:rPr>
                <w:sz w:val="20"/>
                <w:szCs w:val="20"/>
                <w:color w:val="auto"/>
              </w:rPr>
            </w:pPr>
            <w:r>
              <w:rPr>
                <w:rFonts w:ascii="Arial" w:cs="Arial" w:eastAsia="Arial" w:hAnsi="Arial"/>
                <w:sz w:val="13"/>
                <w:szCs w:val="13"/>
                <w:color w:val="auto"/>
              </w:rPr>
              <w:t>3,384,051</w:t>
            </w:r>
            <w:r>
              <w:rPr>
                <w:rFonts w:ascii="Arial" w:cs="Arial" w:eastAsia="Arial" w:hAnsi="Arial"/>
                <w:sz w:val="21"/>
                <w:szCs w:val="21"/>
                <w:color w:val="auto"/>
                <w:vertAlign w:val="superscript"/>
              </w:rPr>
              <w:t>2</w:t>
            </w:r>
          </w:p>
        </w:tc>
        <w:tc>
          <w:tcPr>
            <w:tcW w:w="1440" w:type="dxa"/>
            <w:vAlign w:val="bottom"/>
            <w:tcBorders>
              <w:bottom w:val="single" w:sz="8" w:color="949599"/>
            </w:tcBorders>
          </w:tcPr>
          <w:p>
            <w:pPr>
              <w:jc w:val="right"/>
              <w:ind w:right="213"/>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1080" w:type="dxa"/>
            <w:vAlign w:val="bottom"/>
            <w:tcBorders>
              <w:bottom w:val="single" w:sz="8" w:color="949599"/>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49599"/>
            </w:tcBorders>
          </w:tcPr>
          <w:p>
            <w:pPr>
              <w:spacing w:after="0"/>
              <w:rPr>
                <w:sz w:val="15"/>
                <w:szCs w:val="15"/>
                <w:color w:val="auto"/>
              </w:rPr>
            </w:pPr>
          </w:p>
        </w:tc>
        <w:tc>
          <w:tcPr>
            <w:tcW w:w="740" w:type="dxa"/>
            <w:vAlign w:val="bottom"/>
            <w:tcBorders>
              <w:bottom w:val="single" w:sz="8" w:color="949599"/>
            </w:tcBorders>
          </w:tcPr>
          <w:p>
            <w:pPr>
              <w:ind w:left="5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tcPr>
          <w:p>
            <w:pPr>
              <w:spacing w:after="0"/>
              <w:rPr>
                <w:sz w:val="15"/>
                <w:szCs w:val="15"/>
                <w:color w:val="auto"/>
              </w:rPr>
            </w:pPr>
          </w:p>
        </w:tc>
        <w:tc>
          <w:tcPr>
            <w:tcW w:w="900" w:type="dxa"/>
            <w:vAlign w:val="bottom"/>
            <w:tcBorders>
              <w:bottom w:val="single" w:sz="8" w:color="949599"/>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49599"/>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gridSpan w:val="2"/>
          </w:tcPr>
          <w:p>
            <w:pPr>
              <w:jc w:val="right"/>
              <w:ind w:right="172"/>
              <w:spacing w:after="0" w:line="183" w:lineRule="exact"/>
              <w:rPr>
                <w:sz w:val="20"/>
                <w:szCs w:val="20"/>
                <w:color w:val="auto"/>
              </w:rPr>
            </w:pPr>
            <w:r>
              <w:rPr>
                <w:rFonts w:ascii="Arial" w:cs="Arial" w:eastAsia="Arial" w:hAnsi="Arial"/>
                <w:sz w:val="13"/>
                <w:szCs w:val="13"/>
                <w:color w:val="auto"/>
              </w:rPr>
              <w:t>1,985</w:t>
            </w:r>
            <w:r>
              <w:rPr>
                <w:rFonts w:ascii="Arial" w:cs="Arial" w:eastAsia="Arial" w:hAnsi="Arial"/>
                <w:sz w:val="21"/>
                <w:szCs w:val="21"/>
                <w:color w:val="auto"/>
                <w:vertAlign w:val="superscript"/>
              </w:rPr>
              <w:t>7</w:t>
            </w:r>
          </w:p>
        </w:tc>
        <w:tc>
          <w:tcPr>
            <w:tcW w:w="940" w:type="dxa"/>
            <w:vAlign w:val="bottom"/>
            <w:tcBorders>
              <w:bottom w:val="single" w:sz="8" w:color="949599"/>
            </w:tcBorders>
          </w:tcPr>
          <w:p>
            <w:pPr>
              <w:jc w:val="right"/>
              <w:spacing w:after="0" w:line="183" w:lineRule="exact"/>
              <w:rPr>
                <w:sz w:val="20"/>
                <w:szCs w:val="20"/>
                <w:color w:val="auto"/>
              </w:rPr>
            </w:pPr>
            <w:r>
              <w:rPr>
                <w:rFonts w:ascii="Arial" w:cs="Arial" w:eastAsia="Arial" w:hAnsi="Arial"/>
                <w:sz w:val="13"/>
                <w:szCs w:val="13"/>
                <w:color w:val="auto"/>
              </w:rPr>
              <w:t>1,743,406</w:t>
            </w:r>
            <w:r>
              <w:rPr>
                <w:rFonts w:ascii="Arial" w:cs="Arial" w:eastAsia="Arial" w:hAnsi="Arial"/>
                <w:sz w:val="21"/>
                <w:szCs w:val="21"/>
                <w:color w:val="auto"/>
                <w:vertAlign w:val="superscript"/>
              </w:rPr>
              <w:t>2</w:t>
            </w:r>
          </w:p>
        </w:tc>
        <w:tc>
          <w:tcPr>
            <w:tcW w:w="1440" w:type="dxa"/>
            <w:vAlign w:val="bottom"/>
            <w:tcBorders>
              <w:bottom w:val="single" w:sz="8" w:color="949599"/>
            </w:tcBorders>
          </w:tcPr>
          <w:p>
            <w:pPr>
              <w:jc w:val="right"/>
              <w:ind w:right="213"/>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949599"/>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49599"/>
            </w:tcBorders>
          </w:tcPr>
          <w:p>
            <w:pPr>
              <w:spacing w:after="0"/>
              <w:rPr>
                <w:sz w:val="15"/>
                <w:szCs w:val="15"/>
                <w:color w:val="auto"/>
              </w:rPr>
            </w:pPr>
          </w:p>
        </w:tc>
        <w:tc>
          <w:tcPr>
            <w:tcW w:w="740" w:type="dxa"/>
            <w:vAlign w:val="bottom"/>
            <w:tcBorders>
              <w:bottom w:val="single" w:sz="8" w:color="949599"/>
            </w:tcBorders>
          </w:tcPr>
          <w:p>
            <w:pPr>
              <w:ind w:left="5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949599"/>
            </w:tcBorders>
          </w:tcPr>
          <w:p>
            <w:pPr>
              <w:spacing w:after="0"/>
              <w:rPr>
                <w:sz w:val="15"/>
                <w:szCs w:val="15"/>
                <w:color w:val="auto"/>
              </w:rPr>
            </w:pPr>
          </w:p>
        </w:tc>
        <w:tc>
          <w:tcPr>
            <w:tcW w:w="900" w:type="dxa"/>
            <w:vAlign w:val="bottom"/>
            <w:tcBorders>
              <w:bottom w:val="single" w:sz="8" w:color="949599"/>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49599"/>
            </w:tcBorders>
          </w:tcPr>
          <w:p>
            <w:pPr>
              <w:jc w:val="right"/>
              <w:ind w:right="11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49599"/>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gridSpan w:val="2"/>
          </w:tcPr>
          <w:p>
            <w:pPr>
              <w:jc w:val="right"/>
              <w:ind w:right="172"/>
              <w:spacing w:after="0" w:line="183" w:lineRule="exact"/>
              <w:rPr>
                <w:sz w:val="20"/>
                <w:szCs w:val="20"/>
                <w:color w:val="auto"/>
              </w:rPr>
            </w:pPr>
            <w:r>
              <w:rPr>
                <w:rFonts w:ascii="Arial" w:cs="Arial" w:eastAsia="Arial" w:hAnsi="Arial"/>
                <w:sz w:val="13"/>
                <w:szCs w:val="13"/>
                <w:color w:val="auto"/>
              </w:rPr>
              <w:t>965</w:t>
            </w:r>
            <w:r>
              <w:rPr>
                <w:rFonts w:ascii="Arial" w:cs="Arial" w:eastAsia="Arial" w:hAnsi="Arial"/>
                <w:sz w:val="21"/>
                <w:szCs w:val="21"/>
                <w:color w:val="auto"/>
                <w:vertAlign w:val="superscript"/>
              </w:rPr>
              <w:t>8</w:t>
            </w:r>
          </w:p>
        </w:tc>
        <w:tc>
          <w:tcPr>
            <w:tcW w:w="940" w:type="dxa"/>
            <w:vAlign w:val="bottom"/>
            <w:tcBorders>
              <w:bottom w:val="single" w:sz="8" w:color="949599"/>
            </w:tcBorders>
          </w:tcPr>
          <w:p>
            <w:pPr>
              <w:jc w:val="right"/>
              <w:spacing w:after="0" w:line="183" w:lineRule="exact"/>
              <w:rPr>
                <w:sz w:val="20"/>
                <w:szCs w:val="20"/>
                <w:color w:val="auto"/>
              </w:rPr>
            </w:pPr>
            <w:r>
              <w:rPr>
                <w:rFonts w:ascii="Arial" w:cs="Arial" w:eastAsia="Arial" w:hAnsi="Arial"/>
                <w:sz w:val="13"/>
                <w:szCs w:val="13"/>
                <w:color w:val="auto"/>
              </w:rPr>
              <w:t>847,550</w:t>
            </w:r>
            <w:r>
              <w:rPr>
                <w:rFonts w:ascii="Arial" w:cs="Arial" w:eastAsia="Arial" w:hAnsi="Arial"/>
                <w:sz w:val="21"/>
                <w:szCs w:val="21"/>
                <w:color w:val="auto"/>
                <w:vertAlign w:val="superscript"/>
              </w:rPr>
              <w:t>2</w:t>
            </w:r>
          </w:p>
        </w:tc>
        <w:tc>
          <w:tcPr>
            <w:tcW w:w="1440" w:type="dxa"/>
            <w:vAlign w:val="bottom"/>
            <w:tcBorders>
              <w:bottom w:val="single" w:sz="8" w:color="949599"/>
            </w:tcBorders>
          </w:tcPr>
          <w:p>
            <w:pPr>
              <w:jc w:val="right"/>
              <w:ind w:right="213"/>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49599"/>
            </w:tcBorders>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1640" w:type="dxa"/>
            <w:vAlign w:val="bottom"/>
            <w:tcBorders>
              <w:bottom w:val="single" w:sz="8" w:color="215AA8"/>
            </w:tcBorders>
            <w:vMerge w:val="continue"/>
          </w:tcPr>
          <w:p>
            <w:pPr>
              <w:spacing w:after="0"/>
              <w:rPr>
                <w:sz w:val="13"/>
                <w:szCs w:val="13"/>
                <w:color w:val="auto"/>
              </w:rPr>
            </w:pPr>
          </w:p>
        </w:tc>
        <w:tc>
          <w:tcPr>
            <w:tcW w:w="740" w:type="dxa"/>
            <w:vAlign w:val="bottom"/>
            <w:tcBorders>
              <w:bottom w:val="single" w:sz="8" w:color="215AA8"/>
            </w:tcBorders>
          </w:tcPr>
          <w:p>
            <w:pPr>
              <w:jc w:val="right"/>
              <w:spacing w:after="0" w:line="149" w:lineRule="exact"/>
              <w:rPr>
                <w:sz w:val="20"/>
                <w:szCs w:val="20"/>
                <w:color w:val="auto"/>
              </w:rPr>
            </w:pPr>
            <w:r>
              <w:rPr>
                <w:rFonts w:ascii="Arial" w:cs="Arial" w:eastAsia="Arial" w:hAnsi="Arial"/>
                <w:sz w:val="14"/>
                <w:szCs w:val="14"/>
                <w:b w:val="1"/>
                <w:bCs w:val="1"/>
                <w:color w:val="auto"/>
              </w:rPr>
              <w:t>89,236</w:t>
            </w:r>
          </w:p>
        </w:tc>
        <w:tc>
          <w:tcPr>
            <w:tcW w:w="340" w:type="dxa"/>
            <w:vAlign w:val="bottom"/>
            <w:tcBorders>
              <w:bottom w:val="single" w:sz="8" w:color="215AA8"/>
            </w:tcBorders>
          </w:tcPr>
          <w:p>
            <w:pPr>
              <w:spacing w:after="0"/>
              <w:rPr>
                <w:sz w:val="13"/>
                <w:szCs w:val="13"/>
                <w:color w:val="auto"/>
              </w:rPr>
            </w:pPr>
          </w:p>
        </w:tc>
        <w:tc>
          <w:tcPr>
            <w:tcW w:w="940" w:type="dxa"/>
            <w:vAlign w:val="bottom"/>
            <w:tcBorders>
              <w:bottom w:val="single" w:sz="8" w:color="215AA8"/>
            </w:tcBorders>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24,131</w:t>
            </w:r>
          </w:p>
        </w:tc>
        <w:tc>
          <w:tcPr>
            <w:tcW w:w="360" w:type="dxa"/>
            <w:vAlign w:val="bottom"/>
            <w:tcBorders>
              <w:bottom w:val="single" w:sz="8" w:color="215AA8"/>
            </w:tcBorders>
          </w:tcPr>
          <w:p>
            <w:pPr>
              <w:spacing w:after="0"/>
              <w:rPr>
                <w:sz w:val="13"/>
                <w:szCs w:val="13"/>
                <w:color w:val="auto"/>
              </w:rPr>
            </w:pPr>
          </w:p>
        </w:tc>
        <w:tc>
          <w:tcPr>
            <w:tcW w:w="900" w:type="dxa"/>
            <w:vAlign w:val="bottom"/>
            <w:tcBorders>
              <w:bottom w:val="single" w:sz="8" w:color="215AA8"/>
            </w:tcBorders>
          </w:tcPr>
          <w:p>
            <w:pPr>
              <w:spacing w:after="0"/>
              <w:rPr>
                <w:sz w:val="13"/>
                <w:szCs w:val="13"/>
                <w:color w:val="auto"/>
              </w:rPr>
            </w:pPr>
          </w:p>
        </w:tc>
        <w:tc>
          <w:tcPr>
            <w:tcW w:w="860" w:type="dxa"/>
            <w:vAlign w:val="bottom"/>
            <w:tcBorders>
              <w:bottom w:val="single" w:sz="8" w:color="215AA8"/>
            </w:tcBorders>
          </w:tcPr>
          <w:p>
            <w:pPr>
              <w:spacing w:after="0"/>
              <w:rPr>
                <w:sz w:val="13"/>
                <w:szCs w:val="13"/>
                <w:color w:val="auto"/>
              </w:rPr>
            </w:pPr>
          </w:p>
        </w:tc>
        <w:tc>
          <w:tcPr>
            <w:tcW w:w="860" w:type="dxa"/>
            <w:vAlign w:val="bottom"/>
            <w:tcBorders>
              <w:bottom w:val="single" w:sz="8" w:color="215AA8"/>
            </w:tcBorders>
          </w:tcPr>
          <w:p>
            <w:pPr>
              <w:spacing w:after="0"/>
              <w:rPr>
                <w:sz w:val="13"/>
                <w:szCs w:val="13"/>
                <w:color w:val="auto"/>
              </w:rPr>
            </w:pPr>
          </w:p>
        </w:tc>
        <w:tc>
          <w:tcPr>
            <w:tcW w:w="180" w:type="dxa"/>
            <w:vAlign w:val="bottom"/>
            <w:tcBorders>
              <w:bottom w:val="single" w:sz="8" w:color="215AA8"/>
            </w:tcBorders>
          </w:tcPr>
          <w:p>
            <w:pPr>
              <w:spacing w:after="0"/>
              <w:rPr>
                <w:sz w:val="13"/>
                <w:szCs w:val="13"/>
                <w:color w:val="auto"/>
              </w:rPr>
            </w:pPr>
          </w:p>
        </w:tc>
        <w:tc>
          <w:tcPr>
            <w:tcW w:w="940" w:type="dxa"/>
            <w:vAlign w:val="bottom"/>
            <w:tcBorders>
              <w:bottom w:val="single" w:sz="8" w:color="215AA8"/>
            </w:tcBorders>
            <w:gridSpan w:val="2"/>
          </w:tcPr>
          <w:p>
            <w:pPr>
              <w:jc w:val="right"/>
              <w:ind w:right="232"/>
              <w:spacing w:after="0" w:line="149" w:lineRule="exact"/>
              <w:rPr>
                <w:sz w:val="20"/>
                <w:szCs w:val="20"/>
                <w:color w:val="auto"/>
              </w:rPr>
            </w:pPr>
            <w:r>
              <w:rPr>
                <w:rFonts w:ascii="Arial" w:cs="Arial" w:eastAsia="Arial" w:hAnsi="Arial"/>
                <w:sz w:val="14"/>
                <w:szCs w:val="14"/>
                <w:b w:val="1"/>
                <w:bCs w:val="1"/>
                <w:color w:val="auto"/>
              </w:rPr>
              <w:t>6,803</w:t>
            </w:r>
          </w:p>
        </w:tc>
        <w:tc>
          <w:tcPr>
            <w:tcW w:w="940" w:type="dxa"/>
            <w:vAlign w:val="bottom"/>
            <w:tcBorders>
              <w:bottom w:val="single" w:sz="8" w:color="215AA8"/>
            </w:tcBorders>
          </w:tcPr>
          <w:p>
            <w:pPr>
              <w:jc w:val="right"/>
              <w:ind w:right="13"/>
              <w:spacing w:after="0" w:line="149" w:lineRule="exact"/>
              <w:rPr>
                <w:sz w:val="20"/>
                <w:szCs w:val="20"/>
                <w:color w:val="auto"/>
              </w:rPr>
            </w:pPr>
            <w:r>
              <w:rPr>
                <w:rFonts w:ascii="Arial" w:cs="Arial" w:eastAsia="Arial" w:hAnsi="Arial"/>
                <w:sz w:val="14"/>
                <w:szCs w:val="14"/>
                <w:b w:val="1"/>
                <w:bCs w:val="1"/>
                <w:color w:val="auto"/>
              </w:rPr>
              <w:t>5,975,007</w:t>
            </w:r>
          </w:p>
        </w:tc>
        <w:tc>
          <w:tcPr>
            <w:tcW w:w="1440" w:type="dxa"/>
            <w:vAlign w:val="bottom"/>
            <w:tcBorders>
              <w:bottom w:val="single" w:sz="8" w:color="215AA8"/>
            </w:tcBorders>
          </w:tcPr>
          <w:p>
            <w:pPr>
              <w:spacing w:after="0"/>
              <w:rPr>
                <w:sz w:val="13"/>
                <w:szCs w:val="13"/>
                <w:color w:val="auto"/>
              </w:rPr>
            </w:pPr>
          </w:p>
        </w:tc>
        <w:tc>
          <w:tcPr>
            <w:tcW w:w="1120" w:type="dxa"/>
            <w:vAlign w:val="bottom"/>
            <w:tcBorders>
              <w:bottom w:val="single" w:sz="8" w:color="215AA8"/>
            </w:tcBorders>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920" w:type="dxa"/>
            <w:vAlign w:val="bottom"/>
            <w:gridSpan w:val="7"/>
          </w:tcPr>
          <w:p>
            <w:pPr>
              <w:jc w:val="right"/>
              <w:ind w:right="692"/>
              <w:spacing w:after="0"/>
              <w:rPr>
                <w:sz w:val="20"/>
                <w:szCs w:val="20"/>
                <w:color w:val="auto"/>
              </w:rPr>
            </w:pPr>
            <w:r>
              <w:rPr>
                <w:rFonts w:ascii="Arial" w:cs="Arial" w:eastAsia="Arial" w:hAnsi="Arial"/>
                <w:sz w:val="14"/>
                <w:szCs w:val="14"/>
                <w:b w:val="1"/>
                <w:bCs w:val="1"/>
                <w:color w:val="215BA8"/>
                <w:w w:val="95"/>
              </w:rPr>
              <w:t>2024 Proxy Statement and Notice of Annual Shareholder Meeting</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84</w:t>
            </w:r>
          </w:p>
        </w:tc>
        <w:tc>
          <w:tcPr>
            <w:tcW w:w="0" w:type="dxa"/>
            <w:vAlign w:val="bottom"/>
          </w:tcPr>
          <w:p>
            <w:pPr>
              <w:spacing w:after="0"/>
              <w:rPr>
                <w:sz w:val="1"/>
                <w:szCs w:val="1"/>
                <w:color w:val="auto"/>
              </w:rPr>
            </w:pPr>
          </w:p>
        </w:tc>
      </w:tr>
      <w:tr>
        <w:trPr>
          <w:trHeight w:val="211"/>
        </w:trPr>
        <w:tc>
          <w:tcPr>
            <w:tcW w:w="1640" w:type="dxa"/>
            <w:vAlign w:val="bottom"/>
            <w:tcBorders>
              <w:bottom w:val="single" w:sz="8" w:color="C0C0C0"/>
            </w:tcBorders>
          </w:tcPr>
          <w:p>
            <w:pPr>
              <w:spacing w:after="0"/>
              <w:rPr>
                <w:sz w:val="18"/>
                <w:szCs w:val="18"/>
                <w:color w:val="auto"/>
              </w:rPr>
            </w:pPr>
          </w:p>
        </w:tc>
        <w:tc>
          <w:tcPr>
            <w:tcW w:w="740" w:type="dxa"/>
            <w:vAlign w:val="bottom"/>
            <w:tcBorders>
              <w:bottom w:val="single" w:sz="8" w:color="C0C0C0"/>
            </w:tcBorders>
          </w:tcPr>
          <w:p>
            <w:pPr>
              <w:spacing w:after="0"/>
              <w:rPr>
                <w:sz w:val="18"/>
                <w:szCs w:val="18"/>
                <w:color w:val="auto"/>
              </w:rPr>
            </w:pPr>
          </w:p>
        </w:tc>
        <w:tc>
          <w:tcPr>
            <w:tcW w:w="340" w:type="dxa"/>
            <w:vAlign w:val="bottom"/>
            <w:tcBorders>
              <w:bottom w:val="single" w:sz="8" w:color="C0C0C0"/>
            </w:tcBorders>
          </w:tcPr>
          <w:p>
            <w:pPr>
              <w:spacing w:after="0"/>
              <w:rPr>
                <w:sz w:val="18"/>
                <w:szCs w:val="18"/>
                <w:color w:val="auto"/>
              </w:rPr>
            </w:pPr>
          </w:p>
        </w:tc>
        <w:tc>
          <w:tcPr>
            <w:tcW w:w="200" w:type="dxa"/>
            <w:vAlign w:val="bottom"/>
            <w:tcBorders>
              <w:bottom w:val="single" w:sz="8" w:color="C0C0C0"/>
            </w:tcBorders>
          </w:tcPr>
          <w:p>
            <w:pPr>
              <w:spacing w:after="0"/>
              <w:rPr>
                <w:sz w:val="18"/>
                <w:szCs w:val="18"/>
                <w:color w:val="auto"/>
              </w:rPr>
            </w:pPr>
          </w:p>
        </w:tc>
        <w:tc>
          <w:tcPr>
            <w:tcW w:w="740" w:type="dxa"/>
            <w:vAlign w:val="bottom"/>
            <w:tcBorders>
              <w:bottom w:val="single" w:sz="8" w:color="C0C0C0"/>
            </w:tcBorders>
          </w:tcPr>
          <w:p>
            <w:pPr>
              <w:spacing w:after="0"/>
              <w:rPr>
                <w:sz w:val="18"/>
                <w:szCs w:val="18"/>
                <w:color w:val="auto"/>
              </w:rPr>
            </w:pPr>
          </w:p>
        </w:tc>
        <w:tc>
          <w:tcPr>
            <w:tcW w:w="360" w:type="dxa"/>
            <w:vAlign w:val="bottom"/>
            <w:tcBorders>
              <w:bottom w:val="single" w:sz="8" w:color="C0C0C0"/>
            </w:tcBorders>
          </w:tcPr>
          <w:p>
            <w:pPr>
              <w:spacing w:after="0"/>
              <w:rPr>
                <w:sz w:val="18"/>
                <w:szCs w:val="18"/>
                <w:color w:val="auto"/>
              </w:rPr>
            </w:pPr>
          </w:p>
        </w:tc>
        <w:tc>
          <w:tcPr>
            <w:tcW w:w="900" w:type="dxa"/>
            <w:vAlign w:val="bottom"/>
            <w:tcBorders>
              <w:bottom w:val="single" w:sz="8" w:color="C0C0C0"/>
            </w:tcBorders>
          </w:tcPr>
          <w:p>
            <w:pPr>
              <w:spacing w:after="0"/>
              <w:rPr>
                <w:sz w:val="18"/>
                <w:szCs w:val="18"/>
                <w:color w:val="auto"/>
              </w:rPr>
            </w:pPr>
          </w:p>
        </w:tc>
        <w:tc>
          <w:tcPr>
            <w:tcW w:w="860" w:type="dxa"/>
            <w:vAlign w:val="bottom"/>
            <w:tcBorders>
              <w:bottom w:val="single" w:sz="8" w:color="C0C0C0"/>
            </w:tcBorders>
          </w:tcPr>
          <w:p>
            <w:pPr>
              <w:spacing w:after="0"/>
              <w:rPr>
                <w:sz w:val="18"/>
                <w:szCs w:val="18"/>
                <w:color w:val="auto"/>
              </w:rPr>
            </w:pPr>
          </w:p>
        </w:tc>
        <w:tc>
          <w:tcPr>
            <w:tcW w:w="860" w:type="dxa"/>
            <w:vAlign w:val="bottom"/>
            <w:tcBorders>
              <w:bottom w:val="single" w:sz="8" w:color="C0C0C0"/>
            </w:tcBorders>
          </w:tcPr>
          <w:p>
            <w:pPr>
              <w:spacing w:after="0"/>
              <w:rPr>
                <w:sz w:val="18"/>
                <w:szCs w:val="18"/>
                <w:color w:val="auto"/>
              </w:rPr>
            </w:pPr>
          </w:p>
        </w:tc>
        <w:tc>
          <w:tcPr>
            <w:tcW w:w="180" w:type="dxa"/>
            <w:vAlign w:val="bottom"/>
            <w:tcBorders>
              <w:bottom w:val="single" w:sz="8" w:color="C0C0C0"/>
            </w:tcBorders>
          </w:tcPr>
          <w:p>
            <w:pPr>
              <w:spacing w:after="0"/>
              <w:rPr>
                <w:sz w:val="18"/>
                <w:szCs w:val="18"/>
                <w:color w:val="auto"/>
              </w:rPr>
            </w:pPr>
          </w:p>
        </w:tc>
        <w:tc>
          <w:tcPr>
            <w:tcW w:w="180" w:type="dxa"/>
            <w:vAlign w:val="bottom"/>
            <w:tcBorders>
              <w:bottom w:val="single" w:sz="8" w:color="C0C0C0"/>
            </w:tcBorders>
          </w:tcPr>
          <w:p>
            <w:pPr>
              <w:spacing w:after="0"/>
              <w:rPr>
                <w:sz w:val="18"/>
                <w:szCs w:val="18"/>
                <w:color w:val="auto"/>
              </w:rPr>
            </w:pPr>
          </w:p>
        </w:tc>
        <w:tc>
          <w:tcPr>
            <w:tcW w:w="760" w:type="dxa"/>
            <w:vAlign w:val="bottom"/>
            <w:tcBorders>
              <w:bottom w:val="single" w:sz="8" w:color="C0C0C0"/>
            </w:tcBorders>
          </w:tcPr>
          <w:p>
            <w:pPr>
              <w:spacing w:after="0"/>
              <w:rPr>
                <w:sz w:val="18"/>
                <w:szCs w:val="18"/>
                <w:color w:val="auto"/>
              </w:rPr>
            </w:pPr>
          </w:p>
        </w:tc>
        <w:tc>
          <w:tcPr>
            <w:tcW w:w="940" w:type="dxa"/>
            <w:vAlign w:val="bottom"/>
            <w:tcBorders>
              <w:bottom w:val="single" w:sz="8" w:color="C0C0C0"/>
            </w:tcBorders>
          </w:tcPr>
          <w:p>
            <w:pPr>
              <w:spacing w:after="0"/>
              <w:rPr>
                <w:sz w:val="18"/>
                <w:szCs w:val="18"/>
                <w:color w:val="auto"/>
              </w:rPr>
            </w:pPr>
          </w:p>
        </w:tc>
        <w:tc>
          <w:tcPr>
            <w:tcW w:w="1440" w:type="dxa"/>
            <w:vAlign w:val="bottom"/>
            <w:tcBorders>
              <w:bottom w:val="single" w:sz="8" w:color="C0C0C0"/>
            </w:tcBorders>
          </w:tcPr>
          <w:p>
            <w:pPr>
              <w:spacing w:after="0"/>
              <w:rPr>
                <w:sz w:val="18"/>
                <w:szCs w:val="18"/>
                <w:color w:val="auto"/>
              </w:rPr>
            </w:pPr>
          </w:p>
        </w:tc>
        <w:tc>
          <w:tcPr>
            <w:tcW w:w="1120" w:type="dxa"/>
            <w:vAlign w:val="bottom"/>
            <w:tcBorders>
              <w:bottom w:val="single" w:sz="8" w:color="C0C0C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38"/>
        </w:trPr>
        <w:tc>
          <w:tcPr>
            <w:tcW w:w="1600" w:type="dxa"/>
            <w:vAlign w:val="bottom"/>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98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600" w:type="dxa"/>
            <w:vAlign w:val="bottom"/>
            <w:gridSpan w:val="2"/>
          </w:tcPr>
          <w:p>
            <w:pPr>
              <w:spacing w:after="0"/>
              <w:rPr>
                <w:sz w:val="20"/>
                <w:szCs w:val="20"/>
                <w:color w:val="auto"/>
              </w:rPr>
            </w:pPr>
            <w:r>
              <w:rPr>
                <w:rFonts w:ascii="Arial" w:cs="Arial" w:eastAsia="Arial" w:hAnsi="Arial"/>
                <w:sz w:val="14"/>
                <w:szCs w:val="14"/>
                <w:color w:val="949599"/>
              </w:rPr>
              <w:t>Users’ Guide</w:t>
            </w:r>
          </w:p>
        </w:tc>
        <w:tc>
          <w:tcPr>
            <w:tcW w:w="2100" w:type="dxa"/>
            <w:vAlign w:val="bottom"/>
            <w:gridSpan w:val="4"/>
          </w:tcPr>
          <w:p>
            <w:pPr>
              <w:jc w:val="right"/>
              <w:ind w:right="593"/>
              <w:spacing w:after="0"/>
              <w:rPr>
                <w:sz w:val="20"/>
                <w:szCs w:val="20"/>
                <w:color w:val="auto"/>
              </w:rPr>
            </w:pPr>
            <w:r>
              <w:rPr>
                <w:rFonts w:ascii="Arial" w:cs="Arial" w:eastAsia="Arial" w:hAnsi="Arial"/>
                <w:sz w:val="14"/>
                <w:szCs w:val="14"/>
                <w:color w:val="949599"/>
              </w:rPr>
              <w:t>Board of Directors</w:t>
            </w:r>
          </w:p>
        </w:tc>
        <w:tc>
          <w:tcPr>
            <w:tcW w:w="4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4"/>
                <w:szCs w:val="14"/>
                <w:color w:val="949599"/>
              </w:rPr>
              <w:t>The Company</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color w:val="949599"/>
              </w:rPr>
              <w:t>Shareholders</w:t>
            </w:r>
          </w:p>
        </w:tc>
        <w:tc>
          <w:tcPr>
            <w:tcW w:w="1060" w:type="dxa"/>
            <w:vAlign w:val="bottom"/>
          </w:tcPr>
          <w:p>
            <w:pPr>
              <w:spacing w:after="0"/>
              <w:rPr>
                <w:sz w:val="18"/>
                <w:szCs w:val="18"/>
                <w:color w:val="auto"/>
              </w:rPr>
            </w:pP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0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949599"/>
              </w:rPr>
              <w:t>Other Matters</w:t>
            </w:r>
          </w:p>
        </w:tc>
        <w:tc>
          <w:tcPr>
            <w:tcW w:w="0" w:type="dxa"/>
            <w:vAlign w:val="bottom"/>
          </w:tcPr>
          <w:p>
            <w:pPr>
              <w:spacing w:after="0"/>
              <w:rPr>
                <w:sz w:val="1"/>
                <w:szCs w:val="1"/>
                <w:color w:val="auto"/>
              </w:rPr>
            </w:pPr>
          </w:p>
        </w:tc>
      </w:tr>
      <w:tr>
        <w:trPr>
          <w:trHeight w:val="509"/>
        </w:trPr>
        <w:tc>
          <w:tcPr>
            <w:tcW w:w="1600" w:type="dxa"/>
            <w:vAlign w:val="bottom"/>
            <w:tcBorders>
              <w:bottom w:val="single" w:sz="8" w:color="215AA8"/>
            </w:tcBorders>
            <w:gridSpan w:val="2"/>
          </w:tcPr>
          <w:p>
            <w:pPr>
              <w:ind w:left="560"/>
              <w:spacing w:after="0"/>
              <w:rPr>
                <w:sz w:val="20"/>
                <w:szCs w:val="20"/>
                <w:color w:val="auto"/>
              </w:rPr>
            </w:pPr>
            <w:r>
              <w:rPr>
                <w:rFonts w:ascii="Arial" w:cs="Arial" w:eastAsia="Arial" w:hAnsi="Arial"/>
                <w:sz w:val="14"/>
                <w:szCs w:val="14"/>
                <w:color w:val="215AA8"/>
              </w:rPr>
              <w:t>A</w:t>
            </w:r>
          </w:p>
        </w:tc>
        <w:tc>
          <w:tcPr>
            <w:tcW w:w="1120" w:type="dxa"/>
            <w:vAlign w:val="bottom"/>
            <w:tcBorders>
              <w:bottom w:val="single" w:sz="8" w:color="215AA8"/>
            </w:tcBorders>
            <w:gridSpan w:val="2"/>
          </w:tcPr>
          <w:p>
            <w:pPr>
              <w:ind w:left="320"/>
              <w:spacing w:after="0"/>
              <w:rPr>
                <w:sz w:val="20"/>
                <w:szCs w:val="20"/>
                <w:color w:val="auto"/>
              </w:rPr>
            </w:pPr>
            <w:r>
              <w:rPr>
                <w:rFonts w:ascii="Arial" w:cs="Arial" w:eastAsia="Arial" w:hAnsi="Arial"/>
                <w:sz w:val="14"/>
                <w:szCs w:val="14"/>
                <w:color w:val="215AA8"/>
              </w:rPr>
              <w:t>B</w:t>
            </w:r>
          </w:p>
        </w:tc>
        <w:tc>
          <w:tcPr>
            <w:tcW w:w="200" w:type="dxa"/>
            <w:vAlign w:val="bottom"/>
            <w:tcBorders>
              <w:bottom w:val="single" w:sz="8" w:color="215AA8"/>
            </w:tcBorders>
          </w:tcPr>
          <w:p>
            <w:pPr>
              <w:spacing w:after="0"/>
              <w:rPr>
                <w:sz w:val="24"/>
                <w:szCs w:val="24"/>
                <w:color w:val="auto"/>
              </w:rPr>
            </w:pPr>
          </w:p>
        </w:tc>
        <w:tc>
          <w:tcPr>
            <w:tcW w:w="780" w:type="dxa"/>
            <w:vAlign w:val="bottom"/>
            <w:tcBorders>
              <w:bottom w:val="single" w:sz="8" w:color="215AA8"/>
            </w:tcBorders>
          </w:tcPr>
          <w:p>
            <w:pPr>
              <w:ind w:left="160"/>
              <w:spacing w:after="0"/>
              <w:rPr>
                <w:sz w:val="20"/>
                <w:szCs w:val="20"/>
                <w:color w:val="auto"/>
              </w:rPr>
            </w:pPr>
            <w:r>
              <w:rPr>
                <w:rFonts w:ascii="Arial" w:cs="Arial" w:eastAsia="Arial" w:hAnsi="Arial"/>
                <w:sz w:val="14"/>
                <w:szCs w:val="14"/>
                <w:color w:val="215AA8"/>
              </w:rPr>
              <w:t>C</w:t>
            </w:r>
          </w:p>
        </w:tc>
        <w:tc>
          <w:tcPr>
            <w:tcW w:w="400" w:type="dxa"/>
            <w:vAlign w:val="bottom"/>
            <w:tcBorders>
              <w:bottom w:val="single" w:sz="8" w:color="215AA8"/>
            </w:tcBorders>
          </w:tcPr>
          <w:p>
            <w:pPr>
              <w:spacing w:after="0"/>
              <w:rPr>
                <w:sz w:val="24"/>
                <w:szCs w:val="24"/>
                <w:color w:val="auto"/>
              </w:rPr>
            </w:pPr>
          </w:p>
        </w:tc>
        <w:tc>
          <w:tcPr>
            <w:tcW w:w="1160" w:type="dxa"/>
            <w:vAlign w:val="bottom"/>
            <w:tcBorders>
              <w:bottom w:val="single" w:sz="8" w:color="215AA8"/>
            </w:tcBorders>
          </w:tcPr>
          <w:p>
            <w:pPr>
              <w:jc w:val="right"/>
              <w:ind w:right="652"/>
              <w:spacing w:after="0"/>
              <w:rPr>
                <w:sz w:val="20"/>
                <w:szCs w:val="20"/>
                <w:color w:val="auto"/>
              </w:rPr>
            </w:pPr>
            <w:r>
              <w:rPr>
                <w:rFonts w:ascii="Arial" w:cs="Arial" w:eastAsia="Arial" w:hAnsi="Arial"/>
                <w:sz w:val="14"/>
                <w:szCs w:val="14"/>
                <w:color w:val="215AA8"/>
              </w:rPr>
              <w:t>D</w:t>
            </w:r>
          </w:p>
        </w:tc>
        <w:tc>
          <w:tcPr>
            <w:tcW w:w="880" w:type="dxa"/>
            <w:vAlign w:val="bottom"/>
            <w:tcBorders>
              <w:bottom w:val="single" w:sz="8" w:color="215AA8"/>
            </w:tcBorders>
            <w:gridSpan w:val="2"/>
          </w:tcPr>
          <w:p>
            <w:pPr>
              <w:jc w:val="right"/>
              <w:ind w:right="580"/>
              <w:spacing w:after="0"/>
              <w:rPr>
                <w:sz w:val="20"/>
                <w:szCs w:val="20"/>
                <w:color w:val="auto"/>
              </w:rPr>
            </w:pPr>
            <w:r>
              <w:rPr>
                <w:rFonts w:ascii="Arial" w:cs="Arial" w:eastAsia="Arial" w:hAnsi="Arial"/>
                <w:sz w:val="14"/>
                <w:szCs w:val="14"/>
                <w:color w:val="215AA8"/>
              </w:rPr>
              <w:t>E</w:t>
            </w:r>
          </w:p>
        </w:tc>
        <w:tc>
          <w:tcPr>
            <w:tcW w:w="1080" w:type="dxa"/>
            <w:vAlign w:val="bottom"/>
            <w:tcBorders>
              <w:bottom w:val="single" w:sz="8" w:color="215AA8"/>
            </w:tcBorders>
            <w:gridSpan w:val="2"/>
          </w:tcPr>
          <w:p>
            <w:pPr>
              <w:ind w:left="300"/>
              <w:spacing w:after="0"/>
              <w:rPr>
                <w:sz w:val="20"/>
                <w:szCs w:val="20"/>
                <w:color w:val="auto"/>
              </w:rPr>
            </w:pPr>
            <w:r>
              <w:rPr>
                <w:rFonts w:ascii="Arial" w:cs="Arial" w:eastAsia="Arial" w:hAnsi="Arial"/>
                <w:sz w:val="14"/>
                <w:szCs w:val="14"/>
                <w:color w:val="215AA8"/>
              </w:rPr>
              <w:t>F</w:t>
            </w:r>
          </w:p>
        </w:tc>
        <w:tc>
          <w:tcPr>
            <w:tcW w:w="1060" w:type="dxa"/>
            <w:vAlign w:val="bottom"/>
            <w:tcBorders>
              <w:bottom w:val="single" w:sz="8" w:color="215AA8"/>
            </w:tcBorders>
          </w:tcPr>
          <w:p>
            <w:pPr>
              <w:jc w:val="right"/>
              <w:ind w:right="673"/>
              <w:spacing w:after="0"/>
              <w:rPr>
                <w:sz w:val="20"/>
                <w:szCs w:val="20"/>
                <w:color w:val="auto"/>
              </w:rPr>
            </w:pPr>
            <w:r>
              <w:rPr>
                <w:rFonts w:ascii="Arial" w:cs="Arial" w:eastAsia="Arial" w:hAnsi="Arial"/>
                <w:sz w:val="14"/>
                <w:szCs w:val="14"/>
                <w:color w:val="215AA8"/>
              </w:rPr>
              <w:t>G</w:t>
            </w:r>
          </w:p>
        </w:tc>
        <w:tc>
          <w:tcPr>
            <w:tcW w:w="1000" w:type="dxa"/>
            <w:vAlign w:val="bottom"/>
            <w:tcBorders>
              <w:bottom w:val="single" w:sz="8" w:color="215AA8"/>
            </w:tcBorders>
          </w:tcPr>
          <w:p>
            <w:pPr>
              <w:jc w:val="right"/>
              <w:ind w:right="473"/>
              <w:spacing w:after="0"/>
              <w:rPr>
                <w:sz w:val="20"/>
                <w:szCs w:val="20"/>
                <w:color w:val="auto"/>
              </w:rPr>
            </w:pPr>
            <w:r>
              <w:rPr>
                <w:rFonts w:ascii="Arial" w:cs="Arial" w:eastAsia="Arial" w:hAnsi="Arial"/>
                <w:sz w:val="14"/>
                <w:szCs w:val="14"/>
                <w:color w:val="215AA8"/>
              </w:rPr>
              <w:t>H</w:t>
            </w:r>
          </w:p>
        </w:tc>
        <w:tc>
          <w:tcPr>
            <w:tcW w:w="1000" w:type="dxa"/>
            <w:vAlign w:val="bottom"/>
            <w:tcBorders>
              <w:bottom w:val="single" w:sz="8" w:color="215AA8"/>
            </w:tcBorders>
          </w:tcPr>
          <w:p>
            <w:pPr>
              <w:jc w:val="right"/>
              <w:ind w:right="352"/>
              <w:spacing w:after="0"/>
              <w:rPr>
                <w:sz w:val="20"/>
                <w:szCs w:val="20"/>
                <w:color w:val="auto"/>
              </w:rPr>
            </w:pPr>
            <w:r>
              <w:rPr>
                <w:rFonts w:ascii="Arial" w:cs="Arial" w:eastAsia="Arial" w:hAnsi="Arial"/>
                <w:sz w:val="14"/>
                <w:szCs w:val="14"/>
                <w:color w:val="215AA8"/>
              </w:rPr>
              <w:t>I</w:t>
            </w:r>
          </w:p>
        </w:tc>
        <w:tc>
          <w:tcPr>
            <w:tcW w:w="980" w:type="dxa"/>
            <w:vAlign w:val="bottom"/>
            <w:tcBorders>
              <w:bottom w:val="single" w:sz="8" w:color="215AA8"/>
            </w:tcBorders>
          </w:tcPr>
          <w:p>
            <w:pPr>
              <w:jc w:val="right"/>
              <w:ind w:right="272"/>
              <w:spacing w:after="0"/>
              <w:rPr>
                <w:sz w:val="20"/>
                <w:szCs w:val="20"/>
                <w:color w:val="auto"/>
              </w:rPr>
            </w:pPr>
            <w:r>
              <w:rPr>
                <w:rFonts w:ascii="Arial" w:cs="Arial" w:eastAsia="Arial" w:hAnsi="Arial"/>
                <w:sz w:val="14"/>
                <w:szCs w:val="14"/>
                <w:color w:val="215AA8"/>
              </w:rPr>
              <w:t>J</w:t>
            </w: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Borders>
              <w:bottom w:val="single" w:sz="8" w:color="215AA8"/>
            </w:tcBorders>
          </w:tcPr>
          <w:p>
            <w:pPr>
              <w:spacing w:after="0"/>
              <w:rPr>
                <w:sz w:val="13"/>
                <w:szCs w:val="13"/>
                <w:color w:val="auto"/>
              </w:rPr>
            </w:pPr>
          </w:p>
        </w:tc>
        <w:tc>
          <w:tcPr>
            <w:tcW w:w="380" w:type="dxa"/>
            <w:vAlign w:val="bottom"/>
            <w:tcBorders>
              <w:bottom w:val="single" w:sz="8" w:color="215AA8"/>
            </w:tcBorders>
          </w:tcPr>
          <w:p>
            <w:pPr>
              <w:spacing w:after="0"/>
              <w:rPr>
                <w:sz w:val="13"/>
                <w:szCs w:val="13"/>
                <w:color w:val="auto"/>
              </w:rPr>
            </w:pPr>
          </w:p>
        </w:tc>
        <w:tc>
          <w:tcPr>
            <w:tcW w:w="200" w:type="dxa"/>
            <w:vAlign w:val="bottom"/>
            <w:tcBorders>
              <w:bottom w:val="single" w:sz="8" w:color="215AA8"/>
            </w:tcBorders>
          </w:tcPr>
          <w:p>
            <w:pPr>
              <w:spacing w:after="0"/>
              <w:rPr>
                <w:sz w:val="13"/>
                <w:szCs w:val="13"/>
                <w:color w:val="auto"/>
              </w:rPr>
            </w:pPr>
          </w:p>
        </w:tc>
        <w:tc>
          <w:tcPr>
            <w:tcW w:w="780" w:type="dxa"/>
            <w:vAlign w:val="bottom"/>
            <w:tcBorders>
              <w:bottom w:val="single" w:sz="8" w:color="215AA8"/>
            </w:tcBorders>
          </w:tcPr>
          <w:p>
            <w:pPr>
              <w:spacing w:after="0"/>
              <w:rPr>
                <w:sz w:val="13"/>
                <w:szCs w:val="13"/>
                <w:color w:val="auto"/>
              </w:rPr>
            </w:pPr>
          </w:p>
        </w:tc>
        <w:tc>
          <w:tcPr>
            <w:tcW w:w="1560" w:type="dxa"/>
            <w:vAlign w:val="bottom"/>
            <w:tcBorders>
              <w:bottom w:val="single" w:sz="8" w:color="215AA8"/>
            </w:tcBorders>
            <w:gridSpan w:val="2"/>
          </w:tcPr>
          <w:p>
            <w:pPr>
              <w:jc w:val="right"/>
              <w:ind w:right="532"/>
              <w:spacing w:after="0" w:line="157" w:lineRule="exact"/>
              <w:rPr>
                <w:sz w:val="20"/>
                <w:szCs w:val="20"/>
                <w:color w:val="auto"/>
              </w:rPr>
            </w:pPr>
            <w:r>
              <w:rPr>
                <w:rFonts w:ascii="Arial" w:cs="Arial" w:eastAsia="Arial" w:hAnsi="Arial"/>
                <w:sz w:val="14"/>
                <w:szCs w:val="14"/>
                <w:color w:val="215AA8"/>
              </w:rPr>
              <w:t>Option Awards</w:t>
            </w:r>
          </w:p>
        </w:tc>
        <w:tc>
          <w:tcPr>
            <w:tcW w:w="500" w:type="dxa"/>
            <w:vAlign w:val="bottom"/>
            <w:tcBorders>
              <w:bottom w:val="single" w:sz="8" w:color="215AA8"/>
            </w:tcBorders>
          </w:tcPr>
          <w:p>
            <w:pPr>
              <w:spacing w:after="0"/>
              <w:rPr>
                <w:sz w:val="13"/>
                <w:szCs w:val="13"/>
                <w:color w:val="auto"/>
              </w:rPr>
            </w:pPr>
          </w:p>
        </w:tc>
        <w:tc>
          <w:tcPr>
            <w:tcW w:w="380" w:type="dxa"/>
            <w:vAlign w:val="bottom"/>
            <w:tcBorders>
              <w:bottom w:val="single" w:sz="8" w:color="215AA8"/>
            </w:tcBorders>
          </w:tcPr>
          <w:p>
            <w:pPr>
              <w:spacing w:after="0"/>
              <w:rPr>
                <w:sz w:val="13"/>
                <w:szCs w:val="13"/>
                <w:color w:val="auto"/>
              </w:rPr>
            </w:pPr>
          </w:p>
        </w:tc>
        <w:tc>
          <w:tcPr>
            <w:tcW w:w="700" w:type="dxa"/>
            <w:vAlign w:val="bottom"/>
            <w:tcBorders>
              <w:bottom w:val="single" w:sz="8" w:color="215AA8"/>
            </w:tcBorders>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Borders>
              <w:bottom w:val="single" w:sz="8" w:color="215AA8"/>
            </w:tcBorders>
          </w:tcPr>
          <w:p>
            <w:pPr>
              <w:spacing w:after="0"/>
              <w:rPr>
                <w:sz w:val="13"/>
                <w:szCs w:val="13"/>
                <w:color w:val="auto"/>
              </w:rPr>
            </w:pPr>
          </w:p>
        </w:tc>
        <w:tc>
          <w:tcPr>
            <w:tcW w:w="2000" w:type="dxa"/>
            <w:vAlign w:val="bottom"/>
            <w:tcBorders>
              <w:bottom w:val="single" w:sz="8" w:color="215AA8"/>
            </w:tcBorders>
            <w:gridSpan w:val="2"/>
          </w:tcPr>
          <w:p>
            <w:pPr>
              <w:jc w:val="right"/>
              <w:ind w:right="572"/>
              <w:spacing w:after="0" w:line="157" w:lineRule="exact"/>
              <w:rPr>
                <w:sz w:val="20"/>
                <w:szCs w:val="20"/>
                <w:color w:val="auto"/>
              </w:rPr>
            </w:pPr>
            <w:r>
              <w:rPr>
                <w:rFonts w:ascii="Arial" w:cs="Arial" w:eastAsia="Arial" w:hAnsi="Arial"/>
                <w:sz w:val="14"/>
                <w:szCs w:val="14"/>
                <w:color w:val="215AA8"/>
              </w:rPr>
              <w:t>Stock Awards</w:t>
            </w:r>
          </w:p>
        </w:tc>
        <w:tc>
          <w:tcPr>
            <w:tcW w:w="980" w:type="dxa"/>
            <w:vAlign w:val="bottom"/>
            <w:tcBorders>
              <w:bottom w:val="single" w:sz="8" w:color="215AA8"/>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jc w:val="right"/>
              <w:ind w:right="32"/>
              <w:spacing w:after="0" w:line="147" w:lineRule="exact"/>
              <w:rPr>
                <w:sz w:val="20"/>
                <w:szCs w:val="20"/>
                <w:color w:val="auto"/>
              </w:rPr>
            </w:pPr>
            <w:r>
              <w:rPr>
                <w:rFonts w:ascii="Arial" w:cs="Arial" w:eastAsia="Arial" w:hAnsi="Arial"/>
                <w:sz w:val="14"/>
                <w:szCs w:val="14"/>
                <w:color w:val="215AA8"/>
              </w:rPr>
              <w:t>Equity</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incentive</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Equity</w:t>
            </w:r>
          </w:p>
        </w:tc>
        <w:tc>
          <w:tcPr>
            <w:tcW w:w="9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plan</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incentive</w:t>
            </w:r>
          </w:p>
        </w:tc>
        <w:tc>
          <w:tcPr>
            <w:tcW w:w="9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awards:</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plan</w:t>
            </w:r>
          </w:p>
        </w:tc>
        <w:tc>
          <w:tcPr>
            <w:tcW w:w="980" w:type="dxa"/>
            <w:vAlign w:val="bottom"/>
          </w:tcPr>
          <w:p>
            <w:pPr>
              <w:jc w:val="right"/>
              <w:ind w:right="12"/>
              <w:spacing w:after="0" w:line="157" w:lineRule="exact"/>
              <w:rPr>
                <w:sz w:val="20"/>
                <w:szCs w:val="20"/>
                <w:color w:val="auto"/>
              </w:rPr>
            </w:pPr>
            <w:r>
              <w:rPr>
                <w:rFonts w:ascii="Arial" w:cs="Arial" w:eastAsia="Arial" w:hAnsi="Arial"/>
                <w:sz w:val="14"/>
                <w:szCs w:val="14"/>
                <w:color w:val="215AA8"/>
              </w:rPr>
              <w:t>market or</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awards:</w:t>
            </w:r>
          </w:p>
        </w:tc>
        <w:tc>
          <w:tcPr>
            <w:tcW w:w="9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payout</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473"/>
              <w:spacing w:after="0" w:line="157" w:lineRule="exact"/>
              <w:rPr>
                <w:sz w:val="20"/>
                <w:szCs w:val="20"/>
                <w:color w:val="auto"/>
              </w:rPr>
            </w:pPr>
            <w:r>
              <w:rPr>
                <w:rFonts w:ascii="Arial" w:cs="Arial" w:eastAsia="Arial" w:hAnsi="Arial"/>
                <w:sz w:val="14"/>
                <w:szCs w:val="14"/>
                <w:color w:val="215AA8"/>
              </w:rPr>
              <w:t>Number</w:t>
            </w:r>
          </w:p>
        </w:tc>
        <w:tc>
          <w:tcPr>
            <w:tcW w:w="1000" w:type="dxa"/>
            <w:vAlign w:val="bottom"/>
          </w:tcPr>
          <w:p>
            <w:pPr>
              <w:spacing w:after="0"/>
              <w:rPr>
                <w:sz w:val="13"/>
                <w:szCs w:val="13"/>
                <w:color w:val="auto"/>
              </w:rPr>
            </w:pP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number</w:t>
            </w:r>
          </w:p>
        </w:tc>
        <w:tc>
          <w:tcPr>
            <w:tcW w:w="9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value</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312"/>
              <w:spacing w:after="0" w:line="157" w:lineRule="exact"/>
              <w:rPr>
                <w:sz w:val="20"/>
                <w:szCs w:val="20"/>
                <w:color w:val="auto"/>
              </w:rPr>
            </w:pPr>
            <w:r>
              <w:rPr>
                <w:rFonts w:ascii="Arial" w:cs="Arial" w:eastAsia="Arial" w:hAnsi="Arial"/>
                <w:sz w:val="14"/>
                <w:szCs w:val="14"/>
                <w:color w:val="215AA8"/>
              </w:rPr>
              <w:t>Equity</w:t>
            </w: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473"/>
              <w:spacing w:after="0" w:line="157" w:lineRule="exact"/>
              <w:rPr>
                <w:sz w:val="20"/>
                <w:szCs w:val="20"/>
                <w:color w:val="auto"/>
              </w:rPr>
            </w:pPr>
            <w:r>
              <w:rPr>
                <w:rFonts w:ascii="Arial" w:cs="Arial" w:eastAsia="Arial" w:hAnsi="Arial"/>
                <w:sz w:val="14"/>
                <w:szCs w:val="14"/>
                <w:color w:val="215AA8"/>
              </w:rPr>
              <w:t>of</w:t>
            </w:r>
          </w:p>
        </w:tc>
        <w:tc>
          <w:tcPr>
            <w:tcW w:w="1000" w:type="dxa"/>
            <w:vAlign w:val="bottom"/>
          </w:tcPr>
          <w:p>
            <w:pPr>
              <w:spacing w:after="0"/>
              <w:rPr>
                <w:sz w:val="13"/>
                <w:szCs w:val="13"/>
                <w:color w:val="auto"/>
              </w:rPr>
            </w:pP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of</w:t>
            </w:r>
          </w:p>
        </w:tc>
        <w:tc>
          <w:tcPr>
            <w:tcW w:w="9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of</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312"/>
              <w:spacing w:after="0" w:line="157" w:lineRule="exact"/>
              <w:rPr>
                <w:sz w:val="20"/>
                <w:szCs w:val="20"/>
                <w:color w:val="auto"/>
              </w:rPr>
            </w:pPr>
            <w:r>
              <w:rPr>
                <w:rFonts w:ascii="Arial" w:cs="Arial" w:eastAsia="Arial" w:hAnsi="Arial"/>
                <w:sz w:val="14"/>
                <w:szCs w:val="14"/>
                <w:color w:val="215AA8"/>
              </w:rPr>
              <w:t>incentive</w:t>
            </w: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473"/>
              <w:spacing w:after="0" w:line="157" w:lineRule="exact"/>
              <w:rPr>
                <w:sz w:val="20"/>
                <w:szCs w:val="20"/>
                <w:color w:val="auto"/>
              </w:rPr>
            </w:pPr>
            <w:r>
              <w:rPr>
                <w:rFonts w:ascii="Arial" w:cs="Arial" w:eastAsia="Arial" w:hAnsi="Arial"/>
                <w:sz w:val="14"/>
                <w:szCs w:val="14"/>
                <w:color w:val="215AA8"/>
              </w:rPr>
              <w:t>shares</w:t>
            </w:r>
          </w:p>
        </w:tc>
        <w:tc>
          <w:tcPr>
            <w:tcW w:w="1000" w:type="dxa"/>
            <w:vAlign w:val="bottom"/>
          </w:tcPr>
          <w:p>
            <w:pPr>
              <w:spacing w:after="0"/>
              <w:rPr>
                <w:sz w:val="13"/>
                <w:szCs w:val="13"/>
                <w:color w:val="auto"/>
              </w:rPr>
            </w:pP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unearned</w:t>
            </w:r>
          </w:p>
        </w:tc>
        <w:tc>
          <w:tcPr>
            <w:tcW w:w="980" w:type="dxa"/>
            <w:vAlign w:val="bottom"/>
          </w:tcPr>
          <w:p>
            <w:pPr>
              <w:jc w:val="right"/>
              <w:ind w:right="12"/>
              <w:spacing w:after="0" w:line="157" w:lineRule="exact"/>
              <w:rPr>
                <w:sz w:val="20"/>
                <w:szCs w:val="20"/>
                <w:color w:val="auto"/>
              </w:rPr>
            </w:pPr>
            <w:r>
              <w:rPr>
                <w:rFonts w:ascii="Arial" w:cs="Arial" w:eastAsia="Arial" w:hAnsi="Arial"/>
                <w:sz w:val="14"/>
                <w:szCs w:val="14"/>
                <w:color w:val="215AA8"/>
              </w:rPr>
              <w:t>unearned</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312"/>
              <w:spacing w:after="0" w:line="157" w:lineRule="exact"/>
              <w:rPr>
                <w:sz w:val="20"/>
                <w:szCs w:val="20"/>
                <w:color w:val="auto"/>
              </w:rPr>
            </w:pPr>
            <w:r>
              <w:rPr>
                <w:rFonts w:ascii="Arial" w:cs="Arial" w:eastAsia="Arial" w:hAnsi="Arial"/>
                <w:sz w:val="14"/>
                <w:szCs w:val="14"/>
                <w:color w:val="215AA8"/>
                <w:w w:val="95"/>
              </w:rPr>
              <w:t>plan awards:</w:t>
            </w: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473"/>
              <w:spacing w:after="0" w:line="157" w:lineRule="exact"/>
              <w:rPr>
                <w:sz w:val="20"/>
                <w:szCs w:val="20"/>
                <w:color w:val="auto"/>
              </w:rPr>
            </w:pPr>
            <w:r>
              <w:rPr>
                <w:rFonts w:ascii="Arial" w:cs="Arial" w:eastAsia="Arial" w:hAnsi="Arial"/>
                <w:sz w:val="14"/>
                <w:szCs w:val="14"/>
                <w:color w:val="215AA8"/>
              </w:rPr>
              <w:t>or</w:t>
            </w:r>
          </w:p>
        </w:tc>
        <w:tc>
          <w:tcPr>
            <w:tcW w:w="1000" w:type="dxa"/>
            <w:vAlign w:val="bottom"/>
          </w:tcPr>
          <w:p>
            <w:pPr>
              <w:jc w:val="right"/>
              <w:ind w:right="133"/>
              <w:spacing w:after="0" w:line="157" w:lineRule="exact"/>
              <w:rPr>
                <w:sz w:val="20"/>
                <w:szCs w:val="20"/>
                <w:color w:val="auto"/>
              </w:rPr>
            </w:pPr>
            <w:r>
              <w:rPr>
                <w:rFonts w:ascii="Arial" w:cs="Arial" w:eastAsia="Arial" w:hAnsi="Arial"/>
                <w:sz w:val="14"/>
                <w:szCs w:val="14"/>
                <w:color w:val="215AA8"/>
              </w:rPr>
              <w:t>Market</w:t>
            </w: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shares,</w:t>
            </w:r>
          </w:p>
        </w:tc>
        <w:tc>
          <w:tcPr>
            <w:tcW w:w="9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shares,</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215AA8"/>
              </w:rPr>
              <w:t>Number of</w:t>
            </w:r>
          </w:p>
        </w:tc>
        <w:tc>
          <w:tcPr>
            <w:tcW w:w="980" w:type="dxa"/>
            <w:vAlign w:val="bottom"/>
            <w:gridSpan w:val="2"/>
          </w:tcPr>
          <w:p>
            <w:pPr>
              <w:jc w:val="right"/>
              <w:ind w:right="93"/>
              <w:spacing w:after="0" w:line="157" w:lineRule="exact"/>
              <w:rPr>
                <w:sz w:val="20"/>
                <w:szCs w:val="20"/>
                <w:color w:val="auto"/>
              </w:rPr>
            </w:pPr>
            <w:r>
              <w:rPr>
                <w:rFonts w:ascii="Arial" w:cs="Arial" w:eastAsia="Arial" w:hAnsi="Arial"/>
                <w:sz w:val="14"/>
                <w:szCs w:val="14"/>
                <w:color w:val="215AA8"/>
              </w:rPr>
              <w:t>Number of</w:t>
            </w:r>
          </w:p>
        </w:tc>
        <w:tc>
          <w:tcPr>
            <w:tcW w:w="400" w:type="dxa"/>
            <w:vAlign w:val="bottom"/>
          </w:tcPr>
          <w:p>
            <w:pPr>
              <w:spacing w:after="0"/>
              <w:rPr>
                <w:sz w:val="13"/>
                <w:szCs w:val="13"/>
                <w:color w:val="auto"/>
              </w:rPr>
            </w:pPr>
          </w:p>
        </w:tc>
        <w:tc>
          <w:tcPr>
            <w:tcW w:w="1160" w:type="dxa"/>
            <w:vAlign w:val="bottom"/>
          </w:tcPr>
          <w:p>
            <w:pPr>
              <w:jc w:val="right"/>
              <w:ind w:right="312"/>
              <w:spacing w:after="0" w:line="157" w:lineRule="exact"/>
              <w:rPr>
                <w:sz w:val="20"/>
                <w:szCs w:val="20"/>
                <w:color w:val="auto"/>
              </w:rPr>
            </w:pPr>
            <w:r>
              <w:rPr>
                <w:rFonts w:ascii="Arial" w:cs="Arial" w:eastAsia="Arial" w:hAnsi="Arial"/>
                <w:sz w:val="14"/>
                <w:szCs w:val="14"/>
                <w:color w:val="215AA8"/>
              </w:rPr>
              <w:t>number of</w:t>
            </w: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473"/>
              <w:spacing w:after="0" w:line="157" w:lineRule="exact"/>
              <w:rPr>
                <w:sz w:val="20"/>
                <w:szCs w:val="20"/>
                <w:color w:val="auto"/>
              </w:rPr>
            </w:pPr>
            <w:r>
              <w:rPr>
                <w:rFonts w:ascii="Arial" w:cs="Arial" w:eastAsia="Arial" w:hAnsi="Arial"/>
                <w:sz w:val="14"/>
                <w:szCs w:val="14"/>
                <w:color w:val="215AA8"/>
              </w:rPr>
              <w:t>units of</w:t>
            </w:r>
          </w:p>
        </w:tc>
        <w:tc>
          <w:tcPr>
            <w:tcW w:w="1000" w:type="dxa"/>
            <w:vAlign w:val="bottom"/>
          </w:tcPr>
          <w:p>
            <w:pPr>
              <w:jc w:val="right"/>
              <w:ind w:right="133"/>
              <w:spacing w:after="0" w:line="157" w:lineRule="exact"/>
              <w:rPr>
                <w:sz w:val="20"/>
                <w:szCs w:val="20"/>
                <w:color w:val="auto"/>
              </w:rPr>
            </w:pPr>
            <w:r>
              <w:rPr>
                <w:rFonts w:ascii="Arial" w:cs="Arial" w:eastAsia="Arial" w:hAnsi="Arial"/>
                <w:sz w:val="14"/>
                <w:szCs w:val="14"/>
                <w:color w:val="215AA8"/>
              </w:rPr>
              <w:t>value</w:t>
            </w: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units or</w:t>
            </w:r>
          </w:p>
        </w:tc>
        <w:tc>
          <w:tcPr>
            <w:tcW w:w="9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units</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215AA8"/>
              </w:rPr>
              <w:t>securities</w:t>
            </w:r>
          </w:p>
        </w:tc>
        <w:tc>
          <w:tcPr>
            <w:tcW w:w="200" w:type="dxa"/>
            <w:vAlign w:val="bottom"/>
          </w:tcPr>
          <w:p>
            <w:pPr>
              <w:spacing w:after="0"/>
              <w:rPr>
                <w:sz w:val="13"/>
                <w:szCs w:val="13"/>
                <w:color w:val="auto"/>
              </w:rPr>
            </w:pPr>
          </w:p>
        </w:tc>
        <w:tc>
          <w:tcPr>
            <w:tcW w:w="780" w:type="dxa"/>
            <w:vAlign w:val="bottom"/>
          </w:tcPr>
          <w:p>
            <w:pPr>
              <w:jc w:val="right"/>
              <w:ind w:right="93"/>
              <w:spacing w:after="0" w:line="157" w:lineRule="exact"/>
              <w:rPr>
                <w:sz w:val="20"/>
                <w:szCs w:val="20"/>
                <w:color w:val="auto"/>
              </w:rPr>
            </w:pPr>
            <w:r>
              <w:rPr>
                <w:rFonts w:ascii="Arial" w:cs="Arial" w:eastAsia="Arial" w:hAnsi="Arial"/>
                <w:sz w:val="14"/>
                <w:szCs w:val="14"/>
                <w:color w:val="215AA8"/>
              </w:rPr>
              <w:t>securities</w:t>
            </w:r>
          </w:p>
        </w:tc>
        <w:tc>
          <w:tcPr>
            <w:tcW w:w="400" w:type="dxa"/>
            <w:vAlign w:val="bottom"/>
          </w:tcPr>
          <w:p>
            <w:pPr>
              <w:spacing w:after="0"/>
              <w:rPr>
                <w:sz w:val="13"/>
                <w:szCs w:val="13"/>
                <w:color w:val="auto"/>
              </w:rPr>
            </w:pPr>
          </w:p>
        </w:tc>
        <w:tc>
          <w:tcPr>
            <w:tcW w:w="1160" w:type="dxa"/>
            <w:vAlign w:val="bottom"/>
          </w:tcPr>
          <w:p>
            <w:pPr>
              <w:jc w:val="right"/>
              <w:ind w:right="312"/>
              <w:spacing w:after="0" w:line="157" w:lineRule="exact"/>
              <w:rPr>
                <w:sz w:val="20"/>
                <w:szCs w:val="20"/>
                <w:color w:val="auto"/>
              </w:rPr>
            </w:pPr>
            <w:r>
              <w:rPr>
                <w:rFonts w:ascii="Arial" w:cs="Arial" w:eastAsia="Arial" w:hAnsi="Arial"/>
                <w:sz w:val="14"/>
                <w:szCs w:val="14"/>
                <w:color w:val="215AA8"/>
              </w:rPr>
              <w:t>securities</w:t>
            </w: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473"/>
              <w:spacing w:after="0" w:line="157" w:lineRule="exact"/>
              <w:rPr>
                <w:sz w:val="20"/>
                <w:szCs w:val="20"/>
                <w:color w:val="auto"/>
              </w:rPr>
            </w:pPr>
            <w:r>
              <w:rPr>
                <w:rFonts w:ascii="Arial" w:cs="Arial" w:eastAsia="Arial" w:hAnsi="Arial"/>
                <w:sz w:val="14"/>
                <w:szCs w:val="14"/>
                <w:color w:val="215AA8"/>
              </w:rPr>
              <w:t>stock</w:t>
            </w:r>
          </w:p>
        </w:tc>
        <w:tc>
          <w:tcPr>
            <w:tcW w:w="1000" w:type="dxa"/>
            <w:vAlign w:val="bottom"/>
          </w:tcPr>
          <w:p>
            <w:pPr>
              <w:jc w:val="right"/>
              <w:ind w:right="133"/>
              <w:spacing w:after="0" w:line="157" w:lineRule="exact"/>
              <w:rPr>
                <w:sz w:val="20"/>
                <w:szCs w:val="20"/>
                <w:color w:val="auto"/>
              </w:rPr>
            </w:pPr>
            <w:r>
              <w:rPr>
                <w:rFonts w:ascii="Arial" w:cs="Arial" w:eastAsia="Arial" w:hAnsi="Arial"/>
                <w:sz w:val="14"/>
                <w:szCs w:val="14"/>
                <w:color w:val="215AA8"/>
              </w:rPr>
              <w:t>of shares</w:t>
            </w: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other</w:t>
            </w:r>
          </w:p>
        </w:tc>
        <w:tc>
          <w:tcPr>
            <w:tcW w:w="9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or other</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215AA8"/>
              </w:rPr>
              <w:t>underlying</w:t>
            </w:r>
          </w:p>
        </w:tc>
        <w:tc>
          <w:tcPr>
            <w:tcW w:w="200" w:type="dxa"/>
            <w:vAlign w:val="bottom"/>
          </w:tcPr>
          <w:p>
            <w:pPr>
              <w:spacing w:after="0"/>
              <w:rPr>
                <w:sz w:val="13"/>
                <w:szCs w:val="13"/>
                <w:color w:val="auto"/>
              </w:rPr>
            </w:pPr>
          </w:p>
        </w:tc>
        <w:tc>
          <w:tcPr>
            <w:tcW w:w="780" w:type="dxa"/>
            <w:vAlign w:val="bottom"/>
          </w:tcPr>
          <w:p>
            <w:pPr>
              <w:jc w:val="right"/>
              <w:ind w:right="93"/>
              <w:spacing w:after="0" w:line="157" w:lineRule="exact"/>
              <w:rPr>
                <w:sz w:val="20"/>
                <w:szCs w:val="20"/>
                <w:color w:val="auto"/>
              </w:rPr>
            </w:pPr>
            <w:r>
              <w:rPr>
                <w:rFonts w:ascii="Arial" w:cs="Arial" w:eastAsia="Arial" w:hAnsi="Arial"/>
                <w:sz w:val="14"/>
                <w:szCs w:val="14"/>
                <w:color w:val="215AA8"/>
                <w:w w:val="92"/>
              </w:rPr>
              <w:t>underlying</w:t>
            </w:r>
          </w:p>
        </w:tc>
        <w:tc>
          <w:tcPr>
            <w:tcW w:w="400" w:type="dxa"/>
            <w:vAlign w:val="bottom"/>
          </w:tcPr>
          <w:p>
            <w:pPr>
              <w:spacing w:after="0"/>
              <w:rPr>
                <w:sz w:val="13"/>
                <w:szCs w:val="13"/>
                <w:color w:val="auto"/>
              </w:rPr>
            </w:pPr>
          </w:p>
        </w:tc>
        <w:tc>
          <w:tcPr>
            <w:tcW w:w="1160" w:type="dxa"/>
            <w:vAlign w:val="bottom"/>
          </w:tcPr>
          <w:p>
            <w:pPr>
              <w:jc w:val="right"/>
              <w:ind w:right="312"/>
              <w:spacing w:after="0" w:line="157" w:lineRule="exact"/>
              <w:rPr>
                <w:sz w:val="20"/>
                <w:szCs w:val="20"/>
                <w:color w:val="auto"/>
              </w:rPr>
            </w:pPr>
            <w:r>
              <w:rPr>
                <w:rFonts w:ascii="Arial" w:cs="Arial" w:eastAsia="Arial" w:hAnsi="Arial"/>
                <w:sz w:val="14"/>
                <w:szCs w:val="14"/>
                <w:color w:val="215AA8"/>
              </w:rPr>
              <w:t>underlying</w:t>
            </w: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473"/>
              <w:spacing w:after="0" w:line="157" w:lineRule="exact"/>
              <w:rPr>
                <w:sz w:val="20"/>
                <w:szCs w:val="20"/>
                <w:color w:val="auto"/>
              </w:rPr>
            </w:pPr>
            <w:r>
              <w:rPr>
                <w:rFonts w:ascii="Arial" w:cs="Arial" w:eastAsia="Arial" w:hAnsi="Arial"/>
                <w:sz w:val="14"/>
                <w:szCs w:val="14"/>
                <w:color w:val="215AA8"/>
              </w:rPr>
              <w:t>that</w:t>
            </w:r>
          </w:p>
        </w:tc>
        <w:tc>
          <w:tcPr>
            <w:tcW w:w="1000" w:type="dxa"/>
            <w:vAlign w:val="bottom"/>
          </w:tcPr>
          <w:p>
            <w:pPr>
              <w:jc w:val="right"/>
              <w:ind w:right="133"/>
              <w:spacing w:after="0" w:line="157" w:lineRule="exact"/>
              <w:rPr>
                <w:sz w:val="20"/>
                <w:szCs w:val="20"/>
                <w:color w:val="auto"/>
              </w:rPr>
            </w:pPr>
            <w:r>
              <w:rPr>
                <w:rFonts w:ascii="Arial" w:cs="Arial" w:eastAsia="Arial" w:hAnsi="Arial"/>
                <w:sz w:val="14"/>
                <w:szCs w:val="14"/>
                <w:color w:val="215AA8"/>
              </w:rPr>
              <w:t>or units</w:t>
            </w: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rights</w:t>
            </w:r>
          </w:p>
        </w:tc>
        <w:tc>
          <w:tcPr>
            <w:tcW w:w="9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rights</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215AA8"/>
                <w:w w:val="95"/>
              </w:rPr>
              <w:t>unexercised</w:t>
            </w:r>
          </w:p>
        </w:tc>
        <w:tc>
          <w:tcPr>
            <w:tcW w:w="980" w:type="dxa"/>
            <w:vAlign w:val="bottom"/>
            <w:gridSpan w:val="2"/>
          </w:tcPr>
          <w:p>
            <w:pPr>
              <w:jc w:val="right"/>
              <w:ind w:right="93"/>
              <w:spacing w:after="0" w:line="157" w:lineRule="exact"/>
              <w:rPr>
                <w:sz w:val="20"/>
                <w:szCs w:val="20"/>
                <w:color w:val="auto"/>
              </w:rPr>
            </w:pPr>
            <w:r>
              <w:rPr>
                <w:rFonts w:ascii="Arial" w:cs="Arial" w:eastAsia="Arial" w:hAnsi="Arial"/>
                <w:sz w:val="14"/>
                <w:szCs w:val="14"/>
                <w:color w:val="215AA8"/>
              </w:rPr>
              <w:t>unexercised</w:t>
            </w:r>
          </w:p>
        </w:tc>
        <w:tc>
          <w:tcPr>
            <w:tcW w:w="400" w:type="dxa"/>
            <w:vAlign w:val="bottom"/>
          </w:tcPr>
          <w:p>
            <w:pPr>
              <w:spacing w:after="0"/>
              <w:rPr>
                <w:sz w:val="13"/>
                <w:szCs w:val="13"/>
                <w:color w:val="auto"/>
              </w:rPr>
            </w:pPr>
          </w:p>
        </w:tc>
        <w:tc>
          <w:tcPr>
            <w:tcW w:w="1160" w:type="dxa"/>
            <w:vAlign w:val="bottom"/>
          </w:tcPr>
          <w:p>
            <w:pPr>
              <w:jc w:val="right"/>
              <w:ind w:right="312"/>
              <w:spacing w:after="0" w:line="157" w:lineRule="exact"/>
              <w:rPr>
                <w:sz w:val="20"/>
                <w:szCs w:val="20"/>
                <w:color w:val="auto"/>
              </w:rPr>
            </w:pPr>
            <w:r>
              <w:rPr>
                <w:rFonts w:ascii="Arial" w:cs="Arial" w:eastAsia="Arial" w:hAnsi="Arial"/>
                <w:sz w:val="14"/>
                <w:szCs w:val="14"/>
                <w:color w:val="215AA8"/>
              </w:rPr>
              <w:t>unexercised</w:t>
            </w: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215AA8"/>
              </w:rPr>
              <w:t>Option</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473"/>
              <w:spacing w:after="0" w:line="157" w:lineRule="exact"/>
              <w:rPr>
                <w:sz w:val="20"/>
                <w:szCs w:val="20"/>
                <w:color w:val="auto"/>
              </w:rPr>
            </w:pPr>
            <w:r>
              <w:rPr>
                <w:rFonts w:ascii="Arial" w:cs="Arial" w:eastAsia="Arial" w:hAnsi="Arial"/>
                <w:sz w:val="14"/>
                <w:szCs w:val="14"/>
                <w:color w:val="215AA8"/>
              </w:rPr>
              <w:t>have</w:t>
            </w:r>
          </w:p>
        </w:tc>
        <w:tc>
          <w:tcPr>
            <w:tcW w:w="1000" w:type="dxa"/>
            <w:vAlign w:val="bottom"/>
          </w:tcPr>
          <w:p>
            <w:pPr>
              <w:jc w:val="right"/>
              <w:ind w:right="133"/>
              <w:spacing w:after="0" w:line="157" w:lineRule="exact"/>
              <w:rPr>
                <w:sz w:val="20"/>
                <w:szCs w:val="20"/>
                <w:color w:val="auto"/>
              </w:rPr>
            </w:pPr>
            <w:r>
              <w:rPr>
                <w:rFonts w:ascii="Arial" w:cs="Arial" w:eastAsia="Arial" w:hAnsi="Arial"/>
                <w:sz w:val="14"/>
                <w:szCs w:val="14"/>
                <w:color w:val="215AA8"/>
              </w:rPr>
              <w:t>of stock</w:t>
            </w: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that</w:t>
            </w:r>
          </w:p>
        </w:tc>
        <w:tc>
          <w:tcPr>
            <w:tcW w:w="9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that have</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215AA8"/>
              </w:rPr>
              <w:t>options</w:t>
            </w:r>
          </w:p>
        </w:tc>
        <w:tc>
          <w:tcPr>
            <w:tcW w:w="200" w:type="dxa"/>
            <w:vAlign w:val="bottom"/>
          </w:tcPr>
          <w:p>
            <w:pPr>
              <w:spacing w:after="0"/>
              <w:rPr>
                <w:sz w:val="13"/>
                <w:szCs w:val="13"/>
                <w:color w:val="auto"/>
              </w:rPr>
            </w:pPr>
          </w:p>
        </w:tc>
        <w:tc>
          <w:tcPr>
            <w:tcW w:w="780" w:type="dxa"/>
            <w:vAlign w:val="bottom"/>
          </w:tcPr>
          <w:p>
            <w:pPr>
              <w:jc w:val="right"/>
              <w:ind w:right="93"/>
              <w:spacing w:after="0" w:line="157" w:lineRule="exact"/>
              <w:rPr>
                <w:sz w:val="20"/>
                <w:szCs w:val="20"/>
                <w:color w:val="auto"/>
              </w:rPr>
            </w:pPr>
            <w:r>
              <w:rPr>
                <w:rFonts w:ascii="Arial" w:cs="Arial" w:eastAsia="Arial" w:hAnsi="Arial"/>
                <w:sz w:val="14"/>
                <w:szCs w:val="14"/>
                <w:color w:val="215AA8"/>
              </w:rPr>
              <w:t>options</w:t>
            </w:r>
          </w:p>
        </w:tc>
        <w:tc>
          <w:tcPr>
            <w:tcW w:w="400" w:type="dxa"/>
            <w:vAlign w:val="bottom"/>
          </w:tcPr>
          <w:p>
            <w:pPr>
              <w:spacing w:after="0"/>
              <w:rPr>
                <w:sz w:val="13"/>
                <w:szCs w:val="13"/>
                <w:color w:val="auto"/>
              </w:rPr>
            </w:pPr>
          </w:p>
        </w:tc>
        <w:tc>
          <w:tcPr>
            <w:tcW w:w="1160" w:type="dxa"/>
            <w:vAlign w:val="bottom"/>
          </w:tcPr>
          <w:p>
            <w:pPr>
              <w:jc w:val="right"/>
              <w:ind w:right="312"/>
              <w:spacing w:after="0" w:line="157" w:lineRule="exact"/>
              <w:rPr>
                <w:sz w:val="20"/>
                <w:szCs w:val="20"/>
                <w:color w:val="auto"/>
              </w:rPr>
            </w:pPr>
            <w:r>
              <w:rPr>
                <w:rFonts w:ascii="Arial" w:cs="Arial" w:eastAsia="Arial" w:hAnsi="Arial"/>
                <w:sz w:val="14"/>
                <w:szCs w:val="14"/>
                <w:color w:val="215AA8"/>
              </w:rPr>
              <w:t>unearned</w:t>
            </w: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215AA8"/>
                <w:w w:val="91"/>
              </w:rPr>
              <w:t>exercise</w:t>
            </w:r>
          </w:p>
        </w:tc>
        <w:tc>
          <w:tcPr>
            <w:tcW w:w="10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215AA8"/>
              </w:rPr>
              <w:t>Option</w:t>
            </w:r>
          </w:p>
        </w:tc>
        <w:tc>
          <w:tcPr>
            <w:tcW w:w="1060" w:type="dxa"/>
            <w:vAlign w:val="bottom"/>
          </w:tcPr>
          <w:p>
            <w:pPr>
              <w:jc w:val="right"/>
              <w:ind w:right="473"/>
              <w:spacing w:after="0" w:line="157" w:lineRule="exact"/>
              <w:rPr>
                <w:sz w:val="20"/>
                <w:szCs w:val="20"/>
                <w:color w:val="auto"/>
              </w:rPr>
            </w:pPr>
            <w:r>
              <w:rPr>
                <w:rFonts w:ascii="Arial" w:cs="Arial" w:eastAsia="Arial" w:hAnsi="Arial"/>
                <w:sz w:val="14"/>
                <w:szCs w:val="14"/>
                <w:color w:val="215AA8"/>
              </w:rPr>
              <w:t>not</w:t>
            </w:r>
          </w:p>
        </w:tc>
        <w:tc>
          <w:tcPr>
            <w:tcW w:w="1000" w:type="dxa"/>
            <w:vAlign w:val="bottom"/>
          </w:tcPr>
          <w:p>
            <w:pPr>
              <w:jc w:val="right"/>
              <w:ind w:right="133"/>
              <w:spacing w:after="0" w:line="157" w:lineRule="exact"/>
              <w:rPr>
                <w:sz w:val="20"/>
                <w:szCs w:val="20"/>
                <w:color w:val="auto"/>
              </w:rPr>
            </w:pPr>
            <w:r>
              <w:rPr>
                <w:rFonts w:ascii="Arial" w:cs="Arial" w:eastAsia="Arial" w:hAnsi="Arial"/>
                <w:sz w:val="14"/>
                <w:szCs w:val="14"/>
                <w:color w:val="215AA8"/>
              </w:rPr>
              <w:t>that have</w:t>
            </w: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have not</w:t>
            </w:r>
          </w:p>
        </w:tc>
        <w:tc>
          <w:tcPr>
            <w:tcW w:w="9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not</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215AA8"/>
              </w:rPr>
              <w:t>exercisable</w:t>
            </w:r>
          </w:p>
        </w:tc>
        <w:tc>
          <w:tcPr>
            <w:tcW w:w="980" w:type="dxa"/>
            <w:vAlign w:val="bottom"/>
            <w:gridSpan w:val="2"/>
          </w:tcPr>
          <w:p>
            <w:pPr>
              <w:jc w:val="right"/>
              <w:ind w:right="93"/>
              <w:spacing w:after="0" w:line="157" w:lineRule="exact"/>
              <w:rPr>
                <w:sz w:val="20"/>
                <w:szCs w:val="20"/>
                <w:color w:val="auto"/>
              </w:rPr>
            </w:pPr>
            <w:r>
              <w:rPr>
                <w:rFonts w:ascii="Arial" w:cs="Arial" w:eastAsia="Arial" w:hAnsi="Arial"/>
                <w:sz w:val="14"/>
                <w:szCs w:val="14"/>
                <w:color w:val="215AA8"/>
                <w:w w:val="92"/>
              </w:rPr>
              <w:t>unexercisable</w:t>
            </w:r>
          </w:p>
        </w:tc>
        <w:tc>
          <w:tcPr>
            <w:tcW w:w="400" w:type="dxa"/>
            <w:vAlign w:val="bottom"/>
          </w:tcPr>
          <w:p>
            <w:pPr>
              <w:spacing w:after="0"/>
              <w:rPr>
                <w:sz w:val="13"/>
                <w:szCs w:val="13"/>
                <w:color w:val="auto"/>
              </w:rPr>
            </w:pPr>
          </w:p>
        </w:tc>
        <w:tc>
          <w:tcPr>
            <w:tcW w:w="1160" w:type="dxa"/>
            <w:vAlign w:val="bottom"/>
          </w:tcPr>
          <w:p>
            <w:pPr>
              <w:jc w:val="right"/>
              <w:ind w:right="312"/>
              <w:spacing w:after="0" w:line="157" w:lineRule="exact"/>
              <w:rPr>
                <w:sz w:val="20"/>
                <w:szCs w:val="20"/>
                <w:color w:val="auto"/>
              </w:rPr>
            </w:pPr>
            <w:r>
              <w:rPr>
                <w:rFonts w:ascii="Arial" w:cs="Arial" w:eastAsia="Arial" w:hAnsi="Arial"/>
                <w:sz w:val="14"/>
                <w:szCs w:val="14"/>
                <w:color w:val="215AA8"/>
              </w:rPr>
              <w:t>options</w:t>
            </w: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215AA8"/>
              </w:rPr>
              <w:t>price</w:t>
            </w:r>
          </w:p>
        </w:tc>
        <w:tc>
          <w:tcPr>
            <w:tcW w:w="10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215AA8"/>
              </w:rPr>
              <w:t>expiration</w:t>
            </w:r>
          </w:p>
        </w:tc>
        <w:tc>
          <w:tcPr>
            <w:tcW w:w="1060" w:type="dxa"/>
            <w:vAlign w:val="bottom"/>
          </w:tcPr>
          <w:p>
            <w:pPr>
              <w:jc w:val="right"/>
              <w:ind w:right="473"/>
              <w:spacing w:after="0" w:line="157" w:lineRule="exact"/>
              <w:rPr>
                <w:sz w:val="20"/>
                <w:szCs w:val="20"/>
                <w:color w:val="auto"/>
              </w:rPr>
            </w:pPr>
            <w:r>
              <w:rPr>
                <w:rFonts w:ascii="Arial" w:cs="Arial" w:eastAsia="Arial" w:hAnsi="Arial"/>
                <w:sz w:val="14"/>
                <w:szCs w:val="14"/>
                <w:color w:val="215AA8"/>
              </w:rPr>
              <w:t>vested</w:t>
            </w:r>
          </w:p>
        </w:tc>
        <w:tc>
          <w:tcPr>
            <w:tcW w:w="1000" w:type="dxa"/>
            <w:vAlign w:val="bottom"/>
          </w:tcPr>
          <w:p>
            <w:pPr>
              <w:jc w:val="right"/>
              <w:ind w:right="133"/>
              <w:spacing w:after="0" w:line="157" w:lineRule="exact"/>
              <w:rPr>
                <w:sz w:val="20"/>
                <w:szCs w:val="20"/>
                <w:color w:val="auto"/>
              </w:rPr>
            </w:pPr>
            <w:r>
              <w:rPr>
                <w:rFonts w:ascii="Arial" w:cs="Arial" w:eastAsia="Arial" w:hAnsi="Arial"/>
                <w:sz w:val="14"/>
                <w:szCs w:val="14"/>
                <w:color w:val="215AA8"/>
              </w:rPr>
              <w:t>not vested</w:t>
            </w:r>
          </w:p>
        </w:tc>
        <w:tc>
          <w:tcPr>
            <w:tcW w:w="100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vested</w:t>
            </w:r>
          </w:p>
        </w:tc>
        <w:tc>
          <w:tcPr>
            <w:tcW w:w="980" w:type="dxa"/>
            <w:vAlign w:val="bottom"/>
          </w:tcPr>
          <w:p>
            <w:pPr>
              <w:jc w:val="right"/>
              <w:ind w:right="32"/>
              <w:spacing w:after="0" w:line="157" w:lineRule="exact"/>
              <w:rPr>
                <w:sz w:val="20"/>
                <w:szCs w:val="20"/>
                <w:color w:val="auto"/>
              </w:rPr>
            </w:pPr>
            <w:r>
              <w:rPr>
                <w:rFonts w:ascii="Arial" w:cs="Arial" w:eastAsia="Arial" w:hAnsi="Arial"/>
                <w:sz w:val="14"/>
                <w:szCs w:val="14"/>
                <w:color w:val="215AA8"/>
              </w:rPr>
              <w:t>vested</w:t>
            </w:r>
          </w:p>
        </w:tc>
        <w:tc>
          <w:tcPr>
            <w:tcW w:w="0" w:type="dxa"/>
            <w:vAlign w:val="bottom"/>
          </w:tcPr>
          <w:p>
            <w:pPr>
              <w:spacing w:after="0"/>
              <w:rPr>
                <w:sz w:val="1"/>
                <w:szCs w:val="1"/>
                <w:color w:val="auto"/>
              </w:rPr>
            </w:pPr>
          </w:p>
        </w:tc>
      </w:tr>
      <w:tr>
        <w:trPr>
          <w:trHeight w:val="171"/>
        </w:trPr>
        <w:tc>
          <w:tcPr>
            <w:tcW w:w="1600" w:type="dxa"/>
            <w:vAlign w:val="bottom"/>
            <w:tcBorders>
              <w:bottom w:val="single" w:sz="8" w:color="215AA8"/>
            </w:tcBorders>
            <w:gridSpan w:val="2"/>
          </w:tcPr>
          <w:p>
            <w:pPr>
              <w:ind w:left="40"/>
              <w:spacing w:after="0"/>
              <w:rPr>
                <w:sz w:val="20"/>
                <w:szCs w:val="20"/>
                <w:color w:val="auto"/>
              </w:rPr>
            </w:pPr>
            <w:r>
              <w:rPr>
                <w:rFonts w:ascii="Arial" w:cs="Arial" w:eastAsia="Arial" w:hAnsi="Arial"/>
                <w:sz w:val="14"/>
                <w:szCs w:val="14"/>
                <w:color w:val="215AA8"/>
              </w:rPr>
              <w:t>Name</w:t>
            </w:r>
          </w:p>
        </w:tc>
        <w:tc>
          <w:tcPr>
            <w:tcW w:w="1120" w:type="dxa"/>
            <w:vAlign w:val="bottom"/>
            <w:tcBorders>
              <w:bottom w:val="single" w:sz="8" w:color="215AA8"/>
            </w:tcBorders>
            <w:gridSpan w:val="2"/>
          </w:tcPr>
          <w:p>
            <w:pPr>
              <w:jc w:val="right"/>
              <w:ind w:right="380"/>
              <w:spacing w:after="0"/>
              <w:rPr>
                <w:sz w:val="20"/>
                <w:szCs w:val="20"/>
                <w:color w:val="auto"/>
              </w:rPr>
            </w:pPr>
            <w:r>
              <w:rPr>
                <w:rFonts w:ascii="Arial" w:cs="Arial" w:eastAsia="Arial" w:hAnsi="Arial"/>
                <w:sz w:val="14"/>
                <w:szCs w:val="14"/>
                <w:color w:val="215AA8"/>
              </w:rPr>
              <w:t>(#)</w:t>
            </w:r>
          </w:p>
        </w:tc>
        <w:tc>
          <w:tcPr>
            <w:tcW w:w="980" w:type="dxa"/>
            <w:vAlign w:val="bottom"/>
            <w:tcBorders>
              <w:bottom w:val="single" w:sz="8" w:color="215AA8"/>
            </w:tcBorders>
            <w:gridSpan w:val="2"/>
          </w:tcPr>
          <w:p>
            <w:pPr>
              <w:jc w:val="right"/>
              <w:ind w:right="93"/>
              <w:spacing w:after="0"/>
              <w:rPr>
                <w:sz w:val="20"/>
                <w:szCs w:val="20"/>
                <w:color w:val="auto"/>
              </w:rPr>
            </w:pPr>
            <w:r>
              <w:rPr>
                <w:rFonts w:ascii="Arial" w:cs="Arial" w:eastAsia="Arial" w:hAnsi="Arial"/>
                <w:sz w:val="14"/>
                <w:szCs w:val="14"/>
                <w:color w:val="215AA8"/>
              </w:rPr>
              <w:t>(#)</w:t>
            </w:r>
          </w:p>
        </w:tc>
        <w:tc>
          <w:tcPr>
            <w:tcW w:w="1560" w:type="dxa"/>
            <w:vAlign w:val="bottom"/>
            <w:tcBorders>
              <w:bottom w:val="single" w:sz="8" w:color="215AA8"/>
            </w:tcBorders>
            <w:gridSpan w:val="2"/>
          </w:tcPr>
          <w:p>
            <w:pPr>
              <w:jc w:val="right"/>
              <w:ind w:right="312"/>
              <w:spacing w:after="0"/>
              <w:rPr>
                <w:sz w:val="20"/>
                <w:szCs w:val="20"/>
                <w:color w:val="auto"/>
              </w:rPr>
            </w:pPr>
            <w:r>
              <w:rPr>
                <w:rFonts w:ascii="Arial" w:cs="Arial" w:eastAsia="Arial" w:hAnsi="Arial"/>
                <w:sz w:val="14"/>
                <w:szCs w:val="14"/>
                <w:color w:val="215AA8"/>
              </w:rPr>
              <w:t>(#)</w:t>
            </w:r>
          </w:p>
        </w:tc>
        <w:tc>
          <w:tcPr>
            <w:tcW w:w="880" w:type="dxa"/>
            <w:vAlign w:val="bottom"/>
            <w:tcBorders>
              <w:bottom w:val="single" w:sz="8" w:color="215AA8"/>
            </w:tcBorders>
            <w:gridSpan w:val="2"/>
          </w:tcPr>
          <w:p>
            <w:pPr>
              <w:jc w:val="right"/>
              <w:ind w:right="380"/>
              <w:spacing w:after="0"/>
              <w:rPr>
                <w:sz w:val="20"/>
                <w:szCs w:val="20"/>
                <w:color w:val="auto"/>
              </w:rPr>
            </w:pPr>
            <w:r>
              <w:rPr>
                <w:rFonts w:ascii="Arial" w:cs="Arial" w:eastAsia="Arial" w:hAnsi="Arial"/>
                <w:sz w:val="14"/>
                <w:szCs w:val="14"/>
                <w:color w:val="215AA8"/>
              </w:rPr>
              <w:t>($)</w:t>
            </w:r>
          </w:p>
        </w:tc>
        <w:tc>
          <w:tcPr>
            <w:tcW w:w="1080" w:type="dxa"/>
            <w:vAlign w:val="bottom"/>
            <w:tcBorders>
              <w:bottom w:val="single" w:sz="8" w:color="215AA8"/>
            </w:tcBorders>
            <w:gridSpan w:val="2"/>
          </w:tcPr>
          <w:p>
            <w:pPr>
              <w:jc w:val="right"/>
              <w:ind w:right="380"/>
              <w:spacing w:after="0"/>
              <w:rPr>
                <w:sz w:val="20"/>
                <w:szCs w:val="20"/>
                <w:color w:val="auto"/>
              </w:rPr>
            </w:pPr>
            <w:r>
              <w:rPr>
                <w:rFonts w:ascii="Arial" w:cs="Arial" w:eastAsia="Arial" w:hAnsi="Arial"/>
                <w:sz w:val="14"/>
                <w:szCs w:val="14"/>
                <w:color w:val="215AA8"/>
              </w:rPr>
              <w:t>date</w:t>
            </w:r>
          </w:p>
        </w:tc>
        <w:tc>
          <w:tcPr>
            <w:tcW w:w="1060" w:type="dxa"/>
            <w:vAlign w:val="bottom"/>
            <w:tcBorders>
              <w:bottom w:val="single" w:sz="8" w:color="215AA8"/>
            </w:tcBorders>
          </w:tcPr>
          <w:p>
            <w:pPr>
              <w:jc w:val="right"/>
              <w:ind w:right="473"/>
              <w:spacing w:after="0"/>
              <w:rPr>
                <w:sz w:val="20"/>
                <w:szCs w:val="20"/>
                <w:color w:val="auto"/>
              </w:rPr>
            </w:pPr>
            <w:r>
              <w:rPr>
                <w:rFonts w:ascii="Arial" w:cs="Arial" w:eastAsia="Arial" w:hAnsi="Arial"/>
                <w:sz w:val="14"/>
                <w:szCs w:val="14"/>
                <w:color w:val="215AA8"/>
              </w:rPr>
              <w:t>(#)</w:t>
            </w:r>
          </w:p>
        </w:tc>
        <w:tc>
          <w:tcPr>
            <w:tcW w:w="1000" w:type="dxa"/>
            <w:vAlign w:val="bottom"/>
            <w:tcBorders>
              <w:bottom w:val="single" w:sz="8" w:color="215AA8"/>
            </w:tcBorders>
          </w:tcPr>
          <w:p>
            <w:pPr>
              <w:jc w:val="right"/>
              <w:ind w:right="133"/>
              <w:spacing w:after="0"/>
              <w:rPr>
                <w:sz w:val="20"/>
                <w:szCs w:val="20"/>
                <w:color w:val="auto"/>
              </w:rPr>
            </w:pPr>
            <w:r>
              <w:rPr>
                <w:rFonts w:ascii="Arial" w:cs="Arial" w:eastAsia="Arial" w:hAnsi="Arial"/>
                <w:sz w:val="14"/>
                <w:szCs w:val="14"/>
                <w:color w:val="215AA8"/>
              </w:rPr>
              <w:t>($)</w:t>
            </w:r>
          </w:p>
        </w:tc>
        <w:tc>
          <w:tcPr>
            <w:tcW w:w="1000" w:type="dxa"/>
            <w:vAlign w:val="bottom"/>
            <w:tcBorders>
              <w:bottom w:val="single" w:sz="8" w:color="215AA8"/>
            </w:tcBorders>
          </w:tcPr>
          <w:p>
            <w:pPr>
              <w:jc w:val="right"/>
              <w:ind w:right="72"/>
              <w:spacing w:after="0"/>
              <w:rPr>
                <w:sz w:val="20"/>
                <w:szCs w:val="20"/>
                <w:color w:val="auto"/>
              </w:rPr>
            </w:pPr>
            <w:r>
              <w:rPr>
                <w:rFonts w:ascii="Arial" w:cs="Arial" w:eastAsia="Arial" w:hAnsi="Arial"/>
                <w:sz w:val="14"/>
                <w:szCs w:val="14"/>
                <w:color w:val="215AA8"/>
              </w:rPr>
              <w:t>(#)</w:t>
            </w:r>
          </w:p>
        </w:tc>
        <w:tc>
          <w:tcPr>
            <w:tcW w:w="980" w:type="dxa"/>
            <w:vAlign w:val="bottom"/>
            <w:tcBorders>
              <w:bottom w:val="single" w:sz="8" w:color="215AA8"/>
            </w:tcBorders>
          </w:tcPr>
          <w:p>
            <w:pPr>
              <w:jc w:val="right"/>
              <w:ind w:right="32"/>
              <w:spacing w:after="0"/>
              <w:rPr>
                <w:sz w:val="20"/>
                <w:szCs w:val="20"/>
                <w:color w:val="auto"/>
              </w:rPr>
            </w:pPr>
            <w:r>
              <w:rPr>
                <w:rFonts w:ascii="Arial" w:cs="Arial" w:eastAsia="Arial" w:hAnsi="Arial"/>
                <w:sz w:val="14"/>
                <w:szCs w:val="14"/>
                <w:color w:val="215AA8"/>
              </w:rPr>
              <w:t>($)</w:t>
            </w:r>
          </w:p>
        </w:tc>
        <w:tc>
          <w:tcPr>
            <w:tcW w:w="0" w:type="dxa"/>
            <w:vAlign w:val="bottom"/>
          </w:tcPr>
          <w:p>
            <w:pPr>
              <w:spacing w:after="0"/>
              <w:rPr>
                <w:sz w:val="1"/>
                <w:szCs w:val="1"/>
                <w:color w:val="auto"/>
              </w:rPr>
            </w:pPr>
          </w:p>
        </w:tc>
      </w:tr>
      <w:tr>
        <w:trPr>
          <w:trHeight w:val="191"/>
        </w:trPr>
        <w:tc>
          <w:tcPr>
            <w:tcW w:w="980" w:type="dxa"/>
            <w:vAlign w:val="bottom"/>
            <w:tcBorders>
              <w:bottom w:val="single" w:sz="8" w:color="ECECED"/>
            </w:tcBorders>
            <w:shd w:val="clear" w:color="auto" w:fill="ECECED"/>
          </w:tcPr>
          <w:p>
            <w:pPr>
              <w:spacing w:after="0"/>
              <w:rPr>
                <w:sz w:val="16"/>
                <w:szCs w:val="16"/>
                <w:color w:val="auto"/>
              </w:rPr>
            </w:pPr>
          </w:p>
        </w:tc>
        <w:tc>
          <w:tcPr>
            <w:tcW w:w="620" w:type="dxa"/>
            <w:vAlign w:val="bottom"/>
            <w:tcBorders>
              <w:bottom w:val="single" w:sz="8" w:color="ECECED"/>
            </w:tcBorders>
            <w:shd w:val="clear" w:color="auto" w:fill="ECECED"/>
          </w:tcPr>
          <w:p>
            <w:pPr>
              <w:spacing w:after="0"/>
              <w:rPr>
                <w:sz w:val="16"/>
                <w:szCs w:val="16"/>
                <w:color w:val="auto"/>
              </w:rPr>
            </w:pPr>
          </w:p>
        </w:tc>
        <w:tc>
          <w:tcPr>
            <w:tcW w:w="1120" w:type="dxa"/>
            <w:vAlign w:val="bottom"/>
            <w:tcBorders>
              <w:bottom w:val="single" w:sz="8" w:color="949599"/>
            </w:tcBorders>
            <w:gridSpan w:val="2"/>
            <w:shd w:val="clear" w:color="auto" w:fill="ECECED"/>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gridSpan w:val="2"/>
            <w:shd w:val="clear" w:color="auto" w:fill="ECECED"/>
          </w:tcPr>
          <w:p>
            <w:pPr>
              <w:jc w:val="right"/>
              <w:ind w:right="33"/>
              <w:spacing w:after="0" w:line="191" w:lineRule="exact"/>
              <w:rPr>
                <w:sz w:val="20"/>
                <w:szCs w:val="20"/>
                <w:color w:val="auto"/>
              </w:rPr>
            </w:pPr>
            <w:r>
              <w:rPr>
                <w:rFonts w:ascii="Arial" w:cs="Arial" w:eastAsia="Arial" w:hAnsi="Arial"/>
                <w:sz w:val="14"/>
                <w:szCs w:val="14"/>
                <w:color w:val="auto"/>
              </w:rPr>
              <w:t>11,473</w:t>
            </w:r>
            <w:r>
              <w:rPr>
                <w:rFonts w:ascii="Arial" w:cs="Arial" w:eastAsia="Arial" w:hAnsi="Arial"/>
                <w:sz w:val="22"/>
                <w:szCs w:val="22"/>
                <w:color w:val="auto"/>
                <w:vertAlign w:val="superscript"/>
              </w:rPr>
              <w:t>9</w:t>
            </w:r>
          </w:p>
        </w:tc>
        <w:tc>
          <w:tcPr>
            <w:tcW w:w="400" w:type="dxa"/>
            <w:vAlign w:val="bottom"/>
            <w:tcBorders>
              <w:bottom w:val="single" w:sz="8" w:color="949599"/>
            </w:tcBorders>
            <w:shd w:val="clear" w:color="auto" w:fill="ECECED"/>
          </w:tcPr>
          <w:p>
            <w:pPr>
              <w:spacing w:after="0"/>
              <w:rPr>
                <w:sz w:val="16"/>
                <w:szCs w:val="16"/>
                <w:color w:val="auto"/>
              </w:rPr>
            </w:pPr>
          </w:p>
        </w:tc>
        <w:tc>
          <w:tcPr>
            <w:tcW w:w="1160" w:type="dxa"/>
            <w:vAlign w:val="bottom"/>
            <w:tcBorders>
              <w:bottom w:val="single" w:sz="8" w:color="949599"/>
            </w:tcBorders>
            <w:shd w:val="clear" w:color="auto" w:fill="ECECED"/>
          </w:tcPr>
          <w:p>
            <w:pPr>
              <w:jc w:val="right"/>
              <w:ind w:right="3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843.79</w:t>
            </w:r>
          </w:p>
        </w:tc>
        <w:tc>
          <w:tcPr>
            <w:tcW w:w="380" w:type="dxa"/>
            <w:vAlign w:val="bottom"/>
            <w:tcBorders>
              <w:bottom w:val="single" w:sz="8" w:color="949599"/>
            </w:tcBorders>
            <w:shd w:val="clear" w:color="auto" w:fill="ECECED"/>
          </w:tcPr>
          <w:p>
            <w:pPr>
              <w:spacing w:after="0"/>
              <w:rPr>
                <w:sz w:val="16"/>
                <w:szCs w:val="16"/>
                <w:color w:val="auto"/>
              </w:rPr>
            </w:pPr>
          </w:p>
        </w:tc>
        <w:tc>
          <w:tcPr>
            <w:tcW w:w="70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12/8/2033</w:t>
            </w:r>
          </w:p>
        </w:tc>
        <w:tc>
          <w:tcPr>
            <w:tcW w:w="380" w:type="dxa"/>
            <w:vAlign w:val="bottom"/>
            <w:tcBorders>
              <w:bottom w:val="single" w:sz="8" w:color="949599"/>
            </w:tcBorders>
            <w:shd w:val="clear" w:color="auto" w:fill="ECECED"/>
          </w:tcPr>
          <w:p>
            <w:pPr>
              <w:spacing w:after="0"/>
              <w:rPr>
                <w:sz w:val="16"/>
                <w:szCs w:val="16"/>
                <w:color w:val="auto"/>
              </w:rPr>
            </w:pPr>
          </w:p>
        </w:tc>
        <w:tc>
          <w:tcPr>
            <w:tcW w:w="1060" w:type="dxa"/>
            <w:vAlign w:val="bottom"/>
            <w:tcBorders>
              <w:bottom w:val="single" w:sz="8" w:color="949599"/>
            </w:tcBorders>
            <w:shd w:val="clear" w:color="auto" w:fill="ECECED"/>
          </w:tcPr>
          <w:p>
            <w:pPr>
              <w:jc w:val="right"/>
              <w:ind w:right="47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shd w:val="clear" w:color="auto" w:fill="ECECED"/>
          </w:tcPr>
          <w:p>
            <w:pPr>
              <w:jc w:val="right"/>
              <w:ind w:right="13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shd w:val="clear" w:color="auto" w:fill="ECECED"/>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Borders>
              <w:bottom w:val="single" w:sz="8" w:color="ECECED"/>
            </w:tcBorders>
            <w:shd w:val="clear" w:color="auto" w:fill="ECECED"/>
          </w:tcPr>
          <w:p>
            <w:pPr>
              <w:spacing w:after="0"/>
              <w:rPr>
                <w:sz w:val="15"/>
                <w:szCs w:val="15"/>
                <w:color w:val="auto"/>
              </w:rPr>
            </w:pPr>
          </w:p>
        </w:tc>
        <w:tc>
          <w:tcPr>
            <w:tcW w:w="620" w:type="dxa"/>
            <w:vAlign w:val="bottom"/>
            <w:tcBorders>
              <w:bottom w:val="single" w:sz="8" w:color="ECECED"/>
            </w:tcBorders>
            <w:shd w:val="clear" w:color="auto" w:fill="ECECED"/>
          </w:tcPr>
          <w:p>
            <w:pPr>
              <w:spacing w:after="0"/>
              <w:rPr>
                <w:sz w:val="15"/>
                <w:szCs w:val="15"/>
                <w:color w:val="auto"/>
              </w:rPr>
            </w:pPr>
          </w:p>
        </w:tc>
        <w:tc>
          <w:tcPr>
            <w:tcW w:w="74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3,505</w:t>
            </w:r>
          </w:p>
        </w:tc>
        <w:tc>
          <w:tcPr>
            <w:tcW w:w="380" w:type="dxa"/>
            <w:vAlign w:val="bottom"/>
            <w:tcBorders>
              <w:bottom w:val="single" w:sz="8" w:color="949599"/>
            </w:tcBorders>
            <w:shd w:val="clear" w:color="auto" w:fill="ECECED"/>
          </w:tcPr>
          <w:p>
            <w:pPr>
              <w:spacing w:after="0"/>
              <w:rPr>
                <w:sz w:val="15"/>
                <w:szCs w:val="15"/>
                <w:color w:val="auto"/>
              </w:rPr>
            </w:pPr>
          </w:p>
        </w:tc>
        <w:tc>
          <w:tcPr>
            <w:tcW w:w="980" w:type="dxa"/>
            <w:vAlign w:val="bottom"/>
            <w:tcBorders>
              <w:bottom w:val="single" w:sz="8" w:color="949599"/>
            </w:tcBorders>
            <w:gridSpan w:val="2"/>
            <w:shd w:val="clear" w:color="auto" w:fill="ECECED"/>
          </w:tcPr>
          <w:p>
            <w:pPr>
              <w:jc w:val="right"/>
              <w:ind w:right="33"/>
              <w:spacing w:after="0" w:line="183" w:lineRule="exact"/>
              <w:rPr>
                <w:sz w:val="20"/>
                <w:szCs w:val="20"/>
                <w:color w:val="auto"/>
              </w:rPr>
            </w:pPr>
            <w:r>
              <w:rPr>
                <w:rFonts w:ascii="Arial" w:cs="Arial" w:eastAsia="Arial" w:hAnsi="Arial"/>
                <w:sz w:val="13"/>
                <w:szCs w:val="13"/>
                <w:color w:val="auto"/>
              </w:rPr>
              <w:t>10,514</w:t>
            </w:r>
            <w:r>
              <w:rPr>
                <w:rFonts w:ascii="Arial" w:cs="Arial" w:eastAsia="Arial" w:hAnsi="Arial"/>
                <w:sz w:val="21"/>
                <w:szCs w:val="21"/>
                <w:color w:val="auto"/>
                <w:vertAlign w:val="superscript"/>
              </w:rPr>
              <w:t>3</w:t>
            </w:r>
          </w:p>
        </w:tc>
        <w:tc>
          <w:tcPr>
            <w:tcW w:w="400" w:type="dxa"/>
            <w:vAlign w:val="bottom"/>
            <w:tcBorders>
              <w:bottom w:val="single" w:sz="8" w:color="949599"/>
            </w:tcBorders>
            <w:shd w:val="clear" w:color="auto" w:fill="ECECED"/>
          </w:tcPr>
          <w:p>
            <w:pPr>
              <w:spacing w:after="0"/>
              <w:rPr>
                <w:sz w:val="15"/>
                <w:szCs w:val="15"/>
                <w:color w:val="auto"/>
              </w:rPr>
            </w:pPr>
          </w:p>
        </w:tc>
        <w:tc>
          <w:tcPr>
            <w:tcW w:w="1160" w:type="dxa"/>
            <w:vAlign w:val="bottom"/>
            <w:tcBorders>
              <w:bottom w:val="single" w:sz="8" w:color="949599"/>
            </w:tcBorders>
            <w:shd w:val="clear" w:color="auto" w:fill="ECECED"/>
          </w:tcPr>
          <w:p>
            <w:pPr>
              <w:jc w:val="right"/>
              <w:ind w:right="3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726.53</w:t>
            </w:r>
          </w:p>
        </w:tc>
        <w:tc>
          <w:tcPr>
            <w:tcW w:w="380" w:type="dxa"/>
            <w:vAlign w:val="bottom"/>
            <w:tcBorders>
              <w:bottom w:val="single" w:sz="8" w:color="949599"/>
            </w:tcBorders>
            <w:shd w:val="clear" w:color="auto" w:fill="ECECED"/>
          </w:tcPr>
          <w:p>
            <w:pPr>
              <w:spacing w:after="0"/>
              <w:rPr>
                <w:sz w:val="15"/>
                <w:szCs w:val="15"/>
                <w:color w:val="auto"/>
              </w:rPr>
            </w:pPr>
          </w:p>
        </w:tc>
        <w:tc>
          <w:tcPr>
            <w:tcW w:w="1080" w:type="dxa"/>
            <w:vAlign w:val="bottom"/>
            <w:tcBorders>
              <w:bottom w:val="single" w:sz="8" w:color="949599"/>
            </w:tcBorders>
            <w:gridSpan w:val="2"/>
            <w:shd w:val="clear" w:color="auto" w:fill="ECECED"/>
          </w:tcPr>
          <w:p>
            <w:pPr>
              <w:jc w:val="right"/>
              <w:ind w:right="380"/>
              <w:spacing w:after="0"/>
              <w:rPr>
                <w:sz w:val="20"/>
                <w:szCs w:val="20"/>
                <w:color w:val="auto"/>
              </w:rPr>
            </w:pPr>
            <w:r>
              <w:rPr>
                <w:rFonts w:ascii="Arial" w:cs="Arial" w:eastAsia="Arial" w:hAnsi="Arial"/>
                <w:sz w:val="14"/>
                <w:szCs w:val="14"/>
                <w:color w:val="auto"/>
                <w:w w:val="96"/>
              </w:rPr>
              <w:t>12/16/2032</w:t>
            </w:r>
          </w:p>
        </w:tc>
        <w:tc>
          <w:tcPr>
            <w:tcW w:w="1060" w:type="dxa"/>
            <w:vAlign w:val="bottom"/>
            <w:tcBorders>
              <w:bottom w:val="single" w:sz="8" w:color="949599"/>
            </w:tcBorders>
            <w:shd w:val="clear" w:color="auto" w:fill="ECECED"/>
          </w:tcPr>
          <w:p>
            <w:pPr>
              <w:jc w:val="right"/>
              <w:ind w:right="47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shd w:val="clear" w:color="auto" w:fill="ECECED"/>
          </w:tcPr>
          <w:p>
            <w:pPr>
              <w:jc w:val="right"/>
              <w:ind w:right="13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shd w:val="clear" w:color="auto" w:fill="ECECED"/>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Borders>
              <w:bottom w:val="single" w:sz="8" w:color="ECECED"/>
            </w:tcBorders>
            <w:shd w:val="clear" w:color="auto" w:fill="ECECED"/>
          </w:tcPr>
          <w:p>
            <w:pPr>
              <w:spacing w:after="0"/>
              <w:rPr>
                <w:sz w:val="15"/>
                <w:szCs w:val="15"/>
                <w:color w:val="auto"/>
              </w:rPr>
            </w:pPr>
          </w:p>
        </w:tc>
        <w:tc>
          <w:tcPr>
            <w:tcW w:w="620" w:type="dxa"/>
            <w:vAlign w:val="bottom"/>
            <w:tcBorders>
              <w:bottom w:val="single" w:sz="8" w:color="ECECED"/>
            </w:tcBorders>
            <w:shd w:val="clear" w:color="auto" w:fill="ECECED"/>
          </w:tcPr>
          <w:p>
            <w:pPr>
              <w:spacing w:after="0"/>
              <w:rPr>
                <w:sz w:val="15"/>
                <w:szCs w:val="15"/>
                <w:color w:val="auto"/>
              </w:rPr>
            </w:pPr>
          </w:p>
        </w:tc>
        <w:tc>
          <w:tcPr>
            <w:tcW w:w="74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9,274</w:t>
            </w:r>
          </w:p>
        </w:tc>
        <w:tc>
          <w:tcPr>
            <w:tcW w:w="380" w:type="dxa"/>
            <w:vAlign w:val="bottom"/>
            <w:tcBorders>
              <w:bottom w:val="single" w:sz="8" w:color="949599"/>
            </w:tcBorders>
            <w:shd w:val="clear" w:color="auto" w:fill="ECECED"/>
          </w:tcPr>
          <w:p>
            <w:pPr>
              <w:spacing w:after="0"/>
              <w:rPr>
                <w:sz w:val="15"/>
                <w:szCs w:val="15"/>
                <w:color w:val="auto"/>
              </w:rPr>
            </w:pPr>
          </w:p>
        </w:tc>
        <w:tc>
          <w:tcPr>
            <w:tcW w:w="980" w:type="dxa"/>
            <w:vAlign w:val="bottom"/>
            <w:tcBorders>
              <w:bottom w:val="single" w:sz="8" w:color="949599"/>
            </w:tcBorders>
            <w:gridSpan w:val="2"/>
            <w:shd w:val="clear" w:color="auto" w:fill="ECECED"/>
          </w:tcPr>
          <w:p>
            <w:pPr>
              <w:jc w:val="right"/>
              <w:ind w:right="33"/>
              <w:spacing w:after="0" w:line="183" w:lineRule="exact"/>
              <w:rPr>
                <w:sz w:val="20"/>
                <w:szCs w:val="20"/>
                <w:color w:val="auto"/>
              </w:rPr>
            </w:pPr>
            <w:r>
              <w:rPr>
                <w:rFonts w:ascii="Arial" w:cs="Arial" w:eastAsia="Arial" w:hAnsi="Arial"/>
                <w:sz w:val="13"/>
                <w:szCs w:val="13"/>
                <w:color w:val="auto"/>
              </w:rPr>
              <w:t>9,274</w:t>
            </w:r>
            <w:r>
              <w:rPr>
                <w:rFonts w:ascii="Arial" w:cs="Arial" w:eastAsia="Arial" w:hAnsi="Arial"/>
                <w:sz w:val="21"/>
                <w:szCs w:val="21"/>
                <w:color w:val="auto"/>
                <w:vertAlign w:val="superscript"/>
              </w:rPr>
              <w:t>4</w:t>
            </w:r>
          </w:p>
        </w:tc>
        <w:tc>
          <w:tcPr>
            <w:tcW w:w="400" w:type="dxa"/>
            <w:vAlign w:val="bottom"/>
            <w:tcBorders>
              <w:bottom w:val="single" w:sz="8" w:color="949599"/>
            </w:tcBorders>
            <w:shd w:val="clear" w:color="auto" w:fill="ECECED"/>
          </w:tcPr>
          <w:p>
            <w:pPr>
              <w:spacing w:after="0"/>
              <w:rPr>
                <w:sz w:val="15"/>
                <w:szCs w:val="15"/>
                <w:color w:val="auto"/>
              </w:rPr>
            </w:pPr>
          </w:p>
        </w:tc>
        <w:tc>
          <w:tcPr>
            <w:tcW w:w="1160" w:type="dxa"/>
            <w:vAlign w:val="bottom"/>
            <w:tcBorders>
              <w:bottom w:val="single" w:sz="8" w:color="949599"/>
            </w:tcBorders>
            <w:shd w:val="clear" w:color="auto" w:fill="ECECED"/>
          </w:tcPr>
          <w:p>
            <w:pPr>
              <w:jc w:val="right"/>
              <w:ind w:right="3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644.54</w:t>
            </w:r>
          </w:p>
        </w:tc>
        <w:tc>
          <w:tcPr>
            <w:tcW w:w="380" w:type="dxa"/>
            <w:vAlign w:val="bottom"/>
            <w:tcBorders>
              <w:bottom w:val="single" w:sz="8" w:color="949599"/>
            </w:tcBorders>
            <w:shd w:val="clear" w:color="auto" w:fill="ECECED"/>
          </w:tcPr>
          <w:p>
            <w:pPr>
              <w:spacing w:after="0"/>
              <w:rPr>
                <w:sz w:val="15"/>
                <w:szCs w:val="15"/>
                <w:color w:val="auto"/>
              </w:rPr>
            </w:pPr>
          </w:p>
        </w:tc>
        <w:tc>
          <w:tcPr>
            <w:tcW w:w="1080" w:type="dxa"/>
            <w:vAlign w:val="bottom"/>
            <w:tcBorders>
              <w:bottom w:val="single" w:sz="8" w:color="949599"/>
            </w:tcBorders>
            <w:gridSpan w:val="2"/>
            <w:shd w:val="clear" w:color="auto" w:fill="ECECED"/>
          </w:tcPr>
          <w:p>
            <w:pPr>
              <w:jc w:val="right"/>
              <w:ind w:right="380"/>
              <w:spacing w:after="0"/>
              <w:rPr>
                <w:sz w:val="20"/>
                <w:szCs w:val="20"/>
                <w:color w:val="auto"/>
              </w:rPr>
            </w:pPr>
            <w:r>
              <w:rPr>
                <w:rFonts w:ascii="Arial" w:cs="Arial" w:eastAsia="Arial" w:hAnsi="Arial"/>
                <w:sz w:val="14"/>
                <w:szCs w:val="14"/>
                <w:color w:val="auto"/>
                <w:w w:val="96"/>
              </w:rPr>
              <w:t>12/08/2031</w:t>
            </w:r>
          </w:p>
        </w:tc>
        <w:tc>
          <w:tcPr>
            <w:tcW w:w="1060" w:type="dxa"/>
            <w:vAlign w:val="bottom"/>
            <w:tcBorders>
              <w:bottom w:val="single" w:sz="8" w:color="949599"/>
            </w:tcBorders>
            <w:shd w:val="clear" w:color="auto" w:fill="ECECED"/>
          </w:tcPr>
          <w:p>
            <w:pPr>
              <w:jc w:val="right"/>
              <w:ind w:right="47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shd w:val="clear" w:color="auto" w:fill="ECECED"/>
          </w:tcPr>
          <w:p>
            <w:pPr>
              <w:jc w:val="right"/>
              <w:ind w:right="13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shd w:val="clear" w:color="auto" w:fill="ECECED"/>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Borders>
              <w:bottom w:val="single" w:sz="8" w:color="ECECED"/>
            </w:tcBorders>
            <w:shd w:val="clear" w:color="auto" w:fill="ECECED"/>
          </w:tcPr>
          <w:p>
            <w:pPr>
              <w:spacing w:after="0"/>
              <w:rPr>
                <w:sz w:val="15"/>
                <w:szCs w:val="15"/>
                <w:color w:val="auto"/>
              </w:rPr>
            </w:pPr>
          </w:p>
        </w:tc>
        <w:tc>
          <w:tcPr>
            <w:tcW w:w="620" w:type="dxa"/>
            <w:vAlign w:val="bottom"/>
            <w:tcBorders>
              <w:bottom w:val="single" w:sz="8" w:color="ECECED"/>
            </w:tcBorders>
            <w:shd w:val="clear" w:color="auto" w:fill="ECECED"/>
          </w:tcPr>
          <w:p>
            <w:pPr>
              <w:spacing w:after="0"/>
              <w:rPr>
                <w:sz w:val="15"/>
                <w:szCs w:val="15"/>
                <w:color w:val="auto"/>
              </w:rPr>
            </w:pPr>
          </w:p>
        </w:tc>
        <w:tc>
          <w:tcPr>
            <w:tcW w:w="74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14,963</w:t>
            </w:r>
          </w:p>
        </w:tc>
        <w:tc>
          <w:tcPr>
            <w:tcW w:w="380" w:type="dxa"/>
            <w:vAlign w:val="bottom"/>
            <w:tcBorders>
              <w:bottom w:val="single" w:sz="8" w:color="949599"/>
            </w:tcBorders>
            <w:shd w:val="clear" w:color="auto" w:fill="ECECED"/>
          </w:tcPr>
          <w:p>
            <w:pPr>
              <w:spacing w:after="0"/>
              <w:rPr>
                <w:sz w:val="15"/>
                <w:szCs w:val="15"/>
                <w:color w:val="auto"/>
              </w:rPr>
            </w:pPr>
          </w:p>
        </w:tc>
        <w:tc>
          <w:tcPr>
            <w:tcW w:w="200" w:type="dxa"/>
            <w:vAlign w:val="bottom"/>
            <w:tcBorders>
              <w:bottom w:val="single" w:sz="8" w:color="949599"/>
            </w:tcBorders>
            <w:shd w:val="clear" w:color="auto" w:fill="ECECED"/>
          </w:tcPr>
          <w:p>
            <w:pPr>
              <w:spacing w:after="0"/>
              <w:rPr>
                <w:sz w:val="15"/>
                <w:szCs w:val="15"/>
                <w:color w:val="auto"/>
              </w:rPr>
            </w:pPr>
          </w:p>
        </w:tc>
        <w:tc>
          <w:tcPr>
            <w:tcW w:w="780" w:type="dxa"/>
            <w:vAlign w:val="bottom"/>
            <w:tcBorders>
              <w:bottom w:val="single" w:sz="8" w:color="949599"/>
            </w:tcBorders>
            <w:shd w:val="clear" w:color="auto" w:fill="ECECED"/>
          </w:tcPr>
          <w:p>
            <w:pPr>
              <w:jc w:val="right"/>
              <w:ind w:right="33"/>
              <w:spacing w:after="0" w:line="183" w:lineRule="exact"/>
              <w:rPr>
                <w:sz w:val="20"/>
                <w:szCs w:val="20"/>
                <w:color w:val="auto"/>
              </w:rPr>
            </w:pPr>
            <w:r>
              <w:rPr>
                <w:rFonts w:ascii="Arial" w:cs="Arial" w:eastAsia="Arial" w:hAnsi="Arial"/>
                <w:sz w:val="13"/>
                <w:szCs w:val="13"/>
                <w:color w:val="auto"/>
              </w:rPr>
              <w:t>4,987</w:t>
            </w:r>
            <w:r>
              <w:rPr>
                <w:rFonts w:ascii="Arial" w:cs="Arial" w:eastAsia="Arial" w:hAnsi="Arial"/>
                <w:sz w:val="21"/>
                <w:szCs w:val="21"/>
                <w:color w:val="auto"/>
                <w:vertAlign w:val="superscript"/>
              </w:rPr>
              <w:t>5</w:t>
            </w:r>
          </w:p>
        </w:tc>
        <w:tc>
          <w:tcPr>
            <w:tcW w:w="400" w:type="dxa"/>
            <w:vAlign w:val="bottom"/>
            <w:tcBorders>
              <w:bottom w:val="single" w:sz="8" w:color="949599"/>
            </w:tcBorders>
            <w:shd w:val="clear" w:color="auto" w:fill="ECECED"/>
          </w:tcPr>
          <w:p>
            <w:pPr>
              <w:spacing w:after="0"/>
              <w:rPr>
                <w:sz w:val="15"/>
                <w:szCs w:val="15"/>
                <w:color w:val="auto"/>
              </w:rPr>
            </w:pPr>
          </w:p>
        </w:tc>
        <w:tc>
          <w:tcPr>
            <w:tcW w:w="1160" w:type="dxa"/>
            <w:vAlign w:val="bottom"/>
            <w:tcBorders>
              <w:bottom w:val="single" w:sz="8" w:color="949599"/>
            </w:tcBorders>
            <w:shd w:val="clear" w:color="auto" w:fill="ECECED"/>
          </w:tcPr>
          <w:p>
            <w:pPr>
              <w:jc w:val="right"/>
              <w:ind w:right="3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492.00</w:t>
            </w:r>
          </w:p>
        </w:tc>
        <w:tc>
          <w:tcPr>
            <w:tcW w:w="380" w:type="dxa"/>
            <w:vAlign w:val="bottom"/>
            <w:tcBorders>
              <w:bottom w:val="single" w:sz="8" w:color="949599"/>
            </w:tcBorders>
            <w:shd w:val="clear" w:color="auto" w:fill="ECECED"/>
          </w:tcPr>
          <w:p>
            <w:pPr>
              <w:spacing w:after="0"/>
              <w:rPr>
                <w:sz w:val="15"/>
                <w:szCs w:val="15"/>
                <w:color w:val="auto"/>
              </w:rPr>
            </w:pPr>
          </w:p>
        </w:tc>
        <w:tc>
          <w:tcPr>
            <w:tcW w:w="1080" w:type="dxa"/>
            <w:vAlign w:val="bottom"/>
            <w:tcBorders>
              <w:bottom w:val="single" w:sz="8" w:color="949599"/>
            </w:tcBorders>
            <w:gridSpan w:val="2"/>
            <w:shd w:val="clear" w:color="auto" w:fill="ECECED"/>
          </w:tcPr>
          <w:p>
            <w:pPr>
              <w:jc w:val="right"/>
              <w:ind w:right="380"/>
              <w:spacing w:after="0"/>
              <w:rPr>
                <w:sz w:val="20"/>
                <w:szCs w:val="20"/>
                <w:color w:val="auto"/>
              </w:rPr>
            </w:pPr>
            <w:r>
              <w:rPr>
                <w:rFonts w:ascii="Arial" w:cs="Arial" w:eastAsia="Arial" w:hAnsi="Arial"/>
                <w:sz w:val="14"/>
                <w:szCs w:val="14"/>
                <w:color w:val="auto"/>
                <w:w w:val="96"/>
              </w:rPr>
              <w:t>12/09/2030</w:t>
            </w:r>
          </w:p>
        </w:tc>
        <w:tc>
          <w:tcPr>
            <w:tcW w:w="1060" w:type="dxa"/>
            <w:vAlign w:val="bottom"/>
            <w:tcBorders>
              <w:bottom w:val="single" w:sz="8" w:color="949599"/>
            </w:tcBorders>
            <w:shd w:val="clear" w:color="auto" w:fill="ECECED"/>
          </w:tcPr>
          <w:p>
            <w:pPr>
              <w:jc w:val="right"/>
              <w:ind w:right="47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shd w:val="clear" w:color="auto" w:fill="ECECED"/>
          </w:tcPr>
          <w:p>
            <w:pPr>
              <w:jc w:val="right"/>
              <w:ind w:right="13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shd w:val="clear" w:color="auto" w:fill="ECECED"/>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80" w:type="dxa"/>
            <w:vAlign w:val="bottom"/>
            <w:tcBorders>
              <w:bottom w:val="single" w:sz="8" w:color="ECECED"/>
            </w:tcBorders>
            <w:shd w:val="clear" w:color="auto" w:fill="ECECED"/>
          </w:tcPr>
          <w:p>
            <w:pPr>
              <w:spacing w:after="0"/>
              <w:rPr>
                <w:sz w:val="12"/>
                <w:szCs w:val="12"/>
                <w:color w:val="auto"/>
              </w:rPr>
            </w:pPr>
          </w:p>
        </w:tc>
        <w:tc>
          <w:tcPr>
            <w:tcW w:w="620" w:type="dxa"/>
            <w:vAlign w:val="bottom"/>
            <w:tcBorders>
              <w:bottom w:val="single" w:sz="8" w:color="ECECED"/>
            </w:tcBorders>
            <w:shd w:val="clear" w:color="auto" w:fill="ECECED"/>
          </w:tcPr>
          <w:p>
            <w:pPr>
              <w:spacing w:after="0"/>
              <w:rPr>
                <w:sz w:val="12"/>
                <w:szCs w:val="12"/>
                <w:color w:val="auto"/>
              </w:rPr>
            </w:pPr>
          </w:p>
        </w:tc>
        <w:tc>
          <w:tcPr>
            <w:tcW w:w="74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24,500</w:t>
            </w:r>
          </w:p>
        </w:tc>
        <w:tc>
          <w:tcPr>
            <w:tcW w:w="380" w:type="dxa"/>
            <w:vAlign w:val="bottom"/>
            <w:tcBorders>
              <w:bottom w:val="single" w:sz="8" w:color="949599"/>
            </w:tcBorders>
            <w:shd w:val="clear" w:color="auto" w:fill="ECECED"/>
          </w:tcPr>
          <w:p>
            <w:pPr>
              <w:spacing w:after="0"/>
              <w:rPr>
                <w:sz w:val="12"/>
                <w:szCs w:val="12"/>
                <w:color w:val="auto"/>
              </w:rPr>
            </w:pPr>
          </w:p>
        </w:tc>
        <w:tc>
          <w:tcPr>
            <w:tcW w:w="200" w:type="dxa"/>
            <w:vAlign w:val="bottom"/>
            <w:tcBorders>
              <w:bottom w:val="single" w:sz="8" w:color="949599"/>
            </w:tcBorders>
            <w:shd w:val="clear" w:color="auto" w:fill="ECECED"/>
          </w:tcPr>
          <w:p>
            <w:pPr>
              <w:spacing w:after="0"/>
              <w:rPr>
                <w:sz w:val="12"/>
                <w:szCs w:val="12"/>
                <w:color w:val="auto"/>
              </w:rPr>
            </w:pPr>
          </w:p>
        </w:tc>
        <w:tc>
          <w:tcPr>
            <w:tcW w:w="780" w:type="dxa"/>
            <w:vAlign w:val="bottom"/>
            <w:tcBorders>
              <w:bottom w:val="single" w:sz="8" w:color="949599"/>
            </w:tcBorders>
            <w:shd w:val="clear" w:color="auto" w:fill="ECECED"/>
          </w:tcPr>
          <w:p>
            <w:pPr>
              <w:ind w:left="50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shd w:val="clear" w:color="auto" w:fill="ECECED"/>
          </w:tcPr>
          <w:p>
            <w:pPr>
              <w:spacing w:after="0"/>
              <w:rPr>
                <w:sz w:val="12"/>
                <w:szCs w:val="12"/>
                <w:color w:val="auto"/>
              </w:rPr>
            </w:pPr>
          </w:p>
        </w:tc>
        <w:tc>
          <w:tcPr>
            <w:tcW w:w="1160" w:type="dxa"/>
            <w:vAlign w:val="bottom"/>
            <w:tcBorders>
              <w:bottom w:val="single" w:sz="8" w:color="949599"/>
            </w:tcBorders>
            <w:shd w:val="clear" w:color="auto" w:fill="ECECED"/>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372.46</w:t>
            </w:r>
          </w:p>
        </w:tc>
        <w:tc>
          <w:tcPr>
            <w:tcW w:w="380" w:type="dxa"/>
            <w:vAlign w:val="bottom"/>
            <w:tcBorders>
              <w:bottom w:val="single" w:sz="8" w:color="949599"/>
            </w:tcBorders>
            <w:shd w:val="clear" w:color="auto" w:fill="ECECED"/>
          </w:tcPr>
          <w:p>
            <w:pPr>
              <w:spacing w:after="0"/>
              <w:rPr>
                <w:sz w:val="12"/>
                <w:szCs w:val="12"/>
                <w:color w:val="auto"/>
              </w:rPr>
            </w:pPr>
          </w:p>
        </w:tc>
        <w:tc>
          <w:tcPr>
            <w:tcW w:w="1080" w:type="dxa"/>
            <w:vAlign w:val="bottom"/>
            <w:tcBorders>
              <w:bottom w:val="single" w:sz="8" w:color="949599"/>
            </w:tcBorders>
            <w:gridSpan w:val="2"/>
            <w:shd w:val="clear" w:color="auto" w:fill="ECECED"/>
          </w:tcPr>
          <w:p>
            <w:pPr>
              <w:jc w:val="right"/>
              <w:ind w:right="380"/>
              <w:spacing w:after="0" w:line="149" w:lineRule="exact"/>
              <w:rPr>
                <w:sz w:val="20"/>
                <w:szCs w:val="20"/>
                <w:color w:val="auto"/>
              </w:rPr>
            </w:pPr>
            <w:r>
              <w:rPr>
                <w:rFonts w:ascii="Arial" w:cs="Arial" w:eastAsia="Arial" w:hAnsi="Arial"/>
                <w:sz w:val="14"/>
                <w:szCs w:val="14"/>
                <w:color w:val="auto"/>
                <w:w w:val="96"/>
              </w:rPr>
              <w:t>12/11/2029</w:t>
            </w:r>
          </w:p>
        </w:tc>
        <w:tc>
          <w:tcPr>
            <w:tcW w:w="1060" w:type="dxa"/>
            <w:vAlign w:val="bottom"/>
            <w:tcBorders>
              <w:bottom w:val="single" w:sz="8" w:color="949599"/>
            </w:tcBorders>
            <w:shd w:val="clear" w:color="auto" w:fill="ECECED"/>
          </w:tcPr>
          <w:p>
            <w:pPr>
              <w:jc w:val="right"/>
              <w:ind w:right="47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shd w:val="clear" w:color="auto" w:fill="ECECED"/>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shd w:val="clear" w:color="auto" w:fill="ECECED"/>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shd w:val="clear" w:color="auto" w:fill="ECECED"/>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0" w:type="dxa"/>
            <w:vAlign w:val="bottom"/>
            <w:tcBorders>
              <w:bottom w:val="single" w:sz="8" w:color="ECECED"/>
            </w:tcBorders>
            <w:gridSpan w:val="2"/>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215AA8"/>
              </w:rPr>
              <w:t>Daniel P. Van Plew</w:t>
            </w:r>
          </w:p>
        </w:tc>
        <w:tc>
          <w:tcPr>
            <w:tcW w:w="74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23,125</w:t>
            </w:r>
          </w:p>
        </w:tc>
        <w:tc>
          <w:tcPr>
            <w:tcW w:w="380" w:type="dxa"/>
            <w:vAlign w:val="bottom"/>
            <w:tcBorders>
              <w:bottom w:val="single" w:sz="8" w:color="949599"/>
            </w:tcBorders>
            <w:shd w:val="clear" w:color="auto" w:fill="ECECED"/>
          </w:tcPr>
          <w:p>
            <w:pPr>
              <w:spacing w:after="0"/>
              <w:rPr>
                <w:sz w:val="12"/>
                <w:szCs w:val="12"/>
                <w:color w:val="auto"/>
              </w:rPr>
            </w:pPr>
          </w:p>
        </w:tc>
        <w:tc>
          <w:tcPr>
            <w:tcW w:w="200" w:type="dxa"/>
            <w:vAlign w:val="bottom"/>
            <w:tcBorders>
              <w:bottom w:val="single" w:sz="8" w:color="949599"/>
            </w:tcBorders>
            <w:shd w:val="clear" w:color="auto" w:fill="ECECED"/>
          </w:tcPr>
          <w:p>
            <w:pPr>
              <w:spacing w:after="0"/>
              <w:rPr>
                <w:sz w:val="12"/>
                <w:szCs w:val="12"/>
                <w:color w:val="auto"/>
              </w:rPr>
            </w:pPr>
          </w:p>
        </w:tc>
        <w:tc>
          <w:tcPr>
            <w:tcW w:w="780" w:type="dxa"/>
            <w:vAlign w:val="bottom"/>
            <w:tcBorders>
              <w:bottom w:val="single" w:sz="8" w:color="949599"/>
            </w:tcBorders>
            <w:shd w:val="clear" w:color="auto" w:fill="ECECED"/>
          </w:tcPr>
          <w:p>
            <w:pPr>
              <w:ind w:left="50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shd w:val="clear" w:color="auto" w:fill="ECECED"/>
          </w:tcPr>
          <w:p>
            <w:pPr>
              <w:spacing w:after="0"/>
              <w:rPr>
                <w:sz w:val="12"/>
                <w:szCs w:val="12"/>
                <w:color w:val="auto"/>
              </w:rPr>
            </w:pPr>
          </w:p>
        </w:tc>
        <w:tc>
          <w:tcPr>
            <w:tcW w:w="1160" w:type="dxa"/>
            <w:vAlign w:val="bottom"/>
            <w:tcBorders>
              <w:bottom w:val="single" w:sz="8" w:color="949599"/>
            </w:tcBorders>
            <w:shd w:val="clear" w:color="auto" w:fill="ECECED"/>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381.40</w:t>
            </w:r>
          </w:p>
        </w:tc>
        <w:tc>
          <w:tcPr>
            <w:tcW w:w="380" w:type="dxa"/>
            <w:vAlign w:val="bottom"/>
            <w:tcBorders>
              <w:bottom w:val="single" w:sz="8" w:color="949599"/>
            </w:tcBorders>
            <w:shd w:val="clear" w:color="auto" w:fill="ECECED"/>
          </w:tcPr>
          <w:p>
            <w:pPr>
              <w:spacing w:after="0"/>
              <w:rPr>
                <w:sz w:val="12"/>
                <w:szCs w:val="12"/>
                <w:color w:val="auto"/>
              </w:rPr>
            </w:pPr>
          </w:p>
        </w:tc>
        <w:tc>
          <w:tcPr>
            <w:tcW w:w="1080" w:type="dxa"/>
            <w:vAlign w:val="bottom"/>
            <w:tcBorders>
              <w:bottom w:val="single" w:sz="8" w:color="949599"/>
            </w:tcBorders>
            <w:gridSpan w:val="2"/>
            <w:shd w:val="clear" w:color="auto" w:fill="ECECED"/>
          </w:tcPr>
          <w:p>
            <w:pPr>
              <w:jc w:val="right"/>
              <w:ind w:right="380"/>
              <w:spacing w:after="0" w:line="149" w:lineRule="exact"/>
              <w:rPr>
                <w:sz w:val="20"/>
                <w:szCs w:val="20"/>
                <w:color w:val="auto"/>
              </w:rPr>
            </w:pPr>
            <w:r>
              <w:rPr>
                <w:rFonts w:ascii="Arial" w:cs="Arial" w:eastAsia="Arial" w:hAnsi="Arial"/>
                <w:sz w:val="14"/>
                <w:szCs w:val="14"/>
                <w:color w:val="auto"/>
                <w:w w:val="96"/>
              </w:rPr>
              <w:t>12/12/2028</w:t>
            </w:r>
          </w:p>
        </w:tc>
        <w:tc>
          <w:tcPr>
            <w:tcW w:w="1060" w:type="dxa"/>
            <w:vAlign w:val="bottom"/>
            <w:tcBorders>
              <w:bottom w:val="single" w:sz="8" w:color="949599"/>
            </w:tcBorders>
            <w:shd w:val="clear" w:color="auto" w:fill="ECECED"/>
          </w:tcPr>
          <w:p>
            <w:pPr>
              <w:jc w:val="right"/>
              <w:ind w:right="47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shd w:val="clear" w:color="auto" w:fill="ECECED"/>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shd w:val="clear" w:color="auto" w:fill="ECECED"/>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shd w:val="clear" w:color="auto" w:fill="ECECED"/>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Borders>
              <w:bottom w:val="single" w:sz="8" w:color="ECECED"/>
            </w:tcBorders>
            <w:shd w:val="clear" w:color="auto" w:fill="ECECED"/>
          </w:tcPr>
          <w:p>
            <w:pPr>
              <w:spacing w:after="0"/>
              <w:rPr>
                <w:sz w:val="15"/>
                <w:szCs w:val="15"/>
                <w:color w:val="auto"/>
              </w:rPr>
            </w:pPr>
          </w:p>
        </w:tc>
        <w:tc>
          <w:tcPr>
            <w:tcW w:w="620" w:type="dxa"/>
            <w:vAlign w:val="bottom"/>
            <w:tcBorders>
              <w:bottom w:val="single" w:sz="8" w:color="ECECED"/>
            </w:tcBorders>
            <w:shd w:val="clear" w:color="auto" w:fill="ECECED"/>
          </w:tcPr>
          <w:p>
            <w:pPr>
              <w:spacing w:after="0"/>
              <w:rPr>
                <w:sz w:val="15"/>
                <w:szCs w:val="15"/>
                <w:color w:val="auto"/>
              </w:rPr>
            </w:pPr>
          </w:p>
        </w:tc>
        <w:tc>
          <w:tcPr>
            <w:tcW w:w="74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949599"/>
            </w:tcBorders>
            <w:shd w:val="clear" w:color="auto" w:fill="ECECED"/>
          </w:tcPr>
          <w:p>
            <w:pPr>
              <w:spacing w:after="0"/>
              <w:rPr>
                <w:sz w:val="15"/>
                <w:szCs w:val="15"/>
                <w:color w:val="auto"/>
              </w:rPr>
            </w:pPr>
          </w:p>
        </w:tc>
        <w:tc>
          <w:tcPr>
            <w:tcW w:w="200" w:type="dxa"/>
            <w:vAlign w:val="bottom"/>
            <w:tcBorders>
              <w:bottom w:val="single" w:sz="8" w:color="949599"/>
            </w:tcBorders>
            <w:shd w:val="clear" w:color="auto" w:fill="ECECED"/>
          </w:tcPr>
          <w:p>
            <w:pPr>
              <w:spacing w:after="0"/>
              <w:rPr>
                <w:sz w:val="15"/>
                <w:szCs w:val="15"/>
                <w:color w:val="auto"/>
              </w:rPr>
            </w:pPr>
          </w:p>
        </w:tc>
        <w:tc>
          <w:tcPr>
            <w:tcW w:w="780" w:type="dxa"/>
            <w:vAlign w:val="bottom"/>
            <w:tcBorders>
              <w:bottom w:val="single" w:sz="8" w:color="949599"/>
            </w:tcBorders>
            <w:shd w:val="clear" w:color="auto" w:fill="ECECED"/>
          </w:tcPr>
          <w:p>
            <w:pPr>
              <w:ind w:left="5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shd w:val="clear" w:color="auto" w:fill="ECECED"/>
          </w:tcPr>
          <w:p>
            <w:pPr>
              <w:spacing w:after="0"/>
              <w:rPr>
                <w:sz w:val="15"/>
                <w:szCs w:val="15"/>
                <w:color w:val="auto"/>
              </w:rPr>
            </w:pPr>
          </w:p>
        </w:tc>
        <w:tc>
          <w:tcPr>
            <w:tcW w:w="1160" w:type="dxa"/>
            <w:vAlign w:val="bottom"/>
            <w:tcBorders>
              <w:bottom w:val="single" w:sz="8" w:color="949599"/>
            </w:tcBorders>
            <w:shd w:val="clear" w:color="auto" w:fill="ECECED"/>
          </w:tcPr>
          <w:p>
            <w:pPr>
              <w:jc w:val="right"/>
              <w:ind w:right="3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gridSpan w:val="2"/>
            <w:shd w:val="clear" w:color="auto" w:fill="ECECED"/>
          </w:tcPr>
          <w:p>
            <w:pPr>
              <w:jc w:val="right"/>
              <w:ind w:right="3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49599"/>
            </w:tcBorders>
            <w:gridSpan w:val="2"/>
            <w:shd w:val="clear" w:color="auto" w:fill="ECECED"/>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49599"/>
            </w:tcBorders>
            <w:shd w:val="clear" w:color="auto" w:fill="ECECED"/>
          </w:tcPr>
          <w:p>
            <w:pPr>
              <w:ind w:left="180"/>
              <w:spacing w:after="0" w:line="183" w:lineRule="exact"/>
              <w:rPr>
                <w:sz w:val="20"/>
                <w:szCs w:val="20"/>
                <w:color w:val="auto"/>
              </w:rPr>
            </w:pPr>
            <w:r>
              <w:rPr>
                <w:rFonts w:ascii="Arial" w:cs="Arial" w:eastAsia="Arial" w:hAnsi="Arial"/>
                <w:sz w:val="13"/>
                <w:szCs w:val="13"/>
                <w:color w:val="auto"/>
              </w:rPr>
              <w:t>3,199</w:t>
            </w:r>
            <w:r>
              <w:rPr>
                <w:rFonts w:ascii="Arial" w:cs="Arial" w:eastAsia="Arial" w:hAnsi="Arial"/>
                <w:sz w:val="21"/>
                <w:szCs w:val="21"/>
                <w:color w:val="auto"/>
                <w:vertAlign w:val="superscript"/>
              </w:rPr>
              <w:t>10</w:t>
            </w:r>
          </w:p>
        </w:tc>
        <w:tc>
          <w:tcPr>
            <w:tcW w:w="1000" w:type="dxa"/>
            <w:vAlign w:val="bottom"/>
            <w:tcBorders>
              <w:bottom w:val="single" w:sz="8" w:color="949599"/>
            </w:tcBorders>
            <w:shd w:val="clear" w:color="auto" w:fill="ECECED"/>
          </w:tcPr>
          <w:p>
            <w:pPr>
              <w:jc w:val="right"/>
              <w:ind w:right="73"/>
              <w:spacing w:after="0" w:line="183" w:lineRule="exact"/>
              <w:rPr>
                <w:sz w:val="20"/>
                <w:szCs w:val="20"/>
                <w:color w:val="auto"/>
              </w:rPr>
            </w:pPr>
            <w:r>
              <w:rPr>
                <w:rFonts w:ascii="Arial" w:cs="Arial" w:eastAsia="Arial" w:hAnsi="Arial"/>
                <w:sz w:val="13"/>
                <w:szCs w:val="13"/>
                <w:color w:val="auto"/>
              </w:rPr>
              <w:t>2,809,650</w:t>
            </w:r>
            <w:r>
              <w:rPr>
                <w:rFonts w:ascii="Arial" w:cs="Arial" w:eastAsia="Arial" w:hAnsi="Arial"/>
                <w:sz w:val="21"/>
                <w:szCs w:val="21"/>
                <w:color w:val="auto"/>
                <w:vertAlign w:val="superscript"/>
              </w:rPr>
              <w:t>2</w:t>
            </w:r>
          </w:p>
        </w:tc>
        <w:tc>
          <w:tcPr>
            <w:tcW w:w="1000" w:type="dxa"/>
            <w:vAlign w:val="bottom"/>
            <w:tcBorders>
              <w:bottom w:val="single" w:sz="8" w:color="949599"/>
            </w:tcBorders>
            <w:shd w:val="clear" w:color="auto" w:fill="ECECED"/>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Borders>
              <w:bottom w:val="single" w:sz="8" w:color="ECECED"/>
            </w:tcBorders>
            <w:shd w:val="clear" w:color="auto" w:fill="ECECED"/>
          </w:tcPr>
          <w:p>
            <w:pPr>
              <w:spacing w:after="0"/>
              <w:rPr>
                <w:sz w:val="15"/>
                <w:szCs w:val="15"/>
                <w:color w:val="auto"/>
              </w:rPr>
            </w:pPr>
          </w:p>
        </w:tc>
        <w:tc>
          <w:tcPr>
            <w:tcW w:w="620" w:type="dxa"/>
            <w:vAlign w:val="bottom"/>
            <w:tcBorders>
              <w:bottom w:val="single" w:sz="8" w:color="ECECED"/>
            </w:tcBorders>
            <w:shd w:val="clear" w:color="auto" w:fill="ECECED"/>
          </w:tcPr>
          <w:p>
            <w:pPr>
              <w:spacing w:after="0"/>
              <w:rPr>
                <w:sz w:val="15"/>
                <w:szCs w:val="15"/>
                <w:color w:val="auto"/>
              </w:rPr>
            </w:pPr>
          </w:p>
        </w:tc>
        <w:tc>
          <w:tcPr>
            <w:tcW w:w="74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949599"/>
            </w:tcBorders>
            <w:shd w:val="clear" w:color="auto" w:fill="ECECED"/>
          </w:tcPr>
          <w:p>
            <w:pPr>
              <w:spacing w:after="0"/>
              <w:rPr>
                <w:sz w:val="15"/>
                <w:szCs w:val="15"/>
                <w:color w:val="auto"/>
              </w:rPr>
            </w:pPr>
          </w:p>
        </w:tc>
        <w:tc>
          <w:tcPr>
            <w:tcW w:w="200" w:type="dxa"/>
            <w:vAlign w:val="bottom"/>
            <w:tcBorders>
              <w:bottom w:val="single" w:sz="8" w:color="949599"/>
            </w:tcBorders>
            <w:shd w:val="clear" w:color="auto" w:fill="ECECED"/>
          </w:tcPr>
          <w:p>
            <w:pPr>
              <w:spacing w:after="0"/>
              <w:rPr>
                <w:sz w:val="15"/>
                <w:szCs w:val="15"/>
                <w:color w:val="auto"/>
              </w:rPr>
            </w:pPr>
          </w:p>
        </w:tc>
        <w:tc>
          <w:tcPr>
            <w:tcW w:w="780" w:type="dxa"/>
            <w:vAlign w:val="bottom"/>
            <w:tcBorders>
              <w:bottom w:val="single" w:sz="8" w:color="949599"/>
            </w:tcBorders>
            <w:shd w:val="clear" w:color="auto" w:fill="ECECED"/>
          </w:tcPr>
          <w:p>
            <w:pPr>
              <w:ind w:left="5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shd w:val="clear" w:color="auto" w:fill="ECECED"/>
          </w:tcPr>
          <w:p>
            <w:pPr>
              <w:spacing w:after="0"/>
              <w:rPr>
                <w:sz w:val="15"/>
                <w:szCs w:val="15"/>
                <w:color w:val="auto"/>
              </w:rPr>
            </w:pPr>
          </w:p>
        </w:tc>
        <w:tc>
          <w:tcPr>
            <w:tcW w:w="1160" w:type="dxa"/>
            <w:vAlign w:val="bottom"/>
            <w:tcBorders>
              <w:bottom w:val="single" w:sz="8" w:color="949599"/>
            </w:tcBorders>
            <w:shd w:val="clear" w:color="auto" w:fill="ECECED"/>
          </w:tcPr>
          <w:p>
            <w:pPr>
              <w:jc w:val="right"/>
              <w:ind w:right="3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gridSpan w:val="2"/>
            <w:shd w:val="clear" w:color="auto" w:fill="ECECED"/>
          </w:tcPr>
          <w:p>
            <w:pPr>
              <w:jc w:val="right"/>
              <w:ind w:right="3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49599"/>
            </w:tcBorders>
            <w:gridSpan w:val="2"/>
            <w:shd w:val="clear" w:color="auto" w:fill="ECECED"/>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49599"/>
            </w:tcBorders>
            <w:shd w:val="clear" w:color="auto" w:fill="ECECED"/>
          </w:tcPr>
          <w:p>
            <w:pPr>
              <w:ind w:left="180"/>
              <w:spacing w:after="0" w:line="183" w:lineRule="exact"/>
              <w:rPr>
                <w:sz w:val="20"/>
                <w:szCs w:val="20"/>
                <w:color w:val="auto"/>
              </w:rPr>
            </w:pPr>
            <w:r>
              <w:rPr>
                <w:rFonts w:ascii="Arial" w:cs="Arial" w:eastAsia="Arial" w:hAnsi="Arial"/>
                <w:sz w:val="13"/>
                <w:szCs w:val="13"/>
                <w:color w:val="auto"/>
              </w:rPr>
              <w:t>3,798</w:t>
            </w:r>
            <w:r>
              <w:rPr>
                <w:rFonts w:ascii="Arial" w:cs="Arial" w:eastAsia="Arial" w:hAnsi="Arial"/>
                <w:sz w:val="21"/>
                <w:szCs w:val="21"/>
                <w:color w:val="auto"/>
                <w:vertAlign w:val="superscript"/>
              </w:rPr>
              <w:t>6</w:t>
            </w:r>
          </w:p>
        </w:tc>
        <w:tc>
          <w:tcPr>
            <w:tcW w:w="1000" w:type="dxa"/>
            <w:vAlign w:val="bottom"/>
            <w:tcBorders>
              <w:bottom w:val="single" w:sz="8" w:color="949599"/>
            </w:tcBorders>
            <w:shd w:val="clear" w:color="auto" w:fill="ECECED"/>
          </w:tcPr>
          <w:p>
            <w:pPr>
              <w:jc w:val="right"/>
              <w:ind w:right="73"/>
              <w:spacing w:after="0" w:line="183" w:lineRule="exact"/>
              <w:rPr>
                <w:sz w:val="20"/>
                <w:szCs w:val="20"/>
                <w:color w:val="auto"/>
              </w:rPr>
            </w:pPr>
            <w:r>
              <w:rPr>
                <w:rFonts w:ascii="Arial" w:cs="Arial" w:eastAsia="Arial" w:hAnsi="Arial"/>
                <w:sz w:val="13"/>
                <w:szCs w:val="13"/>
                <w:color w:val="auto"/>
              </w:rPr>
              <w:t>3,335,745</w:t>
            </w:r>
            <w:r>
              <w:rPr>
                <w:rFonts w:ascii="Arial" w:cs="Arial" w:eastAsia="Arial" w:hAnsi="Arial"/>
                <w:sz w:val="21"/>
                <w:szCs w:val="21"/>
                <w:color w:val="auto"/>
                <w:vertAlign w:val="superscript"/>
              </w:rPr>
              <w:t>2</w:t>
            </w:r>
          </w:p>
        </w:tc>
        <w:tc>
          <w:tcPr>
            <w:tcW w:w="1000" w:type="dxa"/>
            <w:vAlign w:val="bottom"/>
            <w:tcBorders>
              <w:bottom w:val="single" w:sz="8" w:color="949599"/>
            </w:tcBorders>
            <w:shd w:val="clear" w:color="auto" w:fill="ECECED"/>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Borders>
              <w:bottom w:val="single" w:sz="8" w:color="ECECED"/>
            </w:tcBorders>
            <w:shd w:val="clear" w:color="auto" w:fill="ECECED"/>
          </w:tcPr>
          <w:p>
            <w:pPr>
              <w:spacing w:after="0"/>
              <w:rPr>
                <w:sz w:val="15"/>
                <w:szCs w:val="15"/>
                <w:color w:val="auto"/>
              </w:rPr>
            </w:pPr>
          </w:p>
        </w:tc>
        <w:tc>
          <w:tcPr>
            <w:tcW w:w="620" w:type="dxa"/>
            <w:vAlign w:val="bottom"/>
            <w:tcBorders>
              <w:bottom w:val="single" w:sz="8" w:color="ECECED"/>
            </w:tcBorders>
            <w:shd w:val="clear" w:color="auto" w:fill="ECECED"/>
          </w:tcPr>
          <w:p>
            <w:pPr>
              <w:spacing w:after="0"/>
              <w:rPr>
                <w:sz w:val="15"/>
                <w:szCs w:val="15"/>
                <w:color w:val="auto"/>
              </w:rPr>
            </w:pPr>
          </w:p>
        </w:tc>
        <w:tc>
          <w:tcPr>
            <w:tcW w:w="74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949599"/>
            </w:tcBorders>
            <w:shd w:val="clear" w:color="auto" w:fill="ECECED"/>
          </w:tcPr>
          <w:p>
            <w:pPr>
              <w:spacing w:after="0"/>
              <w:rPr>
                <w:sz w:val="15"/>
                <w:szCs w:val="15"/>
                <w:color w:val="auto"/>
              </w:rPr>
            </w:pPr>
          </w:p>
        </w:tc>
        <w:tc>
          <w:tcPr>
            <w:tcW w:w="200" w:type="dxa"/>
            <w:vAlign w:val="bottom"/>
            <w:tcBorders>
              <w:bottom w:val="single" w:sz="8" w:color="949599"/>
            </w:tcBorders>
            <w:shd w:val="clear" w:color="auto" w:fill="ECECED"/>
          </w:tcPr>
          <w:p>
            <w:pPr>
              <w:spacing w:after="0"/>
              <w:rPr>
                <w:sz w:val="15"/>
                <w:szCs w:val="15"/>
                <w:color w:val="auto"/>
              </w:rPr>
            </w:pPr>
          </w:p>
        </w:tc>
        <w:tc>
          <w:tcPr>
            <w:tcW w:w="780" w:type="dxa"/>
            <w:vAlign w:val="bottom"/>
            <w:tcBorders>
              <w:bottom w:val="single" w:sz="8" w:color="949599"/>
            </w:tcBorders>
            <w:shd w:val="clear" w:color="auto" w:fill="ECECED"/>
          </w:tcPr>
          <w:p>
            <w:pPr>
              <w:ind w:left="5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shd w:val="clear" w:color="auto" w:fill="ECECED"/>
          </w:tcPr>
          <w:p>
            <w:pPr>
              <w:spacing w:after="0"/>
              <w:rPr>
                <w:sz w:val="15"/>
                <w:szCs w:val="15"/>
                <w:color w:val="auto"/>
              </w:rPr>
            </w:pPr>
          </w:p>
        </w:tc>
        <w:tc>
          <w:tcPr>
            <w:tcW w:w="1160" w:type="dxa"/>
            <w:vAlign w:val="bottom"/>
            <w:tcBorders>
              <w:bottom w:val="single" w:sz="8" w:color="949599"/>
            </w:tcBorders>
            <w:shd w:val="clear" w:color="auto" w:fill="ECECED"/>
          </w:tcPr>
          <w:p>
            <w:pPr>
              <w:jc w:val="right"/>
              <w:ind w:right="3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gridSpan w:val="2"/>
            <w:shd w:val="clear" w:color="auto" w:fill="ECECED"/>
          </w:tcPr>
          <w:p>
            <w:pPr>
              <w:jc w:val="right"/>
              <w:ind w:right="3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49599"/>
            </w:tcBorders>
            <w:gridSpan w:val="2"/>
            <w:shd w:val="clear" w:color="auto" w:fill="ECECED"/>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49599"/>
            </w:tcBorders>
            <w:shd w:val="clear" w:color="auto" w:fill="ECECED"/>
          </w:tcPr>
          <w:p>
            <w:pPr>
              <w:ind w:left="180"/>
              <w:spacing w:after="0" w:line="183" w:lineRule="exact"/>
              <w:rPr>
                <w:sz w:val="20"/>
                <w:szCs w:val="20"/>
                <w:color w:val="auto"/>
              </w:rPr>
            </w:pPr>
            <w:r>
              <w:rPr>
                <w:rFonts w:ascii="Arial" w:cs="Arial" w:eastAsia="Arial" w:hAnsi="Arial"/>
                <w:sz w:val="13"/>
                <w:szCs w:val="13"/>
                <w:color w:val="auto"/>
              </w:rPr>
              <w:t>2,172</w:t>
            </w:r>
            <w:r>
              <w:rPr>
                <w:rFonts w:ascii="Arial" w:cs="Arial" w:eastAsia="Arial" w:hAnsi="Arial"/>
                <w:sz w:val="21"/>
                <w:szCs w:val="21"/>
                <w:color w:val="auto"/>
                <w:vertAlign w:val="superscript"/>
              </w:rPr>
              <w:t>7</w:t>
            </w:r>
          </w:p>
        </w:tc>
        <w:tc>
          <w:tcPr>
            <w:tcW w:w="1000" w:type="dxa"/>
            <w:vAlign w:val="bottom"/>
            <w:tcBorders>
              <w:bottom w:val="single" w:sz="8" w:color="949599"/>
            </w:tcBorders>
            <w:shd w:val="clear" w:color="auto" w:fill="ECECED"/>
          </w:tcPr>
          <w:p>
            <w:pPr>
              <w:jc w:val="right"/>
              <w:ind w:right="73"/>
              <w:spacing w:after="0" w:line="183" w:lineRule="exact"/>
              <w:rPr>
                <w:sz w:val="20"/>
                <w:szCs w:val="20"/>
                <w:color w:val="auto"/>
              </w:rPr>
            </w:pPr>
            <w:r>
              <w:rPr>
                <w:rFonts w:ascii="Arial" w:cs="Arial" w:eastAsia="Arial" w:hAnsi="Arial"/>
                <w:sz w:val="13"/>
                <w:szCs w:val="13"/>
                <w:color w:val="auto"/>
              </w:rPr>
              <w:t>1,907,646</w:t>
            </w:r>
            <w:r>
              <w:rPr>
                <w:rFonts w:ascii="Arial" w:cs="Arial" w:eastAsia="Arial" w:hAnsi="Arial"/>
                <w:sz w:val="21"/>
                <w:szCs w:val="21"/>
                <w:color w:val="auto"/>
                <w:vertAlign w:val="superscript"/>
              </w:rPr>
              <w:t>2</w:t>
            </w:r>
          </w:p>
        </w:tc>
        <w:tc>
          <w:tcPr>
            <w:tcW w:w="1000" w:type="dxa"/>
            <w:vAlign w:val="bottom"/>
            <w:tcBorders>
              <w:bottom w:val="single" w:sz="8" w:color="949599"/>
            </w:tcBorders>
            <w:shd w:val="clear" w:color="auto" w:fill="ECECED"/>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Borders>
              <w:bottom w:val="single" w:sz="8" w:color="ECECED"/>
            </w:tcBorders>
            <w:shd w:val="clear" w:color="auto" w:fill="ECECED"/>
          </w:tcPr>
          <w:p>
            <w:pPr>
              <w:spacing w:after="0"/>
              <w:rPr>
                <w:sz w:val="15"/>
                <w:szCs w:val="15"/>
                <w:color w:val="auto"/>
              </w:rPr>
            </w:pPr>
          </w:p>
        </w:tc>
        <w:tc>
          <w:tcPr>
            <w:tcW w:w="620" w:type="dxa"/>
            <w:vAlign w:val="bottom"/>
            <w:tcBorders>
              <w:bottom w:val="single" w:sz="8" w:color="ECECED"/>
            </w:tcBorders>
            <w:shd w:val="clear" w:color="auto" w:fill="ECECED"/>
          </w:tcPr>
          <w:p>
            <w:pPr>
              <w:spacing w:after="0"/>
              <w:rPr>
                <w:sz w:val="15"/>
                <w:szCs w:val="15"/>
                <w:color w:val="auto"/>
              </w:rPr>
            </w:pPr>
          </w:p>
        </w:tc>
        <w:tc>
          <w:tcPr>
            <w:tcW w:w="74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949599"/>
            </w:tcBorders>
            <w:shd w:val="clear" w:color="auto" w:fill="ECECED"/>
          </w:tcPr>
          <w:p>
            <w:pPr>
              <w:spacing w:after="0"/>
              <w:rPr>
                <w:sz w:val="15"/>
                <w:szCs w:val="15"/>
                <w:color w:val="auto"/>
              </w:rPr>
            </w:pPr>
          </w:p>
        </w:tc>
        <w:tc>
          <w:tcPr>
            <w:tcW w:w="200" w:type="dxa"/>
            <w:vAlign w:val="bottom"/>
            <w:tcBorders>
              <w:bottom w:val="single" w:sz="8" w:color="949599"/>
            </w:tcBorders>
            <w:shd w:val="clear" w:color="auto" w:fill="ECECED"/>
          </w:tcPr>
          <w:p>
            <w:pPr>
              <w:spacing w:after="0"/>
              <w:rPr>
                <w:sz w:val="15"/>
                <w:szCs w:val="15"/>
                <w:color w:val="auto"/>
              </w:rPr>
            </w:pPr>
          </w:p>
        </w:tc>
        <w:tc>
          <w:tcPr>
            <w:tcW w:w="780" w:type="dxa"/>
            <w:vAlign w:val="bottom"/>
            <w:tcBorders>
              <w:bottom w:val="single" w:sz="8" w:color="949599"/>
            </w:tcBorders>
            <w:shd w:val="clear" w:color="auto" w:fill="ECECED"/>
          </w:tcPr>
          <w:p>
            <w:pPr>
              <w:ind w:left="5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shd w:val="clear" w:color="auto" w:fill="ECECED"/>
          </w:tcPr>
          <w:p>
            <w:pPr>
              <w:spacing w:after="0"/>
              <w:rPr>
                <w:sz w:val="15"/>
                <w:szCs w:val="15"/>
                <w:color w:val="auto"/>
              </w:rPr>
            </w:pPr>
          </w:p>
        </w:tc>
        <w:tc>
          <w:tcPr>
            <w:tcW w:w="1160" w:type="dxa"/>
            <w:vAlign w:val="bottom"/>
            <w:tcBorders>
              <w:bottom w:val="single" w:sz="8" w:color="949599"/>
            </w:tcBorders>
            <w:shd w:val="clear" w:color="auto" w:fill="ECECED"/>
          </w:tcPr>
          <w:p>
            <w:pPr>
              <w:jc w:val="right"/>
              <w:ind w:right="3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949599"/>
            </w:tcBorders>
            <w:shd w:val="clear" w:color="auto" w:fill="ECECED"/>
          </w:tcPr>
          <w:p>
            <w:pPr>
              <w:spacing w:after="0"/>
              <w:rPr>
                <w:sz w:val="15"/>
                <w:szCs w:val="15"/>
                <w:color w:val="auto"/>
              </w:rPr>
            </w:pPr>
          </w:p>
        </w:tc>
        <w:tc>
          <w:tcPr>
            <w:tcW w:w="1080" w:type="dxa"/>
            <w:vAlign w:val="bottom"/>
            <w:tcBorders>
              <w:bottom w:val="single" w:sz="8" w:color="949599"/>
            </w:tcBorders>
            <w:gridSpan w:val="2"/>
            <w:shd w:val="clear" w:color="auto" w:fill="ECECED"/>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49599"/>
            </w:tcBorders>
            <w:shd w:val="clear" w:color="auto" w:fill="ECECED"/>
          </w:tcPr>
          <w:p>
            <w:pPr>
              <w:jc w:val="right"/>
              <w:ind w:right="413"/>
              <w:spacing w:after="0" w:line="183" w:lineRule="exact"/>
              <w:rPr>
                <w:sz w:val="20"/>
                <w:szCs w:val="20"/>
                <w:color w:val="auto"/>
              </w:rPr>
            </w:pPr>
            <w:r>
              <w:rPr>
                <w:rFonts w:ascii="Arial" w:cs="Arial" w:eastAsia="Arial" w:hAnsi="Arial"/>
                <w:sz w:val="13"/>
                <w:szCs w:val="13"/>
                <w:color w:val="auto"/>
              </w:rPr>
              <w:t>965</w:t>
            </w:r>
            <w:r>
              <w:rPr>
                <w:rFonts w:ascii="Arial" w:cs="Arial" w:eastAsia="Arial" w:hAnsi="Arial"/>
                <w:sz w:val="21"/>
                <w:szCs w:val="21"/>
                <w:color w:val="auto"/>
                <w:vertAlign w:val="superscript"/>
              </w:rPr>
              <w:t>8</w:t>
            </w:r>
          </w:p>
        </w:tc>
        <w:tc>
          <w:tcPr>
            <w:tcW w:w="1000" w:type="dxa"/>
            <w:vAlign w:val="bottom"/>
            <w:tcBorders>
              <w:bottom w:val="single" w:sz="8" w:color="949599"/>
            </w:tcBorders>
            <w:shd w:val="clear" w:color="auto" w:fill="ECECED"/>
          </w:tcPr>
          <w:p>
            <w:pPr>
              <w:jc w:val="right"/>
              <w:ind w:right="73"/>
              <w:spacing w:after="0" w:line="183" w:lineRule="exact"/>
              <w:rPr>
                <w:sz w:val="20"/>
                <w:szCs w:val="20"/>
                <w:color w:val="auto"/>
              </w:rPr>
            </w:pPr>
            <w:r>
              <w:rPr>
                <w:rFonts w:ascii="Arial" w:cs="Arial" w:eastAsia="Arial" w:hAnsi="Arial"/>
                <w:sz w:val="13"/>
                <w:szCs w:val="13"/>
                <w:color w:val="auto"/>
              </w:rPr>
              <w:t>847,550</w:t>
            </w:r>
            <w:r>
              <w:rPr>
                <w:rFonts w:ascii="Arial" w:cs="Arial" w:eastAsia="Arial" w:hAnsi="Arial"/>
                <w:sz w:val="21"/>
                <w:szCs w:val="21"/>
                <w:color w:val="auto"/>
                <w:vertAlign w:val="superscript"/>
              </w:rPr>
              <w:t>2</w:t>
            </w:r>
          </w:p>
        </w:tc>
        <w:tc>
          <w:tcPr>
            <w:tcW w:w="1000" w:type="dxa"/>
            <w:vAlign w:val="bottom"/>
            <w:tcBorders>
              <w:bottom w:val="single" w:sz="8" w:color="949599"/>
            </w:tcBorders>
            <w:shd w:val="clear" w:color="auto" w:fill="ECECED"/>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00" w:type="dxa"/>
            <w:vAlign w:val="bottom"/>
            <w:tcBorders>
              <w:bottom w:val="single" w:sz="8" w:color="ECECED"/>
            </w:tcBorders>
            <w:gridSpan w:val="2"/>
            <w:vMerge w:val="restart"/>
            <w:shd w:val="clear" w:color="auto" w:fill="ECECED"/>
          </w:tcPr>
          <w:p>
            <w:pPr>
              <w:ind w:left="780"/>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949599"/>
            </w:tcBorders>
            <w:shd w:val="clear" w:color="auto" w:fill="ECECED"/>
          </w:tcPr>
          <w:p>
            <w:pPr>
              <w:spacing w:after="0"/>
              <w:rPr>
                <w:sz w:val="15"/>
                <w:szCs w:val="15"/>
                <w:color w:val="auto"/>
              </w:rPr>
            </w:pPr>
          </w:p>
        </w:tc>
        <w:tc>
          <w:tcPr>
            <w:tcW w:w="200" w:type="dxa"/>
            <w:vAlign w:val="bottom"/>
            <w:tcBorders>
              <w:bottom w:val="single" w:sz="8" w:color="949599"/>
            </w:tcBorders>
            <w:shd w:val="clear" w:color="auto" w:fill="ECECED"/>
          </w:tcPr>
          <w:p>
            <w:pPr>
              <w:spacing w:after="0"/>
              <w:rPr>
                <w:sz w:val="15"/>
                <w:szCs w:val="15"/>
                <w:color w:val="auto"/>
              </w:rPr>
            </w:pPr>
          </w:p>
        </w:tc>
        <w:tc>
          <w:tcPr>
            <w:tcW w:w="780" w:type="dxa"/>
            <w:vAlign w:val="bottom"/>
            <w:tcBorders>
              <w:bottom w:val="single" w:sz="8" w:color="949599"/>
            </w:tcBorders>
            <w:shd w:val="clear" w:color="auto" w:fill="ECECED"/>
          </w:tcPr>
          <w:p>
            <w:pPr>
              <w:ind w:left="5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shd w:val="clear" w:color="auto" w:fill="ECECED"/>
          </w:tcPr>
          <w:p>
            <w:pPr>
              <w:spacing w:after="0"/>
              <w:rPr>
                <w:sz w:val="15"/>
                <w:szCs w:val="15"/>
                <w:color w:val="auto"/>
              </w:rPr>
            </w:pPr>
          </w:p>
        </w:tc>
        <w:tc>
          <w:tcPr>
            <w:tcW w:w="1160" w:type="dxa"/>
            <w:vAlign w:val="bottom"/>
            <w:tcBorders>
              <w:bottom w:val="single" w:sz="8" w:color="949599"/>
            </w:tcBorders>
            <w:shd w:val="clear" w:color="auto" w:fill="ECECED"/>
          </w:tcPr>
          <w:p>
            <w:pPr>
              <w:jc w:val="right"/>
              <w:ind w:right="3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949599"/>
            </w:tcBorders>
            <w:shd w:val="clear" w:color="auto" w:fill="ECECED"/>
          </w:tcPr>
          <w:p>
            <w:pPr>
              <w:spacing w:after="0"/>
              <w:rPr>
                <w:sz w:val="15"/>
                <w:szCs w:val="15"/>
                <w:color w:val="auto"/>
              </w:rPr>
            </w:pPr>
          </w:p>
        </w:tc>
        <w:tc>
          <w:tcPr>
            <w:tcW w:w="1080" w:type="dxa"/>
            <w:vAlign w:val="bottom"/>
            <w:tcBorders>
              <w:bottom w:val="single" w:sz="8" w:color="949599"/>
            </w:tcBorders>
            <w:gridSpan w:val="2"/>
            <w:shd w:val="clear" w:color="auto" w:fill="ECECED"/>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49599"/>
            </w:tcBorders>
            <w:shd w:val="clear" w:color="auto" w:fill="ECECED"/>
          </w:tcPr>
          <w:p>
            <w:pPr>
              <w:ind w:left="180"/>
              <w:spacing w:after="0" w:line="183" w:lineRule="exact"/>
              <w:rPr>
                <w:sz w:val="20"/>
                <w:szCs w:val="20"/>
                <w:color w:val="auto"/>
              </w:rPr>
            </w:pPr>
            <w:r>
              <w:rPr>
                <w:rFonts w:ascii="Arial" w:cs="Arial" w:eastAsia="Arial" w:hAnsi="Arial"/>
                <w:sz w:val="13"/>
                <w:szCs w:val="13"/>
                <w:color w:val="auto"/>
              </w:rPr>
              <w:t>5,000</w:t>
            </w:r>
            <w:r>
              <w:rPr>
                <w:rFonts w:ascii="Arial" w:cs="Arial" w:eastAsia="Arial" w:hAnsi="Arial"/>
                <w:sz w:val="21"/>
                <w:szCs w:val="21"/>
                <w:color w:val="auto"/>
                <w:vertAlign w:val="superscript"/>
              </w:rPr>
              <w:t>11</w:t>
            </w:r>
          </w:p>
        </w:tc>
        <w:tc>
          <w:tcPr>
            <w:tcW w:w="1000" w:type="dxa"/>
            <w:vAlign w:val="bottom"/>
            <w:tcBorders>
              <w:bottom w:val="single" w:sz="8" w:color="949599"/>
            </w:tcBorders>
            <w:shd w:val="clear" w:color="auto" w:fill="ECECED"/>
          </w:tcPr>
          <w:p>
            <w:pPr>
              <w:jc w:val="right"/>
              <w:ind w:right="73"/>
              <w:spacing w:after="0" w:line="183" w:lineRule="exact"/>
              <w:rPr>
                <w:sz w:val="20"/>
                <w:szCs w:val="20"/>
                <w:color w:val="auto"/>
              </w:rPr>
            </w:pPr>
            <w:r>
              <w:rPr>
                <w:rFonts w:ascii="Arial" w:cs="Arial" w:eastAsia="Arial" w:hAnsi="Arial"/>
                <w:sz w:val="13"/>
                <w:szCs w:val="13"/>
                <w:color w:val="auto"/>
              </w:rPr>
              <w:t>4,391,450</w:t>
            </w:r>
            <w:r>
              <w:rPr>
                <w:rFonts w:ascii="Arial" w:cs="Arial" w:eastAsia="Arial" w:hAnsi="Arial"/>
                <w:sz w:val="21"/>
                <w:szCs w:val="21"/>
                <w:color w:val="auto"/>
                <w:vertAlign w:val="superscript"/>
              </w:rPr>
              <w:t>2</w:t>
            </w:r>
          </w:p>
        </w:tc>
        <w:tc>
          <w:tcPr>
            <w:tcW w:w="1000" w:type="dxa"/>
            <w:vAlign w:val="bottom"/>
            <w:tcBorders>
              <w:bottom w:val="single" w:sz="8" w:color="949599"/>
            </w:tcBorders>
            <w:shd w:val="clear" w:color="auto" w:fill="ECECED"/>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shd w:val="clear" w:color="auto" w:fill="ECECED"/>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0" w:type="dxa"/>
            <w:vAlign w:val="bottom"/>
            <w:tcBorders>
              <w:bottom w:val="single" w:sz="8" w:color="949599"/>
            </w:tcBorders>
            <w:gridSpan w:val="2"/>
            <w:vMerge w:val="continue"/>
            <w:shd w:val="clear" w:color="auto" w:fill="ECECED"/>
          </w:tcPr>
          <w:p>
            <w:pPr>
              <w:spacing w:after="0"/>
              <w:rPr>
                <w:sz w:val="12"/>
                <w:szCs w:val="12"/>
                <w:color w:val="auto"/>
              </w:rPr>
            </w:pPr>
          </w:p>
        </w:tc>
        <w:tc>
          <w:tcPr>
            <w:tcW w:w="74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b w:val="1"/>
                <w:bCs w:val="1"/>
                <w:color w:val="auto"/>
              </w:rPr>
              <w:t>75,367</w:t>
            </w:r>
          </w:p>
        </w:tc>
        <w:tc>
          <w:tcPr>
            <w:tcW w:w="380" w:type="dxa"/>
            <w:vAlign w:val="bottom"/>
            <w:tcBorders>
              <w:bottom w:val="single" w:sz="8" w:color="949599"/>
            </w:tcBorders>
            <w:shd w:val="clear" w:color="auto" w:fill="ECECED"/>
          </w:tcPr>
          <w:p>
            <w:pPr>
              <w:spacing w:after="0"/>
              <w:rPr>
                <w:sz w:val="12"/>
                <w:szCs w:val="12"/>
                <w:color w:val="auto"/>
              </w:rPr>
            </w:pPr>
          </w:p>
        </w:tc>
        <w:tc>
          <w:tcPr>
            <w:tcW w:w="200" w:type="dxa"/>
            <w:vAlign w:val="bottom"/>
            <w:tcBorders>
              <w:bottom w:val="single" w:sz="8" w:color="949599"/>
            </w:tcBorders>
            <w:shd w:val="clear" w:color="auto" w:fill="ECECED"/>
          </w:tcPr>
          <w:p>
            <w:pPr>
              <w:spacing w:after="0"/>
              <w:rPr>
                <w:sz w:val="12"/>
                <w:szCs w:val="12"/>
                <w:color w:val="auto"/>
              </w:rPr>
            </w:pPr>
          </w:p>
        </w:tc>
        <w:tc>
          <w:tcPr>
            <w:tcW w:w="780" w:type="dxa"/>
            <w:vAlign w:val="bottom"/>
            <w:tcBorders>
              <w:bottom w:val="single" w:sz="8" w:color="949599"/>
            </w:tcBorders>
            <w:shd w:val="clear" w:color="auto" w:fill="ECECED"/>
          </w:tcPr>
          <w:p>
            <w:pPr>
              <w:jc w:val="right"/>
              <w:ind w:right="93"/>
              <w:spacing w:after="0" w:line="149" w:lineRule="exact"/>
              <w:rPr>
                <w:sz w:val="20"/>
                <w:szCs w:val="20"/>
                <w:color w:val="auto"/>
              </w:rPr>
            </w:pPr>
            <w:r>
              <w:rPr>
                <w:rFonts w:ascii="Arial" w:cs="Arial" w:eastAsia="Arial" w:hAnsi="Arial"/>
                <w:sz w:val="14"/>
                <w:szCs w:val="14"/>
                <w:b w:val="1"/>
                <w:bCs w:val="1"/>
                <w:color w:val="auto"/>
              </w:rPr>
              <w:t>36,248</w:t>
            </w:r>
          </w:p>
        </w:tc>
        <w:tc>
          <w:tcPr>
            <w:tcW w:w="400" w:type="dxa"/>
            <w:vAlign w:val="bottom"/>
            <w:tcBorders>
              <w:bottom w:val="single" w:sz="8" w:color="949599"/>
            </w:tcBorders>
            <w:shd w:val="clear" w:color="auto" w:fill="ECECED"/>
          </w:tcPr>
          <w:p>
            <w:pPr>
              <w:spacing w:after="0"/>
              <w:rPr>
                <w:sz w:val="12"/>
                <w:szCs w:val="12"/>
                <w:color w:val="auto"/>
              </w:rPr>
            </w:pPr>
          </w:p>
        </w:tc>
        <w:tc>
          <w:tcPr>
            <w:tcW w:w="1160" w:type="dxa"/>
            <w:vAlign w:val="bottom"/>
            <w:tcBorders>
              <w:bottom w:val="single" w:sz="8" w:color="949599"/>
            </w:tcBorders>
            <w:shd w:val="clear" w:color="auto" w:fill="ECECED"/>
          </w:tcPr>
          <w:p>
            <w:pPr>
              <w:spacing w:after="0"/>
              <w:rPr>
                <w:sz w:val="12"/>
                <w:szCs w:val="12"/>
                <w:color w:val="auto"/>
              </w:rPr>
            </w:pPr>
          </w:p>
        </w:tc>
        <w:tc>
          <w:tcPr>
            <w:tcW w:w="500" w:type="dxa"/>
            <w:vAlign w:val="bottom"/>
            <w:tcBorders>
              <w:bottom w:val="single" w:sz="8" w:color="949599"/>
            </w:tcBorders>
            <w:shd w:val="clear" w:color="auto" w:fill="ECECED"/>
          </w:tcPr>
          <w:p>
            <w:pPr>
              <w:spacing w:after="0"/>
              <w:rPr>
                <w:sz w:val="12"/>
                <w:szCs w:val="12"/>
                <w:color w:val="auto"/>
              </w:rPr>
            </w:pPr>
          </w:p>
        </w:tc>
        <w:tc>
          <w:tcPr>
            <w:tcW w:w="380" w:type="dxa"/>
            <w:vAlign w:val="bottom"/>
            <w:tcBorders>
              <w:bottom w:val="single" w:sz="8" w:color="949599"/>
            </w:tcBorders>
            <w:shd w:val="clear" w:color="auto" w:fill="ECECED"/>
          </w:tcPr>
          <w:p>
            <w:pPr>
              <w:spacing w:after="0"/>
              <w:rPr>
                <w:sz w:val="12"/>
                <w:szCs w:val="12"/>
                <w:color w:val="auto"/>
              </w:rPr>
            </w:pPr>
          </w:p>
        </w:tc>
        <w:tc>
          <w:tcPr>
            <w:tcW w:w="700" w:type="dxa"/>
            <w:vAlign w:val="bottom"/>
            <w:tcBorders>
              <w:bottom w:val="single" w:sz="8" w:color="949599"/>
            </w:tcBorders>
            <w:shd w:val="clear" w:color="auto" w:fill="ECECED"/>
          </w:tcPr>
          <w:p>
            <w:pPr>
              <w:spacing w:after="0"/>
              <w:rPr>
                <w:sz w:val="12"/>
                <w:szCs w:val="12"/>
                <w:color w:val="auto"/>
              </w:rPr>
            </w:pPr>
          </w:p>
        </w:tc>
        <w:tc>
          <w:tcPr>
            <w:tcW w:w="380" w:type="dxa"/>
            <w:vAlign w:val="bottom"/>
            <w:tcBorders>
              <w:bottom w:val="single" w:sz="8" w:color="949599"/>
            </w:tcBorders>
            <w:shd w:val="clear" w:color="auto" w:fill="ECECED"/>
          </w:tcPr>
          <w:p>
            <w:pPr>
              <w:spacing w:after="0"/>
              <w:rPr>
                <w:sz w:val="12"/>
                <w:szCs w:val="12"/>
                <w:color w:val="auto"/>
              </w:rPr>
            </w:pPr>
          </w:p>
        </w:tc>
        <w:tc>
          <w:tcPr>
            <w:tcW w:w="1060" w:type="dxa"/>
            <w:vAlign w:val="bottom"/>
            <w:tcBorders>
              <w:bottom w:val="single" w:sz="8" w:color="949599"/>
            </w:tcBorders>
            <w:shd w:val="clear" w:color="auto" w:fill="ECECED"/>
          </w:tcPr>
          <w:p>
            <w:pPr>
              <w:jc w:val="right"/>
              <w:ind w:right="473"/>
              <w:spacing w:after="0" w:line="149" w:lineRule="exact"/>
              <w:rPr>
                <w:sz w:val="20"/>
                <w:szCs w:val="20"/>
                <w:color w:val="auto"/>
              </w:rPr>
            </w:pPr>
            <w:r>
              <w:rPr>
                <w:rFonts w:ascii="Arial" w:cs="Arial" w:eastAsia="Arial" w:hAnsi="Arial"/>
                <w:sz w:val="14"/>
                <w:szCs w:val="14"/>
                <w:b w:val="1"/>
                <w:bCs w:val="1"/>
                <w:color w:val="auto"/>
              </w:rPr>
              <w:t>15,134</w:t>
            </w:r>
          </w:p>
        </w:tc>
        <w:tc>
          <w:tcPr>
            <w:tcW w:w="1000" w:type="dxa"/>
            <w:vAlign w:val="bottom"/>
            <w:tcBorders>
              <w:bottom w:val="single" w:sz="8" w:color="949599"/>
            </w:tcBorders>
            <w:shd w:val="clear" w:color="auto" w:fill="ECECED"/>
          </w:tcPr>
          <w:p>
            <w:pPr>
              <w:jc w:val="right"/>
              <w:ind w:right="133"/>
              <w:spacing w:after="0" w:line="149" w:lineRule="exact"/>
              <w:rPr>
                <w:sz w:val="20"/>
                <w:szCs w:val="20"/>
                <w:color w:val="auto"/>
              </w:rPr>
            </w:pPr>
            <w:r>
              <w:rPr>
                <w:rFonts w:ascii="Arial" w:cs="Arial" w:eastAsia="Arial" w:hAnsi="Arial"/>
                <w:sz w:val="14"/>
                <w:szCs w:val="14"/>
                <w:b w:val="1"/>
                <w:bCs w:val="1"/>
                <w:color w:val="auto"/>
              </w:rPr>
              <w:t>13,292,041</w:t>
            </w:r>
          </w:p>
        </w:tc>
        <w:tc>
          <w:tcPr>
            <w:tcW w:w="1000" w:type="dxa"/>
            <w:vAlign w:val="bottom"/>
            <w:tcBorders>
              <w:bottom w:val="single" w:sz="8" w:color="949599"/>
            </w:tcBorders>
            <w:shd w:val="clear" w:color="auto" w:fill="ECECED"/>
          </w:tcPr>
          <w:p>
            <w:pPr>
              <w:spacing w:after="0"/>
              <w:rPr>
                <w:sz w:val="12"/>
                <w:szCs w:val="12"/>
                <w:color w:val="auto"/>
              </w:rPr>
            </w:pPr>
          </w:p>
        </w:tc>
        <w:tc>
          <w:tcPr>
            <w:tcW w:w="980" w:type="dxa"/>
            <w:vAlign w:val="bottom"/>
            <w:tcBorders>
              <w:bottom w:val="single" w:sz="8" w:color="949599"/>
            </w:tcBorders>
            <w:shd w:val="clear" w:color="auto" w:fill="ECECED"/>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gridSpan w:val="2"/>
          </w:tcPr>
          <w:p>
            <w:pPr>
              <w:jc w:val="right"/>
              <w:ind w:right="33"/>
              <w:spacing w:after="0" w:line="183" w:lineRule="exact"/>
              <w:rPr>
                <w:sz w:val="20"/>
                <w:szCs w:val="20"/>
                <w:color w:val="auto"/>
              </w:rPr>
            </w:pPr>
            <w:r>
              <w:rPr>
                <w:rFonts w:ascii="Arial" w:cs="Arial" w:eastAsia="Arial" w:hAnsi="Arial"/>
                <w:sz w:val="13"/>
                <w:szCs w:val="13"/>
                <w:color w:val="auto"/>
              </w:rPr>
              <w:t>11,473</w:t>
            </w:r>
            <w:r>
              <w:rPr>
                <w:rFonts w:ascii="Arial" w:cs="Arial" w:eastAsia="Arial" w:hAnsi="Arial"/>
                <w:sz w:val="21"/>
                <w:szCs w:val="21"/>
                <w:color w:val="auto"/>
                <w:vertAlign w:val="superscript"/>
              </w:rPr>
              <w:t>9</w:t>
            </w:r>
          </w:p>
        </w:tc>
        <w:tc>
          <w:tcPr>
            <w:tcW w:w="400" w:type="dxa"/>
            <w:vAlign w:val="bottom"/>
            <w:tcBorders>
              <w:bottom w:val="single" w:sz="8" w:color="949599"/>
            </w:tcBorders>
          </w:tcPr>
          <w:p>
            <w:pPr>
              <w:spacing w:after="0"/>
              <w:rPr>
                <w:sz w:val="15"/>
                <w:szCs w:val="15"/>
                <w:color w:val="auto"/>
              </w:rPr>
            </w:pPr>
          </w:p>
        </w:tc>
        <w:tc>
          <w:tcPr>
            <w:tcW w:w="1160" w:type="dxa"/>
            <w:vAlign w:val="bottom"/>
            <w:tcBorders>
              <w:bottom w:val="single" w:sz="8" w:color="949599"/>
            </w:tcBorders>
          </w:tcPr>
          <w:p>
            <w:pPr>
              <w:jc w:val="right"/>
              <w:ind w:right="3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843.79</w:t>
            </w:r>
          </w:p>
        </w:tc>
        <w:tc>
          <w:tcPr>
            <w:tcW w:w="380" w:type="dxa"/>
            <w:vAlign w:val="bottom"/>
            <w:tcBorders>
              <w:bottom w:val="single" w:sz="8" w:color="949599"/>
            </w:tcBorders>
          </w:tcPr>
          <w:p>
            <w:pPr>
              <w:spacing w:after="0"/>
              <w:rPr>
                <w:sz w:val="15"/>
                <w:szCs w:val="15"/>
                <w:color w:val="auto"/>
              </w:rPr>
            </w:pPr>
          </w:p>
        </w:tc>
        <w:tc>
          <w:tcPr>
            <w:tcW w:w="7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12/8/2033</w:t>
            </w:r>
          </w:p>
        </w:tc>
        <w:tc>
          <w:tcPr>
            <w:tcW w:w="380" w:type="dxa"/>
            <w:vAlign w:val="bottom"/>
            <w:tcBorders>
              <w:bottom w:val="single" w:sz="8" w:color="949599"/>
            </w:tcBorders>
          </w:tcPr>
          <w:p>
            <w:pPr>
              <w:spacing w:after="0"/>
              <w:rPr>
                <w:sz w:val="15"/>
                <w:szCs w:val="15"/>
                <w:color w:val="auto"/>
              </w:rPr>
            </w:pPr>
          </w:p>
        </w:tc>
        <w:tc>
          <w:tcPr>
            <w:tcW w:w="1060" w:type="dxa"/>
            <w:vAlign w:val="bottom"/>
            <w:tcBorders>
              <w:bottom w:val="single" w:sz="8" w:color="949599"/>
            </w:tcBorders>
          </w:tcPr>
          <w:p>
            <w:pPr>
              <w:jc w:val="right"/>
              <w:ind w:right="47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13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3,810</w:t>
            </w:r>
          </w:p>
        </w:tc>
        <w:tc>
          <w:tcPr>
            <w:tcW w:w="980" w:type="dxa"/>
            <w:vAlign w:val="bottom"/>
            <w:tcBorders>
              <w:bottom w:val="single" w:sz="8" w:color="949599"/>
            </w:tcBorders>
            <w:gridSpan w:val="2"/>
          </w:tcPr>
          <w:p>
            <w:pPr>
              <w:jc w:val="right"/>
              <w:ind w:right="33"/>
              <w:spacing w:after="0" w:line="183" w:lineRule="exact"/>
              <w:rPr>
                <w:sz w:val="20"/>
                <w:szCs w:val="20"/>
                <w:color w:val="auto"/>
              </w:rPr>
            </w:pPr>
            <w:r>
              <w:rPr>
                <w:rFonts w:ascii="Arial" w:cs="Arial" w:eastAsia="Arial" w:hAnsi="Arial"/>
                <w:sz w:val="13"/>
                <w:szCs w:val="13"/>
                <w:color w:val="auto"/>
              </w:rPr>
              <w:t>11,428</w:t>
            </w:r>
            <w:r>
              <w:rPr>
                <w:rFonts w:ascii="Arial" w:cs="Arial" w:eastAsia="Arial" w:hAnsi="Arial"/>
                <w:sz w:val="21"/>
                <w:szCs w:val="21"/>
                <w:color w:val="auto"/>
                <w:vertAlign w:val="superscript"/>
              </w:rPr>
              <w:t>3</w:t>
            </w:r>
          </w:p>
        </w:tc>
        <w:tc>
          <w:tcPr>
            <w:tcW w:w="400" w:type="dxa"/>
            <w:vAlign w:val="bottom"/>
            <w:tcBorders>
              <w:bottom w:val="single" w:sz="8" w:color="949599"/>
            </w:tcBorders>
          </w:tcPr>
          <w:p>
            <w:pPr>
              <w:spacing w:after="0"/>
              <w:rPr>
                <w:sz w:val="15"/>
                <w:szCs w:val="15"/>
                <w:color w:val="auto"/>
              </w:rPr>
            </w:pPr>
          </w:p>
        </w:tc>
        <w:tc>
          <w:tcPr>
            <w:tcW w:w="1160" w:type="dxa"/>
            <w:vAlign w:val="bottom"/>
            <w:tcBorders>
              <w:bottom w:val="single" w:sz="8" w:color="949599"/>
            </w:tcBorders>
          </w:tcPr>
          <w:p>
            <w:pPr>
              <w:jc w:val="right"/>
              <w:ind w:right="3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726.53</w:t>
            </w:r>
          </w:p>
        </w:tc>
        <w:tc>
          <w:tcPr>
            <w:tcW w:w="380" w:type="dxa"/>
            <w:vAlign w:val="bottom"/>
            <w:tcBorders>
              <w:bottom w:val="single" w:sz="8" w:color="949599"/>
            </w:tcBorders>
          </w:tcPr>
          <w:p>
            <w:pPr>
              <w:spacing w:after="0"/>
              <w:rPr>
                <w:sz w:val="15"/>
                <w:szCs w:val="15"/>
                <w:color w:val="auto"/>
              </w:rPr>
            </w:pPr>
          </w:p>
        </w:tc>
        <w:tc>
          <w:tcPr>
            <w:tcW w:w="108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w w:val="96"/>
              </w:rPr>
              <w:t>12/16/2032</w:t>
            </w:r>
          </w:p>
        </w:tc>
        <w:tc>
          <w:tcPr>
            <w:tcW w:w="1060" w:type="dxa"/>
            <w:vAlign w:val="bottom"/>
            <w:tcBorders>
              <w:bottom w:val="single" w:sz="8" w:color="949599"/>
            </w:tcBorders>
          </w:tcPr>
          <w:p>
            <w:pPr>
              <w:jc w:val="right"/>
              <w:ind w:right="47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13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7,392</w:t>
            </w:r>
          </w:p>
        </w:tc>
        <w:tc>
          <w:tcPr>
            <w:tcW w:w="980" w:type="dxa"/>
            <w:vAlign w:val="bottom"/>
            <w:tcBorders>
              <w:bottom w:val="single" w:sz="8" w:color="949599"/>
            </w:tcBorders>
            <w:gridSpan w:val="2"/>
          </w:tcPr>
          <w:p>
            <w:pPr>
              <w:jc w:val="right"/>
              <w:ind w:right="33"/>
              <w:spacing w:after="0" w:line="183" w:lineRule="exact"/>
              <w:rPr>
                <w:sz w:val="20"/>
                <w:szCs w:val="20"/>
                <w:color w:val="auto"/>
              </w:rPr>
            </w:pPr>
            <w:r>
              <w:rPr>
                <w:rFonts w:ascii="Arial" w:cs="Arial" w:eastAsia="Arial" w:hAnsi="Arial"/>
                <w:sz w:val="13"/>
                <w:szCs w:val="13"/>
                <w:color w:val="auto"/>
              </w:rPr>
              <w:t>7,391</w:t>
            </w:r>
            <w:r>
              <w:rPr>
                <w:rFonts w:ascii="Arial" w:cs="Arial" w:eastAsia="Arial" w:hAnsi="Arial"/>
                <w:sz w:val="21"/>
                <w:szCs w:val="21"/>
                <w:color w:val="auto"/>
                <w:vertAlign w:val="superscript"/>
              </w:rPr>
              <w:t>4</w:t>
            </w:r>
          </w:p>
        </w:tc>
        <w:tc>
          <w:tcPr>
            <w:tcW w:w="400" w:type="dxa"/>
            <w:vAlign w:val="bottom"/>
            <w:tcBorders>
              <w:bottom w:val="single" w:sz="8" w:color="949599"/>
            </w:tcBorders>
          </w:tcPr>
          <w:p>
            <w:pPr>
              <w:spacing w:after="0"/>
              <w:rPr>
                <w:sz w:val="15"/>
                <w:szCs w:val="15"/>
                <w:color w:val="auto"/>
              </w:rPr>
            </w:pPr>
          </w:p>
        </w:tc>
        <w:tc>
          <w:tcPr>
            <w:tcW w:w="1160" w:type="dxa"/>
            <w:vAlign w:val="bottom"/>
            <w:tcBorders>
              <w:bottom w:val="single" w:sz="8" w:color="949599"/>
            </w:tcBorders>
          </w:tcPr>
          <w:p>
            <w:pPr>
              <w:jc w:val="right"/>
              <w:ind w:right="3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644.54</w:t>
            </w:r>
          </w:p>
        </w:tc>
        <w:tc>
          <w:tcPr>
            <w:tcW w:w="380" w:type="dxa"/>
            <w:vAlign w:val="bottom"/>
            <w:tcBorders>
              <w:bottom w:val="single" w:sz="8" w:color="949599"/>
            </w:tcBorders>
          </w:tcPr>
          <w:p>
            <w:pPr>
              <w:spacing w:after="0"/>
              <w:rPr>
                <w:sz w:val="15"/>
                <w:szCs w:val="15"/>
                <w:color w:val="auto"/>
              </w:rPr>
            </w:pPr>
          </w:p>
        </w:tc>
        <w:tc>
          <w:tcPr>
            <w:tcW w:w="108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w w:val="96"/>
              </w:rPr>
              <w:t>12/08/2031</w:t>
            </w:r>
          </w:p>
        </w:tc>
        <w:tc>
          <w:tcPr>
            <w:tcW w:w="1060" w:type="dxa"/>
            <w:vAlign w:val="bottom"/>
            <w:tcBorders>
              <w:bottom w:val="single" w:sz="8" w:color="949599"/>
            </w:tcBorders>
          </w:tcPr>
          <w:p>
            <w:pPr>
              <w:jc w:val="right"/>
              <w:ind w:right="47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13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18,750</w:t>
            </w:r>
          </w:p>
        </w:tc>
        <w:tc>
          <w:tcPr>
            <w:tcW w:w="380" w:type="dxa"/>
            <w:vAlign w:val="bottom"/>
            <w:tcBorders>
              <w:bottom w:val="single" w:sz="8" w:color="949599"/>
            </w:tcBorders>
          </w:tcPr>
          <w:p>
            <w:pPr>
              <w:spacing w:after="0"/>
              <w:rPr>
                <w:sz w:val="15"/>
                <w:szCs w:val="15"/>
                <w:color w:val="auto"/>
              </w:rPr>
            </w:pPr>
          </w:p>
        </w:tc>
        <w:tc>
          <w:tcPr>
            <w:tcW w:w="980" w:type="dxa"/>
            <w:vAlign w:val="bottom"/>
            <w:tcBorders>
              <w:bottom w:val="single" w:sz="8" w:color="949599"/>
            </w:tcBorders>
            <w:gridSpan w:val="2"/>
          </w:tcPr>
          <w:p>
            <w:pPr>
              <w:jc w:val="right"/>
              <w:ind w:right="33"/>
              <w:spacing w:after="0" w:line="183" w:lineRule="exact"/>
              <w:rPr>
                <w:sz w:val="20"/>
                <w:szCs w:val="20"/>
                <w:color w:val="auto"/>
              </w:rPr>
            </w:pPr>
            <w:r>
              <w:rPr>
                <w:rFonts w:ascii="Arial" w:cs="Arial" w:eastAsia="Arial" w:hAnsi="Arial"/>
                <w:sz w:val="13"/>
                <w:szCs w:val="13"/>
                <w:color w:val="auto"/>
              </w:rPr>
              <w:t>6,250</w:t>
            </w:r>
            <w:r>
              <w:rPr>
                <w:rFonts w:ascii="Arial" w:cs="Arial" w:eastAsia="Arial" w:hAnsi="Arial"/>
                <w:sz w:val="21"/>
                <w:szCs w:val="21"/>
                <w:color w:val="auto"/>
                <w:vertAlign w:val="superscript"/>
              </w:rPr>
              <w:t>5</w:t>
            </w:r>
          </w:p>
        </w:tc>
        <w:tc>
          <w:tcPr>
            <w:tcW w:w="400" w:type="dxa"/>
            <w:vAlign w:val="bottom"/>
            <w:tcBorders>
              <w:bottom w:val="single" w:sz="8" w:color="949599"/>
            </w:tcBorders>
          </w:tcPr>
          <w:p>
            <w:pPr>
              <w:spacing w:after="0"/>
              <w:rPr>
                <w:sz w:val="15"/>
                <w:szCs w:val="15"/>
                <w:color w:val="auto"/>
              </w:rPr>
            </w:pPr>
          </w:p>
        </w:tc>
        <w:tc>
          <w:tcPr>
            <w:tcW w:w="1160" w:type="dxa"/>
            <w:vAlign w:val="bottom"/>
            <w:tcBorders>
              <w:bottom w:val="single" w:sz="8" w:color="949599"/>
            </w:tcBorders>
          </w:tcPr>
          <w:p>
            <w:pPr>
              <w:jc w:val="right"/>
              <w:ind w:right="3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492.00</w:t>
            </w:r>
          </w:p>
        </w:tc>
        <w:tc>
          <w:tcPr>
            <w:tcW w:w="380" w:type="dxa"/>
            <w:vAlign w:val="bottom"/>
            <w:tcBorders>
              <w:bottom w:val="single" w:sz="8" w:color="949599"/>
            </w:tcBorders>
          </w:tcPr>
          <w:p>
            <w:pPr>
              <w:spacing w:after="0"/>
              <w:rPr>
                <w:sz w:val="15"/>
                <w:szCs w:val="15"/>
                <w:color w:val="auto"/>
              </w:rPr>
            </w:pPr>
          </w:p>
        </w:tc>
        <w:tc>
          <w:tcPr>
            <w:tcW w:w="108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w w:val="96"/>
              </w:rPr>
              <w:t>12/09/2030</w:t>
            </w:r>
          </w:p>
        </w:tc>
        <w:tc>
          <w:tcPr>
            <w:tcW w:w="1060" w:type="dxa"/>
            <w:vAlign w:val="bottom"/>
            <w:tcBorders>
              <w:bottom w:val="single" w:sz="8" w:color="949599"/>
            </w:tcBorders>
          </w:tcPr>
          <w:p>
            <w:pPr>
              <w:jc w:val="right"/>
              <w:ind w:right="47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13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24,500</w:t>
            </w:r>
          </w:p>
        </w:tc>
        <w:tc>
          <w:tcPr>
            <w:tcW w:w="380" w:type="dxa"/>
            <w:vAlign w:val="bottom"/>
            <w:tcBorders>
              <w:bottom w:val="single" w:sz="8" w:color="949599"/>
            </w:tcBorders>
          </w:tcPr>
          <w:p>
            <w:pPr>
              <w:spacing w:after="0"/>
              <w:rPr>
                <w:sz w:val="12"/>
                <w:szCs w:val="12"/>
                <w:color w:val="auto"/>
              </w:rPr>
            </w:pPr>
          </w:p>
        </w:tc>
        <w:tc>
          <w:tcPr>
            <w:tcW w:w="200" w:type="dxa"/>
            <w:vAlign w:val="bottom"/>
            <w:tcBorders>
              <w:bottom w:val="single" w:sz="8" w:color="949599"/>
            </w:tcBorders>
          </w:tcPr>
          <w:p>
            <w:pPr>
              <w:spacing w:after="0"/>
              <w:rPr>
                <w:sz w:val="12"/>
                <w:szCs w:val="12"/>
                <w:color w:val="auto"/>
              </w:rPr>
            </w:pPr>
          </w:p>
        </w:tc>
        <w:tc>
          <w:tcPr>
            <w:tcW w:w="780" w:type="dxa"/>
            <w:vAlign w:val="bottom"/>
            <w:tcBorders>
              <w:bottom w:val="single" w:sz="8" w:color="949599"/>
            </w:tcBorders>
          </w:tcPr>
          <w:p>
            <w:pPr>
              <w:ind w:left="50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tcPr>
          <w:p>
            <w:pPr>
              <w:spacing w:after="0"/>
              <w:rPr>
                <w:sz w:val="12"/>
                <w:szCs w:val="12"/>
                <w:color w:val="auto"/>
              </w:rPr>
            </w:pPr>
          </w:p>
        </w:tc>
        <w:tc>
          <w:tcPr>
            <w:tcW w:w="1160" w:type="dxa"/>
            <w:vAlign w:val="bottom"/>
            <w:tcBorders>
              <w:bottom w:val="single" w:sz="8" w:color="949599"/>
            </w:tcBorders>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372.46</w:t>
            </w:r>
          </w:p>
        </w:tc>
        <w:tc>
          <w:tcPr>
            <w:tcW w:w="380" w:type="dxa"/>
            <w:vAlign w:val="bottom"/>
            <w:tcBorders>
              <w:bottom w:val="single" w:sz="8" w:color="949599"/>
            </w:tcBorders>
          </w:tcPr>
          <w:p>
            <w:pPr>
              <w:spacing w:after="0"/>
              <w:rPr>
                <w:sz w:val="12"/>
                <w:szCs w:val="12"/>
                <w:color w:val="auto"/>
              </w:rPr>
            </w:pPr>
          </w:p>
        </w:tc>
        <w:tc>
          <w:tcPr>
            <w:tcW w:w="1080" w:type="dxa"/>
            <w:vAlign w:val="bottom"/>
            <w:tcBorders>
              <w:bottom w:val="single" w:sz="8" w:color="949599"/>
            </w:tcBorders>
            <w:gridSpan w:val="2"/>
          </w:tcPr>
          <w:p>
            <w:pPr>
              <w:jc w:val="right"/>
              <w:ind w:right="380"/>
              <w:spacing w:after="0" w:line="149" w:lineRule="exact"/>
              <w:rPr>
                <w:sz w:val="20"/>
                <w:szCs w:val="20"/>
                <w:color w:val="auto"/>
              </w:rPr>
            </w:pPr>
            <w:r>
              <w:rPr>
                <w:rFonts w:ascii="Arial" w:cs="Arial" w:eastAsia="Arial" w:hAnsi="Arial"/>
                <w:sz w:val="14"/>
                <w:szCs w:val="14"/>
                <w:color w:val="auto"/>
                <w:w w:val="96"/>
              </w:rPr>
              <w:t>12/11/2029</w:t>
            </w:r>
          </w:p>
        </w:tc>
        <w:tc>
          <w:tcPr>
            <w:tcW w:w="1060" w:type="dxa"/>
            <w:vAlign w:val="bottom"/>
            <w:tcBorders>
              <w:bottom w:val="single" w:sz="8" w:color="949599"/>
            </w:tcBorders>
          </w:tcPr>
          <w:p>
            <w:pPr>
              <w:jc w:val="right"/>
              <w:ind w:right="47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25,000</w:t>
            </w:r>
          </w:p>
        </w:tc>
        <w:tc>
          <w:tcPr>
            <w:tcW w:w="380" w:type="dxa"/>
            <w:vAlign w:val="bottom"/>
            <w:tcBorders>
              <w:bottom w:val="single" w:sz="8" w:color="949599"/>
            </w:tcBorders>
          </w:tcPr>
          <w:p>
            <w:pPr>
              <w:spacing w:after="0"/>
              <w:rPr>
                <w:sz w:val="12"/>
                <w:szCs w:val="12"/>
                <w:color w:val="auto"/>
              </w:rPr>
            </w:pPr>
          </w:p>
        </w:tc>
        <w:tc>
          <w:tcPr>
            <w:tcW w:w="200" w:type="dxa"/>
            <w:vAlign w:val="bottom"/>
            <w:tcBorders>
              <w:bottom w:val="single" w:sz="8" w:color="949599"/>
            </w:tcBorders>
          </w:tcPr>
          <w:p>
            <w:pPr>
              <w:spacing w:after="0"/>
              <w:rPr>
                <w:sz w:val="12"/>
                <w:szCs w:val="12"/>
                <w:color w:val="auto"/>
              </w:rPr>
            </w:pPr>
          </w:p>
        </w:tc>
        <w:tc>
          <w:tcPr>
            <w:tcW w:w="780" w:type="dxa"/>
            <w:vAlign w:val="bottom"/>
            <w:tcBorders>
              <w:bottom w:val="single" w:sz="8" w:color="949599"/>
            </w:tcBorders>
          </w:tcPr>
          <w:p>
            <w:pPr>
              <w:ind w:left="50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tcPr>
          <w:p>
            <w:pPr>
              <w:spacing w:after="0"/>
              <w:rPr>
                <w:sz w:val="12"/>
                <w:szCs w:val="12"/>
                <w:color w:val="auto"/>
              </w:rPr>
            </w:pPr>
          </w:p>
        </w:tc>
        <w:tc>
          <w:tcPr>
            <w:tcW w:w="1160" w:type="dxa"/>
            <w:vAlign w:val="bottom"/>
            <w:tcBorders>
              <w:bottom w:val="single" w:sz="8" w:color="949599"/>
            </w:tcBorders>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381.40</w:t>
            </w:r>
          </w:p>
        </w:tc>
        <w:tc>
          <w:tcPr>
            <w:tcW w:w="380" w:type="dxa"/>
            <w:vAlign w:val="bottom"/>
            <w:tcBorders>
              <w:bottom w:val="single" w:sz="8" w:color="949599"/>
            </w:tcBorders>
          </w:tcPr>
          <w:p>
            <w:pPr>
              <w:spacing w:after="0"/>
              <w:rPr>
                <w:sz w:val="12"/>
                <w:szCs w:val="12"/>
                <w:color w:val="auto"/>
              </w:rPr>
            </w:pPr>
          </w:p>
        </w:tc>
        <w:tc>
          <w:tcPr>
            <w:tcW w:w="1080" w:type="dxa"/>
            <w:vAlign w:val="bottom"/>
            <w:tcBorders>
              <w:bottom w:val="single" w:sz="8" w:color="949599"/>
            </w:tcBorders>
            <w:gridSpan w:val="2"/>
          </w:tcPr>
          <w:p>
            <w:pPr>
              <w:jc w:val="right"/>
              <w:ind w:right="380"/>
              <w:spacing w:after="0" w:line="149" w:lineRule="exact"/>
              <w:rPr>
                <w:sz w:val="20"/>
                <w:szCs w:val="20"/>
                <w:color w:val="auto"/>
              </w:rPr>
            </w:pPr>
            <w:r>
              <w:rPr>
                <w:rFonts w:ascii="Arial" w:cs="Arial" w:eastAsia="Arial" w:hAnsi="Arial"/>
                <w:sz w:val="14"/>
                <w:szCs w:val="14"/>
                <w:color w:val="auto"/>
                <w:w w:val="96"/>
              </w:rPr>
              <w:t>12/12/2028</w:t>
            </w:r>
          </w:p>
        </w:tc>
        <w:tc>
          <w:tcPr>
            <w:tcW w:w="1060" w:type="dxa"/>
            <w:vAlign w:val="bottom"/>
            <w:tcBorders>
              <w:bottom w:val="single" w:sz="8" w:color="949599"/>
            </w:tcBorders>
          </w:tcPr>
          <w:p>
            <w:pPr>
              <w:jc w:val="right"/>
              <w:ind w:right="47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215AA8"/>
              </w:rPr>
              <w:t>Andrew J.</w:t>
            </w:r>
          </w:p>
        </w:tc>
        <w:tc>
          <w:tcPr>
            <w:tcW w:w="74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50,000</w:t>
            </w:r>
          </w:p>
        </w:tc>
        <w:tc>
          <w:tcPr>
            <w:tcW w:w="380" w:type="dxa"/>
            <w:vAlign w:val="bottom"/>
            <w:tcBorders>
              <w:bottom w:val="single" w:sz="8" w:color="949599"/>
            </w:tcBorders>
          </w:tcPr>
          <w:p>
            <w:pPr>
              <w:spacing w:after="0"/>
              <w:rPr>
                <w:sz w:val="12"/>
                <w:szCs w:val="12"/>
                <w:color w:val="auto"/>
              </w:rPr>
            </w:pPr>
          </w:p>
        </w:tc>
        <w:tc>
          <w:tcPr>
            <w:tcW w:w="200" w:type="dxa"/>
            <w:vAlign w:val="bottom"/>
            <w:tcBorders>
              <w:bottom w:val="single" w:sz="8" w:color="949599"/>
            </w:tcBorders>
          </w:tcPr>
          <w:p>
            <w:pPr>
              <w:spacing w:after="0"/>
              <w:rPr>
                <w:sz w:val="12"/>
                <w:szCs w:val="12"/>
                <w:color w:val="auto"/>
              </w:rPr>
            </w:pPr>
          </w:p>
        </w:tc>
        <w:tc>
          <w:tcPr>
            <w:tcW w:w="780" w:type="dxa"/>
            <w:vAlign w:val="bottom"/>
            <w:tcBorders>
              <w:bottom w:val="single" w:sz="8" w:color="949599"/>
            </w:tcBorders>
          </w:tcPr>
          <w:p>
            <w:pPr>
              <w:ind w:left="50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tcPr>
          <w:p>
            <w:pPr>
              <w:spacing w:after="0"/>
              <w:rPr>
                <w:sz w:val="12"/>
                <w:szCs w:val="12"/>
                <w:color w:val="auto"/>
              </w:rPr>
            </w:pPr>
          </w:p>
        </w:tc>
        <w:tc>
          <w:tcPr>
            <w:tcW w:w="1160" w:type="dxa"/>
            <w:vAlign w:val="bottom"/>
            <w:tcBorders>
              <w:bottom w:val="single" w:sz="8" w:color="949599"/>
            </w:tcBorders>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378.98</w:t>
            </w:r>
          </w:p>
        </w:tc>
        <w:tc>
          <w:tcPr>
            <w:tcW w:w="380" w:type="dxa"/>
            <w:vAlign w:val="bottom"/>
            <w:tcBorders>
              <w:bottom w:val="single" w:sz="8" w:color="949599"/>
            </w:tcBorders>
          </w:tcPr>
          <w:p>
            <w:pPr>
              <w:spacing w:after="0"/>
              <w:rPr>
                <w:sz w:val="12"/>
                <w:szCs w:val="12"/>
                <w:color w:val="auto"/>
              </w:rPr>
            </w:pPr>
          </w:p>
        </w:tc>
        <w:tc>
          <w:tcPr>
            <w:tcW w:w="1080" w:type="dxa"/>
            <w:vAlign w:val="bottom"/>
            <w:tcBorders>
              <w:bottom w:val="single" w:sz="8" w:color="949599"/>
            </w:tcBorders>
            <w:gridSpan w:val="2"/>
          </w:tcPr>
          <w:p>
            <w:pPr>
              <w:jc w:val="right"/>
              <w:ind w:right="380"/>
              <w:spacing w:after="0" w:line="149" w:lineRule="exact"/>
              <w:rPr>
                <w:sz w:val="20"/>
                <w:szCs w:val="20"/>
                <w:color w:val="auto"/>
              </w:rPr>
            </w:pPr>
            <w:r>
              <w:rPr>
                <w:rFonts w:ascii="Arial" w:cs="Arial" w:eastAsia="Arial" w:hAnsi="Arial"/>
                <w:sz w:val="14"/>
                <w:szCs w:val="14"/>
                <w:color w:val="auto"/>
                <w:w w:val="96"/>
              </w:rPr>
              <w:t>12/12/2027</w:t>
            </w:r>
          </w:p>
        </w:tc>
        <w:tc>
          <w:tcPr>
            <w:tcW w:w="1060" w:type="dxa"/>
            <w:vAlign w:val="bottom"/>
            <w:tcBorders>
              <w:bottom w:val="single" w:sz="8" w:color="949599"/>
            </w:tcBorders>
          </w:tcPr>
          <w:p>
            <w:pPr>
              <w:jc w:val="right"/>
              <w:ind w:right="47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1600" w:type="dxa"/>
            <w:vAlign w:val="bottom"/>
            <w:gridSpan w:val="2"/>
            <w:vMerge w:val="continue"/>
          </w:tcPr>
          <w:p>
            <w:pPr>
              <w:spacing w:after="0"/>
              <w:rPr>
                <w:sz w:val="5"/>
                <w:szCs w:val="5"/>
                <w:color w:val="auto"/>
              </w:rPr>
            </w:pPr>
          </w:p>
        </w:tc>
        <w:tc>
          <w:tcPr>
            <w:tcW w:w="7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34,000</w:t>
            </w: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vMerge w:val="restart"/>
          </w:tcPr>
          <w:p>
            <w:pPr>
              <w:ind w:left="5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5"/>
                <w:szCs w:val="5"/>
                <w:color w:val="auto"/>
              </w:rPr>
            </w:pPr>
          </w:p>
        </w:tc>
        <w:tc>
          <w:tcPr>
            <w:tcW w:w="1160" w:type="dxa"/>
            <w:vAlign w:val="bottom"/>
            <w:vMerge w:val="restart"/>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381.92</w:t>
            </w:r>
          </w:p>
        </w:tc>
        <w:tc>
          <w:tcPr>
            <w:tcW w:w="380" w:type="dxa"/>
            <w:vAlign w:val="bottom"/>
          </w:tcPr>
          <w:p>
            <w:pPr>
              <w:spacing w:after="0"/>
              <w:rPr>
                <w:sz w:val="5"/>
                <w:szCs w:val="5"/>
                <w:color w:val="auto"/>
              </w:rPr>
            </w:pPr>
          </w:p>
        </w:tc>
        <w:tc>
          <w:tcPr>
            <w:tcW w:w="108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color w:val="auto"/>
                <w:w w:val="96"/>
              </w:rPr>
              <w:t>12/16/2026</w:t>
            </w:r>
          </w:p>
        </w:tc>
        <w:tc>
          <w:tcPr>
            <w:tcW w:w="1060" w:type="dxa"/>
            <w:vAlign w:val="bottom"/>
            <w:vMerge w:val="restart"/>
          </w:tcPr>
          <w:p>
            <w:pPr>
              <w:jc w:val="right"/>
              <w:ind w:right="473"/>
              <w:spacing w:after="0" w:line="149" w:lineRule="exact"/>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215AA8"/>
              </w:rPr>
              <w:t>Murphy, Ph.D.</w:t>
            </w:r>
          </w:p>
        </w:tc>
        <w:tc>
          <w:tcPr>
            <w:tcW w:w="740" w:type="dxa"/>
            <w:vAlign w:val="bottom"/>
            <w:tcBorders>
              <w:bottom w:val="single" w:sz="8" w:color="949599"/>
            </w:tcBorders>
            <w:vMerge w:val="continue"/>
          </w:tcPr>
          <w:p>
            <w:pPr>
              <w:spacing w:after="0"/>
              <w:rPr>
                <w:sz w:val="6"/>
                <w:szCs w:val="6"/>
                <w:color w:val="auto"/>
              </w:rPr>
            </w:pPr>
          </w:p>
        </w:tc>
        <w:tc>
          <w:tcPr>
            <w:tcW w:w="380" w:type="dxa"/>
            <w:vAlign w:val="bottom"/>
            <w:tcBorders>
              <w:bottom w:val="single" w:sz="8" w:color="949599"/>
            </w:tcBorders>
          </w:tcPr>
          <w:p>
            <w:pPr>
              <w:spacing w:after="0"/>
              <w:rPr>
                <w:sz w:val="6"/>
                <w:szCs w:val="6"/>
                <w:color w:val="auto"/>
              </w:rPr>
            </w:pPr>
          </w:p>
        </w:tc>
        <w:tc>
          <w:tcPr>
            <w:tcW w:w="200" w:type="dxa"/>
            <w:vAlign w:val="bottom"/>
            <w:tcBorders>
              <w:bottom w:val="single" w:sz="8" w:color="949599"/>
            </w:tcBorders>
          </w:tcPr>
          <w:p>
            <w:pPr>
              <w:spacing w:after="0"/>
              <w:rPr>
                <w:sz w:val="6"/>
                <w:szCs w:val="6"/>
                <w:color w:val="auto"/>
              </w:rPr>
            </w:pPr>
          </w:p>
        </w:tc>
        <w:tc>
          <w:tcPr>
            <w:tcW w:w="780" w:type="dxa"/>
            <w:vAlign w:val="bottom"/>
            <w:tcBorders>
              <w:bottom w:val="single" w:sz="8" w:color="949599"/>
            </w:tcBorders>
            <w:vMerge w:val="continue"/>
          </w:tcPr>
          <w:p>
            <w:pPr>
              <w:spacing w:after="0"/>
              <w:rPr>
                <w:sz w:val="6"/>
                <w:szCs w:val="6"/>
                <w:color w:val="auto"/>
              </w:rPr>
            </w:pPr>
          </w:p>
        </w:tc>
        <w:tc>
          <w:tcPr>
            <w:tcW w:w="400" w:type="dxa"/>
            <w:vAlign w:val="bottom"/>
            <w:tcBorders>
              <w:bottom w:val="single" w:sz="8" w:color="949599"/>
            </w:tcBorders>
          </w:tcPr>
          <w:p>
            <w:pPr>
              <w:spacing w:after="0"/>
              <w:rPr>
                <w:sz w:val="6"/>
                <w:szCs w:val="6"/>
                <w:color w:val="auto"/>
              </w:rPr>
            </w:pPr>
          </w:p>
        </w:tc>
        <w:tc>
          <w:tcPr>
            <w:tcW w:w="1160" w:type="dxa"/>
            <w:vAlign w:val="bottom"/>
            <w:tcBorders>
              <w:bottom w:val="single" w:sz="8" w:color="949599"/>
            </w:tcBorders>
            <w:vMerge w:val="continue"/>
          </w:tcPr>
          <w:p>
            <w:pPr>
              <w:spacing w:after="0"/>
              <w:rPr>
                <w:sz w:val="6"/>
                <w:szCs w:val="6"/>
                <w:color w:val="auto"/>
              </w:rPr>
            </w:pPr>
          </w:p>
        </w:tc>
        <w:tc>
          <w:tcPr>
            <w:tcW w:w="500" w:type="dxa"/>
            <w:vAlign w:val="bottom"/>
            <w:tcBorders>
              <w:bottom w:val="single" w:sz="8" w:color="949599"/>
            </w:tcBorders>
            <w:vMerge w:val="continue"/>
          </w:tcPr>
          <w:p>
            <w:pPr>
              <w:spacing w:after="0"/>
              <w:rPr>
                <w:sz w:val="6"/>
                <w:szCs w:val="6"/>
                <w:color w:val="auto"/>
              </w:rPr>
            </w:pPr>
          </w:p>
        </w:tc>
        <w:tc>
          <w:tcPr>
            <w:tcW w:w="380" w:type="dxa"/>
            <w:vAlign w:val="bottom"/>
            <w:tcBorders>
              <w:bottom w:val="single" w:sz="8" w:color="949599"/>
            </w:tcBorders>
          </w:tcPr>
          <w:p>
            <w:pPr>
              <w:spacing w:after="0"/>
              <w:rPr>
                <w:sz w:val="6"/>
                <w:szCs w:val="6"/>
                <w:color w:val="auto"/>
              </w:rPr>
            </w:pPr>
          </w:p>
        </w:tc>
        <w:tc>
          <w:tcPr>
            <w:tcW w:w="1080" w:type="dxa"/>
            <w:vAlign w:val="bottom"/>
            <w:tcBorders>
              <w:bottom w:val="single" w:sz="8" w:color="949599"/>
            </w:tcBorders>
            <w:gridSpan w:val="2"/>
            <w:vMerge w:val="continue"/>
          </w:tcPr>
          <w:p>
            <w:pPr>
              <w:spacing w:after="0"/>
              <w:rPr>
                <w:sz w:val="6"/>
                <w:szCs w:val="6"/>
                <w:color w:val="auto"/>
              </w:rPr>
            </w:pPr>
          </w:p>
        </w:tc>
        <w:tc>
          <w:tcPr>
            <w:tcW w:w="1060" w:type="dxa"/>
            <w:vAlign w:val="bottom"/>
            <w:tcBorders>
              <w:bottom w:val="single" w:sz="8" w:color="949599"/>
            </w:tcBorders>
            <w:vMerge w:val="continue"/>
          </w:tcPr>
          <w:p>
            <w:pPr>
              <w:spacing w:after="0"/>
              <w:rPr>
                <w:sz w:val="6"/>
                <w:szCs w:val="6"/>
                <w:color w:val="auto"/>
              </w:rPr>
            </w:pPr>
          </w:p>
        </w:tc>
        <w:tc>
          <w:tcPr>
            <w:tcW w:w="1000" w:type="dxa"/>
            <w:vAlign w:val="bottom"/>
            <w:tcBorders>
              <w:bottom w:val="single" w:sz="8" w:color="949599"/>
            </w:tcBorders>
            <w:vMerge w:val="continue"/>
          </w:tcPr>
          <w:p>
            <w:pPr>
              <w:spacing w:after="0"/>
              <w:rPr>
                <w:sz w:val="6"/>
                <w:szCs w:val="6"/>
                <w:color w:val="auto"/>
              </w:rPr>
            </w:pPr>
          </w:p>
        </w:tc>
        <w:tc>
          <w:tcPr>
            <w:tcW w:w="1000" w:type="dxa"/>
            <w:vAlign w:val="bottom"/>
            <w:tcBorders>
              <w:bottom w:val="single" w:sz="8" w:color="949599"/>
            </w:tcBorders>
            <w:vMerge w:val="continue"/>
          </w:tcPr>
          <w:p>
            <w:pPr>
              <w:spacing w:after="0"/>
              <w:rPr>
                <w:sz w:val="6"/>
                <w:szCs w:val="6"/>
                <w:color w:val="auto"/>
              </w:rPr>
            </w:pPr>
          </w:p>
        </w:tc>
        <w:tc>
          <w:tcPr>
            <w:tcW w:w="980" w:type="dxa"/>
            <w:vAlign w:val="bottom"/>
            <w:tcBorders>
              <w:bottom w:val="single" w:sz="8" w:color="949599"/>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1600" w:type="dxa"/>
            <w:vAlign w:val="bottom"/>
            <w:gridSpan w:val="2"/>
            <w:vMerge w:val="continue"/>
          </w:tcPr>
          <w:p>
            <w:pPr>
              <w:spacing w:after="0"/>
              <w:rPr>
                <w:sz w:val="7"/>
                <w:szCs w:val="7"/>
                <w:color w:val="auto"/>
              </w:rPr>
            </w:pPr>
          </w:p>
        </w:tc>
        <w:tc>
          <w:tcPr>
            <w:tcW w:w="7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35,000</w:t>
            </w: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restart"/>
          </w:tcPr>
          <w:p>
            <w:pPr>
              <w:ind w:left="5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7"/>
                <w:szCs w:val="7"/>
                <w:color w:val="auto"/>
              </w:rPr>
            </w:pPr>
          </w:p>
        </w:tc>
        <w:tc>
          <w:tcPr>
            <w:tcW w:w="1160" w:type="dxa"/>
            <w:vAlign w:val="bottom"/>
            <w:vMerge w:val="restart"/>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555.67</w:t>
            </w:r>
          </w:p>
        </w:tc>
        <w:tc>
          <w:tcPr>
            <w:tcW w:w="380" w:type="dxa"/>
            <w:vAlign w:val="bottom"/>
          </w:tcPr>
          <w:p>
            <w:pPr>
              <w:spacing w:after="0"/>
              <w:rPr>
                <w:sz w:val="7"/>
                <w:szCs w:val="7"/>
                <w:color w:val="auto"/>
              </w:rPr>
            </w:pPr>
          </w:p>
        </w:tc>
        <w:tc>
          <w:tcPr>
            <w:tcW w:w="108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color w:val="auto"/>
                <w:w w:val="96"/>
              </w:rPr>
              <w:t>12/16/2025</w:t>
            </w:r>
          </w:p>
        </w:tc>
        <w:tc>
          <w:tcPr>
            <w:tcW w:w="1060" w:type="dxa"/>
            <w:vAlign w:val="bottom"/>
            <w:vMerge w:val="restart"/>
          </w:tcPr>
          <w:p>
            <w:pPr>
              <w:jc w:val="right"/>
              <w:ind w:right="473"/>
              <w:spacing w:after="0" w:line="149" w:lineRule="exact"/>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3"/>
        </w:trPr>
        <w:tc>
          <w:tcPr>
            <w:tcW w:w="9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Borders>
              <w:bottom w:val="single" w:sz="8" w:color="949599"/>
            </w:tcBorders>
            <w:vMerge w:val="continue"/>
          </w:tcPr>
          <w:p>
            <w:pPr>
              <w:spacing w:after="0"/>
              <w:rPr>
                <w:sz w:val="5"/>
                <w:szCs w:val="5"/>
                <w:color w:val="auto"/>
              </w:rPr>
            </w:pPr>
          </w:p>
        </w:tc>
        <w:tc>
          <w:tcPr>
            <w:tcW w:w="380" w:type="dxa"/>
            <w:vAlign w:val="bottom"/>
            <w:tcBorders>
              <w:bottom w:val="single" w:sz="8" w:color="949599"/>
            </w:tcBorders>
          </w:tcPr>
          <w:p>
            <w:pPr>
              <w:spacing w:after="0"/>
              <w:rPr>
                <w:sz w:val="5"/>
                <w:szCs w:val="5"/>
                <w:color w:val="auto"/>
              </w:rPr>
            </w:pPr>
          </w:p>
        </w:tc>
        <w:tc>
          <w:tcPr>
            <w:tcW w:w="200" w:type="dxa"/>
            <w:vAlign w:val="bottom"/>
            <w:tcBorders>
              <w:bottom w:val="single" w:sz="8" w:color="949599"/>
            </w:tcBorders>
          </w:tcPr>
          <w:p>
            <w:pPr>
              <w:spacing w:after="0"/>
              <w:rPr>
                <w:sz w:val="5"/>
                <w:szCs w:val="5"/>
                <w:color w:val="auto"/>
              </w:rPr>
            </w:pPr>
          </w:p>
        </w:tc>
        <w:tc>
          <w:tcPr>
            <w:tcW w:w="780" w:type="dxa"/>
            <w:vAlign w:val="bottom"/>
            <w:tcBorders>
              <w:bottom w:val="single" w:sz="8" w:color="949599"/>
            </w:tcBorders>
            <w:vMerge w:val="continue"/>
          </w:tcPr>
          <w:p>
            <w:pPr>
              <w:spacing w:after="0"/>
              <w:rPr>
                <w:sz w:val="5"/>
                <w:szCs w:val="5"/>
                <w:color w:val="auto"/>
              </w:rPr>
            </w:pPr>
          </w:p>
        </w:tc>
        <w:tc>
          <w:tcPr>
            <w:tcW w:w="400" w:type="dxa"/>
            <w:vAlign w:val="bottom"/>
            <w:tcBorders>
              <w:bottom w:val="single" w:sz="8" w:color="949599"/>
            </w:tcBorders>
          </w:tcPr>
          <w:p>
            <w:pPr>
              <w:spacing w:after="0"/>
              <w:rPr>
                <w:sz w:val="5"/>
                <w:szCs w:val="5"/>
                <w:color w:val="auto"/>
              </w:rPr>
            </w:pPr>
          </w:p>
        </w:tc>
        <w:tc>
          <w:tcPr>
            <w:tcW w:w="1160" w:type="dxa"/>
            <w:vAlign w:val="bottom"/>
            <w:tcBorders>
              <w:bottom w:val="single" w:sz="8" w:color="949599"/>
            </w:tcBorders>
            <w:vMerge w:val="continue"/>
          </w:tcPr>
          <w:p>
            <w:pPr>
              <w:spacing w:after="0"/>
              <w:rPr>
                <w:sz w:val="5"/>
                <w:szCs w:val="5"/>
                <w:color w:val="auto"/>
              </w:rPr>
            </w:pPr>
          </w:p>
        </w:tc>
        <w:tc>
          <w:tcPr>
            <w:tcW w:w="500" w:type="dxa"/>
            <w:vAlign w:val="bottom"/>
            <w:tcBorders>
              <w:bottom w:val="single" w:sz="8" w:color="949599"/>
            </w:tcBorders>
            <w:vMerge w:val="continue"/>
          </w:tcPr>
          <w:p>
            <w:pPr>
              <w:spacing w:after="0"/>
              <w:rPr>
                <w:sz w:val="5"/>
                <w:szCs w:val="5"/>
                <w:color w:val="auto"/>
              </w:rPr>
            </w:pPr>
          </w:p>
        </w:tc>
        <w:tc>
          <w:tcPr>
            <w:tcW w:w="380" w:type="dxa"/>
            <w:vAlign w:val="bottom"/>
            <w:tcBorders>
              <w:bottom w:val="single" w:sz="8" w:color="949599"/>
            </w:tcBorders>
          </w:tcPr>
          <w:p>
            <w:pPr>
              <w:spacing w:after="0"/>
              <w:rPr>
                <w:sz w:val="5"/>
                <w:szCs w:val="5"/>
                <w:color w:val="auto"/>
              </w:rPr>
            </w:pPr>
          </w:p>
        </w:tc>
        <w:tc>
          <w:tcPr>
            <w:tcW w:w="1080" w:type="dxa"/>
            <w:vAlign w:val="bottom"/>
            <w:tcBorders>
              <w:bottom w:val="single" w:sz="8" w:color="949599"/>
            </w:tcBorders>
            <w:gridSpan w:val="2"/>
            <w:vMerge w:val="continue"/>
          </w:tcPr>
          <w:p>
            <w:pPr>
              <w:spacing w:after="0"/>
              <w:rPr>
                <w:sz w:val="5"/>
                <w:szCs w:val="5"/>
                <w:color w:val="auto"/>
              </w:rPr>
            </w:pPr>
          </w:p>
        </w:tc>
        <w:tc>
          <w:tcPr>
            <w:tcW w:w="1060" w:type="dxa"/>
            <w:vAlign w:val="bottom"/>
            <w:tcBorders>
              <w:bottom w:val="single" w:sz="8" w:color="949599"/>
            </w:tcBorders>
            <w:vMerge w:val="continue"/>
          </w:tcPr>
          <w:p>
            <w:pPr>
              <w:spacing w:after="0"/>
              <w:rPr>
                <w:sz w:val="5"/>
                <w:szCs w:val="5"/>
                <w:color w:val="auto"/>
              </w:rPr>
            </w:pPr>
          </w:p>
        </w:tc>
        <w:tc>
          <w:tcPr>
            <w:tcW w:w="1000" w:type="dxa"/>
            <w:vAlign w:val="bottom"/>
            <w:tcBorders>
              <w:bottom w:val="single" w:sz="8" w:color="949599"/>
            </w:tcBorders>
            <w:vMerge w:val="continue"/>
          </w:tcPr>
          <w:p>
            <w:pPr>
              <w:spacing w:after="0"/>
              <w:rPr>
                <w:sz w:val="5"/>
                <w:szCs w:val="5"/>
                <w:color w:val="auto"/>
              </w:rPr>
            </w:pPr>
          </w:p>
        </w:tc>
        <w:tc>
          <w:tcPr>
            <w:tcW w:w="1000" w:type="dxa"/>
            <w:vAlign w:val="bottom"/>
            <w:tcBorders>
              <w:bottom w:val="single" w:sz="8" w:color="949599"/>
            </w:tcBorders>
            <w:vMerge w:val="continue"/>
          </w:tcPr>
          <w:p>
            <w:pPr>
              <w:spacing w:after="0"/>
              <w:rPr>
                <w:sz w:val="5"/>
                <w:szCs w:val="5"/>
                <w:color w:val="auto"/>
              </w:rPr>
            </w:pPr>
          </w:p>
        </w:tc>
        <w:tc>
          <w:tcPr>
            <w:tcW w:w="980" w:type="dxa"/>
            <w:vAlign w:val="bottom"/>
            <w:tcBorders>
              <w:bottom w:val="single" w:sz="8" w:color="94959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40,000</w:t>
            </w:r>
          </w:p>
        </w:tc>
        <w:tc>
          <w:tcPr>
            <w:tcW w:w="380" w:type="dxa"/>
            <w:vAlign w:val="bottom"/>
            <w:tcBorders>
              <w:bottom w:val="single" w:sz="8" w:color="949599"/>
            </w:tcBorders>
          </w:tcPr>
          <w:p>
            <w:pPr>
              <w:spacing w:after="0"/>
              <w:rPr>
                <w:sz w:val="12"/>
                <w:szCs w:val="12"/>
                <w:color w:val="auto"/>
              </w:rPr>
            </w:pPr>
          </w:p>
        </w:tc>
        <w:tc>
          <w:tcPr>
            <w:tcW w:w="200" w:type="dxa"/>
            <w:vAlign w:val="bottom"/>
            <w:tcBorders>
              <w:bottom w:val="single" w:sz="8" w:color="949599"/>
            </w:tcBorders>
          </w:tcPr>
          <w:p>
            <w:pPr>
              <w:spacing w:after="0"/>
              <w:rPr>
                <w:sz w:val="12"/>
                <w:szCs w:val="12"/>
                <w:color w:val="auto"/>
              </w:rPr>
            </w:pPr>
          </w:p>
        </w:tc>
        <w:tc>
          <w:tcPr>
            <w:tcW w:w="780" w:type="dxa"/>
            <w:vAlign w:val="bottom"/>
            <w:tcBorders>
              <w:bottom w:val="single" w:sz="8" w:color="949599"/>
            </w:tcBorders>
          </w:tcPr>
          <w:p>
            <w:pPr>
              <w:ind w:left="50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tcPr>
          <w:p>
            <w:pPr>
              <w:spacing w:after="0"/>
              <w:rPr>
                <w:sz w:val="12"/>
                <w:szCs w:val="12"/>
                <w:color w:val="auto"/>
              </w:rPr>
            </w:pPr>
          </w:p>
        </w:tc>
        <w:tc>
          <w:tcPr>
            <w:tcW w:w="1160" w:type="dxa"/>
            <w:vAlign w:val="bottom"/>
            <w:tcBorders>
              <w:bottom w:val="single" w:sz="8" w:color="949599"/>
            </w:tcBorders>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399.66</w:t>
            </w:r>
          </w:p>
        </w:tc>
        <w:tc>
          <w:tcPr>
            <w:tcW w:w="380" w:type="dxa"/>
            <w:vAlign w:val="bottom"/>
            <w:tcBorders>
              <w:bottom w:val="single" w:sz="8" w:color="949599"/>
            </w:tcBorders>
          </w:tcPr>
          <w:p>
            <w:pPr>
              <w:spacing w:after="0"/>
              <w:rPr>
                <w:sz w:val="12"/>
                <w:szCs w:val="12"/>
                <w:color w:val="auto"/>
              </w:rPr>
            </w:pPr>
          </w:p>
        </w:tc>
        <w:tc>
          <w:tcPr>
            <w:tcW w:w="1080" w:type="dxa"/>
            <w:vAlign w:val="bottom"/>
            <w:tcBorders>
              <w:bottom w:val="single" w:sz="8" w:color="949599"/>
            </w:tcBorders>
            <w:gridSpan w:val="2"/>
          </w:tcPr>
          <w:p>
            <w:pPr>
              <w:jc w:val="right"/>
              <w:ind w:right="380"/>
              <w:spacing w:after="0" w:line="149" w:lineRule="exact"/>
              <w:rPr>
                <w:sz w:val="20"/>
                <w:szCs w:val="20"/>
                <w:color w:val="auto"/>
              </w:rPr>
            </w:pPr>
            <w:r>
              <w:rPr>
                <w:rFonts w:ascii="Arial" w:cs="Arial" w:eastAsia="Arial" w:hAnsi="Arial"/>
                <w:sz w:val="14"/>
                <w:szCs w:val="14"/>
                <w:color w:val="auto"/>
                <w:w w:val="96"/>
              </w:rPr>
              <w:t>12/16/2024</w:t>
            </w:r>
          </w:p>
        </w:tc>
        <w:tc>
          <w:tcPr>
            <w:tcW w:w="1060" w:type="dxa"/>
            <w:vAlign w:val="bottom"/>
            <w:tcBorders>
              <w:bottom w:val="single" w:sz="8" w:color="949599"/>
            </w:tcBorders>
          </w:tcPr>
          <w:p>
            <w:pPr>
              <w:jc w:val="right"/>
              <w:ind w:right="47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49599"/>
            </w:tcBorders>
          </w:tcPr>
          <w:p>
            <w:pPr>
              <w:spacing w:after="0"/>
              <w:rPr>
                <w:sz w:val="15"/>
                <w:szCs w:val="15"/>
                <w:color w:val="auto"/>
              </w:rPr>
            </w:pPr>
          </w:p>
        </w:tc>
        <w:tc>
          <w:tcPr>
            <w:tcW w:w="780" w:type="dxa"/>
            <w:vAlign w:val="bottom"/>
            <w:tcBorders>
              <w:bottom w:val="single" w:sz="8" w:color="949599"/>
            </w:tcBorders>
          </w:tcPr>
          <w:p>
            <w:pPr>
              <w:ind w:left="5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tcPr>
          <w:p>
            <w:pPr>
              <w:spacing w:after="0"/>
              <w:rPr>
                <w:sz w:val="15"/>
                <w:szCs w:val="15"/>
                <w:color w:val="auto"/>
              </w:rPr>
            </w:pPr>
          </w:p>
        </w:tc>
        <w:tc>
          <w:tcPr>
            <w:tcW w:w="1160" w:type="dxa"/>
            <w:vAlign w:val="bottom"/>
            <w:tcBorders>
              <w:bottom w:val="single" w:sz="8" w:color="949599"/>
            </w:tcBorders>
          </w:tcPr>
          <w:p>
            <w:pPr>
              <w:jc w:val="right"/>
              <w:ind w:right="3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49599"/>
            </w:tcBorders>
          </w:tcPr>
          <w:p>
            <w:pPr>
              <w:ind w:left="180"/>
              <w:spacing w:after="0" w:line="183" w:lineRule="exact"/>
              <w:rPr>
                <w:sz w:val="20"/>
                <w:szCs w:val="20"/>
                <w:color w:val="auto"/>
              </w:rPr>
            </w:pPr>
            <w:r>
              <w:rPr>
                <w:rFonts w:ascii="Arial" w:cs="Arial" w:eastAsia="Arial" w:hAnsi="Arial"/>
                <w:sz w:val="13"/>
                <w:szCs w:val="13"/>
                <w:color w:val="auto"/>
              </w:rPr>
              <w:t>3,199</w:t>
            </w:r>
            <w:r>
              <w:rPr>
                <w:rFonts w:ascii="Arial" w:cs="Arial" w:eastAsia="Arial" w:hAnsi="Arial"/>
                <w:sz w:val="21"/>
                <w:szCs w:val="21"/>
                <w:color w:val="auto"/>
                <w:vertAlign w:val="superscript"/>
              </w:rPr>
              <w:t>10</w:t>
            </w:r>
          </w:p>
        </w:tc>
        <w:tc>
          <w:tcPr>
            <w:tcW w:w="1000" w:type="dxa"/>
            <w:vAlign w:val="bottom"/>
            <w:tcBorders>
              <w:bottom w:val="single" w:sz="8" w:color="949599"/>
            </w:tcBorders>
          </w:tcPr>
          <w:p>
            <w:pPr>
              <w:jc w:val="right"/>
              <w:ind w:right="73"/>
              <w:spacing w:after="0" w:line="183" w:lineRule="exact"/>
              <w:rPr>
                <w:sz w:val="20"/>
                <w:szCs w:val="20"/>
                <w:color w:val="auto"/>
              </w:rPr>
            </w:pPr>
            <w:r>
              <w:rPr>
                <w:rFonts w:ascii="Arial" w:cs="Arial" w:eastAsia="Arial" w:hAnsi="Arial"/>
                <w:sz w:val="13"/>
                <w:szCs w:val="13"/>
                <w:color w:val="auto"/>
              </w:rPr>
              <w:t>2,809,650</w:t>
            </w:r>
            <w:r>
              <w:rPr>
                <w:rFonts w:ascii="Arial" w:cs="Arial" w:eastAsia="Arial" w:hAnsi="Arial"/>
                <w:sz w:val="21"/>
                <w:szCs w:val="21"/>
                <w:color w:val="auto"/>
                <w:vertAlign w:val="superscript"/>
              </w:rPr>
              <w:t>2</w:t>
            </w:r>
          </w:p>
        </w:tc>
        <w:tc>
          <w:tcPr>
            <w:tcW w:w="1000" w:type="dxa"/>
            <w:vAlign w:val="bottom"/>
            <w:tcBorders>
              <w:bottom w:val="single" w:sz="8" w:color="949599"/>
            </w:tcBorders>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49599"/>
            </w:tcBorders>
          </w:tcPr>
          <w:p>
            <w:pPr>
              <w:spacing w:after="0"/>
              <w:rPr>
                <w:sz w:val="15"/>
                <w:szCs w:val="15"/>
                <w:color w:val="auto"/>
              </w:rPr>
            </w:pPr>
          </w:p>
        </w:tc>
        <w:tc>
          <w:tcPr>
            <w:tcW w:w="780" w:type="dxa"/>
            <w:vAlign w:val="bottom"/>
            <w:tcBorders>
              <w:bottom w:val="single" w:sz="8" w:color="949599"/>
            </w:tcBorders>
          </w:tcPr>
          <w:p>
            <w:pPr>
              <w:ind w:left="5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tcPr>
          <w:p>
            <w:pPr>
              <w:spacing w:after="0"/>
              <w:rPr>
                <w:sz w:val="15"/>
                <w:szCs w:val="15"/>
                <w:color w:val="auto"/>
              </w:rPr>
            </w:pPr>
          </w:p>
        </w:tc>
        <w:tc>
          <w:tcPr>
            <w:tcW w:w="1160" w:type="dxa"/>
            <w:vAlign w:val="bottom"/>
            <w:tcBorders>
              <w:bottom w:val="single" w:sz="8" w:color="949599"/>
            </w:tcBorders>
          </w:tcPr>
          <w:p>
            <w:pPr>
              <w:jc w:val="right"/>
              <w:ind w:right="3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49599"/>
            </w:tcBorders>
          </w:tcPr>
          <w:p>
            <w:pPr>
              <w:ind w:left="180"/>
              <w:spacing w:after="0" w:line="183" w:lineRule="exact"/>
              <w:rPr>
                <w:sz w:val="20"/>
                <w:szCs w:val="20"/>
                <w:color w:val="auto"/>
              </w:rPr>
            </w:pPr>
            <w:r>
              <w:rPr>
                <w:rFonts w:ascii="Arial" w:cs="Arial" w:eastAsia="Arial" w:hAnsi="Arial"/>
                <w:sz w:val="13"/>
                <w:szCs w:val="13"/>
                <w:color w:val="auto"/>
              </w:rPr>
              <w:t>4,129</w:t>
            </w:r>
            <w:r>
              <w:rPr>
                <w:rFonts w:ascii="Arial" w:cs="Arial" w:eastAsia="Arial" w:hAnsi="Arial"/>
                <w:sz w:val="21"/>
                <w:szCs w:val="21"/>
                <w:color w:val="auto"/>
                <w:vertAlign w:val="superscript"/>
              </w:rPr>
              <w:t>6</w:t>
            </w:r>
          </w:p>
        </w:tc>
        <w:tc>
          <w:tcPr>
            <w:tcW w:w="1000" w:type="dxa"/>
            <w:vAlign w:val="bottom"/>
            <w:tcBorders>
              <w:bottom w:val="single" w:sz="8" w:color="949599"/>
            </w:tcBorders>
          </w:tcPr>
          <w:p>
            <w:pPr>
              <w:jc w:val="right"/>
              <w:ind w:right="73"/>
              <w:spacing w:after="0" w:line="183" w:lineRule="exact"/>
              <w:rPr>
                <w:sz w:val="20"/>
                <w:szCs w:val="20"/>
                <w:color w:val="auto"/>
              </w:rPr>
            </w:pPr>
            <w:r>
              <w:rPr>
                <w:rFonts w:ascii="Arial" w:cs="Arial" w:eastAsia="Arial" w:hAnsi="Arial"/>
                <w:sz w:val="13"/>
                <w:szCs w:val="13"/>
                <w:color w:val="auto"/>
              </w:rPr>
              <w:t>3,626,459</w:t>
            </w:r>
            <w:r>
              <w:rPr>
                <w:rFonts w:ascii="Arial" w:cs="Arial" w:eastAsia="Arial" w:hAnsi="Arial"/>
                <w:sz w:val="21"/>
                <w:szCs w:val="21"/>
                <w:color w:val="auto"/>
                <w:vertAlign w:val="superscript"/>
              </w:rPr>
              <w:t>2</w:t>
            </w:r>
          </w:p>
        </w:tc>
        <w:tc>
          <w:tcPr>
            <w:tcW w:w="1000" w:type="dxa"/>
            <w:vAlign w:val="bottom"/>
            <w:tcBorders>
              <w:bottom w:val="single" w:sz="8" w:color="949599"/>
            </w:tcBorders>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49599"/>
            </w:tcBorders>
          </w:tcPr>
          <w:p>
            <w:pPr>
              <w:spacing w:after="0"/>
              <w:rPr>
                <w:sz w:val="15"/>
                <w:szCs w:val="15"/>
                <w:color w:val="auto"/>
              </w:rPr>
            </w:pPr>
          </w:p>
        </w:tc>
        <w:tc>
          <w:tcPr>
            <w:tcW w:w="780" w:type="dxa"/>
            <w:vAlign w:val="bottom"/>
            <w:tcBorders>
              <w:bottom w:val="single" w:sz="8" w:color="949599"/>
            </w:tcBorders>
          </w:tcPr>
          <w:p>
            <w:pPr>
              <w:ind w:left="5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tcPr>
          <w:p>
            <w:pPr>
              <w:spacing w:after="0"/>
              <w:rPr>
                <w:sz w:val="15"/>
                <w:szCs w:val="15"/>
                <w:color w:val="auto"/>
              </w:rPr>
            </w:pPr>
          </w:p>
        </w:tc>
        <w:tc>
          <w:tcPr>
            <w:tcW w:w="1160" w:type="dxa"/>
            <w:vAlign w:val="bottom"/>
            <w:tcBorders>
              <w:bottom w:val="single" w:sz="8" w:color="949599"/>
            </w:tcBorders>
          </w:tcPr>
          <w:p>
            <w:pPr>
              <w:jc w:val="right"/>
              <w:ind w:right="3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49599"/>
            </w:tcBorders>
          </w:tcPr>
          <w:p>
            <w:pPr>
              <w:ind w:left="180"/>
              <w:spacing w:after="0" w:line="183" w:lineRule="exact"/>
              <w:rPr>
                <w:sz w:val="20"/>
                <w:szCs w:val="20"/>
                <w:color w:val="auto"/>
              </w:rPr>
            </w:pPr>
            <w:r>
              <w:rPr>
                <w:rFonts w:ascii="Arial" w:cs="Arial" w:eastAsia="Arial" w:hAnsi="Arial"/>
                <w:sz w:val="13"/>
                <w:szCs w:val="13"/>
                <w:color w:val="auto"/>
              </w:rPr>
              <w:t>1,731</w:t>
            </w:r>
            <w:r>
              <w:rPr>
                <w:rFonts w:ascii="Arial" w:cs="Arial" w:eastAsia="Arial" w:hAnsi="Arial"/>
                <w:sz w:val="21"/>
                <w:szCs w:val="21"/>
                <w:color w:val="auto"/>
                <w:vertAlign w:val="superscript"/>
              </w:rPr>
              <w:t>7</w:t>
            </w:r>
          </w:p>
        </w:tc>
        <w:tc>
          <w:tcPr>
            <w:tcW w:w="1000" w:type="dxa"/>
            <w:vAlign w:val="bottom"/>
            <w:tcBorders>
              <w:bottom w:val="single" w:sz="8" w:color="949599"/>
            </w:tcBorders>
          </w:tcPr>
          <w:p>
            <w:pPr>
              <w:jc w:val="right"/>
              <w:ind w:right="73"/>
              <w:spacing w:after="0" w:line="183" w:lineRule="exact"/>
              <w:rPr>
                <w:sz w:val="20"/>
                <w:szCs w:val="20"/>
                <w:color w:val="auto"/>
              </w:rPr>
            </w:pPr>
            <w:r>
              <w:rPr>
                <w:rFonts w:ascii="Arial" w:cs="Arial" w:eastAsia="Arial" w:hAnsi="Arial"/>
                <w:sz w:val="13"/>
                <w:szCs w:val="13"/>
                <w:color w:val="auto"/>
              </w:rPr>
              <w:t>1,520,320</w:t>
            </w:r>
            <w:r>
              <w:rPr>
                <w:rFonts w:ascii="Arial" w:cs="Arial" w:eastAsia="Arial" w:hAnsi="Arial"/>
                <w:sz w:val="21"/>
                <w:szCs w:val="21"/>
                <w:color w:val="auto"/>
                <w:vertAlign w:val="superscript"/>
              </w:rPr>
              <w:t>2</w:t>
            </w:r>
          </w:p>
        </w:tc>
        <w:tc>
          <w:tcPr>
            <w:tcW w:w="1000" w:type="dxa"/>
            <w:vAlign w:val="bottom"/>
            <w:tcBorders>
              <w:bottom w:val="single" w:sz="8" w:color="949599"/>
            </w:tcBorders>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49599"/>
            </w:tcBorders>
          </w:tcPr>
          <w:p>
            <w:pPr>
              <w:spacing w:after="0"/>
              <w:rPr>
                <w:sz w:val="15"/>
                <w:szCs w:val="15"/>
                <w:color w:val="auto"/>
              </w:rPr>
            </w:pPr>
          </w:p>
        </w:tc>
        <w:tc>
          <w:tcPr>
            <w:tcW w:w="780" w:type="dxa"/>
            <w:vAlign w:val="bottom"/>
            <w:tcBorders>
              <w:bottom w:val="single" w:sz="8" w:color="949599"/>
            </w:tcBorders>
          </w:tcPr>
          <w:p>
            <w:pPr>
              <w:ind w:left="5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tcPr>
          <w:p>
            <w:pPr>
              <w:spacing w:after="0"/>
              <w:rPr>
                <w:sz w:val="15"/>
                <w:szCs w:val="15"/>
                <w:color w:val="auto"/>
              </w:rPr>
            </w:pPr>
          </w:p>
        </w:tc>
        <w:tc>
          <w:tcPr>
            <w:tcW w:w="1160" w:type="dxa"/>
            <w:vAlign w:val="bottom"/>
            <w:tcBorders>
              <w:bottom w:val="single" w:sz="8" w:color="949599"/>
            </w:tcBorders>
          </w:tcPr>
          <w:p>
            <w:pPr>
              <w:jc w:val="right"/>
              <w:ind w:right="3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49599"/>
            </w:tcBorders>
          </w:tcPr>
          <w:p>
            <w:pPr>
              <w:jc w:val="right"/>
              <w:ind w:right="413"/>
              <w:spacing w:after="0" w:line="183" w:lineRule="exact"/>
              <w:rPr>
                <w:sz w:val="20"/>
                <w:szCs w:val="20"/>
                <w:color w:val="auto"/>
              </w:rPr>
            </w:pPr>
            <w:r>
              <w:rPr>
                <w:rFonts w:ascii="Arial" w:cs="Arial" w:eastAsia="Arial" w:hAnsi="Arial"/>
                <w:sz w:val="13"/>
                <w:szCs w:val="13"/>
                <w:color w:val="auto"/>
              </w:rPr>
              <w:t>964</w:t>
            </w:r>
            <w:r>
              <w:rPr>
                <w:rFonts w:ascii="Arial" w:cs="Arial" w:eastAsia="Arial" w:hAnsi="Arial"/>
                <w:sz w:val="21"/>
                <w:szCs w:val="21"/>
                <w:color w:val="auto"/>
                <w:vertAlign w:val="superscript"/>
              </w:rPr>
              <w:t>8</w:t>
            </w:r>
          </w:p>
        </w:tc>
        <w:tc>
          <w:tcPr>
            <w:tcW w:w="1000" w:type="dxa"/>
            <w:vAlign w:val="bottom"/>
            <w:tcBorders>
              <w:bottom w:val="single" w:sz="8" w:color="949599"/>
            </w:tcBorders>
          </w:tcPr>
          <w:p>
            <w:pPr>
              <w:jc w:val="right"/>
              <w:ind w:right="73"/>
              <w:spacing w:after="0" w:line="183" w:lineRule="exact"/>
              <w:rPr>
                <w:sz w:val="20"/>
                <w:szCs w:val="20"/>
                <w:color w:val="auto"/>
              </w:rPr>
            </w:pPr>
            <w:r>
              <w:rPr>
                <w:rFonts w:ascii="Arial" w:cs="Arial" w:eastAsia="Arial" w:hAnsi="Arial"/>
                <w:sz w:val="13"/>
                <w:szCs w:val="13"/>
                <w:color w:val="auto"/>
              </w:rPr>
              <w:t>846,672</w:t>
            </w:r>
            <w:r>
              <w:rPr>
                <w:rFonts w:ascii="Arial" w:cs="Arial" w:eastAsia="Arial" w:hAnsi="Arial"/>
                <w:sz w:val="21"/>
                <w:szCs w:val="21"/>
                <w:color w:val="auto"/>
                <w:vertAlign w:val="superscript"/>
              </w:rPr>
              <w:t>2</w:t>
            </w:r>
          </w:p>
        </w:tc>
        <w:tc>
          <w:tcPr>
            <w:tcW w:w="1000" w:type="dxa"/>
            <w:vAlign w:val="bottom"/>
            <w:tcBorders>
              <w:bottom w:val="single" w:sz="8" w:color="949599"/>
            </w:tcBorders>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0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TOTAL</w:t>
            </w:r>
          </w:p>
        </w:tc>
        <w:tc>
          <w:tcPr>
            <w:tcW w:w="112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49599"/>
            </w:tcBorders>
          </w:tcPr>
          <w:p>
            <w:pPr>
              <w:spacing w:after="0"/>
              <w:rPr>
                <w:sz w:val="15"/>
                <w:szCs w:val="15"/>
                <w:color w:val="auto"/>
              </w:rPr>
            </w:pPr>
          </w:p>
        </w:tc>
        <w:tc>
          <w:tcPr>
            <w:tcW w:w="780" w:type="dxa"/>
            <w:vAlign w:val="bottom"/>
            <w:tcBorders>
              <w:bottom w:val="single" w:sz="8" w:color="949599"/>
            </w:tcBorders>
          </w:tcPr>
          <w:p>
            <w:pPr>
              <w:ind w:left="5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949599"/>
            </w:tcBorders>
          </w:tcPr>
          <w:p>
            <w:pPr>
              <w:spacing w:after="0"/>
              <w:rPr>
                <w:sz w:val="15"/>
                <w:szCs w:val="15"/>
                <w:color w:val="auto"/>
              </w:rPr>
            </w:pPr>
          </w:p>
        </w:tc>
        <w:tc>
          <w:tcPr>
            <w:tcW w:w="1160" w:type="dxa"/>
            <w:vAlign w:val="bottom"/>
            <w:tcBorders>
              <w:bottom w:val="single" w:sz="8" w:color="949599"/>
            </w:tcBorders>
          </w:tcPr>
          <w:p>
            <w:pPr>
              <w:jc w:val="right"/>
              <w:ind w:right="3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49599"/>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49599"/>
            </w:tcBorders>
          </w:tcPr>
          <w:p>
            <w:pPr>
              <w:ind w:left="180"/>
              <w:spacing w:after="0" w:line="183" w:lineRule="exact"/>
              <w:rPr>
                <w:sz w:val="20"/>
                <w:szCs w:val="20"/>
                <w:color w:val="auto"/>
              </w:rPr>
            </w:pPr>
            <w:r>
              <w:rPr>
                <w:rFonts w:ascii="Arial" w:cs="Arial" w:eastAsia="Arial" w:hAnsi="Arial"/>
                <w:sz w:val="13"/>
                <w:szCs w:val="13"/>
                <w:color w:val="auto"/>
              </w:rPr>
              <w:t>8,285</w:t>
            </w:r>
            <w:r>
              <w:rPr>
                <w:rFonts w:ascii="Arial" w:cs="Arial" w:eastAsia="Arial" w:hAnsi="Arial"/>
                <w:sz w:val="21"/>
                <w:szCs w:val="21"/>
                <w:color w:val="auto"/>
                <w:vertAlign w:val="superscript"/>
              </w:rPr>
              <w:t>11</w:t>
            </w:r>
          </w:p>
        </w:tc>
        <w:tc>
          <w:tcPr>
            <w:tcW w:w="1000" w:type="dxa"/>
            <w:vAlign w:val="bottom"/>
            <w:tcBorders>
              <w:bottom w:val="single" w:sz="8" w:color="949599"/>
            </w:tcBorders>
          </w:tcPr>
          <w:p>
            <w:pPr>
              <w:jc w:val="right"/>
              <w:ind w:right="73"/>
              <w:spacing w:after="0" w:line="183" w:lineRule="exact"/>
              <w:rPr>
                <w:sz w:val="20"/>
                <w:szCs w:val="20"/>
                <w:color w:val="auto"/>
              </w:rPr>
            </w:pPr>
            <w:r>
              <w:rPr>
                <w:rFonts w:ascii="Arial" w:cs="Arial" w:eastAsia="Arial" w:hAnsi="Arial"/>
                <w:sz w:val="13"/>
                <w:szCs w:val="13"/>
                <w:color w:val="auto"/>
              </w:rPr>
              <w:t>7,276,633</w:t>
            </w:r>
            <w:r>
              <w:rPr>
                <w:rFonts w:ascii="Arial" w:cs="Arial" w:eastAsia="Arial" w:hAnsi="Arial"/>
                <w:sz w:val="21"/>
                <w:szCs w:val="21"/>
                <w:color w:val="auto"/>
                <w:vertAlign w:val="superscript"/>
              </w:rPr>
              <w:t>2</w:t>
            </w:r>
          </w:p>
        </w:tc>
        <w:tc>
          <w:tcPr>
            <w:tcW w:w="1000" w:type="dxa"/>
            <w:vAlign w:val="bottom"/>
            <w:tcBorders>
              <w:bottom w:val="single" w:sz="8" w:color="949599"/>
            </w:tcBorders>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1600" w:type="dxa"/>
            <w:vAlign w:val="bottom"/>
            <w:tcBorders>
              <w:bottom w:val="single" w:sz="8" w:color="215AA8"/>
            </w:tcBorders>
            <w:gridSpan w:val="2"/>
            <w:vMerge w:val="continue"/>
          </w:tcPr>
          <w:p>
            <w:pPr>
              <w:spacing w:after="0"/>
              <w:rPr>
                <w:sz w:val="13"/>
                <w:szCs w:val="13"/>
                <w:color w:val="auto"/>
              </w:rPr>
            </w:pPr>
          </w:p>
        </w:tc>
        <w:tc>
          <w:tcPr>
            <w:tcW w:w="740" w:type="dxa"/>
            <w:vAlign w:val="bottom"/>
            <w:tcBorders>
              <w:bottom w:val="single" w:sz="8" w:color="215AA8"/>
            </w:tcBorders>
          </w:tcPr>
          <w:p>
            <w:pPr>
              <w:jc w:val="right"/>
              <w:spacing w:after="0" w:line="149" w:lineRule="exact"/>
              <w:rPr>
                <w:sz w:val="20"/>
                <w:szCs w:val="20"/>
                <w:color w:val="auto"/>
              </w:rPr>
            </w:pPr>
            <w:r>
              <w:rPr>
                <w:rFonts w:ascii="Arial" w:cs="Arial" w:eastAsia="Arial" w:hAnsi="Arial"/>
                <w:sz w:val="14"/>
                <w:szCs w:val="14"/>
                <w:b w:val="1"/>
                <w:bCs w:val="1"/>
                <w:color w:val="auto"/>
              </w:rPr>
              <w:t>238,452</w:t>
            </w:r>
          </w:p>
        </w:tc>
        <w:tc>
          <w:tcPr>
            <w:tcW w:w="380" w:type="dxa"/>
            <w:vAlign w:val="bottom"/>
            <w:tcBorders>
              <w:bottom w:val="single" w:sz="8" w:color="215AA8"/>
            </w:tcBorders>
          </w:tcPr>
          <w:p>
            <w:pPr>
              <w:spacing w:after="0"/>
              <w:rPr>
                <w:sz w:val="13"/>
                <w:szCs w:val="13"/>
                <w:color w:val="auto"/>
              </w:rPr>
            </w:pPr>
          </w:p>
        </w:tc>
        <w:tc>
          <w:tcPr>
            <w:tcW w:w="980" w:type="dxa"/>
            <w:vAlign w:val="bottom"/>
            <w:tcBorders>
              <w:bottom w:val="single" w:sz="8" w:color="215AA8"/>
            </w:tcBorders>
            <w:gridSpan w:val="2"/>
          </w:tcPr>
          <w:p>
            <w:pPr>
              <w:jc w:val="right"/>
              <w:ind w:right="93"/>
              <w:spacing w:after="0" w:line="149" w:lineRule="exact"/>
              <w:rPr>
                <w:sz w:val="20"/>
                <w:szCs w:val="20"/>
                <w:color w:val="auto"/>
              </w:rPr>
            </w:pPr>
            <w:r>
              <w:rPr>
                <w:rFonts w:ascii="Arial" w:cs="Arial" w:eastAsia="Arial" w:hAnsi="Arial"/>
                <w:sz w:val="14"/>
                <w:szCs w:val="14"/>
                <w:b w:val="1"/>
                <w:bCs w:val="1"/>
                <w:color w:val="auto"/>
              </w:rPr>
              <w:t>36,542</w:t>
            </w:r>
          </w:p>
        </w:tc>
        <w:tc>
          <w:tcPr>
            <w:tcW w:w="400" w:type="dxa"/>
            <w:vAlign w:val="bottom"/>
            <w:tcBorders>
              <w:bottom w:val="single" w:sz="8" w:color="215AA8"/>
            </w:tcBorders>
          </w:tcPr>
          <w:p>
            <w:pPr>
              <w:spacing w:after="0"/>
              <w:rPr>
                <w:sz w:val="13"/>
                <w:szCs w:val="13"/>
                <w:color w:val="auto"/>
              </w:rPr>
            </w:pPr>
          </w:p>
        </w:tc>
        <w:tc>
          <w:tcPr>
            <w:tcW w:w="1160" w:type="dxa"/>
            <w:vAlign w:val="bottom"/>
            <w:tcBorders>
              <w:bottom w:val="single" w:sz="8" w:color="215AA8"/>
            </w:tcBorders>
          </w:tcPr>
          <w:p>
            <w:pPr>
              <w:spacing w:after="0"/>
              <w:rPr>
                <w:sz w:val="13"/>
                <w:szCs w:val="13"/>
                <w:color w:val="auto"/>
              </w:rPr>
            </w:pPr>
          </w:p>
        </w:tc>
        <w:tc>
          <w:tcPr>
            <w:tcW w:w="500" w:type="dxa"/>
            <w:vAlign w:val="bottom"/>
            <w:tcBorders>
              <w:bottom w:val="single" w:sz="8" w:color="215AA8"/>
            </w:tcBorders>
          </w:tcPr>
          <w:p>
            <w:pPr>
              <w:spacing w:after="0"/>
              <w:rPr>
                <w:sz w:val="13"/>
                <w:szCs w:val="13"/>
                <w:color w:val="auto"/>
              </w:rPr>
            </w:pPr>
          </w:p>
        </w:tc>
        <w:tc>
          <w:tcPr>
            <w:tcW w:w="380" w:type="dxa"/>
            <w:vAlign w:val="bottom"/>
            <w:tcBorders>
              <w:bottom w:val="single" w:sz="8" w:color="215AA8"/>
            </w:tcBorders>
          </w:tcPr>
          <w:p>
            <w:pPr>
              <w:spacing w:after="0"/>
              <w:rPr>
                <w:sz w:val="13"/>
                <w:szCs w:val="13"/>
                <w:color w:val="auto"/>
              </w:rPr>
            </w:pPr>
          </w:p>
        </w:tc>
        <w:tc>
          <w:tcPr>
            <w:tcW w:w="700" w:type="dxa"/>
            <w:vAlign w:val="bottom"/>
            <w:tcBorders>
              <w:bottom w:val="single" w:sz="8" w:color="215AA8"/>
            </w:tcBorders>
          </w:tcPr>
          <w:p>
            <w:pPr>
              <w:spacing w:after="0"/>
              <w:rPr>
                <w:sz w:val="13"/>
                <w:szCs w:val="13"/>
                <w:color w:val="auto"/>
              </w:rPr>
            </w:pPr>
          </w:p>
        </w:tc>
        <w:tc>
          <w:tcPr>
            <w:tcW w:w="380" w:type="dxa"/>
            <w:vAlign w:val="bottom"/>
            <w:tcBorders>
              <w:bottom w:val="single" w:sz="8" w:color="215AA8"/>
            </w:tcBorders>
          </w:tcPr>
          <w:p>
            <w:pPr>
              <w:spacing w:after="0"/>
              <w:rPr>
                <w:sz w:val="13"/>
                <w:szCs w:val="13"/>
                <w:color w:val="auto"/>
              </w:rPr>
            </w:pPr>
          </w:p>
        </w:tc>
        <w:tc>
          <w:tcPr>
            <w:tcW w:w="1060" w:type="dxa"/>
            <w:vAlign w:val="bottom"/>
            <w:tcBorders>
              <w:bottom w:val="single" w:sz="8" w:color="215AA8"/>
            </w:tcBorders>
          </w:tcPr>
          <w:p>
            <w:pPr>
              <w:jc w:val="right"/>
              <w:ind w:right="473"/>
              <w:spacing w:after="0" w:line="149" w:lineRule="exact"/>
              <w:rPr>
                <w:sz w:val="20"/>
                <w:szCs w:val="20"/>
                <w:color w:val="auto"/>
              </w:rPr>
            </w:pPr>
            <w:r>
              <w:rPr>
                <w:rFonts w:ascii="Arial" w:cs="Arial" w:eastAsia="Arial" w:hAnsi="Arial"/>
                <w:sz w:val="14"/>
                <w:szCs w:val="14"/>
                <w:b w:val="1"/>
                <w:bCs w:val="1"/>
                <w:color w:val="auto"/>
              </w:rPr>
              <w:t>18,308</w:t>
            </w:r>
          </w:p>
        </w:tc>
        <w:tc>
          <w:tcPr>
            <w:tcW w:w="1000" w:type="dxa"/>
            <w:vAlign w:val="bottom"/>
            <w:tcBorders>
              <w:bottom w:val="single" w:sz="8" w:color="215AA8"/>
            </w:tcBorders>
          </w:tcPr>
          <w:p>
            <w:pPr>
              <w:jc w:val="right"/>
              <w:ind w:right="133"/>
              <w:spacing w:after="0" w:line="149" w:lineRule="exact"/>
              <w:rPr>
                <w:sz w:val="20"/>
                <w:szCs w:val="20"/>
                <w:color w:val="auto"/>
              </w:rPr>
            </w:pPr>
            <w:r>
              <w:rPr>
                <w:rFonts w:ascii="Arial" w:cs="Arial" w:eastAsia="Arial" w:hAnsi="Arial"/>
                <w:sz w:val="14"/>
                <w:szCs w:val="14"/>
                <w:b w:val="1"/>
                <w:bCs w:val="1"/>
                <w:color w:val="auto"/>
              </w:rPr>
              <w:t>16,079,733</w:t>
            </w:r>
          </w:p>
        </w:tc>
        <w:tc>
          <w:tcPr>
            <w:tcW w:w="1000" w:type="dxa"/>
            <w:vAlign w:val="bottom"/>
            <w:tcBorders>
              <w:bottom w:val="single" w:sz="8" w:color="215AA8"/>
            </w:tcBorders>
          </w:tcPr>
          <w:p>
            <w:pPr>
              <w:spacing w:after="0"/>
              <w:rPr>
                <w:sz w:val="13"/>
                <w:szCs w:val="13"/>
                <w:color w:val="auto"/>
              </w:rPr>
            </w:pPr>
          </w:p>
        </w:tc>
        <w:tc>
          <w:tcPr>
            <w:tcW w:w="980" w:type="dxa"/>
            <w:vAlign w:val="bottom"/>
            <w:tcBorders>
              <w:bottom w:val="single" w:sz="8" w:color="215AA8"/>
            </w:tcBorders>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5260" w:type="dxa"/>
            <w:vAlign w:val="bottom"/>
            <w:gridSpan w:val="8"/>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85</w:t>
            </w:r>
          </w:p>
        </w:tc>
        <w:tc>
          <w:tcPr>
            <w:tcW w:w="0" w:type="dxa"/>
            <w:vAlign w:val="bottom"/>
          </w:tcPr>
          <w:p>
            <w:pPr>
              <w:spacing w:after="0"/>
              <w:rPr>
                <w:sz w:val="1"/>
                <w:szCs w:val="1"/>
                <w:color w:val="auto"/>
              </w:rPr>
            </w:pPr>
          </w:p>
        </w:tc>
      </w:tr>
      <w:tr>
        <w:trPr>
          <w:trHeight w:val="211"/>
        </w:trPr>
        <w:tc>
          <w:tcPr>
            <w:tcW w:w="980" w:type="dxa"/>
            <w:vAlign w:val="bottom"/>
            <w:tcBorders>
              <w:bottom w:val="single" w:sz="8" w:color="C0C0C0"/>
            </w:tcBorders>
          </w:tcPr>
          <w:p>
            <w:pPr>
              <w:spacing w:after="0"/>
              <w:rPr>
                <w:sz w:val="18"/>
                <w:szCs w:val="18"/>
                <w:color w:val="auto"/>
              </w:rPr>
            </w:pPr>
          </w:p>
        </w:tc>
        <w:tc>
          <w:tcPr>
            <w:tcW w:w="620" w:type="dxa"/>
            <w:vAlign w:val="bottom"/>
            <w:tcBorders>
              <w:bottom w:val="single" w:sz="8" w:color="C0C0C0"/>
            </w:tcBorders>
          </w:tcPr>
          <w:p>
            <w:pPr>
              <w:spacing w:after="0"/>
              <w:rPr>
                <w:sz w:val="18"/>
                <w:szCs w:val="18"/>
                <w:color w:val="auto"/>
              </w:rPr>
            </w:pPr>
          </w:p>
        </w:tc>
        <w:tc>
          <w:tcPr>
            <w:tcW w:w="740" w:type="dxa"/>
            <w:vAlign w:val="bottom"/>
            <w:tcBorders>
              <w:bottom w:val="single" w:sz="8" w:color="C0C0C0"/>
            </w:tcBorders>
          </w:tcPr>
          <w:p>
            <w:pPr>
              <w:spacing w:after="0"/>
              <w:rPr>
                <w:sz w:val="18"/>
                <w:szCs w:val="18"/>
                <w:color w:val="auto"/>
              </w:rPr>
            </w:pPr>
          </w:p>
        </w:tc>
        <w:tc>
          <w:tcPr>
            <w:tcW w:w="380" w:type="dxa"/>
            <w:vAlign w:val="bottom"/>
            <w:tcBorders>
              <w:bottom w:val="single" w:sz="8" w:color="C0C0C0"/>
            </w:tcBorders>
          </w:tcPr>
          <w:p>
            <w:pPr>
              <w:spacing w:after="0"/>
              <w:rPr>
                <w:sz w:val="18"/>
                <w:szCs w:val="18"/>
                <w:color w:val="auto"/>
              </w:rPr>
            </w:pPr>
          </w:p>
        </w:tc>
        <w:tc>
          <w:tcPr>
            <w:tcW w:w="200" w:type="dxa"/>
            <w:vAlign w:val="bottom"/>
            <w:tcBorders>
              <w:bottom w:val="single" w:sz="8" w:color="C0C0C0"/>
            </w:tcBorders>
          </w:tcPr>
          <w:p>
            <w:pPr>
              <w:spacing w:after="0"/>
              <w:rPr>
                <w:sz w:val="18"/>
                <w:szCs w:val="18"/>
                <w:color w:val="auto"/>
              </w:rPr>
            </w:pPr>
          </w:p>
        </w:tc>
        <w:tc>
          <w:tcPr>
            <w:tcW w:w="780" w:type="dxa"/>
            <w:vAlign w:val="bottom"/>
            <w:tcBorders>
              <w:bottom w:val="single" w:sz="8" w:color="C0C0C0"/>
            </w:tcBorders>
          </w:tcPr>
          <w:p>
            <w:pPr>
              <w:spacing w:after="0"/>
              <w:rPr>
                <w:sz w:val="18"/>
                <w:szCs w:val="18"/>
                <w:color w:val="auto"/>
              </w:rPr>
            </w:pPr>
          </w:p>
        </w:tc>
        <w:tc>
          <w:tcPr>
            <w:tcW w:w="400" w:type="dxa"/>
            <w:vAlign w:val="bottom"/>
            <w:tcBorders>
              <w:bottom w:val="single" w:sz="8" w:color="C0C0C0"/>
            </w:tcBorders>
          </w:tcPr>
          <w:p>
            <w:pPr>
              <w:spacing w:after="0"/>
              <w:rPr>
                <w:sz w:val="18"/>
                <w:szCs w:val="18"/>
                <w:color w:val="auto"/>
              </w:rPr>
            </w:pPr>
          </w:p>
        </w:tc>
        <w:tc>
          <w:tcPr>
            <w:tcW w:w="1160" w:type="dxa"/>
            <w:vAlign w:val="bottom"/>
            <w:tcBorders>
              <w:bottom w:val="single" w:sz="8" w:color="C0C0C0"/>
            </w:tcBorders>
          </w:tcPr>
          <w:p>
            <w:pPr>
              <w:spacing w:after="0"/>
              <w:rPr>
                <w:sz w:val="18"/>
                <w:szCs w:val="18"/>
                <w:color w:val="auto"/>
              </w:rPr>
            </w:pPr>
          </w:p>
        </w:tc>
        <w:tc>
          <w:tcPr>
            <w:tcW w:w="500" w:type="dxa"/>
            <w:vAlign w:val="bottom"/>
            <w:tcBorders>
              <w:bottom w:val="single" w:sz="8" w:color="C0C0C0"/>
            </w:tcBorders>
          </w:tcPr>
          <w:p>
            <w:pPr>
              <w:spacing w:after="0"/>
              <w:rPr>
                <w:sz w:val="18"/>
                <w:szCs w:val="18"/>
                <w:color w:val="auto"/>
              </w:rPr>
            </w:pPr>
          </w:p>
        </w:tc>
        <w:tc>
          <w:tcPr>
            <w:tcW w:w="380" w:type="dxa"/>
            <w:vAlign w:val="bottom"/>
            <w:tcBorders>
              <w:bottom w:val="single" w:sz="8" w:color="C0C0C0"/>
            </w:tcBorders>
          </w:tcPr>
          <w:p>
            <w:pPr>
              <w:spacing w:after="0"/>
              <w:rPr>
                <w:sz w:val="18"/>
                <w:szCs w:val="18"/>
                <w:color w:val="auto"/>
              </w:rPr>
            </w:pPr>
          </w:p>
        </w:tc>
        <w:tc>
          <w:tcPr>
            <w:tcW w:w="700" w:type="dxa"/>
            <w:vAlign w:val="bottom"/>
            <w:tcBorders>
              <w:bottom w:val="single" w:sz="8" w:color="C0C0C0"/>
            </w:tcBorders>
          </w:tcPr>
          <w:p>
            <w:pPr>
              <w:spacing w:after="0"/>
              <w:rPr>
                <w:sz w:val="18"/>
                <w:szCs w:val="18"/>
                <w:color w:val="auto"/>
              </w:rPr>
            </w:pPr>
          </w:p>
        </w:tc>
        <w:tc>
          <w:tcPr>
            <w:tcW w:w="380" w:type="dxa"/>
            <w:vAlign w:val="bottom"/>
            <w:tcBorders>
              <w:bottom w:val="single" w:sz="8" w:color="C0C0C0"/>
            </w:tcBorders>
          </w:tcPr>
          <w:p>
            <w:pPr>
              <w:spacing w:after="0"/>
              <w:rPr>
                <w:sz w:val="18"/>
                <w:szCs w:val="18"/>
                <w:color w:val="auto"/>
              </w:rPr>
            </w:pPr>
          </w:p>
        </w:tc>
        <w:tc>
          <w:tcPr>
            <w:tcW w:w="1060" w:type="dxa"/>
            <w:vAlign w:val="bottom"/>
            <w:tcBorders>
              <w:bottom w:val="single" w:sz="8" w:color="C0C0C0"/>
            </w:tcBorders>
          </w:tcPr>
          <w:p>
            <w:pPr>
              <w:spacing w:after="0"/>
              <w:rPr>
                <w:sz w:val="18"/>
                <w:szCs w:val="18"/>
                <w:color w:val="auto"/>
              </w:rPr>
            </w:pPr>
          </w:p>
        </w:tc>
        <w:tc>
          <w:tcPr>
            <w:tcW w:w="1000" w:type="dxa"/>
            <w:vAlign w:val="bottom"/>
            <w:tcBorders>
              <w:bottom w:val="single" w:sz="8" w:color="C0C0C0"/>
            </w:tcBorders>
          </w:tcPr>
          <w:p>
            <w:pPr>
              <w:spacing w:after="0"/>
              <w:rPr>
                <w:sz w:val="18"/>
                <w:szCs w:val="18"/>
                <w:color w:val="auto"/>
              </w:rPr>
            </w:pPr>
          </w:p>
        </w:tc>
        <w:tc>
          <w:tcPr>
            <w:tcW w:w="1000" w:type="dxa"/>
            <w:vAlign w:val="bottom"/>
            <w:tcBorders>
              <w:bottom w:val="single" w:sz="8" w:color="C0C0C0"/>
            </w:tcBorders>
          </w:tcPr>
          <w:p>
            <w:pPr>
              <w:spacing w:after="0"/>
              <w:rPr>
                <w:sz w:val="18"/>
                <w:szCs w:val="18"/>
                <w:color w:val="auto"/>
              </w:rPr>
            </w:pPr>
          </w:p>
        </w:tc>
        <w:tc>
          <w:tcPr>
            <w:tcW w:w="980" w:type="dxa"/>
            <w:vAlign w:val="bottom"/>
            <w:tcBorders>
              <w:bottom w:val="single" w:sz="8" w:color="C0C0C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96" w:name="page97"/>
    <w:bookmarkEnd w:id="96"/>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86" w:lineRule="exact"/>
        <w:rPr>
          <w:sz w:val="20"/>
          <w:szCs w:val="20"/>
          <w:color w:val="auto"/>
        </w:rPr>
      </w:pPr>
    </w:p>
    <w:p>
      <w:pPr>
        <w:ind w:left="270" w:right="160" w:hanging="270"/>
        <w:spacing w:after="0" w:line="203" w:lineRule="auto"/>
        <w:tabs>
          <w:tab w:leader="none" w:pos="270" w:val="left"/>
        </w:tabs>
        <w:numPr>
          <w:ilvl w:val="0"/>
          <w:numId w:val="143"/>
        </w:numPr>
        <w:rPr>
          <w:rFonts w:ascii="Arial" w:cs="Arial" w:eastAsia="Arial" w:hAnsi="Arial"/>
          <w:sz w:val="20"/>
          <w:szCs w:val="20"/>
          <w:color w:val="auto"/>
          <w:vertAlign w:val="superscript"/>
        </w:rPr>
      </w:pPr>
      <w:r>
        <w:rPr>
          <w:rFonts w:ascii="Arial" w:cs="Arial" w:eastAsia="Arial" w:hAnsi="Arial"/>
          <w:sz w:val="12"/>
          <w:szCs w:val="12"/>
          <w:color w:val="auto"/>
        </w:rPr>
        <w:t>This PSU award was granted to the NEO on December 31, 2020 and has a five-year performance period from the date of grant. Based on performance as of December 31, 2023 in accordance with SEC rules, the number of PSUs shown in this table assumes a maximum level of payout. Pursuant to the terms of underlying award agreement, the actual number of PSUs earned as of December 31, 2023 was 318,248.</w:t>
      </w:r>
    </w:p>
    <w:p>
      <w:pPr>
        <w:ind w:left="270" w:hanging="270"/>
        <w:spacing w:after="0" w:line="188" w:lineRule="auto"/>
        <w:tabs>
          <w:tab w:leader="none" w:pos="270" w:val="left"/>
        </w:tabs>
        <w:numPr>
          <w:ilvl w:val="0"/>
          <w:numId w:val="144"/>
        </w:numPr>
        <w:rPr>
          <w:rFonts w:ascii="Arial" w:cs="Arial" w:eastAsia="Arial" w:hAnsi="Arial"/>
          <w:sz w:val="20"/>
          <w:szCs w:val="20"/>
          <w:color w:val="auto"/>
          <w:vertAlign w:val="superscript"/>
        </w:rPr>
      </w:pPr>
      <w:r>
        <w:rPr>
          <w:rFonts w:ascii="Arial" w:cs="Arial" w:eastAsia="Arial" w:hAnsi="Arial"/>
          <w:sz w:val="12"/>
          <w:szCs w:val="12"/>
          <w:color w:val="auto"/>
        </w:rPr>
        <w:t>Reflects the closing price of $878.29 per share of the Company’s common stock on the Nasdaq Global Select Market on December 29, 2023.</w:t>
      </w:r>
    </w:p>
    <w:p>
      <w:pPr>
        <w:ind w:left="270" w:hanging="270"/>
        <w:spacing w:after="0" w:line="188" w:lineRule="auto"/>
        <w:tabs>
          <w:tab w:leader="none" w:pos="270" w:val="left"/>
        </w:tabs>
        <w:numPr>
          <w:ilvl w:val="0"/>
          <w:numId w:val="145"/>
        </w:numPr>
        <w:rPr>
          <w:rFonts w:ascii="Arial" w:cs="Arial" w:eastAsia="Arial" w:hAnsi="Arial"/>
          <w:sz w:val="20"/>
          <w:szCs w:val="20"/>
          <w:color w:val="auto"/>
          <w:vertAlign w:val="superscript"/>
        </w:rPr>
      </w:pPr>
      <w:r>
        <w:rPr>
          <w:rFonts w:ascii="Arial" w:cs="Arial" w:eastAsia="Arial" w:hAnsi="Arial"/>
          <w:sz w:val="12"/>
          <w:szCs w:val="12"/>
          <w:color w:val="auto"/>
        </w:rPr>
        <w:t>This stock option award was granted to the NEO on December 16, 2022 and vests at a rate of 25% per year over the first four years of the option term.</w:t>
      </w:r>
    </w:p>
    <w:p>
      <w:pPr>
        <w:ind w:left="270" w:hanging="270"/>
        <w:spacing w:after="0" w:line="188" w:lineRule="auto"/>
        <w:tabs>
          <w:tab w:leader="none" w:pos="270" w:val="left"/>
        </w:tabs>
        <w:numPr>
          <w:ilvl w:val="0"/>
          <w:numId w:val="146"/>
        </w:numPr>
        <w:rPr>
          <w:rFonts w:ascii="Arial" w:cs="Arial" w:eastAsia="Arial" w:hAnsi="Arial"/>
          <w:sz w:val="20"/>
          <w:szCs w:val="20"/>
          <w:color w:val="auto"/>
          <w:vertAlign w:val="superscript"/>
        </w:rPr>
      </w:pPr>
      <w:r>
        <w:rPr>
          <w:rFonts w:ascii="Arial" w:cs="Arial" w:eastAsia="Arial" w:hAnsi="Arial"/>
          <w:sz w:val="12"/>
          <w:szCs w:val="12"/>
          <w:color w:val="auto"/>
        </w:rPr>
        <w:t>This stock option award was granted to the NEO on December 8, 2021 and vests at a rate of 25% per year over the first four years of the option term.</w:t>
      </w:r>
    </w:p>
    <w:p>
      <w:pPr>
        <w:ind w:left="270" w:hanging="270"/>
        <w:spacing w:after="0" w:line="188" w:lineRule="auto"/>
        <w:tabs>
          <w:tab w:leader="none" w:pos="270" w:val="left"/>
        </w:tabs>
        <w:numPr>
          <w:ilvl w:val="0"/>
          <w:numId w:val="147"/>
        </w:numPr>
        <w:rPr>
          <w:rFonts w:ascii="Arial" w:cs="Arial" w:eastAsia="Arial" w:hAnsi="Arial"/>
          <w:sz w:val="20"/>
          <w:szCs w:val="20"/>
          <w:color w:val="auto"/>
          <w:vertAlign w:val="superscript"/>
        </w:rPr>
      </w:pPr>
      <w:r>
        <w:rPr>
          <w:rFonts w:ascii="Arial" w:cs="Arial" w:eastAsia="Arial" w:hAnsi="Arial"/>
          <w:sz w:val="12"/>
          <w:szCs w:val="12"/>
          <w:color w:val="auto"/>
        </w:rPr>
        <w:t>This stock option award was granted to the NEO on December 9, 2020 and vests at a rate of 25% per year over the first four years of the option term.</w:t>
      </w:r>
    </w:p>
    <w:p>
      <w:pPr>
        <w:spacing w:after="0" w:line="30" w:lineRule="exact"/>
        <w:rPr>
          <w:sz w:val="20"/>
          <w:szCs w:val="20"/>
          <w:color w:val="auto"/>
        </w:rPr>
      </w:pPr>
    </w:p>
    <w:p>
      <w:pPr>
        <w:ind w:left="270" w:hanging="270"/>
        <w:spacing w:after="0" w:line="186" w:lineRule="auto"/>
        <w:tabs>
          <w:tab w:leader="none" w:pos="270" w:val="left"/>
        </w:tabs>
        <w:numPr>
          <w:ilvl w:val="0"/>
          <w:numId w:val="148"/>
        </w:numPr>
        <w:rPr>
          <w:rFonts w:ascii="Arial" w:cs="Arial" w:eastAsia="Arial" w:hAnsi="Arial"/>
          <w:sz w:val="20"/>
          <w:szCs w:val="20"/>
          <w:color w:val="auto"/>
          <w:vertAlign w:val="superscript"/>
        </w:rPr>
      </w:pPr>
      <w:r>
        <w:rPr>
          <w:rFonts w:ascii="Arial" w:cs="Arial" w:eastAsia="Arial" w:hAnsi="Arial"/>
          <w:sz w:val="12"/>
          <w:szCs w:val="12"/>
          <w:color w:val="auto"/>
        </w:rPr>
        <w:t>This RSA was granted to the NEO on December 16, 2022 and vests 50% on the second anniversary of the date of grant and 50% on the fourth anniversary of the date of grant, subject to the NEO’s continued employment.</w:t>
      </w:r>
    </w:p>
    <w:p>
      <w:pPr>
        <w:spacing w:after="0" w:line="22" w:lineRule="exact"/>
        <w:rPr>
          <w:sz w:val="20"/>
          <w:szCs w:val="20"/>
          <w:color w:val="auto"/>
        </w:rPr>
      </w:pPr>
    </w:p>
    <w:p>
      <w:pPr>
        <w:ind w:left="270" w:right="80" w:hanging="270"/>
        <w:spacing w:after="0" w:line="191" w:lineRule="auto"/>
        <w:tabs>
          <w:tab w:leader="none" w:pos="270" w:val="left"/>
        </w:tabs>
        <w:numPr>
          <w:ilvl w:val="0"/>
          <w:numId w:val="149"/>
        </w:numPr>
        <w:rPr>
          <w:rFonts w:ascii="Arial" w:cs="Arial" w:eastAsia="Arial" w:hAnsi="Arial"/>
          <w:sz w:val="20"/>
          <w:szCs w:val="20"/>
          <w:color w:val="auto"/>
          <w:vertAlign w:val="superscript"/>
        </w:rPr>
      </w:pPr>
      <w:r>
        <w:rPr>
          <w:rFonts w:ascii="Arial" w:cs="Arial" w:eastAsia="Arial" w:hAnsi="Arial"/>
          <w:sz w:val="12"/>
          <w:szCs w:val="12"/>
          <w:color w:val="auto"/>
        </w:rPr>
        <w:t>This RSA was granted to the NEO on December 8, 2021 and vests 50% on the second anniversary of the date of grant and 50% on the fourth anniversary of the date of grant, subject to the NEO’s continued employment.</w:t>
      </w:r>
    </w:p>
    <w:p>
      <w:pPr>
        <w:spacing w:after="0" w:line="22" w:lineRule="exact"/>
        <w:rPr>
          <w:sz w:val="20"/>
          <w:szCs w:val="20"/>
          <w:color w:val="auto"/>
        </w:rPr>
      </w:pPr>
    </w:p>
    <w:p>
      <w:pPr>
        <w:ind w:left="270" w:right="80" w:hanging="270"/>
        <w:spacing w:after="0" w:line="191" w:lineRule="auto"/>
        <w:tabs>
          <w:tab w:leader="none" w:pos="270" w:val="left"/>
        </w:tabs>
        <w:numPr>
          <w:ilvl w:val="0"/>
          <w:numId w:val="150"/>
        </w:numPr>
        <w:rPr>
          <w:rFonts w:ascii="Arial" w:cs="Arial" w:eastAsia="Arial" w:hAnsi="Arial"/>
          <w:sz w:val="20"/>
          <w:szCs w:val="20"/>
          <w:color w:val="auto"/>
          <w:vertAlign w:val="superscript"/>
        </w:rPr>
      </w:pPr>
      <w:r>
        <w:rPr>
          <w:rFonts w:ascii="Arial" w:cs="Arial" w:eastAsia="Arial" w:hAnsi="Arial"/>
          <w:sz w:val="12"/>
          <w:szCs w:val="12"/>
          <w:color w:val="auto"/>
        </w:rPr>
        <w:t>This RSA was granted to the NEO on December 9, 2020 and vests 50% on the second anniversary of the date of grant and 50% on the fourth anniversary of the date of grant, subject to the NEO’s continued employment.</w:t>
      </w:r>
    </w:p>
    <w:p>
      <w:pPr>
        <w:ind w:left="270" w:hanging="270"/>
        <w:spacing w:after="0" w:line="188" w:lineRule="auto"/>
        <w:tabs>
          <w:tab w:leader="none" w:pos="270" w:val="left"/>
        </w:tabs>
        <w:numPr>
          <w:ilvl w:val="0"/>
          <w:numId w:val="151"/>
        </w:numPr>
        <w:rPr>
          <w:rFonts w:ascii="Arial" w:cs="Arial" w:eastAsia="Arial" w:hAnsi="Arial"/>
          <w:sz w:val="20"/>
          <w:szCs w:val="20"/>
          <w:color w:val="auto"/>
          <w:vertAlign w:val="superscript"/>
        </w:rPr>
      </w:pPr>
      <w:r>
        <w:rPr>
          <w:rFonts w:ascii="Arial" w:cs="Arial" w:eastAsia="Arial" w:hAnsi="Arial"/>
          <w:sz w:val="12"/>
          <w:szCs w:val="12"/>
          <w:color w:val="auto"/>
        </w:rPr>
        <w:t>This stock option award was granted to the NEO on December 8, 2023 and vests at a rate of 25% per year over the first four years of the option term.</w:t>
      </w:r>
    </w:p>
    <w:p>
      <w:pPr>
        <w:spacing w:after="0" w:line="30" w:lineRule="exact"/>
        <w:rPr>
          <w:sz w:val="20"/>
          <w:szCs w:val="20"/>
          <w:color w:val="auto"/>
        </w:rPr>
      </w:pPr>
    </w:p>
    <w:p>
      <w:pPr>
        <w:ind w:left="270" w:right="80" w:hanging="270"/>
        <w:spacing w:after="0" w:line="186" w:lineRule="auto"/>
        <w:tabs>
          <w:tab w:leader="none" w:pos="270" w:val="left"/>
        </w:tabs>
        <w:numPr>
          <w:ilvl w:val="0"/>
          <w:numId w:val="152"/>
        </w:numPr>
        <w:rPr>
          <w:rFonts w:ascii="Arial" w:cs="Arial" w:eastAsia="Arial" w:hAnsi="Arial"/>
          <w:sz w:val="20"/>
          <w:szCs w:val="20"/>
          <w:color w:val="auto"/>
          <w:vertAlign w:val="superscript"/>
        </w:rPr>
      </w:pPr>
      <w:r>
        <w:rPr>
          <w:rFonts w:ascii="Arial" w:cs="Arial" w:eastAsia="Arial" w:hAnsi="Arial"/>
          <w:sz w:val="12"/>
          <w:szCs w:val="12"/>
          <w:color w:val="auto"/>
        </w:rPr>
        <w:t>This RSA was granted to the NEO on December 8, 2023 and vests 50% on the second anniversary of the date of grant and 50% on the fourth anniversary of the date of grant, subject to the NEO’s continued employment.</w:t>
      </w:r>
    </w:p>
    <w:p>
      <w:pPr>
        <w:ind w:left="270" w:hanging="270"/>
        <w:spacing w:after="0" w:line="187" w:lineRule="auto"/>
        <w:tabs>
          <w:tab w:leader="none" w:pos="270" w:val="left"/>
        </w:tabs>
        <w:numPr>
          <w:ilvl w:val="0"/>
          <w:numId w:val="152"/>
        </w:numPr>
        <w:rPr>
          <w:rFonts w:ascii="Arial" w:cs="Arial" w:eastAsia="Arial" w:hAnsi="Arial"/>
          <w:sz w:val="20"/>
          <w:szCs w:val="20"/>
          <w:color w:val="auto"/>
          <w:vertAlign w:val="superscript"/>
        </w:rPr>
      </w:pPr>
      <w:r>
        <w:rPr>
          <w:rFonts w:ascii="Arial" w:cs="Arial" w:eastAsia="Arial" w:hAnsi="Arial"/>
          <w:sz w:val="12"/>
          <w:szCs w:val="12"/>
          <w:color w:val="auto"/>
        </w:rPr>
        <w:t>This RSA was granted to the NEO on December 9, 2020 and vests 100% on the fifth anniversary of the date of grant, subject to the NEO’s continued employment.</w:t>
      </w:r>
    </w:p>
    <w:p>
      <w:pPr>
        <w:spacing w:after="0" w:line="16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2023 Option Exercises and Stock Vested</w:t>
      </w:r>
    </w:p>
    <w:p>
      <w:pPr>
        <w:spacing w:after="0" w:line="166" w:lineRule="exact"/>
        <w:rPr>
          <w:sz w:val="20"/>
          <w:szCs w:val="20"/>
          <w:color w:val="auto"/>
        </w:rPr>
      </w:pPr>
    </w:p>
    <w:p>
      <w:pPr>
        <w:ind w:left="10" w:right="340"/>
        <w:spacing w:after="0" w:line="257" w:lineRule="auto"/>
        <w:rPr>
          <w:sz w:val="20"/>
          <w:szCs w:val="20"/>
          <w:color w:val="auto"/>
        </w:rPr>
      </w:pPr>
      <w:r>
        <w:rPr>
          <w:rFonts w:ascii="Arial" w:cs="Arial" w:eastAsia="Arial" w:hAnsi="Arial"/>
          <w:sz w:val="14"/>
          <w:szCs w:val="14"/>
          <w:color w:val="auto"/>
        </w:rPr>
        <w:t>The following table and explanatory footnotes provide information with regard to amounts realized by our NEOs during 2023 as a result of the exercise of stock options or the vesting of PSUs or RSAs.</w:t>
      </w:r>
    </w:p>
    <w:p>
      <w:pPr>
        <w:spacing w:after="0" w:line="128"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6660" w:type="dxa"/>
            <w:vAlign w:val="bottom"/>
            <w:tcBorders>
              <w:bottom w:val="single" w:sz="8" w:color="215AA8"/>
            </w:tcBorders>
          </w:tcPr>
          <w:p>
            <w:pPr>
              <w:ind w:left="40"/>
              <w:spacing w:after="0"/>
              <w:rPr>
                <w:sz w:val="20"/>
                <w:szCs w:val="20"/>
                <w:color w:val="auto"/>
              </w:rPr>
            </w:pPr>
            <w:r>
              <w:rPr>
                <w:rFonts w:ascii="Arial" w:cs="Arial" w:eastAsia="Arial" w:hAnsi="Arial"/>
                <w:sz w:val="14"/>
                <w:szCs w:val="14"/>
                <w:color w:val="215AA8"/>
              </w:rPr>
              <w:t>A</w:t>
            </w:r>
          </w:p>
        </w:tc>
        <w:tc>
          <w:tcPr>
            <w:tcW w:w="1240" w:type="dxa"/>
            <w:vAlign w:val="bottom"/>
            <w:tcBorders>
              <w:bottom w:val="single" w:sz="8" w:color="215AA8"/>
            </w:tcBorders>
          </w:tcPr>
          <w:p>
            <w:pPr>
              <w:jc w:val="right"/>
              <w:ind w:right="632"/>
              <w:spacing w:after="0"/>
              <w:rPr>
                <w:sz w:val="20"/>
                <w:szCs w:val="20"/>
                <w:color w:val="auto"/>
              </w:rPr>
            </w:pPr>
            <w:r>
              <w:rPr>
                <w:rFonts w:ascii="Arial" w:cs="Arial" w:eastAsia="Arial" w:hAnsi="Arial"/>
                <w:sz w:val="14"/>
                <w:szCs w:val="14"/>
                <w:color w:val="215AA8"/>
              </w:rPr>
              <w:t>B</w:t>
            </w:r>
          </w:p>
        </w:tc>
        <w:tc>
          <w:tcPr>
            <w:tcW w:w="1160" w:type="dxa"/>
            <w:vAlign w:val="bottom"/>
            <w:tcBorders>
              <w:bottom w:val="single" w:sz="8" w:color="215AA8"/>
            </w:tcBorders>
            <w:gridSpan w:val="2"/>
          </w:tcPr>
          <w:p>
            <w:pPr>
              <w:ind w:left="540"/>
              <w:spacing w:after="0"/>
              <w:rPr>
                <w:sz w:val="20"/>
                <w:szCs w:val="20"/>
                <w:color w:val="auto"/>
              </w:rPr>
            </w:pPr>
            <w:r>
              <w:rPr>
                <w:rFonts w:ascii="Arial" w:cs="Arial" w:eastAsia="Arial" w:hAnsi="Arial"/>
                <w:sz w:val="14"/>
                <w:szCs w:val="14"/>
                <w:color w:val="215AA8"/>
              </w:rPr>
              <w:t>C</w:t>
            </w:r>
          </w:p>
        </w:tc>
        <w:tc>
          <w:tcPr>
            <w:tcW w:w="1220" w:type="dxa"/>
            <w:vAlign w:val="bottom"/>
            <w:tcBorders>
              <w:bottom w:val="single" w:sz="8" w:color="215AA8"/>
            </w:tcBorders>
          </w:tcPr>
          <w:p>
            <w:pPr>
              <w:jc w:val="right"/>
              <w:ind w:right="632"/>
              <w:spacing w:after="0"/>
              <w:rPr>
                <w:sz w:val="20"/>
                <w:szCs w:val="20"/>
                <w:color w:val="auto"/>
              </w:rPr>
            </w:pPr>
            <w:r>
              <w:rPr>
                <w:rFonts w:ascii="Arial" w:cs="Arial" w:eastAsia="Arial" w:hAnsi="Arial"/>
                <w:sz w:val="14"/>
                <w:szCs w:val="14"/>
                <w:color w:val="215AA8"/>
              </w:rPr>
              <w:t>D</w:t>
            </w:r>
          </w:p>
        </w:tc>
        <w:tc>
          <w:tcPr>
            <w:tcW w:w="980" w:type="dxa"/>
            <w:vAlign w:val="bottom"/>
            <w:tcBorders>
              <w:bottom w:val="single" w:sz="8" w:color="215AA8"/>
            </w:tcBorders>
          </w:tcPr>
          <w:p>
            <w:pPr>
              <w:jc w:val="right"/>
              <w:ind w:right="272"/>
              <w:spacing w:after="0"/>
              <w:rPr>
                <w:sz w:val="20"/>
                <w:szCs w:val="20"/>
                <w:color w:val="auto"/>
              </w:rPr>
            </w:pPr>
            <w:r>
              <w:rPr>
                <w:rFonts w:ascii="Arial" w:cs="Arial" w:eastAsia="Arial" w:hAnsi="Arial"/>
                <w:sz w:val="14"/>
                <w:szCs w:val="14"/>
                <w:color w:val="215AA8"/>
              </w:rPr>
              <w:t>E</w:t>
            </w:r>
          </w:p>
        </w:tc>
      </w:tr>
      <w:tr>
        <w:trPr>
          <w:trHeight w:val="160"/>
        </w:trPr>
        <w:tc>
          <w:tcPr>
            <w:tcW w:w="6660" w:type="dxa"/>
            <w:vAlign w:val="bottom"/>
          </w:tcPr>
          <w:p>
            <w:pPr>
              <w:spacing w:after="0"/>
              <w:rPr>
                <w:sz w:val="13"/>
                <w:szCs w:val="13"/>
                <w:color w:val="auto"/>
              </w:rPr>
            </w:pPr>
          </w:p>
        </w:tc>
        <w:tc>
          <w:tcPr>
            <w:tcW w:w="2400" w:type="dxa"/>
            <w:vAlign w:val="bottom"/>
            <w:gridSpan w:val="3"/>
          </w:tcPr>
          <w:p>
            <w:pPr>
              <w:ind w:left="660"/>
              <w:spacing w:after="0" w:line="157" w:lineRule="exact"/>
              <w:rPr>
                <w:sz w:val="20"/>
                <w:szCs w:val="20"/>
                <w:color w:val="auto"/>
              </w:rPr>
            </w:pPr>
            <w:r>
              <w:rPr>
                <w:rFonts w:ascii="Arial" w:cs="Arial" w:eastAsia="Arial" w:hAnsi="Arial"/>
                <w:sz w:val="14"/>
                <w:szCs w:val="14"/>
                <w:color w:val="215AA8"/>
              </w:rPr>
              <w:t>Option awards</w:t>
            </w:r>
          </w:p>
        </w:tc>
        <w:tc>
          <w:tcPr>
            <w:tcW w:w="2200" w:type="dxa"/>
            <w:vAlign w:val="bottom"/>
            <w:gridSpan w:val="2"/>
          </w:tcPr>
          <w:p>
            <w:pPr>
              <w:jc w:val="right"/>
              <w:ind w:right="632"/>
              <w:spacing w:after="0" w:line="157" w:lineRule="exact"/>
              <w:rPr>
                <w:sz w:val="20"/>
                <w:szCs w:val="20"/>
                <w:color w:val="auto"/>
              </w:rPr>
            </w:pPr>
            <w:r>
              <w:rPr>
                <w:rFonts w:ascii="Arial" w:cs="Arial" w:eastAsia="Arial" w:hAnsi="Arial"/>
                <w:sz w:val="14"/>
                <w:szCs w:val="14"/>
                <w:color w:val="215AA8"/>
              </w:rPr>
              <w:t>Stock awards</w:t>
            </w:r>
          </w:p>
        </w:tc>
      </w:tr>
      <w:tr>
        <w:trPr>
          <w:trHeight w:val="158"/>
        </w:trPr>
        <w:tc>
          <w:tcPr>
            <w:tcW w:w="6660" w:type="dxa"/>
            <w:vAlign w:val="bottom"/>
          </w:tcPr>
          <w:p>
            <w:pPr>
              <w:spacing w:after="0"/>
              <w:rPr>
                <w:sz w:val="13"/>
                <w:szCs w:val="13"/>
                <w:color w:val="auto"/>
              </w:rPr>
            </w:pPr>
          </w:p>
        </w:tc>
        <w:tc>
          <w:tcPr>
            <w:tcW w:w="1240" w:type="dxa"/>
            <w:vAlign w:val="bottom"/>
            <w:tcBorders>
              <w:top w:val="single" w:sz="8" w:color="215AA8"/>
            </w:tcBorders>
          </w:tcPr>
          <w:p>
            <w:pPr>
              <w:jc w:val="right"/>
              <w:ind w:right="192"/>
              <w:spacing w:after="0" w:line="157" w:lineRule="exact"/>
              <w:rPr>
                <w:sz w:val="20"/>
                <w:szCs w:val="20"/>
                <w:color w:val="auto"/>
              </w:rPr>
            </w:pPr>
            <w:r>
              <w:rPr>
                <w:rFonts w:ascii="Arial" w:cs="Arial" w:eastAsia="Arial" w:hAnsi="Arial"/>
                <w:sz w:val="14"/>
                <w:szCs w:val="14"/>
                <w:color w:val="215AA8"/>
              </w:rPr>
              <w:t>Number of</w:t>
            </w:r>
          </w:p>
        </w:tc>
        <w:tc>
          <w:tcPr>
            <w:tcW w:w="940" w:type="dxa"/>
            <w:vAlign w:val="bottom"/>
            <w:tcBorders>
              <w:top w:val="single" w:sz="8" w:color="215AA8"/>
            </w:tcBorders>
          </w:tcPr>
          <w:p>
            <w:pPr>
              <w:jc w:val="right"/>
              <w:spacing w:after="0" w:line="157" w:lineRule="exact"/>
              <w:rPr>
                <w:sz w:val="20"/>
                <w:szCs w:val="20"/>
                <w:color w:val="auto"/>
              </w:rPr>
            </w:pPr>
            <w:r>
              <w:rPr>
                <w:rFonts w:ascii="Arial" w:cs="Arial" w:eastAsia="Arial" w:hAnsi="Arial"/>
                <w:sz w:val="14"/>
                <w:szCs w:val="14"/>
                <w:color w:val="215AA8"/>
              </w:rPr>
              <w:t>Value</w:t>
            </w:r>
          </w:p>
        </w:tc>
        <w:tc>
          <w:tcPr>
            <w:tcW w:w="220" w:type="dxa"/>
            <w:vAlign w:val="bottom"/>
          </w:tcPr>
          <w:p>
            <w:pPr>
              <w:spacing w:after="0"/>
              <w:rPr>
                <w:sz w:val="13"/>
                <w:szCs w:val="13"/>
                <w:color w:val="auto"/>
              </w:rPr>
            </w:pPr>
          </w:p>
        </w:tc>
        <w:tc>
          <w:tcPr>
            <w:tcW w:w="1220" w:type="dxa"/>
            <w:vAlign w:val="bottom"/>
            <w:tcBorders>
              <w:top w:val="single" w:sz="8" w:color="215AA8"/>
            </w:tcBorders>
          </w:tcPr>
          <w:p>
            <w:pPr>
              <w:jc w:val="right"/>
              <w:ind w:right="192"/>
              <w:spacing w:after="0" w:line="157" w:lineRule="exact"/>
              <w:rPr>
                <w:sz w:val="20"/>
                <w:szCs w:val="20"/>
                <w:color w:val="auto"/>
              </w:rPr>
            </w:pPr>
            <w:r>
              <w:rPr>
                <w:rFonts w:ascii="Arial" w:cs="Arial" w:eastAsia="Arial" w:hAnsi="Arial"/>
                <w:sz w:val="14"/>
                <w:szCs w:val="14"/>
                <w:color w:val="215AA8"/>
              </w:rPr>
              <w:t>Number of</w:t>
            </w:r>
          </w:p>
        </w:tc>
        <w:tc>
          <w:tcPr>
            <w:tcW w:w="980" w:type="dxa"/>
            <w:vAlign w:val="bottom"/>
            <w:tcBorders>
              <w:top w:val="single" w:sz="8" w:color="215AA8"/>
            </w:tcBorders>
          </w:tcPr>
          <w:p>
            <w:pPr>
              <w:jc w:val="right"/>
              <w:spacing w:after="0" w:line="157" w:lineRule="exact"/>
              <w:rPr>
                <w:sz w:val="20"/>
                <w:szCs w:val="20"/>
                <w:color w:val="auto"/>
              </w:rPr>
            </w:pPr>
            <w:r>
              <w:rPr>
                <w:rFonts w:ascii="Arial" w:cs="Arial" w:eastAsia="Arial" w:hAnsi="Arial"/>
                <w:sz w:val="14"/>
                <w:szCs w:val="14"/>
                <w:color w:val="215AA8"/>
              </w:rPr>
              <w:t>Value</w:t>
            </w:r>
          </w:p>
        </w:tc>
      </w:tr>
      <w:tr>
        <w:trPr>
          <w:trHeight w:val="158"/>
        </w:trPr>
        <w:tc>
          <w:tcPr>
            <w:tcW w:w="6660" w:type="dxa"/>
            <w:vAlign w:val="bottom"/>
          </w:tcPr>
          <w:p>
            <w:pPr>
              <w:spacing w:after="0"/>
              <w:rPr>
                <w:sz w:val="13"/>
                <w:szCs w:val="13"/>
                <w:color w:val="auto"/>
              </w:rPr>
            </w:pPr>
          </w:p>
        </w:tc>
        <w:tc>
          <w:tcPr>
            <w:tcW w:w="1240" w:type="dxa"/>
            <w:vAlign w:val="bottom"/>
          </w:tcPr>
          <w:p>
            <w:pPr>
              <w:jc w:val="right"/>
              <w:ind w:right="192"/>
              <w:spacing w:after="0" w:line="157" w:lineRule="exact"/>
              <w:rPr>
                <w:sz w:val="20"/>
                <w:szCs w:val="20"/>
                <w:color w:val="auto"/>
              </w:rPr>
            </w:pPr>
            <w:r>
              <w:rPr>
                <w:rFonts w:ascii="Arial" w:cs="Arial" w:eastAsia="Arial" w:hAnsi="Arial"/>
                <w:sz w:val="14"/>
                <w:szCs w:val="14"/>
                <w:color w:val="215AA8"/>
                <w:w w:val="96"/>
              </w:rPr>
              <w:t>shares acquired</w:t>
            </w: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215AA8"/>
              </w:rPr>
              <w:t>realized</w:t>
            </w:r>
          </w:p>
        </w:tc>
        <w:tc>
          <w:tcPr>
            <w:tcW w:w="1220" w:type="dxa"/>
            <w:vAlign w:val="bottom"/>
          </w:tcPr>
          <w:p>
            <w:pPr>
              <w:jc w:val="right"/>
              <w:ind w:right="192"/>
              <w:spacing w:after="0" w:line="157" w:lineRule="exact"/>
              <w:rPr>
                <w:sz w:val="20"/>
                <w:szCs w:val="20"/>
                <w:color w:val="auto"/>
              </w:rPr>
            </w:pPr>
            <w:r>
              <w:rPr>
                <w:rFonts w:ascii="Arial" w:cs="Arial" w:eastAsia="Arial" w:hAnsi="Arial"/>
                <w:sz w:val="14"/>
                <w:szCs w:val="14"/>
                <w:color w:val="215AA8"/>
                <w:w w:val="94"/>
              </w:rPr>
              <w:t>shares acquired</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215AA8"/>
              </w:rPr>
              <w:t>realized</w:t>
            </w:r>
          </w:p>
        </w:tc>
      </w:tr>
      <w:tr>
        <w:trPr>
          <w:trHeight w:val="158"/>
        </w:trPr>
        <w:tc>
          <w:tcPr>
            <w:tcW w:w="6660" w:type="dxa"/>
            <w:vAlign w:val="bottom"/>
          </w:tcPr>
          <w:p>
            <w:pPr>
              <w:spacing w:after="0"/>
              <w:rPr>
                <w:sz w:val="13"/>
                <w:szCs w:val="13"/>
                <w:color w:val="auto"/>
              </w:rPr>
            </w:pPr>
          </w:p>
        </w:tc>
        <w:tc>
          <w:tcPr>
            <w:tcW w:w="1240" w:type="dxa"/>
            <w:vAlign w:val="bottom"/>
          </w:tcPr>
          <w:p>
            <w:pPr>
              <w:jc w:val="right"/>
              <w:ind w:right="192"/>
              <w:spacing w:after="0" w:line="157" w:lineRule="exact"/>
              <w:rPr>
                <w:sz w:val="20"/>
                <w:szCs w:val="20"/>
                <w:color w:val="auto"/>
              </w:rPr>
            </w:pPr>
            <w:r>
              <w:rPr>
                <w:rFonts w:ascii="Arial" w:cs="Arial" w:eastAsia="Arial" w:hAnsi="Arial"/>
                <w:sz w:val="14"/>
                <w:szCs w:val="14"/>
                <w:color w:val="215AA8"/>
              </w:rPr>
              <w:t>on exercise</w:t>
            </w: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215AA8"/>
              </w:rPr>
              <w:t>on exercise</w:t>
            </w:r>
          </w:p>
        </w:tc>
        <w:tc>
          <w:tcPr>
            <w:tcW w:w="1220" w:type="dxa"/>
            <w:vAlign w:val="bottom"/>
          </w:tcPr>
          <w:p>
            <w:pPr>
              <w:jc w:val="right"/>
              <w:ind w:right="192"/>
              <w:spacing w:after="0" w:line="157" w:lineRule="exact"/>
              <w:rPr>
                <w:sz w:val="20"/>
                <w:szCs w:val="20"/>
                <w:color w:val="auto"/>
              </w:rPr>
            </w:pPr>
            <w:r>
              <w:rPr>
                <w:rFonts w:ascii="Arial" w:cs="Arial" w:eastAsia="Arial" w:hAnsi="Arial"/>
                <w:sz w:val="14"/>
                <w:szCs w:val="14"/>
                <w:color w:val="215AA8"/>
              </w:rPr>
              <w:t>on vesting</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215AA8"/>
              </w:rPr>
              <w:t>on vesting</w:t>
            </w:r>
          </w:p>
        </w:tc>
      </w:tr>
      <w:tr>
        <w:trPr>
          <w:trHeight w:val="194"/>
        </w:trPr>
        <w:tc>
          <w:tcPr>
            <w:tcW w:w="6660" w:type="dxa"/>
            <w:vAlign w:val="bottom"/>
            <w:tcBorders>
              <w:bottom w:val="single" w:sz="8" w:color="215AA8"/>
            </w:tcBorders>
          </w:tcPr>
          <w:p>
            <w:pPr>
              <w:ind w:left="40"/>
              <w:spacing w:after="0"/>
              <w:rPr>
                <w:sz w:val="20"/>
                <w:szCs w:val="20"/>
                <w:color w:val="auto"/>
              </w:rPr>
            </w:pPr>
            <w:r>
              <w:rPr>
                <w:rFonts w:ascii="Arial" w:cs="Arial" w:eastAsia="Arial" w:hAnsi="Arial"/>
                <w:sz w:val="14"/>
                <w:szCs w:val="14"/>
                <w:color w:val="215AA8"/>
              </w:rPr>
              <w:t>Name</w:t>
            </w:r>
          </w:p>
        </w:tc>
        <w:tc>
          <w:tcPr>
            <w:tcW w:w="1240" w:type="dxa"/>
            <w:vAlign w:val="bottom"/>
            <w:tcBorders>
              <w:bottom w:val="single" w:sz="8" w:color="215AA8"/>
            </w:tcBorders>
          </w:tcPr>
          <w:p>
            <w:pPr>
              <w:jc w:val="right"/>
              <w:ind w:right="192"/>
              <w:spacing w:after="0"/>
              <w:rPr>
                <w:sz w:val="20"/>
                <w:szCs w:val="20"/>
                <w:color w:val="auto"/>
              </w:rPr>
            </w:pPr>
            <w:r>
              <w:rPr>
                <w:rFonts w:ascii="Arial" w:cs="Arial" w:eastAsia="Arial" w:hAnsi="Arial"/>
                <w:sz w:val="14"/>
                <w:szCs w:val="14"/>
                <w:color w:val="215AA8"/>
              </w:rPr>
              <w:t>(#)</w:t>
            </w:r>
          </w:p>
        </w:tc>
        <w:tc>
          <w:tcPr>
            <w:tcW w:w="1160" w:type="dxa"/>
            <w:vAlign w:val="bottom"/>
            <w:tcBorders>
              <w:bottom w:val="single" w:sz="8" w:color="215AA8"/>
            </w:tcBorders>
            <w:gridSpan w:val="2"/>
          </w:tcPr>
          <w:p>
            <w:pPr>
              <w:jc w:val="right"/>
              <w:ind w:right="220"/>
              <w:spacing w:after="0" w:line="191" w:lineRule="exact"/>
              <w:rPr>
                <w:sz w:val="20"/>
                <w:szCs w:val="20"/>
                <w:color w:val="auto"/>
              </w:rPr>
            </w:pPr>
            <w:r>
              <w:rPr>
                <w:rFonts w:ascii="Arial" w:cs="Arial" w:eastAsia="Arial" w:hAnsi="Arial"/>
                <w:sz w:val="14"/>
                <w:szCs w:val="14"/>
                <w:color w:val="215AA8"/>
              </w:rPr>
              <w:t>($)</w:t>
            </w:r>
            <w:r>
              <w:rPr>
                <w:rFonts w:ascii="Arial" w:cs="Arial" w:eastAsia="Arial" w:hAnsi="Arial"/>
                <w:sz w:val="22"/>
                <w:szCs w:val="22"/>
                <w:color w:val="215AA8"/>
                <w:vertAlign w:val="superscript"/>
              </w:rPr>
              <w:t>1</w:t>
            </w:r>
          </w:p>
        </w:tc>
        <w:tc>
          <w:tcPr>
            <w:tcW w:w="1220" w:type="dxa"/>
            <w:vAlign w:val="bottom"/>
            <w:tcBorders>
              <w:bottom w:val="single" w:sz="8" w:color="215AA8"/>
            </w:tcBorders>
          </w:tcPr>
          <w:p>
            <w:pPr>
              <w:jc w:val="right"/>
              <w:ind w:right="192"/>
              <w:spacing w:after="0"/>
              <w:rPr>
                <w:sz w:val="20"/>
                <w:szCs w:val="20"/>
                <w:color w:val="auto"/>
              </w:rPr>
            </w:pPr>
            <w:r>
              <w:rPr>
                <w:rFonts w:ascii="Arial" w:cs="Arial" w:eastAsia="Arial" w:hAnsi="Arial"/>
                <w:sz w:val="14"/>
                <w:szCs w:val="14"/>
                <w:color w:val="215AA8"/>
              </w:rPr>
              <w:t>(#)</w:t>
            </w:r>
          </w:p>
        </w:tc>
        <w:tc>
          <w:tcPr>
            <w:tcW w:w="980" w:type="dxa"/>
            <w:vAlign w:val="bottom"/>
            <w:tcBorders>
              <w:bottom w:val="single" w:sz="8" w:color="215AA8"/>
            </w:tcBorders>
          </w:tcPr>
          <w:p>
            <w:pPr>
              <w:jc w:val="right"/>
              <w:spacing w:after="0" w:line="191" w:lineRule="exact"/>
              <w:rPr>
                <w:sz w:val="20"/>
                <w:szCs w:val="20"/>
                <w:color w:val="auto"/>
              </w:rPr>
            </w:pPr>
            <w:r>
              <w:rPr>
                <w:rFonts w:ascii="Arial" w:cs="Arial" w:eastAsia="Arial" w:hAnsi="Arial"/>
                <w:sz w:val="14"/>
                <w:szCs w:val="14"/>
                <w:color w:val="215AA8"/>
              </w:rPr>
              <w:t>($)</w:t>
            </w:r>
            <w:r>
              <w:rPr>
                <w:rFonts w:ascii="Arial" w:cs="Arial" w:eastAsia="Arial" w:hAnsi="Arial"/>
                <w:sz w:val="22"/>
                <w:szCs w:val="22"/>
                <w:color w:val="215AA8"/>
                <w:vertAlign w:val="superscript"/>
              </w:rPr>
              <w:t>2</w:t>
            </w:r>
          </w:p>
        </w:tc>
      </w:tr>
      <w:tr>
        <w:trPr>
          <w:trHeight w:val="158"/>
        </w:trPr>
        <w:tc>
          <w:tcPr>
            <w:tcW w:w="6660" w:type="dxa"/>
            <w:vAlign w:val="bottom"/>
            <w:tcBorders>
              <w:bottom w:val="single" w:sz="8" w:color="949599"/>
            </w:tcBorders>
          </w:tcPr>
          <w:p>
            <w:pPr>
              <w:ind w:left="40"/>
              <w:spacing w:after="0" w:line="157" w:lineRule="exact"/>
              <w:rPr>
                <w:sz w:val="20"/>
                <w:szCs w:val="20"/>
                <w:color w:val="auto"/>
              </w:rPr>
            </w:pPr>
            <w:r>
              <w:rPr>
                <w:rFonts w:ascii="Arial" w:cs="Arial" w:eastAsia="Arial" w:hAnsi="Arial"/>
                <w:sz w:val="14"/>
                <w:szCs w:val="14"/>
                <w:b w:val="1"/>
                <w:bCs w:val="1"/>
                <w:color w:val="215AA8"/>
              </w:rPr>
              <w:t>Leonard S. Schleifer, M.D., Ph.D.</w:t>
            </w:r>
          </w:p>
        </w:tc>
        <w:tc>
          <w:tcPr>
            <w:tcW w:w="1240" w:type="dxa"/>
            <w:vAlign w:val="bottom"/>
            <w:tcBorders>
              <w:bottom w:val="single" w:sz="8" w:color="949599"/>
            </w:tcBorders>
          </w:tcPr>
          <w:p>
            <w:pPr>
              <w:jc w:val="right"/>
              <w:ind w:right="192"/>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949599"/>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949599"/>
            </w:tcBorders>
          </w:tcPr>
          <w:p>
            <w:pPr>
              <w:jc w:val="right"/>
              <w:ind w:right="192"/>
              <w:spacing w:after="0" w:line="157" w:lineRule="exact"/>
              <w:rPr>
                <w:sz w:val="20"/>
                <w:szCs w:val="20"/>
                <w:color w:val="auto"/>
              </w:rPr>
            </w:pPr>
            <w:r>
              <w:rPr>
                <w:rFonts w:ascii="Arial" w:cs="Arial" w:eastAsia="Arial" w:hAnsi="Arial"/>
                <w:sz w:val="14"/>
                <w:szCs w:val="14"/>
                <w:color w:val="auto"/>
              </w:rPr>
              <w:t>25,155</w:t>
            </w:r>
          </w:p>
        </w:tc>
        <w:tc>
          <w:tcPr>
            <w:tcW w:w="980" w:type="dxa"/>
            <w:vAlign w:val="bottom"/>
            <w:tcBorders>
              <w:bottom w:val="single" w:sz="8" w:color="949599"/>
            </w:tcBorders>
          </w:tcPr>
          <w:p>
            <w:pPr>
              <w:jc w:val="right"/>
              <w:spacing w:after="0" w:line="157" w:lineRule="exact"/>
              <w:rPr>
                <w:sz w:val="20"/>
                <w:szCs w:val="20"/>
                <w:color w:val="auto"/>
              </w:rPr>
            </w:pPr>
            <w:r>
              <w:rPr>
                <w:rFonts w:ascii="Arial" w:cs="Arial" w:eastAsia="Arial" w:hAnsi="Arial"/>
                <w:sz w:val="14"/>
                <w:szCs w:val="14"/>
                <w:color w:val="auto"/>
              </w:rPr>
              <w:t>21,233,084</w:t>
            </w:r>
          </w:p>
        </w:tc>
      </w:tr>
      <w:tr>
        <w:trPr>
          <w:trHeight w:val="149"/>
        </w:trPr>
        <w:tc>
          <w:tcPr>
            <w:tcW w:w="6660" w:type="dxa"/>
            <w:vAlign w:val="bottom"/>
            <w:tcBorders>
              <w:bottom w:val="single" w:sz="8" w:color="949599"/>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215AA8"/>
              </w:rPr>
              <w:t>George D. Yancopoulos, M.D., Ph.D.</w:t>
            </w:r>
          </w:p>
        </w:tc>
        <w:tc>
          <w:tcPr>
            <w:tcW w:w="1240" w:type="dxa"/>
            <w:vAlign w:val="bottom"/>
            <w:tcBorders>
              <w:bottom w:val="single" w:sz="8" w:color="949599"/>
            </w:tcBorders>
            <w:shd w:val="clear" w:color="auto" w:fill="ECECED"/>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949599"/>
            </w:tcBorders>
            <w:gridSpan w:val="2"/>
            <w:shd w:val="clear" w:color="auto" w:fill="ECECED"/>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949599"/>
            </w:tcBorders>
            <w:shd w:val="clear" w:color="auto" w:fill="ECECED"/>
          </w:tcPr>
          <w:p>
            <w:pPr>
              <w:jc w:val="right"/>
              <w:ind w:right="192"/>
              <w:spacing w:after="0" w:line="149" w:lineRule="exact"/>
              <w:rPr>
                <w:sz w:val="20"/>
                <w:szCs w:val="20"/>
                <w:color w:val="auto"/>
              </w:rPr>
            </w:pPr>
            <w:r>
              <w:rPr>
                <w:rFonts w:ascii="Arial" w:cs="Arial" w:eastAsia="Arial" w:hAnsi="Arial"/>
                <w:sz w:val="14"/>
                <w:szCs w:val="14"/>
                <w:color w:val="auto"/>
              </w:rPr>
              <w:t>25,155</w:t>
            </w:r>
          </w:p>
        </w:tc>
        <w:tc>
          <w:tcPr>
            <w:tcW w:w="98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21,233,084</w:t>
            </w:r>
          </w:p>
        </w:tc>
      </w:tr>
      <w:tr>
        <w:trPr>
          <w:trHeight w:val="149"/>
        </w:trPr>
        <w:tc>
          <w:tcPr>
            <w:tcW w:w="6660" w:type="dxa"/>
            <w:vAlign w:val="bottom"/>
            <w:tcBorders>
              <w:bottom w:val="single" w:sz="8" w:color="949599"/>
            </w:tcBorders>
          </w:tcPr>
          <w:p>
            <w:pPr>
              <w:ind w:left="40"/>
              <w:spacing w:after="0" w:line="149" w:lineRule="exact"/>
              <w:rPr>
                <w:sz w:val="20"/>
                <w:szCs w:val="20"/>
                <w:color w:val="auto"/>
              </w:rPr>
            </w:pPr>
            <w:r>
              <w:rPr>
                <w:rFonts w:ascii="Arial" w:cs="Arial" w:eastAsia="Arial" w:hAnsi="Arial"/>
                <w:sz w:val="14"/>
                <w:szCs w:val="14"/>
                <w:b w:val="1"/>
                <w:bCs w:val="1"/>
                <w:color w:val="215AA8"/>
              </w:rPr>
              <w:t xml:space="preserve">Robert E. Landry </w:t>
            </w:r>
            <w:r>
              <w:rPr>
                <w:rFonts w:ascii="Arial" w:cs="Arial" w:eastAsia="Arial" w:hAnsi="Arial"/>
                <w:sz w:val="14"/>
                <w:szCs w:val="14"/>
                <w:b w:val="1"/>
                <w:bCs w:val="1"/>
                <w:i w:val="1"/>
                <w:iCs w:val="1"/>
                <w:color w:val="215AA8"/>
              </w:rPr>
              <w:t>(retired)</w:t>
            </w:r>
          </w:p>
        </w:tc>
        <w:tc>
          <w:tcPr>
            <w:tcW w:w="1240" w:type="dxa"/>
            <w:vAlign w:val="bottom"/>
            <w:tcBorders>
              <w:bottom w:val="single" w:sz="8" w:color="949599"/>
            </w:tcBorders>
          </w:tcPr>
          <w:p>
            <w:pPr>
              <w:jc w:val="right"/>
              <w:ind w:right="192"/>
              <w:spacing w:after="0" w:line="149" w:lineRule="exact"/>
              <w:rPr>
                <w:sz w:val="20"/>
                <w:szCs w:val="20"/>
                <w:color w:val="auto"/>
              </w:rPr>
            </w:pPr>
            <w:r>
              <w:rPr>
                <w:rFonts w:ascii="Arial" w:cs="Arial" w:eastAsia="Arial" w:hAnsi="Arial"/>
                <w:sz w:val="14"/>
                <w:szCs w:val="14"/>
                <w:color w:val="auto"/>
              </w:rPr>
              <w:t>9,400</w:t>
            </w:r>
          </w:p>
        </w:tc>
        <w:tc>
          <w:tcPr>
            <w:tcW w:w="1160" w:type="dxa"/>
            <w:vAlign w:val="bottom"/>
            <w:tcBorders>
              <w:bottom w:val="single" w:sz="8" w:color="949599"/>
            </w:tcBorders>
            <w:gridSpan w:val="2"/>
          </w:tcPr>
          <w:p>
            <w:pPr>
              <w:jc w:val="right"/>
              <w:ind w:right="220"/>
              <w:spacing w:after="0" w:line="149" w:lineRule="exact"/>
              <w:rPr>
                <w:sz w:val="20"/>
                <w:szCs w:val="20"/>
                <w:color w:val="auto"/>
              </w:rPr>
            </w:pPr>
            <w:r>
              <w:rPr>
                <w:rFonts w:ascii="Arial" w:cs="Arial" w:eastAsia="Arial" w:hAnsi="Arial"/>
                <w:sz w:val="14"/>
                <w:szCs w:val="14"/>
                <w:color w:val="auto"/>
              </w:rPr>
              <w:t>4,162,358</w:t>
            </w:r>
          </w:p>
        </w:tc>
        <w:tc>
          <w:tcPr>
            <w:tcW w:w="1220" w:type="dxa"/>
            <w:vAlign w:val="bottom"/>
            <w:tcBorders>
              <w:bottom w:val="single" w:sz="8" w:color="949599"/>
            </w:tcBorders>
          </w:tcPr>
          <w:p>
            <w:pPr>
              <w:jc w:val="right"/>
              <w:ind w:right="192"/>
              <w:spacing w:after="0" w:line="149" w:lineRule="exact"/>
              <w:rPr>
                <w:sz w:val="20"/>
                <w:szCs w:val="20"/>
                <w:color w:val="auto"/>
              </w:rPr>
            </w:pPr>
            <w:r>
              <w:rPr>
                <w:rFonts w:ascii="Arial" w:cs="Arial" w:eastAsia="Arial" w:hAnsi="Arial"/>
                <w:sz w:val="14"/>
                <w:szCs w:val="14"/>
                <w:color w:val="auto"/>
              </w:rPr>
              <w:t>20,798</w:t>
            </w:r>
          </w:p>
        </w:tc>
        <w:tc>
          <w:tcPr>
            <w:tcW w:w="98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17,712,538</w:t>
            </w:r>
          </w:p>
        </w:tc>
      </w:tr>
      <w:tr>
        <w:trPr>
          <w:trHeight w:val="149"/>
        </w:trPr>
        <w:tc>
          <w:tcPr>
            <w:tcW w:w="6660" w:type="dxa"/>
            <w:vAlign w:val="bottom"/>
            <w:tcBorders>
              <w:bottom w:val="single" w:sz="8" w:color="949599"/>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215AA8"/>
              </w:rPr>
              <w:t>Daniel P. Van Plew</w:t>
            </w:r>
          </w:p>
        </w:tc>
        <w:tc>
          <w:tcPr>
            <w:tcW w:w="1240" w:type="dxa"/>
            <w:vAlign w:val="bottom"/>
            <w:tcBorders>
              <w:bottom w:val="single" w:sz="8" w:color="949599"/>
            </w:tcBorders>
            <w:shd w:val="clear" w:color="auto" w:fill="ECECED"/>
          </w:tcPr>
          <w:p>
            <w:pPr>
              <w:jc w:val="right"/>
              <w:ind w:right="192"/>
              <w:spacing w:after="0" w:line="149" w:lineRule="exact"/>
              <w:rPr>
                <w:sz w:val="20"/>
                <w:szCs w:val="20"/>
                <w:color w:val="auto"/>
              </w:rPr>
            </w:pPr>
            <w:r>
              <w:rPr>
                <w:rFonts w:ascii="Arial" w:cs="Arial" w:eastAsia="Arial" w:hAnsi="Arial"/>
                <w:sz w:val="14"/>
                <w:szCs w:val="14"/>
                <w:color w:val="auto"/>
              </w:rPr>
              <w:t>23,125</w:t>
            </w:r>
          </w:p>
        </w:tc>
        <w:tc>
          <w:tcPr>
            <w:tcW w:w="1160" w:type="dxa"/>
            <w:vAlign w:val="bottom"/>
            <w:tcBorders>
              <w:bottom w:val="single" w:sz="8" w:color="949599"/>
            </w:tcBorders>
            <w:gridSpan w:val="2"/>
            <w:shd w:val="clear" w:color="auto" w:fill="ECECED"/>
          </w:tcPr>
          <w:p>
            <w:pPr>
              <w:jc w:val="right"/>
              <w:ind w:right="220"/>
              <w:spacing w:after="0" w:line="149" w:lineRule="exact"/>
              <w:rPr>
                <w:sz w:val="20"/>
                <w:szCs w:val="20"/>
                <w:color w:val="auto"/>
              </w:rPr>
            </w:pPr>
            <w:r>
              <w:rPr>
                <w:rFonts w:ascii="Arial" w:cs="Arial" w:eastAsia="Arial" w:hAnsi="Arial"/>
                <w:sz w:val="14"/>
                <w:szCs w:val="14"/>
                <w:color w:val="auto"/>
              </w:rPr>
              <w:t>10,666,638</w:t>
            </w:r>
          </w:p>
        </w:tc>
        <w:tc>
          <w:tcPr>
            <w:tcW w:w="1220" w:type="dxa"/>
            <w:vAlign w:val="bottom"/>
            <w:tcBorders>
              <w:bottom w:val="single" w:sz="8" w:color="949599"/>
            </w:tcBorders>
            <w:shd w:val="clear" w:color="auto" w:fill="ECECED"/>
          </w:tcPr>
          <w:p>
            <w:pPr>
              <w:jc w:val="right"/>
              <w:ind w:right="192"/>
              <w:spacing w:after="0" w:line="149" w:lineRule="exact"/>
              <w:rPr>
                <w:sz w:val="20"/>
                <w:szCs w:val="20"/>
                <w:color w:val="auto"/>
              </w:rPr>
            </w:pPr>
            <w:r>
              <w:rPr>
                <w:rFonts w:ascii="Arial" w:cs="Arial" w:eastAsia="Arial" w:hAnsi="Arial"/>
                <w:sz w:val="14"/>
                <w:szCs w:val="14"/>
                <w:color w:val="auto"/>
              </w:rPr>
              <w:t>8,484</w:t>
            </w:r>
          </w:p>
        </w:tc>
        <w:tc>
          <w:tcPr>
            <w:tcW w:w="98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7,160,608</w:t>
            </w:r>
          </w:p>
        </w:tc>
      </w:tr>
      <w:tr>
        <w:trPr>
          <w:trHeight w:val="151"/>
        </w:trPr>
        <w:tc>
          <w:tcPr>
            <w:tcW w:w="6660" w:type="dxa"/>
            <w:vAlign w:val="bottom"/>
            <w:tcBorders>
              <w:bottom w:val="single" w:sz="8" w:color="215AA8"/>
            </w:tcBorders>
          </w:tcPr>
          <w:p>
            <w:pPr>
              <w:ind w:left="40"/>
              <w:spacing w:after="0" w:line="149" w:lineRule="exact"/>
              <w:rPr>
                <w:sz w:val="20"/>
                <w:szCs w:val="20"/>
                <w:color w:val="auto"/>
              </w:rPr>
            </w:pPr>
            <w:r>
              <w:rPr>
                <w:rFonts w:ascii="Arial" w:cs="Arial" w:eastAsia="Arial" w:hAnsi="Arial"/>
                <w:sz w:val="14"/>
                <w:szCs w:val="14"/>
                <w:b w:val="1"/>
                <w:bCs w:val="1"/>
                <w:color w:val="215AA8"/>
              </w:rPr>
              <w:t>Andrew J. Murphy, Ph.D.</w:t>
            </w:r>
          </w:p>
        </w:tc>
        <w:tc>
          <w:tcPr>
            <w:tcW w:w="1240" w:type="dxa"/>
            <w:vAlign w:val="bottom"/>
            <w:tcBorders>
              <w:bottom w:val="single" w:sz="8" w:color="215AA8"/>
            </w:tcBorders>
          </w:tcPr>
          <w:p>
            <w:pPr>
              <w:jc w:val="right"/>
              <w:ind w:right="192"/>
              <w:spacing w:after="0" w:line="149" w:lineRule="exact"/>
              <w:rPr>
                <w:sz w:val="20"/>
                <w:szCs w:val="20"/>
                <w:color w:val="auto"/>
              </w:rPr>
            </w:pPr>
            <w:r>
              <w:rPr>
                <w:rFonts w:ascii="Arial" w:cs="Arial" w:eastAsia="Arial" w:hAnsi="Arial"/>
                <w:sz w:val="14"/>
                <w:szCs w:val="14"/>
                <w:color w:val="auto"/>
              </w:rPr>
              <w:t>40,000</w:t>
            </w:r>
          </w:p>
        </w:tc>
        <w:tc>
          <w:tcPr>
            <w:tcW w:w="1160" w:type="dxa"/>
            <w:vAlign w:val="bottom"/>
            <w:tcBorders>
              <w:bottom w:val="single" w:sz="8" w:color="215AA8"/>
            </w:tcBorders>
            <w:gridSpan w:val="2"/>
          </w:tcPr>
          <w:p>
            <w:pPr>
              <w:jc w:val="right"/>
              <w:ind w:right="220"/>
              <w:spacing w:after="0" w:line="149" w:lineRule="exact"/>
              <w:rPr>
                <w:sz w:val="20"/>
                <w:szCs w:val="20"/>
                <w:color w:val="auto"/>
              </w:rPr>
            </w:pPr>
            <w:r>
              <w:rPr>
                <w:rFonts w:ascii="Arial" w:cs="Arial" w:eastAsia="Arial" w:hAnsi="Arial"/>
                <w:sz w:val="14"/>
                <w:szCs w:val="14"/>
                <w:color w:val="auto"/>
              </w:rPr>
              <w:t>21,368,200</w:t>
            </w:r>
          </w:p>
        </w:tc>
        <w:tc>
          <w:tcPr>
            <w:tcW w:w="1220" w:type="dxa"/>
            <w:vAlign w:val="bottom"/>
            <w:tcBorders>
              <w:bottom w:val="single" w:sz="8" w:color="215AA8"/>
            </w:tcBorders>
          </w:tcPr>
          <w:p>
            <w:pPr>
              <w:jc w:val="right"/>
              <w:ind w:right="192"/>
              <w:spacing w:after="0" w:line="149" w:lineRule="exact"/>
              <w:rPr>
                <w:sz w:val="20"/>
                <w:szCs w:val="20"/>
                <w:color w:val="auto"/>
              </w:rPr>
            </w:pPr>
            <w:r>
              <w:rPr>
                <w:rFonts w:ascii="Arial" w:cs="Arial" w:eastAsia="Arial" w:hAnsi="Arial"/>
                <w:sz w:val="14"/>
                <w:szCs w:val="14"/>
                <w:color w:val="auto"/>
              </w:rPr>
              <w:t>28,043</w:t>
            </w:r>
          </w:p>
        </w:tc>
        <w:tc>
          <w:tcPr>
            <w:tcW w:w="980" w:type="dxa"/>
            <w:vAlign w:val="bottom"/>
            <w:tcBorders>
              <w:bottom w:val="single" w:sz="8" w:color="215AA8"/>
            </w:tcBorders>
          </w:tcPr>
          <w:p>
            <w:pPr>
              <w:jc w:val="right"/>
              <w:spacing w:after="0" w:line="149" w:lineRule="exact"/>
              <w:rPr>
                <w:sz w:val="20"/>
                <w:szCs w:val="20"/>
                <w:color w:val="auto"/>
              </w:rPr>
            </w:pPr>
            <w:r>
              <w:rPr>
                <w:rFonts w:ascii="Arial" w:cs="Arial" w:eastAsia="Arial" w:hAnsi="Arial"/>
                <w:sz w:val="14"/>
                <w:szCs w:val="14"/>
                <w:color w:val="auto"/>
              </w:rPr>
              <w:t>23,859,597</w:t>
            </w:r>
          </w:p>
        </w:tc>
      </w:tr>
    </w:tbl>
    <w:p>
      <w:pPr>
        <w:spacing w:after="0" w:line="93" w:lineRule="exact"/>
        <w:rPr>
          <w:sz w:val="20"/>
          <w:szCs w:val="20"/>
          <w:color w:val="auto"/>
        </w:rPr>
      </w:pPr>
    </w:p>
    <w:p>
      <w:pPr>
        <w:ind w:left="270" w:right="160" w:hanging="270"/>
        <w:spacing w:after="0" w:line="191" w:lineRule="auto"/>
        <w:tabs>
          <w:tab w:leader="none" w:pos="270" w:val="left"/>
        </w:tabs>
        <w:numPr>
          <w:ilvl w:val="0"/>
          <w:numId w:val="153"/>
        </w:numPr>
        <w:rPr>
          <w:rFonts w:ascii="Arial" w:cs="Arial" w:eastAsia="Arial" w:hAnsi="Arial"/>
          <w:sz w:val="20"/>
          <w:szCs w:val="20"/>
          <w:color w:val="auto"/>
          <w:vertAlign w:val="superscript"/>
        </w:rPr>
      </w:pPr>
      <w:r>
        <w:rPr>
          <w:rFonts w:ascii="Arial" w:cs="Arial" w:eastAsia="Arial" w:hAnsi="Arial"/>
          <w:sz w:val="12"/>
          <w:szCs w:val="12"/>
          <w:color w:val="auto"/>
        </w:rPr>
        <w:t>Amounts reflect the difference between the exercise price of the option(s) and, as applicable (depending on the manner of exercise), the average of the high and low sales price per share of the Company’s common stock on the Nasdaq Global Select Market on the exercise date(s) or the market price at which the relevant options were exercised on the exercise date(s).</w:t>
      </w:r>
    </w:p>
    <w:p>
      <w:pPr>
        <w:ind w:left="270" w:hanging="270"/>
        <w:spacing w:after="0" w:line="188" w:lineRule="auto"/>
        <w:tabs>
          <w:tab w:leader="none" w:pos="270" w:val="left"/>
        </w:tabs>
        <w:numPr>
          <w:ilvl w:val="0"/>
          <w:numId w:val="154"/>
        </w:numPr>
        <w:rPr>
          <w:rFonts w:ascii="Arial" w:cs="Arial" w:eastAsia="Arial" w:hAnsi="Arial"/>
          <w:sz w:val="20"/>
          <w:szCs w:val="20"/>
          <w:color w:val="auto"/>
          <w:vertAlign w:val="superscript"/>
        </w:rPr>
      </w:pPr>
      <w:r>
        <w:rPr>
          <w:rFonts w:ascii="Arial" w:cs="Arial" w:eastAsia="Arial" w:hAnsi="Arial"/>
          <w:sz w:val="12"/>
          <w:szCs w:val="12"/>
          <w:color w:val="auto"/>
        </w:rPr>
        <w:t>Amount reflects the average of the high and low sales price per share of the Company’s common stock on the Nasdaq Global Select Market on the vesting date.</w:t>
      </w:r>
    </w:p>
    <w:p>
      <w:pPr>
        <w:spacing w:after="0" w:line="16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Post-Employment Compensation</w:t>
      </w:r>
    </w:p>
    <w:p>
      <w:pPr>
        <w:spacing w:after="0" w:line="166" w:lineRule="exact"/>
        <w:rPr>
          <w:sz w:val="20"/>
          <w:szCs w:val="20"/>
          <w:color w:val="auto"/>
        </w:rPr>
      </w:pPr>
    </w:p>
    <w:p>
      <w:pPr>
        <w:ind w:left="10" w:right="20"/>
        <w:spacing w:after="0"/>
        <w:rPr>
          <w:sz w:val="20"/>
          <w:szCs w:val="20"/>
          <w:color w:val="auto"/>
        </w:rPr>
      </w:pPr>
      <w:r>
        <w:rPr>
          <w:rFonts w:ascii="Arial" w:cs="Arial" w:eastAsia="Arial" w:hAnsi="Arial"/>
          <w:sz w:val="14"/>
          <w:szCs w:val="14"/>
          <w:color w:val="auto"/>
        </w:rPr>
        <w:t>As discussed in “Compensation Dashboard—Additional Compensation Information—Potential Severance Payments,” our NEOs are entitled to certain severance benefits upon the voluntary or involuntary termination of their employment. We provide additional information regarding the severance benefits available to our NEOs in the tables set out below in this subsection. For our CEO, the table shows the amounts payable under his employment agreement upon his involuntary or not-for-cause termination, termination in connection with a corporate change of control, and in the event of his disability or death. For the other NEOs, the table shows their post-termination compensation arrangements under our change in control severance plan upon an involuntary or not-for-cause termination in connection with a corporate change of control.</w:t>
      </w:r>
    </w:p>
    <w:p>
      <w:pPr>
        <w:spacing w:after="0" w:line="136"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D60058"/>
        </w:rPr>
        <w:t>Leonard S. Schleifer, M.D., Ph.D., Employment Agreement</w:t>
      </w:r>
    </w:p>
    <w:p>
      <w:pPr>
        <w:spacing w:after="0" w:line="79" w:lineRule="exact"/>
        <w:rPr>
          <w:sz w:val="20"/>
          <w:szCs w:val="20"/>
          <w:color w:val="auto"/>
        </w:rPr>
      </w:pPr>
    </w:p>
    <w:p>
      <w:pPr>
        <w:ind w:left="10" w:right="20"/>
        <w:spacing w:after="0" w:line="242" w:lineRule="auto"/>
        <w:rPr>
          <w:sz w:val="20"/>
          <w:szCs w:val="20"/>
          <w:color w:val="auto"/>
        </w:rPr>
      </w:pPr>
      <w:r>
        <w:rPr>
          <w:rFonts w:ascii="Arial" w:cs="Arial" w:eastAsia="Arial" w:hAnsi="Arial"/>
          <w:sz w:val="14"/>
          <w:szCs w:val="14"/>
          <w:color w:val="auto"/>
        </w:rPr>
        <w:t>We entered into an employment agreement with our CEO,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(“Section 409A”). Pursuant to this agreement, we agreed that in the event that Dr. Schleifer’s employment is terminated by us other than for cause (as defined in the employment</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86</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97" w:name="page98"/>
    <w:bookmarkEnd w:id="97"/>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39" w:lineRule="exact"/>
        <w:rPr>
          <w:sz w:val="20"/>
          <w:szCs w:val="20"/>
          <w:color w:val="auto"/>
        </w:rPr>
      </w:pPr>
    </w:p>
    <w:p>
      <w:pPr>
        <w:ind w:left="10" w:right="20"/>
        <w:spacing w:after="0" w:line="280" w:lineRule="auto"/>
        <w:rPr>
          <w:sz w:val="20"/>
          <w:szCs w:val="20"/>
          <w:color w:val="auto"/>
        </w:rPr>
      </w:pPr>
      <w:r>
        <w:rPr>
          <w:rFonts w:ascii="Arial" w:cs="Arial" w:eastAsia="Arial" w:hAnsi="Arial"/>
          <w:sz w:val="12"/>
          <w:szCs w:val="12"/>
          <w:color w:val="auto"/>
        </w:rPr>
        <w:t>agreement) or is terminated by Dr. Schleifer for good reason (as defined in the employment agreement to include specified acts of constructive termination (which Dr. Schleifer has agreed does not include the election of Dr. Yancopoulos as co-Chair of the Board), together called an “involuntary termination”), we will pay Dr. Schleifer an amount equal to 125% of the sum of his base salary plus his average cash incentive paid over the prior three years. This amount will be paid in a lump-sum severance payment. In addition, we will continue to provide Dr. Schleifer and his dependents medical, dental, and life insurance benefits for 18 months. Subject to the discussion in the following paragraph, in the event that Dr. Schleifer’s employment terminates for any reason other than for cause, any unvested stock options will continue to vest in accordance with the terms of the applicable award grant and he will be entitled to exercise all outstanding stock options throughout their original term, which is generally ten years from the date of grant. The treatment of Dr. Schleifer’s unvested PSUs from the 2020 grant upon certain termination events is governed by the terms of the 2020 PSU award agreement, notwithstanding any provision to the contrary in his employment agreement. The terms of the 2020 PSU award agreement provide that (i) in the case of a termination of employment due to death or disability, the PSUs remain outstanding and may be earned during their term (and, to the extent earned, are not subject to the three-year mandatory deferral and holding period (the “Holding Period”)); (ii) in the case of a termination by the Company without cause or a departure by Dr. Schleifer for good reason (each as defined in his employment agreement), earnout is measured as of termination and all PSUs earned as of that date vest and remain subject to the Holding</w:t>
      </w:r>
    </w:p>
    <w:p>
      <w:pPr>
        <w:spacing w:after="0" w:line="137" w:lineRule="exact"/>
        <w:rPr>
          <w:sz w:val="20"/>
          <w:szCs w:val="20"/>
          <w:color w:val="auto"/>
        </w:rPr>
      </w:pPr>
    </w:p>
    <w:p>
      <w:pPr>
        <w:ind w:left="10" w:right="320"/>
        <w:spacing w:after="0" w:line="207" w:lineRule="auto"/>
        <w:rPr>
          <w:sz w:val="20"/>
          <w:szCs w:val="20"/>
          <w:color w:val="auto"/>
        </w:rPr>
      </w:pPr>
      <w:r>
        <w:rPr>
          <w:rFonts w:ascii="Arial" w:cs="Arial" w:eastAsia="Arial" w:hAnsi="Arial"/>
          <w:sz w:val="14"/>
          <w:szCs w:val="14"/>
          <w:color w:val="auto"/>
        </w:rPr>
        <w:t>Period</w:t>
      </w:r>
      <w:r>
        <w:rPr>
          <w:rFonts w:ascii="Arial" w:cs="Arial" w:eastAsia="Arial" w:hAnsi="Arial"/>
          <w:sz w:val="22"/>
          <w:szCs w:val="22"/>
          <w:color w:val="auto"/>
          <w:vertAlign w:val="superscript"/>
        </w:rPr>
        <w:t>4</w:t>
      </w:r>
      <w:r>
        <w:rPr>
          <w:rFonts w:ascii="Arial" w:cs="Arial" w:eastAsia="Arial" w:hAnsi="Arial"/>
          <w:sz w:val="14"/>
          <w:szCs w:val="14"/>
          <w:color w:val="auto"/>
        </w:rPr>
        <w:t>; and (iii) in the case of a change in control, earnout is measured as of the date of the change in control (using the applicable transaction price as the ending stock price), and all PSUs earned as of that date vest with no Holding Period and any unearned PSUs are forfeited immediately.</w:t>
      </w:r>
    </w:p>
    <w:p>
      <w:pPr>
        <w:spacing w:after="0" w:line="140" w:lineRule="exact"/>
        <w:rPr>
          <w:sz w:val="20"/>
          <w:szCs w:val="20"/>
          <w:color w:val="auto"/>
        </w:rPr>
      </w:pPr>
    </w:p>
    <w:p>
      <w:pPr>
        <w:ind w:left="10" w:right="40"/>
        <w:spacing w:after="0" w:line="238" w:lineRule="auto"/>
        <w:rPr>
          <w:sz w:val="20"/>
          <w:szCs w:val="20"/>
          <w:color w:val="auto"/>
        </w:rPr>
      </w:pPr>
      <w:r>
        <w:rPr>
          <w:rFonts w:ascii="Arial" w:cs="Arial" w:eastAsia="Arial" w:hAnsi="Arial"/>
          <w:sz w:val="14"/>
          <w:szCs w:val="14"/>
          <w:color w:val="auto"/>
        </w:rPr>
        <w:t>Upon an involuntary termination (i.e., a termination by the Company without cause or by Dr. Schleifer for good reason, each as defined in the employment agreement) within three years after a change of control of the Company or within three months prior to such a change of control, we will pay Dr. Schleifer an amount equal to three times the sum of his annual base salary plus his average cash incentive over the prior three years. This amount will be paid in a lump-sum severance payment. In addition, we will continue to provide Dr. Schleifer and his dependents medical, dental, and life insurance benefits for 36 months. Upon such an involuntary termination in connection with a change of control, any unvested stock options will vest immediately and all outstanding stock options will remain exercisable throughout their original term, which is generally ten years from the date of grant. Pursuant to the terms of his 2020 PSU award agreement, any such PSUs that vest upon a change of control as discussed above will be immediately deliverable to Dr. Schleifer (with no Holding Period).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10%, in which case such benefits and payments will be reduced accordingly.</w:t>
      </w:r>
    </w:p>
    <w:p>
      <w:pPr>
        <w:spacing w:after="0" w:line="139" w:lineRule="exact"/>
        <w:rPr>
          <w:sz w:val="20"/>
          <w:szCs w:val="20"/>
          <w:color w:val="auto"/>
        </w:rPr>
      </w:pPr>
    </w:p>
    <w:p>
      <w:pPr>
        <w:ind w:left="10" w:right="180"/>
        <w:spacing w:after="0" w:line="246" w:lineRule="auto"/>
        <w:rPr>
          <w:sz w:val="20"/>
          <w:szCs w:val="20"/>
          <w:color w:val="auto"/>
        </w:rPr>
      </w:pPr>
      <w:r>
        <w:rPr>
          <w:rFonts w:ascii="Arial" w:cs="Arial" w:eastAsia="Arial" w:hAnsi="Arial"/>
          <w:sz w:val="14"/>
          <w:szCs w:val="14"/>
          <w:color w:val="auto"/>
        </w:rPr>
        <w:t>The following table reflects the potential payments to our CEO under his employment agreement assuming a termination effective December 31, 2023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5518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8" w:lineRule="exact"/>
        <w:rPr>
          <w:sz w:val="20"/>
          <w:szCs w:val="20"/>
          <w:color w:val="auto"/>
        </w:rPr>
      </w:pPr>
    </w:p>
    <w:p>
      <w:pPr>
        <w:ind w:left="270" w:right="120" w:hanging="270"/>
        <w:spacing w:after="0" w:line="191" w:lineRule="auto"/>
        <w:tabs>
          <w:tab w:leader="none" w:pos="270" w:val="left"/>
        </w:tabs>
        <w:numPr>
          <w:ilvl w:val="0"/>
          <w:numId w:val="155"/>
        </w:numPr>
        <w:rPr>
          <w:rFonts w:ascii="Arial" w:cs="Arial" w:eastAsia="Arial" w:hAnsi="Arial"/>
          <w:sz w:val="20"/>
          <w:szCs w:val="20"/>
          <w:color w:val="auto"/>
          <w:vertAlign w:val="superscript"/>
        </w:rPr>
      </w:pPr>
      <w:r>
        <w:rPr>
          <w:rFonts w:ascii="Arial" w:cs="Arial" w:eastAsia="Arial" w:hAnsi="Arial"/>
          <w:sz w:val="12"/>
          <w:szCs w:val="12"/>
          <w:color w:val="auto"/>
        </w:rPr>
        <w:t>In this circumstance, PSUs not earned as of such termination date have 12 additional months to be earned and, to the extent earned, will vest on the fifth anniversary of the grant date or the first anniversary of the termination, whichever comes first (with the Holding Period beginning upon such vesting). Unearned PSUs are forfeited at the end of the 12 months.</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87</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98" w:name="page99"/>
    <w:bookmarkEnd w:id="98"/>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Potential Severance Payments under Dr. Schleifer’s Employment Agreement</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vMerge w:val="restart"/>
          </w:tcPr>
          <w:p>
            <w:pPr>
              <w:jc w:val="right"/>
              <w:ind w:right="233"/>
              <w:spacing w:after="0"/>
              <w:rPr>
                <w:sz w:val="20"/>
                <w:szCs w:val="20"/>
                <w:color w:val="auto"/>
              </w:rPr>
            </w:pPr>
            <w:r>
              <w:rPr>
                <w:rFonts w:ascii="Arial" w:cs="Arial" w:eastAsia="Arial" w:hAnsi="Arial"/>
                <w:sz w:val="14"/>
                <w:szCs w:val="14"/>
                <w:color w:val="215AA8"/>
              </w:rPr>
              <w:t>Death</w:t>
            </w:r>
          </w:p>
        </w:tc>
        <w:tc>
          <w:tcPr>
            <w:tcW w:w="1300" w:type="dxa"/>
            <w:vAlign w:val="bottom"/>
          </w:tcPr>
          <w:p>
            <w:pPr>
              <w:spacing w:after="0"/>
              <w:rPr>
                <w:sz w:val="14"/>
                <w:szCs w:val="14"/>
                <w:color w:val="auto"/>
              </w:rPr>
            </w:pPr>
          </w:p>
        </w:tc>
        <w:tc>
          <w:tcPr>
            <w:tcW w:w="1460" w:type="dxa"/>
            <w:vAlign w:val="bottom"/>
          </w:tcPr>
          <w:p>
            <w:pPr>
              <w:jc w:val="right"/>
              <w:ind w:right="317"/>
              <w:spacing w:after="0"/>
              <w:rPr>
                <w:sz w:val="20"/>
                <w:szCs w:val="20"/>
                <w:color w:val="auto"/>
              </w:rPr>
            </w:pPr>
            <w:r>
              <w:rPr>
                <w:rFonts w:ascii="Arial" w:cs="Arial" w:eastAsia="Arial" w:hAnsi="Arial"/>
                <w:sz w:val="14"/>
                <w:szCs w:val="14"/>
                <w:color w:val="215AA8"/>
              </w:rPr>
              <w:t>Value of</w:t>
            </w:r>
          </w:p>
        </w:tc>
        <w:tc>
          <w:tcPr>
            <w:tcW w:w="1180" w:type="dxa"/>
            <w:vAlign w:val="bottom"/>
            <w:vMerge w:val="restart"/>
          </w:tcPr>
          <w:p>
            <w:pPr>
              <w:jc w:val="right"/>
              <w:ind w:right="233"/>
              <w:spacing w:after="0"/>
              <w:rPr>
                <w:sz w:val="20"/>
                <w:szCs w:val="20"/>
                <w:color w:val="auto"/>
              </w:rPr>
            </w:pPr>
            <w:r>
              <w:rPr>
                <w:rFonts w:ascii="Arial" w:cs="Arial" w:eastAsia="Arial" w:hAnsi="Arial"/>
                <w:sz w:val="14"/>
                <w:szCs w:val="14"/>
                <w:color w:val="215AA8"/>
              </w:rPr>
              <w:t>Cutback/</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40" w:type="dxa"/>
            <w:vAlign w:val="bottom"/>
          </w:tcPr>
          <w:p>
            <w:pPr>
              <w:spacing w:after="0"/>
              <w:rPr>
                <w:sz w:val="11"/>
                <w:szCs w:val="11"/>
                <w:color w:val="auto"/>
              </w:rPr>
            </w:pPr>
          </w:p>
        </w:tc>
        <w:tc>
          <w:tcPr>
            <w:tcW w:w="1320" w:type="dxa"/>
            <w:vAlign w:val="bottom"/>
          </w:tcPr>
          <w:p>
            <w:pPr>
              <w:jc w:val="right"/>
              <w:ind w:right="253"/>
              <w:spacing w:after="0" w:line="135" w:lineRule="exact"/>
              <w:rPr>
                <w:sz w:val="20"/>
                <w:szCs w:val="20"/>
                <w:color w:val="auto"/>
              </w:rPr>
            </w:pPr>
            <w:r>
              <w:rPr>
                <w:rFonts w:ascii="Arial" w:cs="Arial" w:eastAsia="Arial" w:hAnsi="Arial"/>
                <w:sz w:val="14"/>
                <w:szCs w:val="14"/>
                <w:color w:val="215AA8"/>
              </w:rPr>
              <w:t>Cash</w:t>
            </w:r>
          </w:p>
        </w:tc>
        <w:tc>
          <w:tcPr>
            <w:tcW w:w="1420" w:type="dxa"/>
            <w:vAlign w:val="bottom"/>
          </w:tcPr>
          <w:p>
            <w:pPr>
              <w:jc w:val="right"/>
              <w:ind w:right="334"/>
              <w:spacing w:after="0" w:line="135" w:lineRule="exact"/>
              <w:rPr>
                <w:sz w:val="20"/>
                <w:szCs w:val="20"/>
                <w:color w:val="auto"/>
              </w:rPr>
            </w:pPr>
            <w:r>
              <w:rPr>
                <w:rFonts w:ascii="Arial" w:cs="Arial" w:eastAsia="Arial" w:hAnsi="Arial"/>
                <w:sz w:val="14"/>
                <w:szCs w:val="14"/>
                <w:color w:val="215AA8"/>
              </w:rPr>
              <w:t>Benefits</w:t>
            </w:r>
          </w:p>
        </w:tc>
        <w:tc>
          <w:tcPr>
            <w:tcW w:w="1120" w:type="dxa"/>
            <w:vAlign w:val="bottom"/>
            <w:vMerge w:val="continue"/>
          </w:tcPr>
          <w:p>
            <w:pPr>
              <w:spacing w:after="0"/>
              <w:rPr>
                <w:sz w:val="11"/>
                <w:szCs w:val="11"/>
                <w:color w:val="auto"/>
              </w:rPr>
            </w:pPr>
          </w:p>
        </w:tc>
        <w:tc>
          <w:tcPr>
            <w:tcW w:w="1300" w:type="dxa"/>
            <w:vAlign w:val="bottom"/>
          </w:tcPr>
          <w:p>
            <w:pPr>
              <w:jc w:val="right"/>
              <w:ind w:right="373"/>
              <w:spacing w:after="0" w:line="135" w:lineRule="exact"/>
              <w:rPr>
                <w:sz w:val="20"/>
                <w:szCs w:val="20"/>
                <w:color w:val="auto"/>
              </w:rPr>
            </w:pPr>
            <w:r>
              <w:rPr>
                <w:rFonts w:ascii="Arial" w:cs="Arial" w:eastAsia="Arial" w:hAnsi="Arial"/>
                <w:sz w:val="14"/>
                <w:szCs w:val="14"/>
                <w:color w:val="215AA8"/>
              </w:rPr>
              <w:t>Disability</w:t>
            </w:r>
          </w:p>
        </w:tc>
        <w:tc>
          <w:tcPr>
            <w:tcW w:w="1460" w:type="dxa"/>
            <w:vAlign w:val="bottom"/>
          </w:tcPr>
          <w:p>
            <w:pPr>
              <w:jc w:val="right"/>
              <w:ind w:right="317"/>
              <w:spacing w:after="0" w:line="135" w:lineRule="exact"/>
              <w:rPr>
                <w:sz w:val="20"/>
                <w:szCs w:val="20"/>
                <w:color w:val="auto"/>
              </w:rPr>
            </w:pPr>
            <w:r>
              <w:rPr>
                <w:rFonts w:ascii="Arial" w:cs="Arial" w:eastAsia="Arial" w:hAnsi="Arial"/>
                <w:sz w:val="14"/>
                <w:szCs w:val="14"/>
                <w:color w:val="215AA8"/>
              </w:rPr>
              <w:t>Accelerated</w:t>
            </w:r>
          </w:p>
        </w:tc>
        <w:tc>
          <w:tcPr>
            <w:tcW w:w="1180" w:type="dxa"/>
            <w:vAlign w:val="bottom"/>
            <w:vMerge w:val="continue"/>
          </w:tcPr>
          <w:p>
            <w:pPr>
              <w:spacing w:after="0"/>
              <w:rPr>
                <w:sz w:val="11"/>
                <w:szCs w:val="11"/>
                <w:color w:val="auto"/>
              </w:rPr>
            </w:pPr>
          </w:p>
        </w:tc>
        <w:tc>
          <w:tcPr>
            <w:tcW w:w="1220" w:type="dxa"/>
            <w:vAlign w:val="bottom"/>
          </w:tcPr>
          <w:p>
            <w:pPr>
              <w:jc w:val="right"/>
              <w:ind w:right="93"/>
              <w:spacing w:after="0" w:line="135" w:lineRule="exact"/>
              <w:rPr>
                <w:sz w:val="20"/>
                <w:szCs w:val="20"/>
                <w:color w:val="auto"/>
              </w:rPr>
            </w:pPr>
            <w:r>
              <w:rPr>
                <w:rFonts w:ascii="Arial" w:cs="Arial" w:eastAsia="Arial" w:hAnsi="Arial"/>
                <w:sz w:val="14"/>
                <w:szCs w:val="14"/>
                <w:color w:val="215AA8"/>
              </w:rPr>
              <w:t>Total</w:t>
            </w:r>
          </w:p>
        </w:tc>
        <w:tc>
          <w:tcPr>
            <w:tcW w:w="0" w:type="dxa"/>
            <w:vAlign w:val="bottom"/>
          </w:tcPr>
          <w:p>
            <w:pPr>
              <w:spacing w:after="0"/>
              <w:rPr>
                <w:sz w:val="1"/>
                <w:szCs w:val="1"/>
                <w:color w:val="auto"/>
              </w:rPr>
            </w:pPr>
          </w:p>
        </w:tc>
      </w:tr>
      <w:tr>
        <w:trPr>
          <w:trHeight w:val="181"/>
        </w:trPr>
        <w:tc>
          <w:tcPr>
            <w:tcW w:w="2240" w:type="dxa"/>
            <w:vAlign w:val="bottom"/>
          </w:tcPr>
          <w:p>
            <w:pPr>
              <w:spacing w:after="0"/>
              <w:rPr>
                <w:sz w:val="15"/>
                <w:szCs w:val="15"/>
                <w:color w:val="auto"/>
              </w:rPr>
            </w:pPr>
          </w:p>
        </w:tc>
        <w:tc>
          <w:tcPr>
            <w:tcW w:w="1320" w:type="dxa"/>
            <w:vAlign w:val="bottom"/>
          </w:tcPr>
          <w:p>
            <w:pPr>
              <w:jc w:val="right"/>
              <w:ind w:right="253"/>
              <w:spacing w:after="0"/>
              <w:rPr>
                <w:sz w:val="20"/>
                <w:szCs w:val="20"/>
                <w:color w:val="auto"/>
              </w:rPr>
            </w:pPr>
            <w:r>
              <w:rPr>
                <w:rFonts w:ascii="Arial" w:cs="Arial" w:eastAsia="Arial" w:hAnsi="Arial"/>
                <w:sz w:val="14"/>
                <w:szCs w:val="14"/>
                <w:color w:val="215AA8"/>
              </w:rPr>
              <w:t>Severance</w:t>
            </w:r>
          </w:p>
        </w:tc>
        <w:tc>
          <w:tcPr>
            <w:tcW w:w="1420" w:type="dxa"/>
            <w:vAlign w:val="bottom"/>
          </w:tcPr>
          <w:p>
            <w:pPr>
              <w:jc w:val="right"/>
              <w:ind w:right="334"/>
              <w:spacing w:after="0"/>
              <w:rPr>
                <w:sz w:val="20"/>
                <w:szCs w:val="20"/>
                <w:color w:val="auto"/>
              </w:rPr>
            </w:pPr>
            <w:r>
              <w:rPr>
                <w:rFonts w:ascii="Arial" w:cs="Arial" w:eastAsia="Arial" w:hAnsi="Arial"/>
                <w:sz w:val="14"/>
                <w:szCs w:val="14"/>
                <w:color w:val="215AA8"/>
              </w:rPr>
              <w:t>Continuation</w:t>
            </w:r>
          </w:p>
        </w:tc>
        <w:tc>
          <w:tcPr>
            <w:tcW w:w="1120" w:type="dxa"/>
            <w:vAlign w:val="bottom"/>
          </w:tcPr>
          <w:p>
            <w:pPr>
              <w:jc w:val="right"/>
              <w:ind w:right="233"/>
              <w:spacing w:after="0" w:line="181" w:lineRule="exact"/>
              <w:rPr>
                <w:sz w:val="20"/>
                <w:szCs w:val="20"/>
                <w:color w:val="auto"/>
              </w:rPr>
            </w:pPr>
            <w:r>
              <w:rPr>
                <w:rFonts w:ascii="Arial" w:cs="Arial" w:eastAsia="Arial" w:hAnsi="Arial"/>
                <w:sz w:val="13"/>
                <w:szCs w:val="13"/>
                <w:color w:val="215AA8"/>
              </w:rPr>
              <w:t>Benefits</w:t>
            </w:r>
            <w:r>
              <w:rPr>
                <w:rFonts w:ascii="Arial" w:cs="Arial" w:eastAsia="Arial" w:hAnsi="Arial"/>
                <w:sz w:val="20"/>
                <w:szCs w:val="20"/>
                <w:color w:val="215AA8"/>
                <w:vertAlign w:val="superscript"/>
              </w:rPr>
              <w:t>4</w:t>
            </w:r>
          </w:p>
        </w:tc>
        <w:tc>
          <w:tcPr>
            <w:tcW w:w="1300" w:type="dxa"/>
            <w:vAlign w:val="bottom"/>
          </w:tcPr>
          <w:p>
            <w:pPr>
              <w:jc w:val="right"/>
              <w:ind w:right="373"/>
              <w:spacing w:after="0"/>
              <w:rPr>
                <w:sz w:val="20"/>
                <w:szCs w:val="20"/>
                <w:color w:val="auto"/>
              </w:rPr>
            </w:pPr>
            <w:r>
              <w:rPr>
                <w:rFonts w:ascii="Arial" w:cs="Arial" w:eastAsia="Arial" w:hAnsi="Arial"/>
                <w:sz w:val="14"/>
                <w:szCs w:val="14"/>
                <w:color w:val="215AA8"/>
              </w:rPr>
              <w:t>Benefits</w:t>
            </w:r>
          </w:p>
        </w:tc>
        <w:tc>
          <w:tcPr>
            <w:tcW w:w="1460" w:type="dxa"/>
            <w:vAlign w:val="bottom"/>
          </w:tcPr>
          <w:p>
            <w:pPr>
              <w:jc w:val="right"/>
              <w:ind w:right="317"/>
              <w:spacing w:after="0"/>
              <w:rPr>
                <w:sz w:val="20"/>
                <w:szCs w:val="20"/>
                <w:color w:val="auto"/>
              </w:rPr>
            </w:pPr>
            <w:r>
              <w:rPr>
                <w:rFonts w:ascii="Arial" w:cs="Arial" w:eastAsia="Arial" w:hAnsi="Arial"/>
                <w:sz w:val="14"/>
                <w:szCs w:val="14"/>
                <w:color w:val="215AA8"/>
              </w:rPr>
              <w:t>PSUs</w:t>
            </w:r>
          </w:p>
        </w:tc>
        <w:tc>
          <w:tcPr>
            <w:tcW w:w="1180" w:type="dxa"/>
            <w:vAlign w:val="bottom"/>
          </w:tcPr>
          <w:p>
            <w:pPr>
              <w:jc w:val="right"/>
              <w:ind w:right="233"/>
              <w:spacing w:after="0" w:line="181" w:lineRule="exact"/>
              <w:rPr>
                <w:sz w:val="20"/>
                <w:szCs w:val="20"/>
                <w:color w:val="auto"/>
              </w:rPr>
            </w:pPr>
            <w:r>
              <w:rPr>
                <w:rFonts w:ascii="Arial" w:cs="Arial" w:eastAsia="Arial" w:hAnsi="Arial"/>
                <w:sz w:val="13"/>
                <w:szCs w:val="13"/>
                <w:color w:val="215AA8"/>
              </w:rPr>
              <w:t>Gross-up</w:t>
            </w:r>
            <w:r>
              <w:rPr>
                <w:rFonts w:ascii="Arial" w:cs="Arial" w:eastAsia="Arial" w:hAnsi="Arial"/>
                <w:sz w:val="20"/>
                <w:szCs w:val="20"/>
                <w:color w:val="215AA8"/>
                <w:vertAlign w:val="superscript"/>
              </w:rPr>
              <w:t>6</w:t>
            </w:r>
          </w:p>
        </w:tc>
        <w:tc>
          <w:tcPr>
            <w:tcW w:w="1220" w:type="dxa"/>
            <w:vAlign w:val="bottom"/>
          </w:tcPr>
          <w:p>
            <w:pPr>
              <w:jc w:val="right"/>
              <w:ind w:right="93"/>
              <w:spacing w:after="0"/>
              <w:rPr>
                <w:sz w:val="20"/>
                <w:szCs w:val="20"/>
                <w:color w:val="auto"/>
              </w:rPr>
            </w:pPr>
            <w:r>
              <w:rPr>
                <w:rFonts w:ascii="Arial" w:cs="Arial" w:eastAsia="Arial" w:hAnsi="Arial"/>
                <w:sz w:val="14"/>
                <w:szCs w:val="14"/>
                <w:color w:val="215AA8"/>
              </w:rPr>
              <w:t>Amount</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215AA8"/>
            </w:tcBorders>
          </w:tcPr>
          <w:p>
            <w:pPr>
              <w:spacing w:after="0"/>
              <w:rPr>
                <w:sz w:val="14"/>
                <w:szCs w:val="14"/>
                <w:color w:val="auto"/>
              </w:rPr>
            </w:pPr>
          </w:p>
        </w:tc>
        <w:tc>
          <w:tcPr>
            <w:tcW w:w="1320" w:type="dxa"/>
            <w:vAlign w:val="bottom"/>
            <w:tcBorders>
              <w:bottom w:val="single" w:sz="8" w:color="215AA8"/>
            </w:tcBorders>
          </w:tcPr>
          <w:p>
            <w:pPr>
              <w:jc w:val="right"/>
              <w:ind w:right="253"/>
              <w:spacing w:after="0"/>
              <w:rPr>
                <w:sz w:val="20"/>
                <w:szCs w:val="20"/>
                <w:color w:val="auto"/>
              </w:rPr>
            </w:pPr>
            <w:r>
              <w:rPr>
                <w:rFonts w:ascii="Arial" w:cs="Arial" w:eastAsia="Arial" w:hAnsi="Arial"/>
                <w:sz w:val="14"/>
                <w:szCs w:val="14"/>
                <w:color w:val="215AA8"/>
              </w:rPr>
              <w:t>($)</w:t>
            </w:r>
          </w:p>
        </w:tc>
        <w:tc>
          <w:tcPr>
            <w:tcW w:w="1420" w:type="dxa"/>
            <w:vAlign w:val="bottom"/>
            <w:tcBorders>
              <w:bottom w:val="single" w:sz="8" w:color="215AA8"/>
            </w:tcBorders>
          </w:tcPr>
          <w:p>
            <w:pPr>
              <w:jc w:val="right"/>
              <w:ind w:right="334"/>
              <w:spacing w:after="0"/>
              <w:rPr>
                <w:sz w:val="20"/>
                <w:szCs w:val="20"/>
                <w:color w:val="auto"/>
              </w:rPr>
            </w:pPr>
            <w:r>
              <w:rPr>
                <w:rFonts w:ascii="Arial" w:cs="Arial" w:eastAsia="Arial" w:hAnsi="Arial"/>
                <w:sz w:val="14"/>
                <w:szCs w:val="14"/>
                <w:color w:val="215AA8"/>
              </w:rPr>
              <w:t>($)</w:t>
            </w:r>
          </w:p>
        </w:tc>
        <w:tc>
          <w:tcPr>
            <w:tcW w:w="1120" w:type="dxa"/>
            <w:vAlign w:val="bottom"/>
            <w:tcBorders>
              <w:bottom w:val="single" w:sz="8" w:color="215AA8"/>
            </w:tcBorders>
          </w:tcPr>
          <w:p>
            <w:pPr>
              <w:jc w:val="right"/>
              <w:ind w:right="233"/>
              <w:spacing w:after="0"/>
              <w:rPr>
                <w:sz w:val="20"/>
                <w:szCs w:val="20"/>
                <w:color w:val="auto"/>
              </w:rPr>
            </w:pPr>
            <w:r>
              <w:rPr>
                <w:rFonts w:ascii="Arial" w:cs="Arial" w:eastAsia="Arial" w:hAnsi="Arial"/>
                <w:sz w:val="14"/>
                <w:szCs w:val="14"/>
                <w:color w:val="215AA8"/>
              </w:rPr>
              <w:t>($)</w:t>
            </w:r>
          </w:p>
        </w:tc>
        <w:tc>
          <w:tcPr>
            <w:tcW w:w="1300" w:type="dxa"/>
            <w:vAlign w:val="bottom"/>
            <w:tcBorders>
              <w:bottom w:val="single" w:sz="8" w:color="215AA8"/>
            </w:tcBorders>
          </w:tcPr>
          <w:p>
            <w:pPr>
              <w:jc w:val="right"/>
              <w:ind w:right="373"/>
              <w:spacing w:after="0"/>
              <w:rPr>
                <w:sz w:val="20"/>
                <w:szCs w:val="20"/>
                <w:color w:val="auto"/>
              </w:rPr>
            </w:pPr>
            <w:r>
              <w:rPr>
                <w:rFonts w:ascii="Arial" w:cs="Arial" w:eastAsia="Arial" w:hAnsi="Arial"/>
                <w:sz w:val="14"/>
                <w:szCs w:val="14"/>
                <w:color w:val="215AA8"/>
              </w:rPr>
              <w:t>($)</w:t>
            </w:r>
          </w:p>
        </w:tc>
        <w:tc>
          <w:tcPr>
            <w:tcW w:w="1460" w:type="dxa"/>
            <w:vAlign w:val="bottom"/>
            <w:tcBorders>
              <w:bottom w:val="single" w:sz="8" w:color="215AA8"/>
            </w:tcBorders>
          </w:tcPr>
          <w:p>
            <w:pPr>
              <w:jc w:val="right"/>
              <w:ind w:right="317"/>
              <w:spacing w:after="0"/>
              <w:rPr>
                <w:sz w:val="20"/>
                <w:szCs w:val="20"/>
                <w:color w:val="auto"/>
              </w:rPr>
            </w:pPr>
            <w:r>
              <w:rPr>
                <w:rFonts w:ascii="Arial" w:cs="Arial" w:eastAsia="Arial" w:hAnsi="Arial"/>
                <w:sz w:val="14"/>
                <w:szCs w:val="14"/>
                <w:color w:val="215AA8"/>
              </w:rPr>
              <w:t>($)</w:t>
            </w:r>
          </w:p>
        </w:tc>
        <w:tc>
          <w:tcPr>
            <w:tcW w:w="1180" w:type="dxa"/>
            <w:vAlign w:val="bottom"/>
            <w:tcBorders>
              <w:bottom w:val="single" w:sz="8" w:color="215AA8"/>
            </w:tcBorders>
          </w:tcPr>
          <w:p>
            <w:pPr>
              <w:jc w:val="right"/>
              <w:ind w:right="233"/>
              <w:spacing w:after="0"/>
              <w:rPr>
                <w:sz w:val="20"/>
                <w:szCs w:val="20"/>
                <w:color w:val="auto"/>
              </w:rPr>
            </w:pPr>
            <w:r>
              <w:rPr>
                <w:rFonts w:ascii="Arial" w:cs="Arial" w:eastAsia="Arial" w:hAnsi="Arial"/>
                <w:sz w:val="14"/>
                <w:szCs w:val="14"/>
                <w:color w:val="215AA8"/>
              </w:rPr>
              <w:t>($)</w:t>
            </w:r>
          </w:p>
        </w:tc>
        <w:tc>
          <w:tcPr>
            <w:tcW w:w="1220" w:type="dxa"/>
            <w:vAlign w:val="bottom"/>
            <w:tcBorders>
              <w:bottom w:val="single" w:sz="8" w:color="215AA8"/>
            </w:tcBorders>
          </w:tcPr>
          <w:p>
            <w:pPr>
              <w:jc w:val="right"/>
              <w:ind w:right="93"/>
              <w:spacing w:after="0"/>
              <w:rPr>
                <w:sz w:val="20"/>
                <w:szCs w:val="20"/>
                <w:color w:val="auto"/>
              </w:rPr>
            </w:pPr>
            <w:r>
              <w:rPr>
                <w:rFonts w:ascii="Arial" w:cs="Arial" w:eastAsia="Arial" w:hAnsi="Arial"/>
                <w:sz w:val="14"/>
                <w:szCs w:val="14"/>
                <w:color w:val="215AA8"/>
              </w:rPr>
              <w:t>($)</w:t>
            </w:r>
          </w:p>
        </w:tc>
        <w:tc>
          <w:tcPr>
            <w:tcW w:w="0" w:type="dxa"/>
            <w:vAlign w:val="bottom"/>
          </w:tcPr>
          <w:p>
            <w:pPr>
              <w:spacing w:after="0"/>
              <w:rPr>
                <w:sz w:val="1"/>
                <w:szCs w:val="1"/>
                <w:color w:val="auto"/>
              </w:rPr>
            </w:pPr>
          </w:p>
        </w:tc>
      </w:tr>
      <w:tr>
        <w:trPr>
          <w:trHeight w:val="147"/>
        </w:trPr>
        <w:tc>
          <w:tcPr>
            <w:tcW w:w="2240" w:type="dxa"/>
            <w:vAlign w:val="bottom"/>
          </w:tcPr>
          <w:p>
            <w:pPr>
              <w:ind w:left="40"/>
              <w:spacing w:after="0" w:line="147" w:lineRule="exact"/>
              <w:rPr>
                <w:sz w:val="20"/>
                <w:szCs w:val="20"/>
                <w:color w:val="auto"/>
              </w:rPr>
            </w:pPr>
            <w:r>
              <w:rPr>
                <w:rFonts w:ascii="Arial" w:cs="Arial" w:eastAsia="Arial" w:hAnsi="Arial"/>
                <w:sz w:val="14"/>
                <w:szCs w:val="14"/>
                <w:color w:val="215AA8"/>
              </w:rPr>
              <w:t>Involuntary Termination</w:t>
            </w: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240" w:type="dxa"/>
            <w:vAlign w:val="bottom"/>
            <w:tcBorders>
              <w:bottom w:val="single" w:sz="8" w:color="949599"/>
            </w:tcBorders>
          </w:tcPr>
          <w:p>
            <w:pPr>
              <w:ind w:left="40"/>
              <w:spacing w:after="0" w:line="202" w:lineRule="exact"/>
              <w:rPr>
                <w:sz w:val="20"/>
                <w:szCs w:val="20"/>
                <w:color w:val="auto"/>
              </w:rPr>
            </w:pPr>
            <w:r>
              <w:rPr>
                <w:rFonts w:ascii="Arial" w:cs="Arial" w:eastAsia="Arial" w:hAnsi="Arial"/>
                <w:sz w:val="14"/>
                <w:szCs w:val="14"/>
                <w:color w:val="215AA8"/>
              </w:rPr>
              <w:t>Following a Change of Control</w:t>
            </w:r>
            <w:r>
              <w:rPr>
                <w:rFonts w:ascii="Arial" w:cs="Arial" w:eastAsia="Arial" w:hAnsi="Arial"/>
                <w:sz w:val="22"/>
                <w:szCs w:val="22"/>
                <w:color w:val="215AA8"/>
                <w:vertAlign w:val="superscript"/>
              </w:rPr>
              <w:t>1</w:t>
            </w:r>
          </w:p>
        </w:tc>
        <w:tc>
          <w:tcPr>
            <w:tcW w:w="1320" w:type="dxa"/>
            <w:vAlign w:val="bottom"/>
            <w:tcBorders>
              <w:bottom w:val="single" w:sz="8" w:color="949599"/>
            </w:tcBorders>
          </w:tcPr>
          <w:p>
            <w:pPr>
              <w:jc w:val="right"/>
              <w:ind w:right="193"/>
              <w:spacing w:after="0" w:line="202" w:lineRule="exact"/>
              <w:rPr>
                <w:sz w:val="20"/>
                <w:szCs w:val="20"/>
                <w:color w:val="auto"/>
              </w:rPr>
            </w:pPr>
            <w:r>
              <w:rPr>
                <w:rFonts w:ascii="Arial" w:cs="Arial" w:eastAsia="Arial" w:hAnsi="Arial"/>
                <w:sz w:val="14"/>
                <w:szCs w:val="14"/>
                <w:color w:val="auto"/>
              </w:rPr>
              <w:t>17,355,892</w:t>
            </w:r>
            <w:r>
              <w:rPr>
                <w:rFonts w:ascii="Arial" w:cs="Arial" w:eastAsia="Arial" w:hAnsi="Arial"/>
                <w:sz w:val="22"/>
                <w:szCs w:val="22"/>
                <w:color w:val="auto"/>
                <w:vertAlign w:val="superscript"/>
              </w:rPr>
              <w:t>2</w:t>
            </w:r>
          </w:p>
        </w:tc>
        <w:tc>
          <w:tcPr>
            <w:tcW w:w="1420" w:type="dxa"/>
            <w:vAlign w:val="bottom"/>
            <w:tcBorders>
              <w:bottom w:val="single" w:sz="8" w:color="949599"/>
            </w:tcBorders>
          </w:tcPr>
          <w:p>
            <w:pPr>
              <w:ind w:left="540"/>
              <w:spacing w:after="0" w:line="202" w:lineRule="exact"/>
              <w:rPr>
                <w:sz w:val="20"/>
                <w:szCs w:val="20"/>
                <w:color w:val="auto"/>
              </w:rPr>
            </w:pPr>
            <w:r>
              <w:rPr>
                <w:rFonts w:ascii="Arial" w:cs="Arial" w:eastAsia="Arial" w:hAnsi="Arial"/>
                <w:sz w:val="14"/>
                <w:szCs w:val="14"/>
                <w:color w:val="auto"/>
              </w:rPr>
              <w:t>335,513</w:t>
            </w:r>
            <w:r>
              <w:rPr>
                <w:rFonts w:ascii="Arial" w:cs="Arial" w:eastAsia="Arial" w:hAnsi="Arial"/>
                <w:sz w:val="22"/>
                <w:szCs w:val="22"/>
                <w:color w:val="auto"/>
                <w:vertAlign w:val="superscript"/>
              </w:rPr>
              <w:t>3</w:t>
            </w:r>
          </w:p>
        </w:tc>
        <w:tc>
          <w:tcPr>
            <w:tcW w:w="1120" w:type="dxa"/>
            <w:vAlign w:val="bottom"/>
            <w:tcBorders>
              <w:bottom w:val="single" w:sz="8" w:color="949599"/>
            </w:tcBorders>
          </w:tcPr>
          <w:p>
            <w:pPr>
              <w:jc w:val="right"/>
              <w:ind w:right="233"/>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49599"/>
            </w:tcBorders>
          </w:tcPr>
          <w:p>
            <w:pPr>
              <w:jc w:val="right"/>
              <w:ind w:right="373"/>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949599"/>
            </w:tcBorders>
          </w:tcPr>
          <w:p>
            <w:pPr>
              <w:jc w:val="right"/>
              <w:ind w:right="257"/>
              <w:spacing w:after="0" w:line="202" w:lineRule="exact"/>
              <w:rPr>
                <w:sz w:val="20"/>
                <w:szCs w:val="20"/>
                <w:color w:val="auto"/>
              </w:rPr>
            </w:pPr>
            <w:r>
              <w:rPr>
                <w:rFonts w:ascii="Arial" w:cs="Arial" w:eastAsia="Arial" w:hAnsi="Arial"/>
                <w:sz w:val="14"/>
                <w:szCs w:val="14"/>
                <w:color w:val="auto"/>
              </w:rPr>
              <w:t>306,971,138</w:t>
            </w:r>
            <w:r>
              <w:rPr>
                <w:rFonts w:ascii="Arial" w:cs="Arial" w:eastAsia="Arial" w:hAnsi="Arial"/>
                <w:sz w:val="22"/>
                <w:szCs w:val="22"/>
                <w:color w:val="auto"/>
                <w:vertAlign w:val="superscript"/>
              </w:rPr>
              <w:t>5</w:t>
            </w:r>
          </w:p>
        </w:tc>
        <w:tc>
          <w:tcPr>
            <w:tcW w:w="1180" w:type="dxa"/>
            <w:vAlign w:val="bottom"/>
            <w:tcBorders>
              <w:bottom w:val="single" w:sz="8" w:color="949599"/>
            </w:tcBorders>
          </w:tcPr>
          <w:p>
            <w:pPr>
              <w:jc w:val="right"/>
              <w:ind w:right="23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949599"/>
            </w:tcBorders>
          </w:tcPr>
          <w:p>
            <w:pPr>
              <w:jc w:val="right"/>
              <w:ind w:right="93"/>
              <w:spacing w:after="0"/>
              <w:rPr>
                <w:sz w:val="20"/>
                <w:szCs w:val="20"/>
                <w:color w:val="auto"/>
              </w:rPr>
            </w:pPr>
            <w:r>
              <w:rPr>
                <w:rFonts w:ascii="Arial" w:cs="Arial" w:eastAsia="Arial" w:hAnsi="Arial"/>
                <w:sz w:val="14"/>
                <w:szCs w:val="14"/>
                <w:color w:val="auto"/>
              </w:rPr>
              <w:t>324,662,543</w:t>
            </w:r>
          </w:p>
        </w:tc>
        <w:tc>
          <w:tcPr>
            <w:tcW w:w="0" w:type="dxa"/>
            <w:vAlign w:val="bottom"/>
          </w:tcPr>
          <w:p>
            <w:pPr>
              <w:spacing w:after="0"/>
              <w:rPr>
                <w:sz w:val="1"/>
                <w:szCs w:val="1"/>
                <w:color w:val="auto"/>
              </w:rPr>
            </w:pPr>
          </w:p>
        </w:tc>
      </w:tr>
      <w:tr>
        <w:trPr>
          <w:trHeight w:val="183"/>
        </w:trPr>
        <w:tc>
          <w:tcPr>
            <w:tcW w:w="2240" w:type="dxa"/>
            <w:vAlign w:val="bottom"/>
            <w:tcBorders>
              <w:bottom w:val="single" w:sz="8" w:color="949599"/>
            </w:tcBorders>
            <w:shd w:val="clear" w:color="auto" w:fill="ECECED"/>
          </w:tcPr>
          <w:p>
            <w:pPr>
              <w:ind w:left="40"/>
              <w:spacing w:after="0"/>
              <w:rPr>
                <w:sz w:val="20"/>
                <w:szCs w:val="20"/>
                <w:color w:val="auto"/>
              </w:rPr>
            </w:pPr>
            <w:r>
              <w:rPr>
                <w:rFonts w:ascii="Arial" w:cs="Arial" w:eastAsia="Arial" w:hAnsi="Arial"/>
                <w:sz w:val="14"/>
                <w:szCs w:val="14"/>
                <w:color w:val="215AA8"/>
              </w:rPr>
              <w:t>Involuntary Termination</w:t>
            </w:r>
          </w:p>
        </w:tc>
        <w:tc>
          <w:tcPr>
            <w:tcW w:w="1320" w:type="dxa"/>
            <w:vAlign w:val="bottom"/>
            <w:tcBorders>
              <w:bottom w:val="single" w:sz="8" w:color="949599"/>
            </w:tcBorders>
            <w:shd w:val="clear" w:color="auto" w:fill="ECECED"/>
          </w:tcPr>
          <w:p>
            <w:pPr>
              <w:jc w:val="right"/>
              <w:ind w:right="193"/>
              <w:spacing w:after="0" w:line="183" w:lineRule="exact"/>
              <w:rPr>
                <w:sz w:val="20"/>
                <w:szCs w:val="20"/>
                <w:color w:val="auto"/>
              </w:rPr>
            </w:pPr>
            <w:r>
              <w:rPr>
                <w:rFonts w:ascii="Arial" w:cs="Arial" w:eastAsia="Arial" w:hAnsi="Arial"/>
                <w:sz w:val="13"/>
                <w:szCs w:val="13"/>
                <w:color w:val="auto"/>
              </w:rPr>
              <w:t>7,231,622</w:t>
            </w:r>
            <w:r>
              <w:rPr>
                <w:rFonts w:ascii="Arial" w:cs="Arial" w:eastAsia="Arial" w:hAnsi="Arial"/>
                <w:sz w:val="21"/>
                <w:szCs w:val="21"/>
                <w:color w:val="auto"/>
                <w:vertAlign w:val="superscript"/>
              </w:rPr>
              <w:t>7</w:t>
            </w:r>
          </w:p>
        </w:tc>
        <w:tc>
          <w:tcPr>
            <w:tcW w:w="1420" w:type="dxa"/>
            <w:vAlign w:val="bottom"/>
            <w:tcBorders>
              <w:bottom w:val="single" w:sz="8" w:color="949599"/>
            </w:tcBorders>
            <w:shd w:val="clear" w:color="auto" w:fill="ECECED"/>
          </w:tcPr>
          <w:p>
            <w:pPr>
              <w:ind w:left="540"/>
              <w:spacing w:after="0" w:line="183" w:lineRule="exact"/>
              <w:rPr>
                <w:sz w:val="20"/>
                <w:szCs w:val="20"/>
                <w:color w:val="auto"/>
              </w:rPr>
            </w:pPr>
            <w:r>
              <w:rPr>
                <w:rFonts w:ascii="Arial" w:cs="Arial" w:eastAsia="Arial" w:hAnsi="Arial"/>
                <w:sz w:val="13"/>
                <w:szCs w:val="13"/>
                <w:color w:val="auto"/>
              </w:rPr>
              <w:t>160,929</w:t>
            </w:r>
            <w:r>
              <w:rPr>
                <w:rFonts w:ascii="Arial" w:cs="Arial" w:eastAsia="Arial" w:hAnsi="Arial"/>
                <w:sz w:val="21"/>
                <w:szCs w:val="21"/>
                <w:color w:val="auto"/>
                <w:vertAlign w:val="superscript"/>
              </w:rPr>
              <w:t>8</w:t>
            </w:r>
          </w:p>
        </w:tc>
        <w:tc>
          <w:tcPr>
            <w:tcW w:w="1120" w:type="dxa"/>
            <w:vAlign w:val="bottom"/>
            <w:tcBorders>
              <w:bottom w:val="single" w:sz="8" w:color="949599"/>
            </w:tcBorders>
            <w:shd w:val="clear" w:color="auto" w:fill="ECECED"/>
          </w:tcPr>
          <w:p>
            <w:pPr>
              <w:jc w:val="right"/>
              <w:ind w:right="233"/>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49599"/>
            </w:tcBorders>
            <w:shd w:val="clear" w:color="auto" w:fill="ECECED"/>
          </w:tcPr>
          <w:p>
            <w:pPr>
              <w:jc w:val="right"/>
              <w:ind w:right="373"/>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949599"/>
            </w:tcBorders>
            <w:shd w:val="clear" w:color="auto" w:fill="ECECED"/>
          </w:tcPr>
          <w:p>
            <w:pPr>
              <w:jc w:val="right"/>
              <w:ind w:right="257"/>
              <w:spacing w:after="0" w:line="183" w:lineRule="exact"/>
              <w:rPr>
                <w:sz w:val="20"/>
                <w:szCs w:val="20"/>
                <w:color w:val="auto"/>
              </w:rPr>
            </w:pPr>
            <w:r>
              <w:rPr>
                <w:rFonts w:ascii="Arial" w:cs="Arial" w:eastAsia="Arial" w:hAnsi="Arial"/>
                <w:sz w:val="13"/>
                <w:szCs w:val="13"/>
                <w:color w:val="auto"/>
              </w:rPr>
              <w:t>279,514,036</w:t>
            </w:r>
            <w:r>
              <w:rPr>
                <w:rFonts w:ascii="Arial" w:cs="Arial" w:eastAsia="Arial" w:hAnsi="Arial"/>
                <w:sz w:val="21"/>
                <w:szCs w:val="21"/>
                <w:color w:val="auto"/>
                <w:vertAlign w:val="superscript"/>
              </w:rPr>
              <w:t>9</w:t>
            </w:r>
          </w:p>
        </w:tc>
        <w:tc>
          <w:tcPr>
            <w:tcW w:w="1180" w:type="dxa"/>
            <w:vAlign w:val="bottom"/>
            <w:tcBorders>
              <w:bottom w:val="single" w:sz="8" w:color="949599"/>
            </w:tcBorders>
            <w:shd w:val="clear" w:color="auto" w:fill="ECECED"/>
          </w:tcPr>
          <w:p>
            <w:pPr>
              <w:jc w:val="right"/>
              <w:ind w:right="23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949599"/>
            </w:tcBorders>
            <w:shd w:val="clear" w:color="auto" w:fill="ECECED"/>
          </w:tcPr>
          <w:p>
            <w:pPr>
              <w:jc w:val="right"/>
              <w:ind w:right="93"/>
              <w:spacing w:after="0"/>
              <w:rPr>
                <w:sz w:val="20"/>
                <w:szCs w:val="20"/>
                <w:color w:val="auto"/>
              </w:rPr>
            </w:pPr>
            <w:r>
              <w:rPr>
                <w:rFonts w:ascii="Arial" w:cs="Arial" w:eastAsia="Arial" w:hAnsi="Arial"/>
                <w:sz w:val="14"/>
                <w:szCs w:val="14"/>
                <w:color w:val="auto"/>
              </w:rPr>
              <w:t>286,906,587</w:t>
            </w:r>
          </w:p>
        </w:tc>
        <w:tc>
          <w:tcPr>
            <w:tcW w:w="0" w:type="dxa"/>
            <w:vAlign w:val="bottom"/>
          </w:tcPr>
          <w:p>
            <w:pPr>
              <w:spacing w:after="0"/>
              <w:rPr>
                <w:sz w:val="1"/>
                <w:szCs w:val="1"/>
                <w:color w:val="auto"/>
              </w:rPr>
            </w:pPr>
          </w:p>
        </w:tc>
      </w:tr>
      <w:tr>
        <w:trPr>
          <w:trHeight w:val="183"/>
        </w:trPr>
        <w:tc>
          <w:tcPr>
            <w:tcW w:w="2240" w:type="dxa"/>
            <w:vAlign w:val="bottom"/>
            <w:tcBorders>
              <w:bottom w:val="single" w:sz="8" w:color="949599"/>
            </w:tcBorders>
          </w:tcPr>
          <w:p>
            <w:pPr>
              <w:ind w:left="40"/>
              <w:spacing w:after="0"/>
              <w:rPr>
                <w:sz w:val="20"/>
                <w:szCs w:val="20"/>
                <w:color w:val="auto"/>
              </w:rPr>
            </w:pPr>
            <w:r>
              <w:rPr>
                <w:rFonts w:ascii="Arial" w:cs="Arial" w:eastAsia="Arial" w:hAnsi="Arial"/>
                <w:sz w:val="14"/>
                <w:szCs w:val="14"/>
                <w:color w:val="215AA8"/>
              </w:rPr>
              <w:t>Death</w:t>
            </w:r>
          </w:p>
        </w:tc>
        <w:tc>
          <w:tcPr>
            <w:tcW w:w="1320" w:type="dxa"/>
            <w:vAlign w:val="bottom"/>
            <w:tcBorders>
              <w:bottom w:val="single" w:sz="8" w:color="949599"/>
            </w:tcBorders>
          </w:tcPr>
          <w:p>
            <w:pPr>
              <w:jc w:val="right"/>
              <w:ind w:right="253"/>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949599"/>
            </w:tcBorders>
          </w:tcPr>
          <w:p>
            <w:pPr>
              <w:ind w:left="540"/>
              <w:spacing w:after="0" w:line="183" w:lineRule="exact"/>
              <w:rPr>
                <w:sz w:val="20"/>
                <w:szCs w:val="20"/>
                <w:color w:val="auto"/>
              </w:rPr>
            </w:pPr>
            <w:r>
              <w:rPr>
                <w:rFonts w:ascii="Arial" w:cs="Arial" w:eastAsia="Arial" w:hAnsi="Arial"/>
                <w:sz w:val="13"/>
                <w:szCs w:val="13"/>
                <w:color w:val="auto"/>
              </w:rPr>
              <w:t>129,843</w:t>
            </w:r>
            <w:r>
              <w:rPr>
                <w:rFonts w:ascii="Arial" w:cs="Arial" w:eastAsia="Arial" w:hAnsi="Arial"/>
                <w:sz w:val="21"/>
                <w:szCs w:val="21"/>
                <w:color w:val="auto"/>
                <w:vertAlign w:val="superscript"/>
              </w:rPr>
              <w:t>10</w:t>
            </w:r>
          </w:p>
        </w:tc>
        <w:tc>
          <w:tcPr>
            <w:tcW w:w="1120" w:type="dxa"/>
            <w:vAlign w:val="bottom"/>
            <w:tcBorders>
              <w:bottom w:val="single" w:sz="8" w:color="949599"/>
            </w:tcBorders>
          </w:tcPr>
          <w:p>
            <w:pPr>
              <w:jc w:val="right"/>
              <w:ind w:right="233"/>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49599"/>
            </w:tcBorders>
          </w:tcPr>
          <w:p>
            <w:pPr>
              <w:jc w:val="right"/>
              <w:ind w:right="373"/>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949599"/>
            </w:tcBorders>
          </w:tcPr>
          <w:p>
            <w:pPr>
              <w:ind w:left="940"/>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11</w:t>
            </w:r>
          </w:p>
        </w:tc>
        <w:tc>
          <w:tcPr>
            <w:tcW w:w="1180" w:type="dxa"/>
            <w:vAlign w:val="bottom"/>
            <w:tcBorders>
              <w:bottom w:val="single" w:sz="8" w:color="949599"/>
            </w:tcBorders>
          </w:tcPr>
          <w:p>
            <w:pPr>
              <w:jc w:val="right"/>
              <w:ind w:right="23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949599"/>
            </w:tcBorders>
          </w:tcPr>
          <w:p>
            <w:pPr>
              <w:jc w:val="right"/>
              <w:spacing w:after="0" w:line="183" w:lineRule="exact"/>
              <w:rPr>
                <w:sz w:val="20"/>
                <w:szCs w:val="20"/>
                <w:color w:val="auto"/>
              </w:rPr>
            </w:pPr>
            <w:r>
              <w:rPr>
                <w:rFonts w:ascii="Arial" w:cs="Arial" w:eastAsia="Arial" w:hAnsi="Arial"/>
                <w:sz w:val="13"/>
                <w:szCs w:val="13"/>
                <w:color w:val="auto"/>
              </w:rPr>
              <w:t>129,843</w:t>
            </w:r>
            <w:r>
              <w:rPr>
                <w:rFonts w:ascii="Arial" w:cs="Arial" w:eastAsia="Arial" w:hAnsi="Arial"/>
                <w:sz w:val="21"/>
                <w:szCs w:val="21"/>
                <w:color w:val="auto"/>
                <w:vertAlign w:val="superscript"/>
              </w:rPr>
              <w:t>11</w:t>
            </w:r>
          </w:p>
        </w:tc>
        <w:tc>
          <w:tcPr>
            <w:tcW w:w="0" w:type="dxa"/>
            <w:vAlign w:val="bottom"/>
          </w:tcPr>
          <w:p>
            <w:pPr>
              <w:spacing w:after="0"/>
              <w:rPr>
                <w:sz w:val="1"/>
                <w:szCs w:val="1"/>
                <w:color w:val="auto"/>
              </w:rPr>
            </w:pPr>
          </w:p>
        </w:tc>
      </w:tr>
      <w:tr>
        <w:trPr>
          <w:trHeight w:val="185"/>
        </w:trPr>
        <w:tc>
          <w:tcPr>
            <w:tcW w:w="2240" w:type="dxa"/>
            <w:vAlign w:val="bottom"/>
            <w:tcBorders>
              <w:bottom w:val="single" w:sz="8" w:color="215AA8"/>
            </w:tcBorders>
            <w:shd w:val="clear" w:color="auto" w:fill="ECECED"/>
          </w:tcPr>
          <w:p>
            <w:pPr>
              <w:ind w:left="40"/>
              <w:spacing w:after="0"/>
              <w:rPr>
                <w:sz w:val="20"/>
                <w:szCs w:val="20"/>
                <w:color w:val="auto"/>
              </w:rPr>
            </w:pPr>
            <w:r>
              <w:rPr>
                <w:rFonts w:ascii="Arial" w:cs="Arial" w:eastAsia="Arial" w:hAnsi="Arial"/>
                <w:sz w:val="14"/>
                <w:szCs w:val="14"/>
                <w:color w:val="215AA8"/>
              </w:rPr>
              <w:t>Disability</w:t>
            </w:r>
          </w:p>
        </w:tc>
        <w:tc>
          <w:tcPr>
            <w:tcW w:w="1320" w:type="dxa"/>
            <w:vAlign w:val="bottom"/>
            <w:tcBorders>
              <w:bottom w:val="single" w:sz="8" w:color="215AA8"/>
            </w:tcBorders>
            <w:shd w:val="clear" w:color="auto" w:fill="ECECED"/>
          </w:tcPr>
          <w:p>
            <w:pPr>
              <w:jc w:val="right"/>
              <w:ind w:right="253"/>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215AA8"/>
            </w:tcBorders>
            <w:shd w:val="clear" w:color="auto" w:fill="ECECED"/>
          </w:tcPr>
          <w:p>
            <w:pPr>
              <w:ind w:left="540"/>
              <w:spacing w:after="0" w:line="183" w:lineRule="exact"/>
              <w:rPr>
                <w:sz w:val="20"/>
                <w:szCs w:val="20"/>
                <w:color w:val="auto"/>
              </w:rPr>
            </w:pPr>
            <w:r>
              <w:rPr>
                <w:rFonts w:ascii="Arial" w:cs="Arial" w:eastAsia="Arial" w:hAnsi="Arial"/>
                <w:sz w:val="13"/>
                <w:szCs w:val="13"/>
                <w:color w:val="auto"/>
              </w:rPr>
              <w:t>160,929</w:t>
            </w:r>
            <w:r>
              <w:rPr>
                <w:rFonts w:ascii="Arial" w:cs="Arial" w:eastAsia="Arial" w:hAnsi="Arial"/>
                <w:sz w:val="21"/>
                <w:szCs w:val="21"/>
                <w:color w:val="auto"/>
                <w:vertAlign w:val="superscript"/>
              </w:rPr>
              <w:t>8</w:t>
            </w:r>
          </w:p>
        </w:tc>
        <w:tc>
          <w:tcPr>
            <w:tcW w:w="1120" w:type="dxa"/>
            <w:vAlign w:val="bottom"/>
            <w:tcBorders>
              <w:bottom w:val="single" w:sz="8" w:color="215AA8"/>
            </w:tcBorders>
            <w:shd w:val="clear" w:color="auto" w:fill="ECECED"/>
          </w:tcPr>
          <w:p>
            <w:pPr>
              <w:jc w:val="right"/>
              <w:ind w:right="233"/>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215AA8"/>
            </w:tcBorders>
            <w:shd w:val="clear" w:color="auto" w:fill="ECECED"/>
          </w:tcPr>
          <w:p>
            <w:pPr>
              <w:jc w:val="right"/>
              <w:ind w:right="253"/>
              <w:spacing w:after="0" w:line="183" w:lineRule="exact"/>
              <w:rPr>
                <w:sz w:val="20"/>
                <w:szCs w:val="20"/>
                <w:color w:val="auto"/>
              </w:rPr>
            </w:pPr>
            <w:r>
              <w:rPr>
                <w:rFonts w:ascii="Arial" w:cs="Arial" w:eastAsia="Arial" w:hAnsi="Arial"/>
                <w:sz w:val="13"/>
                <w:szCs w:val="13"/>
                <w:color w:val="auto"/>
              </w:rPr>
              <w:t>984,593</w:t>
            </w:r>
            <w:r>
              <w:rPr>
                <w:rFonts w:ascii="Arial" w:cs="Arial" w:eastAsia="Arial" w:hAnsi="Arial"/>
                <w:sz w:val="21"/>
                <w:szCs w:val="21"/>
                <w:color w:val="auto"/>
                <w:vertAlign w:val="superscript"/>
              </w:rPr>
              <w:t>12</w:t>
            </w:r>
          </w:p>
        </w:tc>
        <w:tc>
          <w:tcPr>
            <w:tcW w:w="1460" w:type="dxa"/>
            <w:vAlign w:val="bottom"/>
            <w:tcBorders>
              <w:bottom w:val="single" w:sz="8" w:color="215AA8"/>
            </w:tcBorders>
            <w:shd w:val="clear" w:color="auto" w:fill="ECECED"/>
          </w:tcPr>
          <w:p>
            <w:pPr>
              <w:ind w:left="940"/>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13</w:t>
            </w:r>
          </w:p>
        </w:tc>
        <w:tc>
          <w:tcPr>
            <w:tcW w:w="1180" w:type="dxa"/>
            <w:vAlign w:val="bottom"/>
            <w:tcBorders>
              <w:bottom w:val="single" w:sz="8" w:color="215AA8"/>
            </w:tcBorders>
            <w:shd w:val="clear" w:color="auto" w:fill="ECECED"/>
          </w:tcPr>
          <w:p>
            <w:pPr>
              <w:jc w:val="right"/>
              <w:ind w:right="23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215AA8"/>
            </w:tcBorders>
            <w:shd w:val="clear" w:color="auto" w:fill="ECECED"/>
          </w:tcPr>
          <w:p>
            <w:pPr>
              <w:jc w:val="right"/>
              <w:ind w:right="93"/>
              <w:spacing w:after="0"/>
              <w:rPr>
                <w:sz w:val="20"/>
                <w:szCs w:val="20"/>
                <w:color w:val="auto"/>
              </w:rPr>
            </w:pPr>
            <w:r>
              <w:rPr>
                <w:rFonts w:ascii="Arial" w:cs="Arial" w:eastAsia="Arial" w:hAnsi="Arial"/>
                <w:sz w:val="14"/>
                <w:szCs w:val="14"/>
                <w:color w:val="auto"/>
              </w:rPr>
              <w:t>1,145,522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70" w:right="220" w:hanging="270"/>
        <w:spacing w:after="0" w:line="219" w:lineRule="auto"/>
        <w:tabs>
          <w:tab w:leader="none" w:pos="270" w:val="left"/>
        </w:tabs>
        <w:numPr>
          <w:ilvl w:val="0"/>
          <w:numId w:val="156"/>
        </w:numPr>
        <w:rPr>
          <w:rFonts w:ascii="Arial" w:cs="Arial" w:eastAsia="Arial" w:hAnsi="Arial"/>
          <w:sz w:val="20"/>
          <w:szCs w:val="20"/>
          <w:color w:val="auto"/>
          <w:vertAlign w:val="superscript"/>
        </w:rPr>
      </w:pPr>
      <w:r>
        <w:rPr>
          <w:rFonts w:ascii="Arial" w:cs="Arial" w:eastAsia="Arial" w:hAnsi="Arial"/>
          <w:sz w:val="12"/>
          <w:szCs w:val="12"/>
          <w:color w:val="auto"/>
        </w:rPr>
        <w:t>For purposes of these calculations, (i) we used Dr. Schleifer’s 2023 base salary and the annual cash incentives paid to Dr. Schleifer for performance in 2020, 2021, and 2022, respectively; (ii) we assumed that Dr. Schleifer received his annual cash incentive that was earned in 2023 and paid in 2024 (described in the Summary Compensation Table above); (iii) we assumed a 8.0% annual increase in medical premiums, 4% annual increase in dental premiums, and no increase in annual disability or life insurance premiums; (iv) we assumed that the medical and dental insurance benefits received in 2024, 2025, and 2026 would be taxable and that Dr. Schleifer would be eligible for a tax gross-up for these benefits under the terms of his employment agreement; (v) although Dr. Schleifer’s employment agreement provides for restrictive covenants, including a six-month non-compete obligation, no specific value has been ascribed to these covenants solely for purposes of assessing excise tax liabilities and potential cutbacks; and (vi) although certain payments to Dr. Schleifer would be subject to potential delays upon separation of service under Section 409A, we did not attempt to determine which, if any, payments would be delayed or revise the values to reflect any such delay.</w:t>
      </w:r>
    </w:p>
    <w:p>
      <w:pPr>
        <w:spacing w:after="0" w:line="25" w:lineRule="exact"/>
        <w:rPr>
          <w:sz w:val="20"/>
          <w:szCs w:val="20"/>
          <w:color w:val="auto"/>
        </w:rPr>
      </w:pPr>
    </w:p>
    <w:p>
      <w:pPr>
        <w:ind w:left="270" w:right="120" w:hanging="270"/>
        <w:spacing w:after="0" w:line="191" w:lineRule="auto"/>
        <w:tabs>
          <w:tab w:leader="none" w:pos="270" w:val="left"/>
        </w:tabs>
        <w:numPr>
          <w:ilvl w:val="0"/>
          <w:numId w:val="157"/>
        </w:numPr>
        <w:rPr>
          <w:rFonts w:ascii="Arial" w:cs="Arial" w:eastAsia="Arial" w:hAnsi="Arial"/>
          <w:sz w:val="20"/>
          <w:szCs w:val="20"/>
          <w:color w:val="auto"/>
          <w:vertAlign w:val="superscript"/>
        </w:rPr>
      </w:pPr>
      <w:r>
        <w:rPr>
          <w:rFonts w:ascii="Arial" w:cs="Arial" w:eastAsia="Arial" w:hAnsi="Arial"/>
          <w:sz w:val="12"/>
          <w:szCs w:val="12"/>
          <w:color w:val="auto"/>
        </w:rPr>
        <w:t>Equal to three times the sum of (a) Dr. Schleifer’s 2023 base salary and (b) the average annual cash incentive paid to Dr. Schleifer for performance in the three completed years prior to the termination date. For purposes of this calculation, we used Dr. Schleifer’s annual cash incentives for performance in 2020, 2021, and 2022.</w:t>
      </w:r>
    </w:p>
    <w:p>
      <w:pPr>
        <w:ind w:left="270" w:hanging="270"/>
        <w:spacing w:after="0" w:line="188" w:lineRule="auto"/>
        <w:tabs>
          <w:tab w:leader="none" w:pos="270" w:val="left"/>
        </w:tabs>
        <w:numPr>
          <w:ilvl w:val="0"/>
          <w:numId w:val="158"/>
        </w:numPr>
        <w:rPr>
          <w:rFonts w:ascii="Arial" w:cs="Arial" w:eastAsia="Arial" w:hAnsi="Arial"/>
          <w:sz w:val="20"/>
          <w:szCs w:val="20"/>
          <w:color w:val="auto"/>
          <w:vertAlign w:val="superscript"/>
        </w:rPr>
      </w:pPr>
      <w:r>
        <w:rPr>
          <w:rFonts w:ascii="Arial" w:cs="Arial" w:eastAsia="Arial" w:hAnsi="Arial"/>
          <w:sz w:val="12"/>
          <w:szCs w:val="12"/>
          <w:color w:val="auto"/>
        </w:rPr>
        <w:t>Equal to the estimated cost of providing Dr. Schleifer and his dependents medical, dental, and life insurance benefits for 36 months.</w:t>
      </w:r>
    </w:p>
    <w:p>
      <w:pPr>
        <w:ind w:left="270" w:hanging="270"/>
        <w:spacing w:after="0" w:line="188" w:lineRule="auto"/>
        <w:tabs>
          <w:tab w:leader="none" w:pos="270" w:val="left"/>
        </w:tabs>
        <w:numPr>
          <w:ilvl w:val="0"/>
          <w:numId w:val="159"/>
        </w:numPr>
        <w:rPr>
          <w:rFonts w:ascii="Arial" w:cs="Arial" w:eastAsia="Arial" w:hAnsi="Arial"/>
          <w:sz w:val="20"/>
          <w:szCs w:val="20"/>
          <w:color w:val="auto"/>
          <w:vertAlign w:val="superscript"/>
        </w:rPr>
      </w:pPr>
      <w:r>
        <w:rPr>
          <w:rFonts w:ascii="Arial" w:cs="Arial" w:eastAsia="Arial" w:hAnsi="Arial"/>
          <w:sz w:val="12"/>
          <w:szCs w:val="12"/>
          <w:color w:val="auto"/>
        </w:rPr>
        <w:t>We maintain $1 million of term life insurance covering Dr. Schleifer payable to his designated beneficiary.</w:t>
      </w:r>
    </w:p>
    <w:p>
      <w:pPr>
        <w:spacing w:after="0" w:line="30" w:lineRule="exact"/>
        <w:rPr>
          <w:sz w:val="20"/>
          <w:szCs w:val="20"/>
          <w:color w:val="auto"/>
        </w:rPr>
      </w:pPr>
    </w:p>
    <w:p>
      <w:pPr>
        <w:ind w:left="270" w:right="80" w:hanging="270"/>
        <w:spacing w:after="0" w:line="199" w:lineRule="auto"/>
        <w:tabs>
          <w:tab w:leader="none" w:pos="270" w:val="left"/>
        </w:tabs>
        <w:numPr>
          <w:ilvl w:val="0"/>
          <w:numId w:val="160"/>
        </w:numPr>
        <w:rPr>
          <w:rFonts w:ascii="Arial" w:cs="Arial" w:eastAsia="Arial" w:hAnsi="Arial"/>
          <w:sz w:val="20"/>
          <w:szCs w:val="20"/>
          <w:color w:val="auto"/>
          <w:vertAlign w:val="superscript"/>
        </w:rPr>
      </w:pPr>
      <w:r>
        <w:rPr>
          <w:rFonts w:ascii="Arial" w:cs="Arial" w:eastAsia="Arial" w:hAnsi="Arial"/>
          <w:sz w:val="12"/>
          <w:szCs w:val="12"/>
          <w:color w:val="auto"/>
        </w:rPr>
        <w:t>Equal to the value of 349,510 PSUs from his 2020 grant that would have been earned had the applicable vesting determination been made on December 31, 2023 in respect of performance for the period from the date of grant to December 31, 2023. This calculation assumes a change of control transaction price equal to the closing sales price per share of the Company’s common stock on the Nasdaq Global Select Market on December 29, 2023.</w:t>
      </w:r>
    </w:p>
    <w:p>
      <w:pPr>
        <w:spacing w:after="0" w:line="23" w:lineRule="exact"/>
        <w:rPr>
          <w:sz w:val="20"/>
          <w:szCs w:val="20"/>
          <w:color w:val="auto"/>
        </w:rPr>
      </w:pPr>
    </w:p>
    <w:p>
      <w:pPr>
        <w:ind w:left="270" w:right="40" w:hanging="270"/>
        <w:spacing w:after="0" w:line="210" w:lineRule="auto"/>
        <w:tabs>
          <w:tab w:leader="none" w:pos="270" w:val="left"/>
        </w:tabs>
        <w:numPr>
          <w:ilvl w:val="0"/>
          <w:numId w:val="161"/>
        </w:numPr>
        <w:rPr>
          <w:rFonts w:ascii="Arial" w:cs="Arial" w:eastAsia="Arial" w:hAnsi="Arial"/>
          <w:sz w:val="20"/>
          <w:szCs w:val="20"/>
          <w:color w:val="auto"/>
          <w:vertAlign w:val="superscript"/>
        </w:rPr>
      </w:pPr>
      <w:r>
        <w:rPr>
          <w:rFonts w:ascii="Arial" w:cs="Arial" w:eastAsia="Arial" w:hAnsi="Arial"/>
          <w:sz w:val="12"/>
          <w:szCs w:val="12"/>
          <w:color w:val="auto"/>
        </w:rPr>
        <w:t>Under Dr. Schleifer’s employment agreement, if payments due in connection with a change of control are subject to excise taxes under Section 280G of the Internal Revenue Code, we will cut back the payments if the excise tax can be eliminated by reducing his cash severance payments and benefits by less than 10%. Otherwise, we will pay him an additional “gross up” amount so that his after-tax benefits are the same as though no excise tax had been applied. We have determined that Dr. Schleifer would not have been subject to excise taxes if he had been terminated on December 31, 2023 as a result of a change of control.</w:t>
      </w:r>
    </w:p>
    <w:p>
      <w:pPr>
        <w:spacing w:after="0" w:line="22" w:lineRule="exact"/>
        <w:rPr>
          <w:sz w:val="20"/>
          <w:szCs w:val="20"/>
          <w:color w:val="auto"/>
        </w:rPr>
      </w:pPr>
    </w:p>
    <w:p>
      <w:pPr>
        <w:ind w:left="270" w:right="160" w:hanging="270"/>
        <w:spacing w:after="0" w:line="191" w:lineRule="auto"/>
        <w:tabs>
          <w:tab w:leader="none" w:pos="270" w:val="left"/>
        </w:tabs>
        <w:numPr>
          <w:ilvl w:val="0"/>
          <w:numId w:val="162"/>
        </w:numPr>
        <w:rPr>
          <w:rFonts w:ascii="Arial" w:cs="Arial" w:eastAsia="Arial" w:hAnsi="Arial"/>
          <w:sz w:val="20"/>
          <w:szCs w:val="20"/>
          <w:color w:val="auto"/>
          <w:vertAlign w:val="superscript"/>
        </w:rPr>
      </w:pPr>
      <w:r>
        <w:rPr>
          <w:rFonts w:ascii="Arial" w:cs="Arial" w:eastAsia="Arial" w:hAnsi="Arial"/>
          <w:sz w:val="12"/>
          <w:szCs w:val="12"/>
          <w:color w:val="auto"/>
        </w:rPr>
        <w:t>Equal to 1.25 times the sum of (a) Dr. Schleifer’s 2023 base salary and (b) the average annual cash incentive paid to Dr. Schleifer for performance in the three completed years prior to the termination date. For purposes of this calculation, we used Dr. Schleifer’s year-end cash incentive awards for performance in 2020, 2021, and 2022.</w:t>
      </w:r>
    </w:p>
    <w:p>
      <w:pPr>
        <w:ind w:left="270" w:hanging="270"/>
        <w:spacing w:after="0" w:line="188" w:lineRule="auto"/>
        <w:tabs>
          <w:tab w:leader="none" w:pos="270" w:val="left"/>
        </w:tabs>
        <w:numPr>
          <w:ilvl w:val="0"/>
          <w:numId w:val="163"/>
        </w:numPr>
        <w:rPr>
          <w:rFonts w:ascii="Arial" w:cs="Arial" w:eastAsia="Arial" w:hAnsi="Arial"/>
          <w:sz w:val="20"/>
          <w:szCs w:val="20"/>
          <w:color w:val="auto"/>
          <w:vertAlign w:val="superscript"/>
        </w:rPr>
      </w:pPr>
      <w:r>
        <w:rPr>
          <w:rFonts w:ascii="Arial" w:cs="Arial" w:eastAsia="Arial" w:hAnsi="Arial"/>
          <w:sz w:val="12"/>
          <w:szCs w:val="12"/>
          <w:color w:val="auto"/>
        </w:rPr>
        <w:t>Equal to the estimated cost of providing Dr. Schleifer and his dependents medical, dental, and life insurance benefits for 18 months.</w:t>
      </w:r>
    </w:p>
    <w:p>
      <w:pPr>
        <w:spacing w:after="0" w:line="30" w:lineRule="exact"/>
        <w:rPr>
          <w:sz w:val="20"/>
          <w:szCs w:val="20"/>
          <w:color w:val="auto"/>
        </w:rPr>
      </w:pPr>
    </w:p>
    <w:p>
      <w:pPr>
        <w:ind w:left="270" w:right="60" w:hanging="270"/>
        <w:spacing w:after="0" w:line="199" w:lineRule="auto"/>
        <w:tabs>
          <w:tab w:leader="none" w:pos="270" w:val="left"/>
        </w:tabs>
        <w:numPr>
          <w:ilvl w:val="0"/>
          <w:numId w:val="164"/>
        </w:numPr>
        <w:rPr>
          <w:rFonts w:ascii="Arial" w:cs="Arial" w:eastAsia="Arial" w:hAnsi="Arial"/>
          <w:sz w:val="20"/>
          <w:szCs w:val="20"/>
          <w:color w:val="auto"/>
          <w:vertAlign w:val="superscript"/>
        </w:rPr>
      </w:pPr>
      <w:r>
        <w:rPr>
          <w:rFonts w:ascii="Arial" w:cs="Arial" w:eastAsia="Arial" w:hAnsi="Arial"/>
          <w:sz w:val="12"/>
          <w:szCs w:val="12"/>
          <w:color w:val="auto"/>
        </w:rPr>
        <w:t>Equal to the value of 318,248 PSUs from Dr. Schleifer’s 2020 grant that would have been earned had a vesting determination been made on December 31, 2023 in respect of performance for the period from the date of grant to December 31, 2023 (and disregarding that PSUs not earned as of such termination date would have 12 additional months to be earned under the terms of the applicable award agreement). In addition, under such a scenario, Dr. Schleifer would be entitled to exercise all of his outstanding stock options throughout the remainder of their original term.</w:t>
      </w:r>
    </w:p>
    <w:p>
      <w:pPr>
        <w:ind w:left="270" w:hanging="270"/>
        <w:spacing w:after="0" w:line="189" w:lineRule="auto"/>
        <w:tabs>
          <w:tab w:leader="none" w:pos="270" w:val="left"/>
        </w:tabs>
        <w:numPr>
          <w:ilvl w:val="0"/>
          <w:numId w:val="165"/>
        </w:numPr>
        <w:rPr>
          <w:rFonts w:ascii="Arial" w:cs="Arial" w:eastAsia="Arial" w:hAnsi="Arial"/>
          <w:sz w:val="20"/>
          <w:szCs w:val="20"/>
          <w:color w:val="auto"/>
          <w:vertAlign w:val="superscript"/>
        </w:rPr>
      </w:pPr>
      <w:r>
        <w:rPr>
          <w:rFonts w:ascii="Arial" w:cs="Arial" w:eastAsia="Arial" w:hAnsi="Arial"/>
          <w:sz w:val="12"/>
          <w:szCs w:val="12"/>
          <w:color w:val="auto"/>
        </w:rPr>
        <w:t>Equal to the estimated cost of providing Dr. Schleifer’s dependents medical and dental benefits for 18 months.</w:t>
      </w:r>
    </w:p>
    <w:p>
      <w:pPr>
        <w:spacing w:after="0" w:line="34" w:lineRule="exact"/>
        <w:rPr>
          <w:rFonts w:ascii="Arial" w:cs="Arial" w:eastAsia="Arial" w:hAnsi="Arial"/>
          <w:sz w:val="20"/>
          <w:szCs w:val="20"/>
          <w:color w:val="auto"/>
          <w:vertAlign w:val="superscript"/>
        </w:rPr>
      </w:pPr>
    </w:p>
    <w:p>
      <w:pPr>
        <w:ind w:left="270" w:hanging="270"/>
        <w:spacing w:after="0" w:line="205" w:lineRule="auto"/>
        <w:tabs>
          <w:tab w:leader="none" w:pos="270" w:val="left"/>
        </w:tabs>
        <w:numPr>
          <w:ilvl w:val="0"/>
          <w:numId w:val="165"/>
        </w:numPr>
        <w:rPr>
          <w:rFonts w:ascii="Arial" w:cs="Arial" w:eastAsia="Arial" w:hAnsi="Arial"/>
          <w:sz w:val="20"/>
          <w:szCs w:val="20"/>
          <w:color w:val="auto"/>
          <w:vertAlign w:val="superscript"/>
        </w:rPr>
      </w:pPr>
      <w:r>
        <w:rPr>
          <w:rFonts w:ascii="Arial" w:cs="Arial" w:eastAsia="Arial" w:hAnsi="Arial"/>
          <w:sz w:val="12"/>
          <w:szCs w:val="12"/>
          <w:color w:val="auto"/>
        </w:rPr>
        <w:t>As discussed in “Compensation Dashboard—Additional Compensation Information—Potential Severance Payments,” unvested stock options held by any employee (including Dr. Schleifer) become immediately exercisable upon his or her death. However, since all of Dr. Schleifer’s options are currently exercisable, there is no additional value for stock option acceleration. In addition, any PSUs held by Dr. Schleifer will remain outstanding upon his death, and any vesting or forfeiture of such PSUs will be determined following the completion of the applicable performance period as it otherwise would have been determined if he remained employed by the Company for the duration of such performance period.</w:t>
      </w:r>
    </w:p>
    <w:p>
      <w:pPr>
        <w:spacing w:after="0" w:line="23" w:lineRule="exact"/>
        <w:rPr>
          <w:rFonts w:ascii="Arial" w:cs="Arial" w:eastAsia="Arial" w:hAnsi="Arial"/>
          <w:sz w:val="20"/>
          <w:szCs w:val="20"/>
          <w:color w:val="auto"/>
          <w:vertAlign w:val="superscript"/>
        </w:rPr>
      </w:pPr>
    </w:p>
    <w:p>
      <w:pPr>
        <w:ind w:left="270" w:right="80" w:hanging="270"/>
        <w:spacing w:after="0" w:line="191" w:lineRule="auto"/>
        <w:tabs>
          <w:tab w:leader="none" w:pos="270" w:val="left"/>
        </w:tabs>
        <w:numPr>
          <w:ilvl w:val="0"/>
          <w:numId w:val="165"/>
        </w:numPr>
        <w:rPr>
          <w:rFonts w:ascii="Arial" w:cs="Arial" w:eastAsia="Arial" w:hAnsi="Arial"/>
          <w:sz w:val="20"/>
          <w:szCs w:val="20"/>
          <w:color w:val="auto"/>
          <w:vertAlign w:val="superscript"/>
        </w:rPr>
      </w:pPr>
      <w:r>
        <w:rPr>
          <w:rFonts w:ascii="Arial" w:cs="Arial" w:eastAsia="Arial" w:hAnsi="Arial"/>
          <w:sz w:val="12"/>
          <w:szCs w:val="12"/>
          <w:color w:val="auto"/>
        </w:rPr>
        <w:t>Represents 35% of Dr. Schleifer’s 2023 salary over a period of 18 months. We have assumed long-term disability coverage exists pursuant to Dr. Schleifer’s employment agreement for the remaining 65% of Dr. Schleifer’s salary.</w:t>
      </w:r>
    </w:p>
    <w:p>
      <w:pPr>
        <w:spacing w:after="0" w:line="22" w:lineRule="exact"/>
        <w:rPr>
          <w:rFonts w:ascii="Arial" w:cs="Arial" w:eastAsia="Arial" w:hAnsi="Arial"/>
          <w:sz w:val="20"/>
          <w:szCs w:val="20"/>
          <w:color w:val="auto"/>
          <w:vertAlign w:val="superscript"/>
        </w:rPr>
      </w:pPr>
    </w:p>
    <w:p>
      <w:pPr>
        <w:ind w:left="270" w:right="80" w:hanging="270"/>
        <w:spacing w:after="0" w:line="203" w:lineRule="auto"/>
        <w:tabs>
          <w:tab w:leader="none" w:pos="270" w:val="left"/>
        </w:tabs>
        <w:numPr>
          <w:ilvl w:val="0"/>
          <w:numId w:val="165"/>
        </w:numPr>
        <w:rPr>
          <w:rFonts w:ascii="Arial" w:cs="Arial" w:eastAsia="Arial" w:hAnsi="Arial"/>
          <w:sz w:val="20"/>
          <w:szCs w:val="20"/>
          <w:color w:val="auto"/>
          <w:vertAlign w:val="superscript"/>
        </w:rPr>
      </w:pPr>
      <w:r>
        <w:rPr>
          <w:rFonts w:ascii="Arial" w:cs="Arial" w:eastAsia="Arial" w:hAnsi="Arial"/>
          <w:sz w:val="12"/>
          <w:szCs w:val="12"/>
          <w:color w:val="auto"/>
        </w:rPr>
        <w:t>In the case of a termination of Dr. Schleifer’s employment due to disability, (i) any unvested stock options would continue to vest in accordance with the terms of the applicable award grant and he would be entitled to exercise all outstanding stock options throughout their original term, and (ii) any PSUs held by Dr. Schleifer would remain outstanding (with vesting and forfeiture determined in the manner set forth in the applicable award agreement).</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88</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99" w:name="page100"/>
    <w:bookmarkEnd w:id="99"/>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34"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D60058"/>
        </w:rPr>
        <w:t>Change in Control Severance Plan</w:t>
      </w:r>
    </w:p>
    <w:p>
      <w:pPr>
        <w:spacing w:after="0" w:line="79" w:lineRule="exact"/>
        <w:rPr>
          <w:sz w:val="20"/>
          <w:szCs w:val="20"/>
          <w:color w:val="auto"/>
        </w:rPr>
      </w:pPr>
    </w:p>
    <w:p>
      <w:pPr>
        <w:ind w:left="10"/>
        <w:spacing w:after="0"/>
        <w:rPr>
          <w:sz w:val="20"/>
          <w:szCs w:val="20"/>
          <w:color w:val="auto"/>
        </w:rPr>
      </w:pPr>
      <w:r>
        <w:rPr>
          <w:rFonts w:ascii="Arial" w:cs="Arial" w:eastAsia="Arial" w:hAnsi="Arial"/>
          <w:sz w:val="12"/>
          <w:szCs w:val="12"/>
          <w:color w:val="auto"/>
        </w:rPr>
        <w:t>Each of the NEOs, other than our CEO, participates in our change in control severance plan that was adopted by the board of directors on January 20, 2006. The purposes of the plan are</w:t>
      </w:r>
    </w:p>
    <w:p>
      <w:pPr>
        <w:spacing w:after="0" w:line="32" w:lineRule="exact"/>
        <w:rPr>
          <w:sz w:val="20"/>
          <w:szCs w:val="20"/>
          <w:color w:val="auto"/>
        </w:rPr>
      </w:pPr>
    </w:p>
    <w:p>
      <w:pPr>
        <w:ind w:left="10" w:right="180" w:hanging="10"/>
        <w:spacing w:after="0" w:line="238" w:lineRule="auto"/>
        <w:tabs>
          <w:tab w:leader="none" w:pos="168"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w:t>
      </w:r>
    </w:p>
    <w:p>
      <w:pPr>
        <w:spacing w:after="0" w:line="139" w:lineRule="exact"/>
        <w:rPr>
          <w:sz w:val="20"/>
          <w:szCs w:val="20"/>
          <w:color w:val="auto"/>
        </w:rPr>
      </w:pPr>
    </w:p>
    <w:p>
      <w:pPr>
        <w:ind w:left="10" w:right="20"/>
        <w:spacing w:after="0" w:line="238" w:lineRule="auto"/>
        <w:rPr>
          <w:sz w:val="20"/>
          <w:szCs w:val="20"/>
          <w:color w:val="auto"/>
        </w:rPr>
      </w:pPr>
      <w:r>
        <w:rPr>
          <w:rFonts w:ascii="Arial" w:cs="Arial" w:eastAsia="Arial" w:hAnsi="Arial"/>
          <w:sz w:val="14"/>
          <w:szCs w:val="14"/>
          <w:color w:val="auto"/>
        </w:rPr>
        <w:t>Under the plan, each participant is entitled to receive a cash severance payment in an amount equal to one, or, in designated cases, including with respect to the NEOs other than Dr. Schleifer, two times the sum of the participant’s annual base salary and his or her average annual cash incentive over the prior three years if, within two years after or 180 days before a change in control, either the participant resigns his or her employment for Good Reason (as defined in the plan) or the participant’s employment is terminated by the Company for any reason other than Cause (as defined in the plan). This amount will be paid in a lump-sum severance payment. A participant so terminated is also entitled to receive a pro-rata annual cash incentive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spacing w:after="0" w:line="143" w:lineRule="exact"/>
        <w:rPr>
          <w:sz w:val="20"/>
          <w:szCs w:val="20"/>
          <w:color w:val="auto"/>
        </w:rPr>
      </w:pPr>
    </w:p>
    <w:p>
      <w:pPr>
        <w:ind w:left="10" w:right="40"/>
        <w:spacing w:after="0" w:line="238" w:lineRule="auto"/>
        <w:rPr>
          <w:sz w:val="20"/>
          <w:szCs w:val="20"/>
          <w:color w:val="auto"/>
        </w:rPr>
      </w:pPr>
      <w:r>
        <w:rPr>
          <w:rFonts w:ascii="Arial" w:cs="Arial" w:eastAsia="Arial" w:hAnsi="Arial"/>
          <w:sz w:val="14"/>
          <w:szCs w:val="14"/>
          <w:color w:val="auto"/>
        </w:rPr>
        <w:t>In the event that a plan participant resigns his or her employment for Good Reason (which generally conforms to the definition in Section 409A), or the participant’s employment is terminated by the Company for any reason other than Cause, in either case within two years after or 180 days before a change in control, then, unless otherwise provided in an award agreement,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30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143" w:lineRule="exact"/>
        <w:rPr>
          <w:sz w:val="20"/>
          <w:szCs w:val="20"/>
          <w:color w:val="auto"/>
        </w:rPr>
      </w:pPr>
    </w:p>
    <w:p>
      <w:pPr>
        <w:jc w:val="both"/>
        <w:ind w:left="10" w:right="140"/>
        <w:spacing w:after="0" w:line="246" w:lineRule="auto"/>
        <w:rPr>
          <w:sz w:val="20"/>
          <w:szCs w:val="20"/>
          <w:color w:val="auto"/>
        </w:rPr>
      </w:pPr>
      <w:r>
        <w:rPr>
          <w:rFonts w:ascii="Arial" w:cs="Arial" w:eastAsia="Arial" w:hAnsi="Arial"/>
          <w:sz w:val="14"/>
          <w:szCs w:val="14"/>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135" w:lineRule="exact"/>
        <w:rPr>
          <w:sz w:val="20"/>
          <w:szCs w:val="20"/>
          <w:color w:val="auto"/>
        </w:rPr>
      </w:pPr>
    </w:p>
    <w:p>
      <w:pPr>
        <w:jc w:val="both"/>
        <w:ind w:left="10" w:right="180"/>
        <w:spacing w:after="0" w:line="246" w:lineRule="auto"/>
        <w:rPr>
          <w:sz w:val="20"/>
          <w:szCs w:val="20"/>
          <w:color w:val="auto"/>
        </w:rPr>
      </w:pPr>
      <w:r>
        <w:rPr>
          <w:rFonts w:ascii="Arial" w:cs="Arial" w:eastAsia="Arial" w:hAnsi="Arial"/>
          <w:sz w:val="14"/>
          <w:szCs w:val="14"/>
          <w:color w:val="auto"/>
        </w:rPr>
        <w:t>The following table shows the potential payments to our NEOs (other than our CEO), upon their hypothetical termination (other than for Cause) or resignation for Good Reason, in the two years following, or the 180 days prior to, a change in control. The information in the table below assumes an effective termination or resignation date of December 31, 2023 and is further based on the assumptions set forth in the footnotes to the table; actual values and amounts may differ from those presented below.</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89</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00" w:name="page101"/>
    <w:bookmarkEnd w:id="100"/>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Potential Payments under Change in Control Severance Plan</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jc w:val="right"/>
              <w:ind w:right="72"/>
              <w:spacing w:after="0"/>
              <w:rPr>
                <w:sz w:val="20"/>
                <w:szCs w:val="20"/>
                <w:color w:val="auto"/>
              </w:rPr>
            </w:pPr>
            <w:r>
              <w:rPr>
                <w:rFonts w:ascii="Arial" w:cs="Arial" w:eastAsia="Arial" w:hAnsi="Arial"/>
                <w:sz w:val="14"/>
                <w:szCs w:val="14"/>
                <w:color w:val="215AA8"/>
              </w:rPr>
              <w:t>Value of</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8"/>
        </w:trPr>
        <w:tc>
          <w:tcPr>
            <w:tcW w:w="42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Accelerated Stock</w:t>
            </w: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7"/>
        </w:trPr>
        <w:tc>
          <w:tcPr>
            <w:tcW w:w="4220" w:type="dxa"/>
            <w:vAlign w:val="bottom"/>
          </w:tcPr>
          <w:p>
            <w:pPr>
              <w:spacing w:after="0"/>
              <w:rPr>
                <w:sz w:val="13"/>
                <w:szCs w:val="13"/>
                <w:color w:val="auto"/>
              </w:rPr>
            </w:pPr>
          </w:p>
        </w:tc>
        <w:tc>
          <w:tcPr>
            <w:tcW w:w="274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Cash</w:t>
            </w:r>
          </w:p>
        </w:tc>
        <w:tc>
          <w:tcPr>
            <w:tcW w:w="1120" w:type="dxa"/>
            <w:vAlign w:val="bottom"/>
          </w:tcPr>
          <w:p>
            <w:pPr>
              <w:jc w:val="right"/>
              <w:ind w:right="92"/>
              <w:spacing w:after="0" w:line="157" w:lineRule="exact"/>
              <w:rPr>
                <w:sz w:val="20"/>
                <w:szCs w:val="20"/>
                <w:color w:val="auto"/>
              </w:rPr>
            </w:pPr>
            <w:r>
              <w:rPr>
                <w:rFonts w:ascii="Arial" w:cs="Arial" w:eastAsia="Arial" w:hAnsi="Arial"/>
                <w:sz w:val="14"/>
                <w:szCs w:val="14"/>
                <w:color w:val="215AA8"/>
              </w:rPr>
              <w:t>Benefits</w:t>
            </w:r>
          </w:p>
        </w:tc>
        <w:tc>
          <w:tcPr>
            <w:tcW w:w="1380" w:type="dxa"/>
            <w:vAlign w:val="bottom"/>
          </w:tcPr>
          <w:p>
            <w:pPr>
              <w:jc w:val="right"/>
              <w:ind w:right="72"/>
              <w:spacing w:after="0" w:line="157" w:lineRule="exact"/>
              <w:rPr>
                <w:sz w:val="20"/>
                <w:szCs w:val="20"/>
                <w:color w:val="auto"/>
              </w:rPr>
            </w:pPr>
            <w:r>
              <w:rPr>
                <w:rFonts w:ascii="Arial" w:cs="Arial" w:eastAsia="Arial" w:hAnsi="Arial"/>
                <w:sz w:val="14"/>
                <w:szCs w:val="14"/>
                <w:color w:val="215AA8"/>
              </w:rPr>
              <w:t>Options/RSAs/</w:t>
            </w:r>
          </w:p>
        </w:tc>
        <w:tc>
          <w:tcPr>
            <w:tcW w:w="86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215AA8"/>
              </w:rPr>
              <w:t>Total</w:t>
            </w:r>
          </w:p>
        </w:tc>
      </w:tr>
      <w:tr>
        <w:trPr>
          <w:trHeight w:val="192"/>
        </w:trPr>
        <w:tc>
          <w:tcPr>
            <w:tcW w:w="4220" w:type="dxa"/>
            <w:vAlign w:val="bottom"/>
          </w:tcPr>
          <w:p>
            <w:pPr>
              <w:spacing w:after="0"/>
              <w:rPr>
                <w:sz w:val="16"/>
                <w:szCs w:val="16"/>
                <w:color w:val="auto"/>
              </w:rPr>
            </w:pPr>
          </w:p>
        </w:tc>
        <w:tc>
          <w:tcPr>
            <w:tcW w:w="2740" w:type="dxa"/>
            <w:vAlign w:val="bottom"/>
          </w:tcPr>
          <w:p>
            <w:pPr>
              <w:jc w:val="right"/>
              <w:ind w:right="72"/>
              <w:spacing w:after="0" w:line="191" w:lineRule="exact"/>
              <w:rPr>
                <w:sz w:val="20"/>
                <w:szCs w:val="20"/>
                <w:color w:val="auto"/>
              </w:rPr>
            </w:pPr>
            <w:r>
              <w:rPr>
                <w:rFonts w:ascii="Arial" w:cs="Arial" w:eastAsia="Arial" w:hAnsi="Arial"/>
                <w:sz w:val="14"/>
                <w:szCs w:val="14"/>
                <w:color w:val="215AA8"/>
              </w:rPr>
              <w:t>Severance</w:t>
            </w:r>
            <w:r>
              <w:rPr>
                <w:rFonts w:ascii="Arial" w:cs="Arial" w:eastAsia="Arial" w:hAnsi="Arial"/>
                <w:sz w:val="22"/>
                <w:szCs w:val="22"/>
                <w:color w:val="215AA8"/>
                <w:vertAlign w:val="superscript"/>
              </w:rPr>
              <w:t>1</w:t>
            </w:r>
          </w:p>
        </w:tc>
        <w:tc>
          <w:tcPr>
            <w:tcW w:w="1120" w:type="dxa"/>
            <w:vAlign w:val="bottom"/>
          </w:tcPr>
          <w:p>
            <w:pPr>
              <w:jc w:val="right"/>
              <w:ind w:right="92"/>
              <w:spacing w:after="0" w:line="191" w:lineRule="exact"/>
              <w:rPr>
                <w:sz w:val="20"/>
                <w:szCs w:val="20"/>
                <w:color w:val="auto"/>
              </w:rPr>
            </w:pPr>
            <w:r>
              <w:rPr>
                <w:rFonts w:ascii="Arial" w:cs="Arial" w:eastAsia="Arial" w:hAnsi="Arial"/>
                <w:sz w:val="14"/>
                <w:szCs w:val="14"/>
                <w:color w:val="215AA8"/>
              </w:rPr>
              <w:t>Continuation</w:t>
            </w:r>
            <w:r>
              <w:rPr>
                <w:rFonts w:ascii="Arial" w:cs="Arial" w:eastAsia="Arial" w:hAnsi="Arial"/>
                <w:sz w:val="22"/>
                <w:szCs w:val="22"/>
                <w:color w:val="215AA8"/>
                <w:vertAlign w:val="superscript"/>
              </w:rPr>
              <w:t>2</w:t>
            </w:r>
          </w:p>
        </w:tc>
        <w:tc>
          <w:tcPr>
            <w:tcW w:w="1380" w:type="dxa"/>
            <w:vAlign w:val="bottom"/>
          </w:tcPr>
          <w:p>
            <w:pPr>
              <w:jc w:val="right"/>
              <w:ind w:right="72"/>
              <w:spacing w:after="0" w:line="191" w:lineRule="exact"/>
              <w:rPr>
                <w:sz w:val="20"/>
                <w:szCs w:val="20"/>
                <w:color w:val="auto"/>
              </w:rPr>
            </w:pPr>
            <w:r>
              <w:rPr>
                <w:rFonts w:ascii="Arial" w:cs="Arial" w:eastAsia="Arial" w:hAnsi="Arial"/>
                <w:sz w:val="14"/>
                <w:szCs w:val="14"/>
                <w:color w:val="215AA8"/>
              </w:rPr>
              <w:t>PSUs</w:t>
            </w:r>
            <w:r>
              <w:rPr>
                <w:rFonts w:ascii="Arial" w:cs="Arial" w:eastAsia="Arial" w:hAnsi="Arial"/>
                <w:sz w:val="22"/>
                <w:szCs w:val="22"/>
                <w:color w:val="215AA8"/>
                <w:vertAlign w:val="superscript"/>
              </w:rPr>
              <w:t>3</w:t>
            </w:r>
          </w:p>
        </w:tc>
        <w:tc>
          <w:tcPr>
            <w:tcW w:w="860" w:type="dxa"/>
            <w:vAlign w:val="bottom"/>
          </w:tcPr>
          <w:p>
            <w:pPr>
              <w:jc w:val="right"/>
              <w:ind w:right="92"/>
              <w:spacing w:after="0" w:line="191" w:lineRule="exact"/>
              <w:rPr>
                <w:sz w:val="20"/>
                <w:szCs w:val="20"/>
                <w:color w:val="auto"/>
              </w:rPr>
            </w:pPr>
            <w:r>
              <w:rPr>
                <w:rFonts w:ascii="Arial" w:cs="Arial" w:eastAsia="Arial" w:hAnsi="Arial"/>
                <w:sz w:val="14"/>
                <w:szCs w:val="14"/>
                <w:color w:val="215AA8"/>
              </w:rPr>
              <w:t>Cutback</w:t>
            </w:r>
            <w:r>
              <w:rPr>
                <w:rFonts w:ascii="Arial" w:cs="Arial" w:eastAsia="Arial" w:hAnsi="Arial"/>
                <w:sz w:val="22"/>
                <w:szCs w:val="22"/>
                <w:color w:val="215AA8"/>
                <w:vertAlign w:val="superscript"/>
              </w:rPr>
              <w:t>4</w:t>
            </w:r>
          </w:p>
        </w:tc>
        <w:tc>
          <w:tcPr>
            <w:tcW w:w="940" w:type="dxa"/>
            <w:vAlign w:val="bottom"/>
          </w:tcPr>
          <w:p>
            <w:pPr>
              <w:jc w:val="right"/>
              <w:spacing w:after="0" w:line="191" w:lineRule="exact"/>
              <w:rPr>
                <w:sz w:val="20"/>
                <w:szCs w:val="20"/>
                <w:color w:val="auto"/>
              </w:rPr>
            </w:pPr>
            <w:r>
              <w:rPr>
                <w:rFonts w:ascii="Arial" w:cs="Arial" w:eastAsia="Arial" w:hAnsi="Arial"/>
                <w:sz w:val="14"/>
                <w:szCs w:val="14"/>
                <w:color w:val="215AA8"/>
              </w:rPr>
              <w:t>Amount</w:t>
            </w:r>
            <w:r>
              <w:rPr>
                <w:rFonts w:ascii="Arial" w:cs="Arial" w:eastAsia="Arial" w:hAnsi="Arial"/>
                <w:sz w:val="22"/>
                <w:szCs w:val="22"/>
                <w:color w:val="215AA8"/>
                <w:vertAlign w:val="superscript"/>
              </w:rPr>
              <w:t>5</w:t>
            </w:r>
          </w:p>
        </w:tc>
      </w:tr>
      <w:tr>
        <w:trPr>
          <w:trHeight w:val="171"/>
        </w:trPr>
        <w:tc>
          <w:tcPr>
            <w:tcW w:w="4220" w:type="dxa"/>
            <w:vAlign w:val="bottom"/>
            <w:tcBorders>
              <w:bottom w:val="single" w:sz="8" w:color="215AA8"/>
            </w:tcBorders>
          </w:tcPr>
          <w:p>
            <w:pPr>
              <w:spacing w:after="0"/>
              <w:rPr>
                <w:sz w:val="14"/>
                <w:szCs w:val="14"/>
                <w:color w:val="auto"/>
              </w:rPr>
            </w:pPr>
          </w:p>
        </w:tc>
        <w:tc>
          <w:tcPr>
            <w:tcW w:w="2740" w:type="dxa"/>
            <w:vAlign w:val="bottom"/>
            <w:tcBorders>
              <w:bottom w:val="single" w:sz="8" w:color="215AA8"/>
            </w:tcBorders>
          </w:tcPr>
          <w:p>
            <w:pPr>
              <w:jc w:val="right"/>
              <w:ind w:right="72"/>
              <w:spacing w:after="0"/>
              <w:rPr>
                <w:sz w:val="20"/>
                <w:szCs w:val="20"/>
                <w:color w:val="auto"/>
              </w:rPr>
            </w:pPr>
            <w:r>
              <w:rPr>
                <w:rFonts w:ascii="Arial" w:cs="Arial" w:eastAsia="Arial" w:hAnsi="Arial"/>
                <w:sz w:val="14"/>
                <w:szCs w:val="14"/>
                <w:color w:val="215AA8"/>
              </w:rPr>
              <w:t>($)</w:t>
            </w:r>
          </w:p>
        </w:tc>
        <w:tc>
          <w:tcPr>
            <w:tcW w:w="1120" w:type="dxa"/>
            <w:vAlign w:val="bottom"/>
            <w:tcBorders>
              <w:bottom w:val="single" w:sz="8" w:color="215AA8"/>
            </w:tcBorders>
          </w:tcPr>
          <w:p>
            <w:pPr>
              <w:jc w:val="right"/>
              <w:ind w:right="92"/>
              <w:spacing w:after="0"/>
              <w:rPr>
                <w:sz w:val="20"/>
                <w:szCs w:val="20"/>
                <w:color w:val="auto"/>
              </w:rPr>
            </w:pPr>
            <w:r>
              <w:rPr>
                <w:rFonts w:ascii="Arial" w:cs="Arial" w:eastAsia="Arial" w:hAnsi="Arial"/>
                <w:sz w:val="14"/>
                <w:szCs w:val="14"/>
                <w:color w:val="215AA8"/>
              </w:rPr>
              <w:t>($)</w:t>
            </w:r>
          </w:p>
        </w:tc>
        <w:tc>
          <w:tcPr>
            <w:tcW w:w="1380" w:type="dxa"/>
            <w:vAlign w:val="bottom"/>
            <w:tcBorders>
              <w:bottom w:val="single" w:sz="8" w:color="215AA8"/>
            </w:tcBorders>
          </w:tcPr>
          <w:p>
            <w:pPr>
              <w:jc w:val="right"/>
              <w:ind w:right="72"/>
              <w:spacing w:after="0"/>
              <w:rPr>
                <w:sz w:val="20"/>
                <w:szCs w:val="20"/>
                <w:color w:val="auto"/>
              </w:rPr>
            </w:pPr>
            <w:r>
              <w:rPr>
                <w:rFonts w:ascii="Arial" w:cs="Arial" w:eastAsia="Arial" w:hAnsi="Arial"/>
                <w:sz w:val="14"/>
                <w:szCs w:val="14"/>
                <w:color w:val="215AA8"/>
              </w:rPr>
              <w:t>($)</w:t>
            </w:r>
          </w:p>
        </w:tc>
        <w:tc>
          <w:tcPr>
            <w:tcW w:w="860" w:type="dxa"/>
            <w:vAlign w:val="bottom"/>
            <w:tcBorders>
              <w:bottom w:val="single" w:sz="8" w:color="215AA8"/>
            </w:tcBorders>
          </w:tcPr>
          <w:p>
            <w:pPr>
              <w:jc w:val="right"/>
              <w:ind w:right="92"/>
              <w:spacing w:after="0"/>
              <w:rPr>
                <w:sz w:val="20"/>
                <w:szCs w:val="20"/>
                <w:color w:val="auto"/>
              </w:rPr>
            </w:pPr>
            <w:r>
              <w:rPr>
                <w:rFonts w:ascii="Arial" w:cs="Arial" w:eastAsia="Arial" w:hAnsi="Arial"/>
                <w:sz w:val="14"/>
                <w:szCs w:val="14"/>
                <w:color w:val="215AA8"/>
              </w:rPr>
              <w:t>($)</w:t>
            </w:r>
          </w:p>
        </w:tc>
        <w:tc>
          <w:tcPr>
            <w:tcW w:w="94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215AA8"/>
              </w:rPr>
              <w:t>($)</w:t>
            </w:r>
          </w:p>
        </w:tc>
      </w:tr>
      <w:tr>
        <w:trPr>
          <w:trHeight w:val="158"/>
        </w:trPr>
        <w:tc>
          <w:tcPr>
            <w:tcW w:w="4220" w:type="dxa"/>
            <w:vAlign w:val="bottom"/>
            <w:tcBorders>
              <w:bottom w:val="single" w:sz="8" w:color="949599"/>
            </w:tcBorders>
          </w:tcPr>
          <w:p>
            <w:pPr>
              <w:ind w:left="40"/>
              <w:spacing w:after="0" w:line="157" w:lineRule="exact"/>
              <w:rPr>
                <w:sz w:val="20"/>
                <w:szCs w:val="20"/>
                <w:color w:val="auto"/>
              </w:rPr>
            </w:pPr>
            <w:r>
              <w:rPr>
                <w:rFonts w:ascii="Arial" w:cs="Arial" w:eastAsia="Arial" w:hAnsi="Arial"/>
                <w:sz w:val="14"/>
                <w:szCs w:val="14"/>
                <w:b w:val="1"/>
                <w:bCs w:val="1"/>
                <w:color w:val="215AA8"/>
              </w:rPr>
              <w:t>George D. Yancopoulos, M.D., Ph.D.</w:t>
            </w:r>
          </w:p>
        </w:tc>
        <w:tc>
          <w:tcPr>
            <w:tcW w:w="2740" w:type="dxa"/>
            <w:vAlign w:val="bottom"/>
            <w:tcBorders>
              <w:bottom w:val="single" w:sz="8" w:color="949599"/>
            </w:tcBorders>
          </w:tcPr>
          <w:p>
            <w:pPr>
              <w:jc w:val="right"/>
              <w:ind w:right="72"/>
              <w:spacing w:after="0" w:line="157" w:lineRule="exact"/>
              <w:rPr>
                <w:sz w:val="20"/>
                <w:szCs w:val="20"/>
                <w:color w:val="auto"/>
              </w:rPr>
            </w:pPr>
            <w:r>
              <w:rPr>
                <w:rFonts w:ascii="Arial" w:cs="Arial" w:eastAsia="Arial" w:hAnsi="Arial"/>
                <w:sz w:val="14"/>
                <w:szCs w:val="14"/>
                <w:color w:val="auto"/>
              </w:rPr>
              <w:t>11,195,046</w:t>
            </w:r>
          </w:p>
        </w:tc>
        <w:tc>
          <w:tcPr>
            <w:tcW w:w="1120" w:type="dxa"/>
            <w:vAlign w:val="bottom"/>
            <w:tcBorders>
              <w:bottom w:val="single" w:sz="8" w:color="949599"/>
            </w:tcBorders>
          </w:tcPr>
          <w:p>
            <w:pPr>
              <w:jc w:val="right"/>
              <w:ind w:right="92"/>
              <w:spacing w:after="0" w:line="157" w:lineRule="exact"/>
              <w:rPr>
                <w:sz w:val="20"/>
                <w:szCs w:val="20"/>
                <w:color w:val="auto"/>
              </w:rPr>
            </w:pPr>
            <w:r>
              <w:rPr>
                <w:rFonts w:ascii="Arial" w:cs="Arial" w:eastAsia="Arial" w:hAnsi="Arial"/>
                <w:sz w:val="14"/>
                <w:szCs w:val="14"/>
                <w:color w:val="auto"/>
              </w:rPr>
              <w:t>102,711</w:t>
            </w:r>
          </w:p>
        </w:tc>
        <w:tc>
          <w:tcPr>
            <w:tcW w:w="1380" w:type="dxa"/>
            <w:vAlign w:val="bottom"/>
            <w:tcBorders>
              <w:bottom w:val="single" w:sz="8" w:color="949599"/>
            </w:tcBorders>
          </w:tcPr>
          <w:p>
            <w:pPr>
              <w:jc w:val="right"/>
              <w:ind w:right="72"/>
              <w:spacing w:after="0" w:line="157" w:lineRule="exact"/>
              <w:rPr>
                <w:sz w:val="20"/>
                <w:szCs w:val="20"/>
                <w:color w:val="auto"/>
              </w:rPr>
            </w:pPr>
            <w:r>
              <w:rPr>
                <w:rFonts w:ascii="Arial" w:cs="Arial" w:eastAsia="Arial" w:hAnsi="Arial"/>
                <w:sz w:val="14"/>
                <w:szCs w:val="14"/>
                <w:color w:val="auto"/>
              </w:rPr>
              <w:t>306,971,138</w:t>
            </w:r>
          </w:p>
        </w:tc>
        <w:tc>
          <w:tcPr>
            <w:tcW w:w="860" w:type="dxa"/>
            <w:vAlign w:val="bottom"/>
            <w:tcBorders>
              <w:bottom w:val="single" w:sz="8" w:color="949599"/>
            </w:tcBorders>
          </w:tcPr>
          <w:p>
            <w:pPr>
              <w:jc w:val="right"/>
              <w:ind w:right="92"/>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tcPr>
          <w:p>
            <w:pPr>
              <w:jc w:val="right"/>
              <w:spacing w:after="0" w:line="157" w:lineRule="exact"/>
              <w:rPr>
                <w:sz w:val="20"/>
                <w:szCs w:val="20"/>
                <w:color w:val="auto"/>
              </w:rPr>
            </w:pPr>
            <w:r>
              <w:rPr>
                <w:rFonts w:ascii="Arial" w:cs="Arial" w:eastAsia="Arial" w:hAnsi="Arial"/>
                <w:sz w:val="14"/>
                <w:szCs w:val="14"/>
                <w:color w:val="auto"/>
              </w:rPr>
              <w:t>318,268,895</w:t>
            </w:r>
          </w:p>
        </w:tc>
      </w:tr>
      <w:tr>
        <w:trPr>
          <w:trHeight w:val="149"/>
        </w:trPr>
        <w:tc>
          <w:tcPr>
            <w:tcW w:w="4220" w:type="dxa"/>
            <w:vAlign w:val="bottom"/>
            <w:tcBorders>
              <w:bottom w:val="single" w:sz="8" w:color="949599"/>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215AA8"/>
              </w:rPr>
              <w:t xml:space="preserve">Robert E. Landry </w:t>
            </w:r>
            <w:r>
              <w:rPr>
                <w:rFonts w:ascii="Arial" w:cs="Arial" w:eastAsia="Arial" w:hAnsi="Arial"/>
                <w:sz w:val="14"/>
                <w:szCs w:val="14"/>
                <w:b w:val="1"/>
                <w:bCs w:val="1"/>
                <w:i w:val="1"/>
                <w:iCs w:val="1"/>
                <w:color w:val="215AA8"/>
              </w:rPr>
              <w:t>(retired)</w:t>
            </w:r>
          </w:p>
        </w:tc>
        <w:tc>
          <w:tcPr>
            <w:tcW w:w="2740" w:type="dxa"/>
            <w:vAlign w:val="bottom"/>
            <w:tcBorders>
              <w:bottom w:val="single" w:sz="8" w:color="949599"/>
            </w:tcBorders>
            <w:shd w:val="clear" w:color="auto" w:fill="ECECED"/>
          </w:tcPr>
          <w:p>
            <w:pPr>
              <w:jc w:val="right"/>
              <w:ind w:right="72"/>
              <w:spacing w:after="0" w:line="149" w:lineRule="exact"/>
              <w:rPr>
                <w:sz w:val="20"/>
                <w:szCs w:val="20"/>
                <w:color w:val="auto"/>
              </w:rPr>
            </w:pPr>
            <w:r>
              <w:rPr>
                <w:rFonts w:ascii="Arial" w:cs="Arial" w:eastAsia="Arial" w:hAnsi="Arial"/>
                <w:sz w:val="14"/>
                <w:szCs w:val="14"/>
                <w:color w:val="auto"/>
              </w:rPr>
              <w:t>3,732,288</w:t>
            </w:r>
          </w:p>
        </w:tc>
        <w:tc>
          <w:tcPr>
            <w:tcW w:w="1120" w:type="dxa"/>
            <w:vAlign w:val="bottom"/>
            <w:tcBorders>
              <w:bottom w:val="single" w:sz="8" w:color="949599"/>
            </w:tcBorders>
            <w:shd w:val="clear" w:color="auto" w:fill="ECECED"/>
          </w:tcPr>
          <w:p>
            <w:pPr>
              <w:jc w:val="right"/>
              <w:ind w:right="92"/>
              <w:spacing w:after="0" w:line="149" w:lineRule="exact"/>
              <w:rPr>
                <w:sz w:val="20"/>
                <w:szCs w:val="20"/>
                <w:color w:val="auto"/>
              </w:rPr>
            </w:pPr>
            <w:r>
              <w:rPr>
                <w:rFonts w:ascii="Arial" w:cs="Arial" w:eastAsia="Arial" w:hAnsi="Arial"/>
                <w:sz w:val="14"/>
                <w:szCs w:val="14"/>
                <w:color w:val="auto"/>
              </w:rPr>
              <w:t>178,497</w:t>
            </w:r>
          </w:p>
        </w:tc>
        <w:tc>
          <w:tcPr>
            <w:tcW w:w="1380" w:type="dxa"/>
            <w:vAlign w:val="bottom"/>
            <w:tcBorders>
              <w:bottom w:val="single" w:sz="8" w:color="949599"/>
            </w:tcBorders>
            <w:shd w:val="clear" w:color="auto" w:fill="ECECED"/>
          </w:tcPr>
          <w:p>
            <w:pPr>
              <w:jc w:val="right"/>
              <w:ind w:right="72"/>
              <w:spacing w:after="0" w:line="149" w:lineRule="exact"/>
              <w:rPr>
                <w:sz w:val="20"/>
                <w:szCs w:val="20"/>
                <w:color w:val="auto"/>
              </w:rPr>
            </w:pPr>
            <w:r>
              <w:rPr>
                <w:rFonts w:ascii="Arial" w:cs="Arial" w:eastAsia="Arial" w:hAnsi="Arial"/>
                <w:sz w:val="14"/>
                <w:szCs w:val="14"/>
                <w:color w:val="auto"/>
              </w:rPr>
              <w:t>11,501,840</w:t>
            </w:r>
          </w:p>
        </w:tc>
        <w:tc>
          <w:tcPr>
            <w:tcW w:w="860" w:type="dxa"/>
            <w:vAlign w:val="bottom"/>
            <w:tcBorders>
              <w:bottom w:val="single" w:sz="8" w:color="949599"/>
            </w:tcBorders>
            <w:shd w:val="clear" w:color="auto" w:fill="ECECED"/>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15,412,625</w:t>
            </w:r>
          </w:p>
        </w:tc>
      </w:tr>
      <w:tr>
        <w:trPr>
          <w:trHeight w:val="149"/>
        </w:trPr>
        <w:tc>
          <w:tcPr>
            <w:tcW w:w="4220" w:type="dxa"/>
            <w:vAlign w:val="bottom"/>
            <w:tcBorders>
              <w:bottom w:val="single" w:sz="8" w:color="949599"/>
            </w:tcBorders>
          </w:tcPr>
          <w:p>
            <w:pPr>
              <w:ind w:left="40"/>
              <w:spacing w:after="0" w:line="149" w:lineRule="exact"/>
              <w:rPr>
                <w:sz w:val="20"/>
                <w:szCs w:val="20"/>
                <w:color w:val="auto"/>
              </w:rPr>
            </w:pPr>
            <w:r>
              <w:rPr>
                <w:rFonts w:ascii="Arial" w:cs="Arial" w:eastAsia="Arial" w:hAnsi="Arial"/>
                <w:sz w:val="14"/>
                <w:szCs w:val="14"/>
                <w:b w:val="1"/>
                <w:bCs w:val="1"/>
                <w:color w:val="215AA8"/>
              </w:rPr>
              <w:t>Daniel P. Van Plew</w:t>
            </w:r>
          </w:p>
        </w:tc>
        <w:tc>
          <w:tcPr>
            <w:tcW w:w="2740" w:type="dxa"/>
            <w:vAlign w:val="bottom"/>
            <w:tcBorders>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3,787,906</w:t>
            </w:r>
          </w:p>
        </w:tc>
        <w:tc>
          <w:tcPr>
            <w:tcW w:w="1120" w:type="dxa"/>
            <w:vAlign w:val="bottom"/>
            <w:tcBorders>
              <w:bottom w:val="single" w:sz="8" w:color="949599"/>
            </w:tcBorders>
          </w:tcPr>
          <w:p>
            <w:pPr>
              <w:jc w:val="right"/>
              <w:ind w:right="92"/>
              <w:spacing w:after="0" w:line="149" w:lineRule="exact"/>
              <w:rPr>
                <w:sz w:val="20"/>
                <w:szCs w:val="20"/>
                <w:color w:val="auto"/>
              </w:rPr>
            </w:pPr>
            <w:r>
              <w:rPr>
                <w:rFonts w:ascii="Arial" w:cs="Arial" w:eastAsia="Arial" w:hAnsi="Arial"/>
                <w:sz w:val="14"/>
                <w:szCs w:val="14"/>
                <w:color w:val="auto"/>
              </w:rPr>
              <w:t>173,009</w:t>
            </w:r>
          </w:p>
        </w:tc>
        <w:tc>
          <w:tcPr>
            <w:tcW w:w="1380" w:type="dxa"/>
            <w:vAlign w:val="bottom"/>
            <w:tcBorders>
              <w:bottom w:val="single" w:sz="8" w:color="949599"/>
            </w:tcBorders>
          </w:tcPr>
          <w:p>
            <w:pPr>
              <w:jc w:val="right"/>
              <w:ind w:right="72"/>
              <w:spacing w:after="0" w:line="149" w:lineRule="exact"/>
              <w:rPr>
                <w:sz w:val="20"/>
                <w:szCs w:val="20"/>
                <w:color w:val="auto"/>
              </w:rPr>
            </w:pPr>
            <w:r>
              <w:rPr>
                <w:rFonts w:ascii="Arial" w:cs="Arial" w:eastAsia="Arial" w:hAnsi="Arial"/>
                <w:sz w:val="14"/>
                <w:szCs w:val="14"/>
                <w:color w:val="auto"/>
              </w:rPr>
              <w:t>19,377,690</w:t>
            </w:r>
          </w:p>
        </w:tc>
        <w:tc>
          <w:tcPr>
            <w:tcW w:w="860" w:type="dxa"/>
            <w:vAlign w:val="bottom"/>
            <w:tcBorders>
              <w:bottom w:val="single" w:sz="8" w:color="949599"/>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23,338,605</w:t>
            </w:r>
          </w:p>
        </w:tc>
      </w:tr>
      <w:tr>
        <w:trPr>
          <w:trHeight w:val="151"/>
        </w:trPr>
        <w:tc>
          <w:tcPr>
            <w:tcW w:w="4220" w:type="dxa"/>
            <w:vAlign w:val="bottom"/>
            <w:tcBorders>
              <w:bottom w:val="single" w:sz="8" w:color="215AA8"/>
            </w:tcBorders>
            <w:shd w:val="clear" w:color="auto" w:fill="ECECED"/>
          </w:tcPr>
          <w:p>
            <w:pPr>
              <w:ind w:left="40"/>
              <w:spacing w:after="0" w:line="149" w:lineRule="exact"/>
              <w:rPr>
                <w:sz w:val="20"/>
                <w:szCs w:val="20"/>
                <w:color w:val="auto"/>
              </w:rPr>
            </w:pPr>
            <w:r>
              <w:rPr>
                <w:rFonts w:ascii="Arial" w:cs="Arial" w:eastAsia="Arial" w:hAnsi="Arial"/>
                <w:sz w:val="14"/>
                <w:szCs w:val="14"/>
                <w:b w:val="1"/>
                <w:bCs w:val="1"/>
                <w:color w:val="215AA8"/>
              </w:rPr>
              <w:t>Andrew J. Murphy, Ph.D.</w:t>
            </w:r>
          </w:p>
        </w:tc>
        <w:tc>
          <w:tcPr>
            <w:tcW w:w="2740" w:type="dxa"/>
            <w:vAlign w:val="bottom"/>
            <w:tcBorders>
              <w:bottom w:val="single" w:sz="8" w:color="215AA8"/>
            </w:tcBorders>
            <w:shd w:val="clear" w:color="auto" w:fill="ECECED"/>
          </w:tcPr>
          <w:p>
            <w:pPr>
              <w:jc w:val="right"/>
              <w:ind w:right="72"/>
              <w:spacing w:after="0" w:line="149" w:lineRule="exact"/>
              <w:rPr>
                <w:sz w:val="20"/>
                <w:szCs w:val="20"/>
                <w:color w:val="auto"/>
              </w:rPr>
            </w:pPr>
            <w:r>
              <w:rPr>
                <w:rFonts w:ascii="Arial" w:cs="Arial" w:eastAsia="Arial" w:hAnsi="Arial"/>
                <w:sz w:val="14"/>
                <w:szCs w:val="14"/>
                <w:color w:val="auto"/>
              </w:rPr>
              <w:t>3,255,773</w:t>
            </w:r>
          </w:p>
        </w:tc>
        <w:tc>
          <w:tcPr>
            <w:tcW w:w="1120" w:type="dxa"/>
            <w:vAlign w:val="bottom"/>
            <w:tcBorders>
              <w:bottom w:val="single" w:sz="8" w:color="215AA8"/>
            </w:tcBorders>
            <w:shd w:val="clear" w:color="auto" w:fill="ECECED"/>
          </w:tcPr>
          <w:p>
            <w:pPr>
              <w:jc w:val="right"/>
              <w:ind w:right="92"/>
              <w:spacing w:after="0" w:line="149" w:lineRule="exact"/>
              <w:rPr>
                <w:sz w:val="20"/>
                <w:szCs w:val="20"/>
                <w:color w:val="auto"/>
              </w:rPr>
            </w:pPr>
            <w:r>
              <w:rPr>
                <w:rFonts w:ascii="Arial" w:cs="Arial" w:eastAsia="Arial" w:hAnsi="Arial"/>
                <w:sz w:val="14"/>
                <w:szCs w:val="14"/>
                <w:color w:val="auto"/>
              </w:rPr>
              <w:t>117,731</w:t>
            </w:r>
          </w:p>
        </w:tc>
        <w:tc>
          <w:tcPr>
            <w:tcW w:w="1380" w:type="dxa"/>
            <w:vAlign w:val="bottom"/>
            <w:tcBorders>
              <w:bottom w:val="single" w:sz="8" w:color="215AA8"/>
            </w:tcBorders>
            <w:shd w:val="clear" w:color="auto" w:fill="ECECED"/>
          </w:tcPr>
          <w:p>
            <w:pPr>
              <w:jc w:val="right"/>
              <w:ind w:right="72"/>
              <w:spacing w:after="0" w:line="149" w:lineRule="exact"/>
              <w:rPr>
                <w:sz w:val="20"/>
                <w:szCs w:val="20"/>
                <w:color w:val="auto"/>
              </w:rPr>
            </w:pPr>
            <w:r>
              <w:rPr>
                <w:rFonts w:ascii="Arial" w:cs="Arial" w:eastAsia="Arial" w:hAnsi="Arial"/>
                <w:sz w:val="14"/>
                <w:szCs w:val="14"/>
                <w:color w:val="auto"/>
              </w:rPr>
              <w:t>22,351,824</w:t>
            </w:r>
          </w:p>
        </w:tc>
        <w:tc>
          <w:tcPr>
            <w:tcW w:w="860" w:type="dxa"/>
            <w:vAlign w:val="bottom"/>
            <w:tcBorders>
              <w:bottom w:val="single" w:sz="8" w:color="215AA8"/>
            </w:tcBorders>
            <w:shd w:val="clear" w:color="auto" w:fill="ECECED"/>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215AA8"/>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25,725,328</w:t>
            </w:r>
          </w:p>
        </w:tc>
      </w:tr>
    </w:tbl>
    <w:p>
      <w:pPr>
        <w:spacing w:after="0" w:line="22" w:lineRule="exact"/>
        <w:rPr>
          <w:sz w:val="20"/>
          <w:szCs w:val="20"/>
          <w:color w:val="auto"/>
        </w:rPr>
      </w:pPr>
    </w:p>
    <w:p>
      <w:pPr>
        <w:ind w:left="270" w:hanging="270"/>
        <w:spacing w:after="0"/>
        <w:tabs>
          <w:tab w:leader="none" w:pos="270" w:val="left"/>
        </w:tabs>
        <w:numPr>
          <w:ilvl w:val="0"/>
          <w:numId w:val="167"/>
        </w:numPr>
        <w:rPr>
          <w:rFonts w:ascii="Arial" w:cs="Arial" w:eastAsia="Arial" w:hAnsi="Arial"/>
          <w:sz w:val="20"/>
          <w:szCs w:val="20"/>
          <w:color w:val="auto"/>
          <w:vertAlign w:val="superscript"/>
        </w:rPr>
      </w:pPr>
      <w:r>
        <w:rPr>
          <w:rFonts w:ascii="Arial" w:cs="Arial" w:eastAsia="Arial" w:hAnsi="Arial"/>
          <w:sz w:val="12"/>
          <w:szCs w:val="12"/>
          <w:color w:val="auto"/>
        </w:rPr>
        <w:t>Equal to two times the sum of (a) the NEO’s 2023 base salary and (b) the average annual cash incentives paid to the NEO over the prior three years.</w:t>
      </w:r>
    </w:p>
    <w:p>
      <w:pPr>
        <w:spacing w:after="0" w:line="29" w:lineRule="exact"/>
        <w:rPr>
          <w:sz w:val="20"/>
          <w:szCs w:val="20"/>
          <w:color w:val="auto"/>
        </w:rPr>
      </w:pPr>
    </w:p>
    <w:p>
      <w:pPr>
        <w:ind w:left="270" w:right="240" w:hanging="270"/>
        <w:spacing w:after="0" w:line="186" w:lineRule="auto"/>
        <w:tabs>
          <w:tab w:leader="none" w:pos="270" w:val="left"/>
        </w:tabs>
        <w:numPr>
          <w:ilvl w:val="0"/>
          <w:numId w:val="168"/>
        </w:numPr>
        <w:rPr>
          <w:rFonts w:ascii="Arial" w:cs="Arial" w:eastAsia="Arial" w:hAnsi="Arial"/>
          <w:sz w:val="20"/>
          <w:szCs w:val="20"/>
          <w:color w:val="auto"/>
          <w:vertAlign w:val="superscript"/>
        </w:rPr>
      </w:pPr>
      <w:r>
        <w:rPr>
          <w:rFonts w:ascii="Arial" w:cs="Arial" w:eastAsia="Arial" w:hAnsi="Arial"/>
          <w:sz w:val="12"/>
          <w:szCs w:val="12"/>
          <w:color w:val="auto"/>
        </w:rPr>
        <w:t>Equal to the estimated cost of providing each NEO and his dependents medical, dental, vision, disability, and life insurance coverage for 24 months, plus the estimated cost of providing each NEO tax and financial planning advisory services for 24 months.</w:t>
      </w:r>
    </w:p>
    <w:p>
      <w:pPr>
        <w:spacing w:after="0" w:line="22" w:lineRule="exact"/>
        <w:rPr>
          <w:sz w:val="20"/>
          <w:szCs w:val="20"/>
          <w:color w:val="auto"/>
        </w:rPr>
      </w:pPr>
    </w:p>
    <w:p>
      <w:pPr>
        <w:ind w:left="270" w:right="240" w:hanging="270"/>
        <w:spacing w:after="0" w:line="214" w:lineRule="auto"/>
        <w:tabs>
          <w:tab w:leader="none" w:pos="270" w:val="left"/>
        </w:tabs>
        <w:numPr>
          <w:ilvl w:val="0"/>
          <w:numId w:val="169"/>
        </w:numPr>
        <w:rPr>
          <w:rFonts w:ascii="Arial" w:cs="Arial" w:eastAsia="Arial" w:hAnsi="Arial"/>
          <w:sz w:val="20"/>
          <w:szCs w:val="20"/>
          <w:color w:val="auto"/>
          <w:vertAlign w:val="superscript"/>
        </w:rPr>
      </w:pPr>
      <w:r>
        <w:rPr>
          <w:rFonts w:ascii="Arial" w:cs="Arial" w:eastAsia="Arial" w:hAnsi="Arial"/>
          <w:sz w:val="12"/>
          <w:szCs w:val="12"/>
          <w:color w:val="auto"/>
        </w:rPr>
        <w:t>For stock options, equal to the aggregate amount of the differences between the exercise prices of each NEO’s accelerated “in-the-money” stock options and the closing sales price per share of the Company’s common stock on the Nasdaq Global Select Market on December 29, 2023, of $878.29. In the case of Messrs. Landry and Van Plew and Dr. Murphy, the amounts also include the value as of December 29, 2023 of accelerated RSAs. In the case of Dr. Yancopoulos, the amount includes the value of 349,510 PSUs from his 2020 grant that would have been earned had the applicable vesting determination been made on December 31, 2023 in respect of performance for the period from the date of grant to December 31, 2023 (assuming a change of control transaction price equal to the closing sales price per share of the Company’s common stock on the Nasdaq Global Select Market on December 29, 2023).</w:t>
      </w:r>
    </w:p>
    <w:p>
      <w:pPr>
        <w:spacing w:after="0" w:line="23" w:lineRule="exact"/>
        <w:rPr>
          <w:sz w:val="20"/>
          <w:szCs w:val="20"/>
          <w:color w:val="auto"/>
        </w:rPr>
      </w:pPr>
    </w:p>
    <w:p>
      <w:pPr>
        <w:ind w:left="270" w:right="220" w:hanging="270"/>
        <w:spacing w:after="0" w:line="191" w:lineRule="auto"/>
        <w:tabs>
          <w:tab w:leader="none" w:pos="270" w:val="left"/>
        </w:tabs>
        <w:numPr>
          <w:ilvl w:val="0"/>
          <w:numId w:val="170"/>
        </w:numPr>
        <w:rPr>
          <w:rFonts w:ascii="Arial" w:cs="Arial" w:eastAsia="Arial" w:hAnsi="Arial"/>
          <w:sz w:val="20"/>
          <w:szCs w:val="20"/>
          <w:color w:val="auto"/>
          <w:vertAlign w:val="superscript"/>
        </w:rPr>
      </w:pPr>
      <w:r>
        <w:rPr>
          <w:rFonts w:ascii="Arial" w:cs="Arial" w:eastAsia="Arial" w:hAnsi="Arial"/>
          <w:sz w:val="12"/>
          <w:szCs w:val="12"/>
          <w:color w:val="auto"/>
        </w:rPr>
        <w:t>We have determined (using the assumptions outlined in footnote 5) that none of the NEOs listed in the table above would have been subject to any cutbacks or excise taxes if terminated on December 31, 2023.</w:t>
      </w:r>
    </w:p>
    <w:p>
      <w:pPr>
        <w:spacing w:after="0" w:line="22" w:lineRule="exact"/>
        <w:rPr>
          <w:sz w:val="20"/>
          <w:szCs w:val="20"/>
          <w:color w:val="auto"/>
        </w:rPr>
      </w:pPr>
    </w:p>
    <w:p>
      <w:pPr>
        <w:ind w:left="270" w:right="20" w:hanging="270"/>
        <w:spacing w:after="0" w:line="222" w:lineRule="auto"/>
        <w:tabs>
          <w:tab w:leader="none" w:pos="270" w:val="left"/>
        </w:tabs>
        <w:numPr>
          <w:ilvl w:val="0"/>
          <w:numId w:val="171"/>
        </w:numPr>
        <w:rPr>
          <w:rFonts w:ascii="Arial" w:cs="Arial" w:eastAsia="Arial" w:hAnsi="Arial"/>
          <w:sz w:val="20"/>
          <w:szCs w:val="20"/>
          <w:color w:val="auto"/>
          <w:vertAlign w:val="superscript"/>
        </w:rPr>
      </w:pPr>
      <w:r>
        <w:rPr>
          <w:rFonts w:ascii="Arial" w:cs="Arial" w:eastAsia="Arial" w:hAnsi="Arial"/>
          <w:sz w:val="12"/>
          <w:szCs w:val="12"/>
          <w:color w:val="auto"/>
        </w:rPr>
        <w:t>For purposes of these calculations, (i) we used base salaries as of December 31, 2023, and annual cash incentives paid to the NEOs for performance in 2020, 2021, and 2022, respectively; (ii) we assumed that each NEO received his annual cash incentive that was earned in 2023 and paid in 2024 (described in the Summary Compensation Table above); (iii) we took into consideration, for purposes of determining whether each NEO was subject to a reduction under the terms of the change in control severance plan, the fact that each NEO’s equity awards may vest in full or in part following a change in control (parachute payments for time vesting stock options and restricted stock were valued using Internal Revenue Code Treas. Reg. Section 1.28G-1 Q&amp;A 24(c)); (iv) we assumed a 8.0% annual increase in medical premiums, 4% annual increase in dental and vision premiums, and no increase in disability or life insurance premiums or employer cost of tax and financial planning advisory services for 2024 and 2025; (v) we assumed that the medical insurance benefits received in 2024 and 2025 would be taxable and that the NEOs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for purposes of assessing excise tax liabilities and potential cutbacks; and (vii) although certain payments to the NEOs would be subject to potential delays upon separation of service under Section 409A, we did not attempt to determine which, if any, payments would be delayed or revise the values to reflect any such delay.</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90</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15AA8"/>
        </w:rPr>
        <w:t>Additional Compensation Information</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Annual Cash Incentives</w:t>
      </w:r>
    </w:p>
    <w:p>
      <w:pPr>
        <w:spacing w:after="0" w:line="174"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In 2016, we adopted our Cash Incentive Bonus Plan for purposes of allowing our annual cash incentives to qualify as performance-based compensation under Section 162(m) of the Internal Revenue Code and permitting us to deduct cash incentive compensation that might otherwise not be deductible by reason of Section 162(m) (as then in effect). Although the Tax Cuts and Jobs Act eliminated the performance-based compensation exception for compensation paid in 2018 and beyond, we have continued to use the Cash Incentive Bonus Plan for annual cash incentives because we believe it furthers our compensation philosophy and objectives regardless of tax treatment. For 2023 annual cash incentives for the NEOs, in March 2023 the Compensation Committee set up a cash incentive pool under the Cash Incentive Bonus Plan; specified maximum allocations of such pool to the NEOs and certain other senior executives; and established a R&amp;D-related performance goal consisting of (i) the submission of one or more Investigational New Drug Applications, Biologics License Applications, or supplemental Biologics License Applications with the FDA (or its equivalent outside the United States) or (ii) the approval of any regulatory filing of the type described in clause (i) by the FDA or the applicable regulatory authority outside the United States. In November 2023, the Compensation Committee determined that Regeneron’s performance in 2023 exceeded the established goal, thus enabling the funding of the cash incentive pool. The Compensation Committee then exercised “negative discretion” (as permitted under the Plan) to reduce the respective allocations of such pool for each NEO. In exercising negative discretion for the NEOs, the Compensation Committee determined that their annual cash incentives should be set consistent with the Company’s historical practice of using a formula that utilizes their respective cash incentive targets, a corporate performance component, and, if applicable, an individual performance component, as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targets for the 2023 annual cash incentives for the NEOs were set as percentages of their respective base salaries as follows: Dr. Schleifer—120%; Dr. Yancopoulos—120%; Mr.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Landry—65%; Mr. Van Plew—65%; and Dr. Murphy—65%.</w:t>
      </w:r>
    </w:p>
    <w:p>
      <w:pPr>
        <w:spacing w:after="0" w:line="142" w:lineRule="exact"/>
        <w:rPr>
          <w:sz w:val="20"/>
          <w:szCs w:val="20"/>
          <w:color w:val="auto"/>
        </w:rPr>
      </w:pPr>
    </w:p>
    <w:p>
      <w:pPr>
        <w:ind w:right="340"/>
        <w:spacing w:after="0" w:line="239" w:lineRule="auto"/>
        <w:rPr>
          <w:sz w:val="20"/>
          <w:szCs w:val="20"/>
          <w:color w:val="auto"/>
        </w:rPr>
      </w:pPr>
      <w:r>
        <w:rPr>
          <w:rFonts w:ascii="Arial" w:cs="Arial" w:eastAsia="Arial" w:hAnsi="Arial"/>
          <w:sz w:val="14"/>
          <w:szCs w:val="14"/>
          <w:color w:val="auto"/>
        </w:rPr>
        <w:t>For 2023, Dr. Schleifer’s cash incentive target was set approximately at the median of the Peer Group. In determining the cash incentive target for Dr. Yancopoulos, the Compensation Committee took into consideration the importance of his scientific leadership as President &amp; CSO and the significant contributions he has made to the success of the Company and, specifically, to the discovery and development of the Company’s commercial products, its pipeline of internally developed product candidates, and its platform technologies. The Compensation Committee determined that there were no meaningful comparative data for Dr. Yancopoulos relating to similarly situated executives and that his cash incentive target for 2023 would be set to equal Dr. Schleifer’s. In determining the cash incentive targets for 2023 for Messrs. Landry and Van Plew and Dr. Murphy, the Compensation Committee took into consideration the compensation of similarly situated executive officers at companies in the Peer Group.</w:t>
      </w:r>
    </w:p>
    <w:p>
      <w:pPr>
        <w:spacing w:after="0" w:line="141"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The cash incentives were determined through the use of both an individual and a Company performance component with a range of 0 to 1.5 for the personal performance multiplier and a range of 0 to 2.0 for the Company performance multiplier, depending upon performance during the year. Both the personal performance multiplier and the Company performance multiplier were determined by the Compensation Committee for each NEO based on the Committee’s assessment of the Company’s performance in accordance with the framework described under the subsection “Compensation Discussion and Analysis—Components of Executive Pay: What We Pay and Why We Pay It—Annual Cash Incentives” and, in the case of each of Messrs. Landry and Van Plew and Dr. Murphy, the NEO’s personal performance during the year.</w:t>
      </w:r>
    </w:p>
    <w:p>
      <w:pPr>
        <w:spacing w:after="0" w:line="141"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With respect to 2023, the Compensation Committee approved a personal performance multiplier of 1.5 for each of Messrs. Landry and Van Plew and Dr. Murphy. The personal performance component accounted for 40% of these NEOs’ cash incentives. The Company component was based on a Company performance multiplier that was determined based on the Company’s overall corporate performance (as described below) in 2023, including against 2023 milestone goals that were presented to the board of directors in January 2023. This Company performance component accounted for 60% of the cash incentives awarded to Messrs. Landry and Van Plew and Dr. Murphy. In the case of Drs. Schleifer and Yancopoulos, the Compensation Committee focused exclusively on overall Company performance in 2023 (as described above) when determining their cash incentives and did not utilize a personal performance multiplier.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91</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39"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In determining the annual cash incentive for Mr. Landry, the Compensation Committee gave special consideration to Mr. Landry’s leadership of and accomplishments in the Company’s accounting, finance, and tax functions and across his other responsibilities, including the successful execution of the Company’s capital allocation priorities in 2023 through investment in R&amp;D capabilities, pursuit and funding of business development opportunities, and the return of cash to our shareholders through share buybacks. In the case of Mr. Van Plew, the Compensation Committee focused primarily on Mr. Van Plew’s leadership of and accomplishments in the Company’s Industrial Operations and Product Supply organization, including efforts to transition from Sanofi the global manufacturing and distribution of Libtayo; preparations for new product launches, including the efficient and expeditious resolution of pre-approval inspection issues identified by the FDA at a third-party manufacturing organization that resulted in approval of EYLEA HD within two months of the FDA’s initial target action date; and expanded manufacturing capabilities, including the completion of the construction of the Company’s first fill/finish facility. In the case of Dr. Murphy, the Compensation Committee considered the progress and continued expansion of the Company’s research and preclinical development pipeline, including several innovative research advances demonstrating potentially transformative first-in-class or best-in-class therapeutic approaches.</w:t>
      </w:r>
    </w:p>
    <w:p>
      <w:pPr>
        <w:spacing w:after="0" w:line="139"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With respect to 2023, the Compensation Committee set the Company performance multiplier at 1.9. For a discussion of the enhanced framework that the Committee established and utilized in 2023 for its year-end assessment of Company performance and its determination of the Company performance multiplier, see the subsection “Compensation Discussion and Analysis— Components of Executive Pay: What We Pay and Why We Pay It—Annual Cash Incentives.” Under the enhanced framework, the Committee began its assessment with a holistic review of performance across the entire organization to establish a baseline for the Company performance multiplier, taking into account the Company milestones for the year in review (discussed in the subsection “Compensation Discussion and Analysis—Components of Executive Pay: What We Pay and Why We Pay It—Annual Cash Incentives”) as well as the additional performance factors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90805</wp:posOffset>
            </wp:positionV>
            <wp:extent cx="5729605" cy="18980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729605" cy="1898015"/>
                    </a:xfrm>
                    <a:prstGeom prst="rect">
                      <a:avLst/>
                    </a:prstGeom>
                    <a:noFill/>
                  </pic:spPr>
                </pic:pic>
              </a:graphicData>
            </a:graphic>
          </wp:anchor>
        </w:drawing>
      </w:r>
    </w:p>
    <w:p>
      <w:pPr>
        <w:spacing w:after="0" w:line="390"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215AA8"/>
        </w:rPr>
        <w:t>(1) PRODUCT PIPELINE AND DEVELOPMENT (primary factors)</w:t>
      </w:r>
    </w:p>
    <w:p>
      <w:pPr>
        <w:sectPr>
          <w:pgSz w:w="11900" w:h="16838" w:orient="portrait"/>
          <w:cols w:equalWidth="0" w:num="1">
            <w:col w:w="11260"/>
          </w:cols>
          <w:pgMar w:left="320" w:top="215" w:right="319" w:bottom="1440" w:gutter="0" w:footer="0" w:header="0"/>
        </w:sectPr>
      </w:pPr>
    </w:p>
    <w:p>
      <w:pPr>
        <w:spacing w:after="0" w:line="142"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215AA8"/>
        </w:rPr>
        <w:t>Regulatory &amp; Clinical Milestones; Commercial Support</w:t>
      </w:r>
    </w:p>
    <w:p>
      <w:pPr>
        <w:spacing w:after="0" w:line="87" w:lineRule="exact"/>
        <w:rPr>
          <w:sz w:val="20"/>
          <w:szCs w:val="20"/>
          <w:color w:val="auto"/>
        </w:rPr>
      </w:pPr>
    </w:p>
    <w:p>
      <w:pPr>
        <w:ind w:left="1600" w:right="60" w:hanging="118"/>
        <w:spacing w:after="0" w:line="257" w:lineRule="auto"/>
        <w:tabs>
          <w:tab w:leader="none" w:pos="1595" w:val="left"/>
        </w:tabs>
        <w:numPr>
          <w:ilvl w:val="0"/>
          <w:numId w:val="172"/>
        </w:numPr>
        <w:rPr>
          <w:rFonts w:ascii="Arial" w:cs="Arial" w:eastAsia="Arial" w:hAnsi="Arial"/>
          <w:sz w:val="14"/>
          <w:szCs w:val="14"/>
          <w:color w:val="215AA8"/>
        </w:rPr>
      </w:pPr>
      <w:r>
        <w:rPr>
          <w:rFonts w:ascii="Arial" w:cs="Arial" w:eastAsia="Arial" w:hAnsi="Arial"/>
          <w:sz w:val="14"/>
          <w:szCs w:val="14"/>
          <w:color w:val="211D1E"/>
        </w:rPr>
        <w:t>Approval of new products or indications by the FDA or applicable regulatory authorities outside the United States</w:t>
      </w:r>
    </w:p>
    <w:p>
      <w:pPr>
        <w:spacing w:after="0" w:line="49" w:lineRule="exact"/>
        <w:rPr>
          <w:rFonts w:ascii="Arial" w:cs="Arial" w:eastAsia="Arial" w:hAnsi="Arial"/>
          <w:sz w:val="14"/>
          <w:szCs w:val="14"/>
          <w:color w:val="215AA8"/>
        </w:rPr>
      </w:pPr>
    </w:p>
    <w:p>
      <w:pPr>
        <w:ind w:left="1600" w:hanging="118"/>
        <w:spacing w:after="0"/>
        <w:tabs>
          <w:tab w:leader="none" w:pos="1600" w:val="left"/>
        </w:tabs>
        <w:numPr>
          <w:ilvl w:val="0"/>
          <w:numId w:val="172"/>
        </w:numPr>
        <w:rPr>
          <w:rFonts w:ascii="Arial" w:cs="Arial" w:eastAsia="Arial" w:hAnsi="Arial"/>
          <w:sz w:val="14"/>
          <w:szCs w:val="14"/>
          <w:color w:val="215AA8"/>
        </w:rPr>
      </w:pPr>
      <w:r>
        <w:rPr>
          <w:rFonts w:ascii="Arial" w:cs="Arial" w:eastAsia="Arial" w:hAnsi="Arial"/>
          <w:sz w:val="14"/>
          <w:szCs w:val="14"/>
          <w:color w:val="211D1E"/>
        </w:rPr>
        <w:t>Regulatory submissions for new products and new indications</w:t>
      </w:r>
    </w:p>
    <w:p>
      <w:pPr>
        <w:spacing w:after="0" w:line="64" w:lineRule="exact"/>
        <w:rPr>
          <w:rFonts w:ascii="Arial" w:cs="Arial" w:eastAsia="Arial" w:hAnsi="Arial"/>
          <w:sz w:val="14"/>
          <w:szCs w:val="14"/>
          <w:color w:val="215AA8"/>
        </w:rPr>
      </w:pPr>
    </w:p>
    <w:p>
      <w:pPr>
        <w:ind w:left="1600" w:right="400" w:hanging="118"/>
        <w:spacing w:after="0" w:line="257" w:lineRule="auto"/>
        <w:tabs>
          <w:tab w:leader="none" w:pos="1602" w:val="left"/>
        </w:tabs>
        <w:numPr>
          <w:ilvl w:val="0"/>
          <w:numId w:val="172"/>
        </w:numPr>
        <w:rPr>
          <w:rFonts w:ascii="Arial" w:cs="Arial" w:eastAsia="Arial" w:hAnsi="Arial"/>
          <w:sz w:val="14"/>
          <w:szCs w:val="14"/>
          <w:color w:val="215AA8"/>
        </w:rPr>
      </w:pPr>
      <w:r>
        <w:rPr>
          <w:rFonts w:ascii="Arial" w:cs="Arial" w:eastAsia="Arial" w:hAnsi="Arial"/>
          <w:sz w:val="14"/>
          <w:szCs w:val="14"/>
          <w:color w:val="211D1E"/>
        </w:rPr>
        <w:t>Breakthrough Therapy or orphan drug designations by the FDA (or its equivalent outside the United States)</w:t>
      </w:r>
    </w:p>
    <w:p>
      <w:pPr>
        <w:spacing w:after="0" w:line="49" w:lineRule="exact"/>
        <w:rPr>
          <w:rFonts w:ascii="Arial" w:cs="Arial" w:eastAsia="Arial" w:hAnsi="Arial"/>
          <w:sz w:val="14"/>
          <w:szCs w:val="14"/>
          <w:color w:val="215AA8"/>
        </w:rPr>
      </w:pPr>
    </w:p>
    <w:p>
      <w:pPr>
        <w:ind w:left="1600" w:right="220" w:hanging="118"/>
        <w:spacing w:after="0" w:line="257" w:lineRule="auto"/>
        <w:tabs>
          <w:tab w:leader="none" w:pos="1602" w:val="left"/>
        </w:tabs>
        <w:numPr>
          <w:ilvl w:val="0"/>
          <w:numId w:val="172"/>
        </w:numPr>
        <w:rPr>
          <w:rFonts w:ascii="Arial" w:cs="Arial" w:eastAsia="Arial" w:hAnsi="Arial"/>
          <w:sz w:val="14"/>
          <w:szCs w:val="14"/>
          <w:color w:val="215AA8"/>
        </w:rPr>
      </w:pPr>
      <w:r>
        <w:rPr>
          <w:rFonts w:ascii="Arial" w:cs="Arial" w:eastAsia="Arial" w:hAnsi="Arial"/>
          <w:sz w:val="14"/>
          <w:szCs w:val="14"/>
          <w:color w:val="211D1E"/>
        </w:rPr>
        <w:t>Data readouts and key publications from potentially pivotal/ registrational studies</w:t>
      </w:r>
    </w:p>
    <w:p>
      <w:pPr>
        <w:spacing w:after="0" w:line="49" w:lineRule="exact"/>
        <w:rPr>
          <w:rFonts w:ascii="Arial" w:cs="Arial" w:eastAsia="Arial" w:hAnsi="Arial"/>
          <w:sz w:val="14"/>
          <w:szCs w:val="14"/>
          <w:color w:val="215AA8"/>
        </w:rPr>
      </w:pPr>
    </w:p>
    <w:p>
      <w:pPr>
        <w:ind w:left="1600" w:hanging="118"/>
        <w:spacing w:after="0"/>
        <w:tabs>
          <w:tab w:leader="none" w:pos="1600" w:val="left"/>
        </w:tabs>
        <w:numPr>
          <w:ilvl w:val="0"/>
          <w:numId w:val="172"/>
        </w:numPr>
        <w:rPr>
          <w:rFonts w:ascii="Arial" w:cs="Arial" w:eastAsia="Arial" w:hAnsi="Arial"/>
          <w:sz w:val="14"/>
          <w:szCs w:val="14"/>
          <w:color w:val="215AA8"/>
        </w:rPr>
      </w:pPr>
      <w:r>
        <w:rPr>
          <w:rFonts w:ascii="Arial" w:cs="Arial" w:eastAsia="Arial" w:hAnsi="Arial"/>
          <w:sz w:val="14"/>
          <w:szCs w:val="14"/>
          <w:color w:val="211D1E"/>
        </w:rPr>
        <w:t>Initiation of new Phase 3 or Phase 2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413385</wp:posOffset>
            </wp:positionV>
            <wp:extent cx="2755900" cy="24701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755900" cy="2470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 w:right="1680"/>
        <w:spacing w:after="0" w:line="250" w:lineRule="auto"/>
        <w:rPr>
          <w:sz w:val="20"/>
          <w:szCs w:val="20"/>
          <w:color w:val="auto"/>
        </w:rPr>
      </w:pPr>
      <w:r>
        <w:rPr>
          <w:rFonts w:ascii="Arial" w:cs="Arial" w:eastAsia="Arial" w:hAnsi="Arial"/>
          <w:sz w:val="18"/>
          <w:szCs w:val="18"/>
          <w:b w:val="1"/>
          <w:bCs w:val="1"/>
          <w:color w:val="215AA8"/>
        </w:rPr>
        <w:t>Progress in Earlier-Stage Clinical Programs; New Candidates Advanced into Clinical Development</w:t>
      </w:r>
    </w:p>
    <w:p>
      <w:pPr>
        <w:spacing w:after="0" w:line="40" w:lineRule="exact"/>
        <w:rPr>
          <w:sz w:val="20"/>
          <w:szCs w:val="20"/>
          <w:color w:val="auto"/>
        </w:rPr>
      </w:pPr>
    </w:p>
    <w:p>
      <w:pPr>
        <w:ind w:left="122" w:right="1980" w:hanging="122"/>
        <w:spacing w:after="0" w:line="257" w:lineRule="auto"/>
        <w:tabs>
          <w:tab w:leader="none" w:pos="124" w:val="left"/>
        </w:tabs>
        <w:numPr>
          <w:ilvl w:val="0"/>
          <w:numId w:val="173"/>
        </w:numPr>
        <w:rPr>
          <w:rFonts w:ascii="Arial" w:cs="Arial" w:eastAsia="Arial" w:hAnsi="Arial"/>
          <w:sz w:val="14"/>
          <w:szCs w:val="14"/>
          <w:color w:val="215AA8"/>
        </w:rPr>
      </w:pPr>
      <w:r>
        <w:rPr>
          <w:rFonts w:ascii="Arial" w:cs="Arial" w:eastAsia="Arial" w:hAnsi="Arial"/>
          <w:sz w:val="14"/>
          <w:szCs w:val="14"/>
          <w:color w:val="211D1E"/>
        </w:rPr>
        <w:t>Data readouts and key publications from existing Phase 1 studies</w:t>
      </w:r>
    </w:p>
    <w:p>
      <w:pPr>
        <w:spacing w:after="0" w:line="49" w:lineRule="exact"/>
        <w:rPr>
          <w:rFonts w:ascii="Arial" w:cs="Arial" w:eastAsia="Arial" w:hAnsi="Arial"/>
          <w:sz w:val="14"/>
          <w:szCs w:val="14"/>
          <w:color w:val="215AA8"/>
        </w:rPr>
      </w:pPr>
    </w:p>
    <w:p>
      <w:pPr>
        <w:ind w:left="122" w:hanging="122"/>
        <w:spacing w:after="0"/>
        <w:tabs>
          <w:tab w:leader="none" w:pos="122" w:val="left"/>
        </w:tabs>
        <w:numPr>
          <w:ilvl w:val="0"/>
          <w:numId w:val="173"/>
        </w:numPr>
        <w:rPr>
          <w:rFonts w:ascii="Arial" w:cs="Arial" w:eastAsia="Arial" w:hAnsi="Arial"/>
          <w:sz w:val="14"/>
          <w:szCs w:val="14"/>
          <w:color w:val="215AA8"/>
        </w:rPr>
      </w:pPr>
      <w:r>
        <w:rPr>
          <w:rFonts w:ascii="Arial" w:cs="Arial" w:eastAsia="Arial" w:hAnsi="Arial"/>
          <w:sz w:val="14"/>
          <w:szCs w:val="14"/>
          <w:color w:val="211D1E"/>
        </w:rPr>
        <w:t>Initiation of new Phase 1 studies</w:t>
      </w:r>
    </w:p>
    <w:p>
      <w:pPr>
        <w:spacing w:after="0" w:line="64" w:lineRule="exact"/>
        <w:rPr>
          <w:rFonts w:ascii="Arial" w:cs="Arial" w:eastAsia="Arial" w:hAnsi="Arial"/>
          <w:sz w:val="14"/>
          <w:szCs w:val="14"/>
          <w:color w:val="215AA8"/>
        </w:rPr>
      </w:pPr>
    </w:p>
    <w:p>
      <w:pPr>
        <w:ind w:left="122" w:right="2100" w:hanging="122"/>
        <w:spacing w:after="0" w:line="257" w:lineRule="auto"/>
        <w:tabs>
          <w:tab w:leader="none" w:pos="124" w:val="left"/>
        </w:tabs>
        <w:numPr>
          <w:ilvl w:val="0"/>
          <w:numId w:val="173"/>
        </w:numPr>
        <w:rPr>
          <w:rFonts w:ascii="Arial" w:cs="Arial" w:eastAsia="Arial" w:hAnsi="Arial"/>
          <w:sz w:val="14"/>
          <w:szCs w:val="14"/>
          <w:color w:val="215AA8"/>
        </w:rPr>
      </w:pPr>
      <w:r>
        <w:rPr>
          <w:rFonts w:ascii="Arial" w:cs="Arial" w:eastAsia="Arial" w:hAnsi="Arial"/>
          <w:sz w:val="14"/>
          <w:szCs w:val="14"/>
          <w:color w:val="211D1E"/>
        </w:rPr>
        <w:t>Notable early research milestones and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410845</wp:posOffset>
            </wp:positionV>
            <wp:extent cx="2755900" cy="24701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755900" cy="2470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60" w:space="578"/>
            <w:col w:w="4522"/>
          </w:cols>
          <w:pgMar w:left="320" w:top="21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80" w:right="1220" w:firstLine="1"/>
        <w:spacing w:after="0" w:line="297" w:lineRule="auto"/>
        <w:tabs>
          <w:tab w:leader="none" w:pos="1750" w:val="left"/>
        </w:tabs>
        <w:numPr>
          <w:ilvl w:val="0"/>
          <w:numId w:val="174"/>
        </w:numPr>
        <w:rPr>
          <w:rFonts w:ascii="Arial" w:cs="Arial" w:eastAsia="Arial" w:hAnsi="Arial"/>
          <w:sz w:val="17"/>
          <w:szCs w:val="17"/>
          <w:b w:val="1"/>
          <w:bCs w:val="1"/>
          <w:color w:val="215AA8"/>
        </w:rPr>
      </w:pPr>
      <w:r>
        <w:rPr>
          <w:rFonts w:ascii="Arial" w:cs="Arial" w:eastAsia="Arial" w:hAnsi="Arial"/>
          <w:sz w:val="17"/>
          <w:szCs w:val="17"/>
          <w:b w:val="1"/>
          <w:bCs w:val="1"/>
          <w:color w:val="215AA8"/>
        </w:rPr>
        <w:t>FINANCE AND OPERATIONS (secondary factors)</w:t>
      </w:r>
    </w:p>
    <w:p>
      <w:pPr>
        <w:ind w:left="1480"/>
        <w:spacing w:after="0"/>
        <w:rPr>
          <w:sz w:val="20"/>
          <w:szCs w:val="20"/>
          <w:color w:val="auto"/>
        </w:rPr>
      </w:pPr>
      <w:r>
        <w:rPr>
          <w:rFonts w:ascii="Arial" w:cs="Arial" w:eastAsia="Arial" w:hAnsi="Arial"/>
          <w:sz w:val="18"/>
          <w:szCs w:val="18"/>
          <w:b w:val="1"/>
          <w:bCs w:val="1"/>
          <w:color w:val="215AA8"/>
        </w:rPr>
        <w:t>Financial Metrics; Capital Structure</w:t>
      </w:r>
    </w:p>
    <w:p>
      <w:pPr>
        <w:spacing w:after="0" w:line="87" w:lineRule="exact"/>
        <w:rPr>
          <w:sz w:val="20"/>
          <w:szCs w:val="20"/>
          <w:color w:val="auto"/>
        </w:rPr>
      </w:pPr>
    </w:p>
    <w:p>
      <w:pPr>
        <w:ind w:left="1600" w:hanging="118"/>
        <w:spacing w:after="0"/>
        <w:tabs>
          <w:tab w:leader="none" w:pos="1600" w:val="left"/>
        </w:tabs>
        <w:numPr>
          <w:ilvl w:val="0"/>
          <w:numId w:val="175"/>
        </w:numPr>
        <w:rPr>
          <w:rFonts w:ascii="Arial" w:cs="Arial" w:eastAsia="Arial" w:hAnsi="Arial"/>
          <w:sz w:val="14"/>
          <w:szCs w:val="14"/>
          <w:color w:val="215AA8"/>
        </w:rPr>
      </w:pPr>
      <w:r>
        <w:rPr>
          <w:rFonts w:ascii="Arial" w:cs="Arial" w:eastAsia="Arial" w:hAnsi="Arial"/>
          <w:sz w:val="14"/>
          <w:szCs w:val="14"/>
          <w:color w:val="211D1E"/>
        </w:rPr>
        <w:t>Growth in total revenues</w:t>
      </w:r>
    </w:p>
    <w:p>
      <w:pPr>
        <w:spacing w:after="0" w:line="64" w:lineRule="exact"/>
        <w:rPr>
          <w:rFonts w:ascii="Arial" w:cs="Arial" w:eastAsia="Arial" w:hAnsi="Arial"/>
          <w:sz w:val="14"/>
          <w:szCs w:val="14"/>
          <w:color w:val="215AA8"/>
        </w:rPr>
      </w:pPr>
    </w:p>
    <w:p>
      <w:pPr>
        <w:ind w:left="1600" w:hanging="118"/>
        <w:spacing w:after="0"/>
        <w:tabs>
          <w:tab w:leader="none" w:pos="1600" w:val="left"/>
        </w:tabs>
        <w:numPr>
          <w:ilvl w:val="0"/>
          <w:numId w:val="175"/>
        </w:numPr>
        <w:rPr>
          <w:rFonts w:ascii="Arial" w:cs="Arial" w:eastAsia="Arial" w:hAnsi="Arial"/>
          <w:sz w:val="12"/>
          <w:szCs w:val="12"/>
          <w:color w:val="215AA8"/>
        </w:rPr>
      </w:pPr>
      <w:r>
        <w:rPr>
          <w:rFonts w:ascii="Arial" w:cs="Arial" w:eastAsia="Arial" w:hAnsi="Arial"/>
          <w:sz w:val="12"/>
          <w:szCs w:val="12"/>
          <w:color w:val="211D1E"/>
        </w:rPr>
        <w:t>Growth in net product sales for key marketed products</w:t>
      </w:r>
    </w:p>
    <w:p>
      <w:pPr>
        <w:spacing w:after="0" w:line="98" w:lineRule="exact"/>
        <w:rPr>
          <w:rFonts w:ascii="Arial" w:cs="Arial" w:eastAsia="Arial" w:hAnsi="Arial"/>
          <w:sz w:val="12"/>
          <w:szCs w:val="12"/>
          <w:color w:val="215AA8"/>
        </w:rPr>
      </w:pPr>
    </w:p>
    <w:p>
      <w:pPr>
        <w:ind w:left="1600" w:hanging="118"/>
        <w:spacing w:after="0"/>
        <w:tabs>
          <w:tab w:leader="none" w:pos="1600" w:val="left"/>
        </w:tabs>
        <w:numPr>
          <w:ilvl w:val="0"/>
          <w:numId w:val="175"/>
        </w:numPr>
        <w:rPr>
          <w:rFonts w:ascii="Arial" w:cs="Arial" w:eastAsia="Arial" w:hAnsi="Arial"/>
          <w:sz w:val="14"/>
          <w:szCs w:val="14"/>
          <w:color w:val="215AA8"/>
        </w:rPr>
      </w:pPr>
      <w:r>
        <w:rPr>
          <w:rFonts w:ascii="Arial" w:cs="Arial" w:eastAsia="Arial" w:hAnsi="Arial"/>
          <w:sz w:val="14"/>
          <w:szCs w:val="14"/>
          <w:color w:val="211D1E"/>
        </w:rPr>
        <w:t>Growth in profitability metrics</w:t>
      </w:r>
    </w:p>
    <w:p>
      <w:pPr>
        <w:spacing w:after="0" w:line="75" w:lineRule="exact"/>
        <w:rPr>
          <w:rFonts w:ascii="Arial" w:cs="Arial" w:eastAsia="Arial" w:hAnsi="Arial"/>
          <w:sz w:val="14"/>
          <w:szCs w:val="14"/>
          <w:color w:val="215AA8"/>
        </w:rPr>
      </w:pPr>
    </w:p>
    <w:p>
      <w:pPr>
        <w:ind w:left="1600" w:hanging="118"/>
        <w:spacing w:after="0"/>
        <w:tabs>
          <w:tab w:leader="none" w:pos="1600" w:val="left"/>
        </w:tabs>
        <w:numPr>
          <w:ilvl w:val="0"/>
          <w:numId w:val="175"/>
        </w:numPr>
        <w:rPr>
          <w:rFonts w:ascii="Arial" w:cs="Arial" w:eastAsia="Arial" w:hAnsi="Arial"/>
          <w:sz w:val="14"/>
          <w:szCs w:val="14"/>
          <w:color w:val="215AA8"/>
        </w:rPr>
      </w:pPr>
      <w:r>
        <w:rPr>
          <w:rFonts w:ascii="Arial" w:cs="Arial" w:eastAsia="Arial" w:hAnsi="Arial"/>
          <w:sz w:val="14"/>
          <w:szCs w:val="14"/>
          <w:color w:val="211D1E"/>
        </w:rPr>
        <w:t>Collaboration agreements</w:t>
      </w:r>
    </w:p>
    <w:p>
      <w:pPr>
        <w:spacing w:after="0" w:line="64" w:lineRule="exact"/>
        <w:rPr>
          <w:rFonts w:ascii="Arial" w:cs="Arial" w:eastAsia="Arial" w:hAnsi="Arial"/>
          <w:sz w:val="14"/>
          <w:szCs w:val="14"/>
          <w:color w:val="215AA8"/>
        </w:rPr>
      </w:pPr>
    </w:p>
    <w:p>
      <w:pPr>
        <w:ind w:left="1600" w:hanging="118"/>
        <w:spacing w:after="0"/>
        <w:tabs>
          <w:tab w:leader="none" w:pos="1600" w:val="left"/>
        </w:tabs>
        <w:numPr>
          <w:ilvl w:val="0"/>
          <w:numId w:val="175"/>
        </w:numPr>
        <w:rPr>
          <w:rFonts w:ascii="Arial" w:cs="Arial" w:eastAsia="Arial" w:hAnsi="Arial"/>
          <w:sz w:val="14"/>
          <w:szCs w:val="14"/>
          <w:color w:val="215AA8"/>
        </w:rPr>
      </w:pPr>
      <w:r>
        <w:rPr>
          <w:rFonts w:ascii="Arial" w:cs="Arial" w:eastAsia="Arial" w:hAnsi="Arial"/>
          <w:sz w:val="14"/>
          <w:szCs w:val="14"/>
          <w:color w:val="211D1E"/>
        </w:rPr>
        <w:t>Finance projects</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215AA8"/>
        </w:rPr>
        <w:t>Operational &amp; Manufacturing</w:t>
      </w:r>
    </w:p>
    <w:p>
      <w:pPr>
        <w:spacing w:after="0" w:line="76" w:lineRule="exact"/>
        <w:rPr>
          <w:sz w:val="20"/>
          <w:szCs w:val="20"/>
          <w:color w:val="auto"/>
        </w:rPr>
      </w:pPr>
    </w:p>
    <w:p>
      <w:pPr>
        <w:ind w:left="1600" w:hanging="118"/>
        <w:spacing w:after="0"/>
        <w:tabs>
          <w:tab w:leader="none" w:pos="1600" w:val="left"/>
        </w:tabs>
        <w:numPr>
          <w:ilvl w:val="0"/>
          <w:numId w:val="176"/>
        </w:numPr>
        <w:rPr>
          <w:rFonts w:ascii="Arial" w:cs="Arial" w:eastAsia="Arial" w:hAnsi="Arial"/>
          <w:sz w:val="14"/>
          <w:szCs w:val="14"/>
          <w:color w:val="215AA8"/>
        </w:rPr>
      </w:pPr>
      <w:r>
        <w:rPr>
          <w:rFonts w:ascii="Arial" w:cs="Arial" w:eastAsia="Arial" w:hAnsi="Arial"/>
          <w:sz w:val="14"/>
          <w:szCs w:val="14"/>
          <w:color w:val="211D1E"/>
        </w:rPr>
        <w:t>Marketing structure &amp; strategy</w:t>
      </w:r>
    </w:p>
    <w:p>
      <w:pPr>
        <w:spacing w:after="0" w:line="75" w:lineRule="exact"/>
        <w:rPr>
          <w:rFonts w:ascii="Arial" w:cs="Arial" w:eastAsia="Arial" w:hAnsi="Arial"/>
          <w:sz w:val="14"/>
          <w:szCs w:val="14"/>
          <w:color w:val="215AA8"/>
        </w:rPr>
      </w:pPr>
    </w:p>
    <w:p>
      <w:pPr>
        <w:ind w:left="1600" w:hanging="118"/>
        <w:spacing w:after="0"/>
        <w:tabs>
          <w:tab w:leader="none" w:pos="1600" w:val="left"/>
        </w:tabs>
        <w:numPr>
          <w:ilvl w:val="0"/>
          <w:numId w:val="176"/>
        </w:numPr>
        <w:rPr>
          <w:rFonts w:ascii="Arial" w:cs="Arial" w:eastAsia="Arial" w:hAnsi="Arial"/>
          <w:sz w:val="14"/>
          <w:szCs w:val="14"/>
          <w:color w:val="215AA8"/>
        </w:rPr>
      </w:pPr>
      <w:r>
        <w:rPr>
          <w:rFonts w:ascii="Arial" w:cs="Arial" w:eastAsia="Arial" w:hAnsi="Arial"/>
          <w:sz w:val="14"/>
          <w:szCs w:val="14"/>
          <w:color w:val="211D1E"/>
        </w:rPr>
        <w:t>Pricing, policy &amp; legal developments</w:t>
      </w:r>
    </w:p>
    <w:p>
      <w:pPr>
        <w:spacing w:after="0" w:line="75" w:lineRule="exact"/>
        <w:rPr>
          <w:rFonts w:ascii="Arial" w:cs="Arial" w:eastAsia="Arial" w:hAnsi="Arial"/>
          <w:sz w:val="14"/>
          <w:szCs w:val="14"/>
          <w:color w:val="215AA8"/>
        </w:rPr>
      </w:pPr>
    </w:p>
    <w:p>
      <w:pPr>
        <w:ind w:left="1600" w:hanging="118"/>
        <w:spacing w:after="0"/>
        <w:tabs>
          <w:tab w:leader="none" w:pos="1600" w:val="left"/>
        </w:tabs>
        <w:numPr>
          <w:ilvl w:val="0"/>
          <w:numId w:val="176"/>
        </w:numPr>
        <w:rPr>
          <w:rFonts w:ascii="Arial" w:cs="Arial" w:eastAsia="Arial" w:hAnsi="Arial"/>
          <w:sz w:val="14"/>
          <w:szCs w:val="14"/>
          <w:color w:val="215AA8"/>
        </w:rPr>
      </w:pPr>
      <w:r>
        <w:rPr>
          <w:rFonts w:ascii="Arial" w:cs="Arial" w:eastAsia="Arial" w:hAnsi="Arial"/>
          <w:sz w:val="14"/>
          <w:szCs w:val="14"/>
          <w:color w:val="211D1E"/>
        </w:rPr>
        <w:t>Successful completion of audits</w:t>
      </w:r>
    </w:p>
    <w:p>
      <w:pPr>
        <w:spacing w:after="0" w:line="64" w:lineRule="exact"/>
        <w:rPr>
          <w:rFonts w:ascii="Arial" w:cs="Arial" w:eastAsia="Arial" w:hAnsi="Arial"/>
          <w:sz w:val="14"/>
          <w:szCs w:val="14"/>
          <w:color w:val="215AA8"/>
        </w:rPr>
      </w:pPr>
    </w:p>
    <w:p>
      <w:pPr>
        <w:ind w:left="1600" w:hanging="118"/>
        <w:spacing w:after="0"/>
        <w:tabs>
          <w:tab w:leader="none" w:pos="1600" w:val="left"/>
        </w:tabs>
        <w:numPr>
          <w:ilvl w:val="0"/>
          <w:numId w:val="176"/>
        </w:numPr>
        <w:rPr>
          <w:rFonts w:ascii="Arial" w:cs="Arial" w:eastAsia="Arial" w:hAnsi="Arial"/>
          <w:sz w:val="14"/>
          <w:szCs w:val="14"/>
          <w:color w:val="215AA8"/>
        </w:rPr>
      </w:pPr>
      <w:r>
        <w:rPr>
          <w:rFonts w:ascii="Arial" w:cs="Arial" w:eastAsia="Arial" w:hAnsi="Arial"/>
          <w:sz w:val="14"/>
          <w:szCs w:val="14"/>
          <w:color w:val="211D1E"/>
        </w:rPr>
        <w:t>Expansion of facilities</w:t>
      </w:r>
    </w:p>
    <w:p>
      <w:pPr>
        <w:spacing w:after="0" w:line="75" w:lineRule="exact"/>
        <w:rPr>
          <w:rFonts w:ascii="Arial" w:cs="Arial" w:eastAsia="Arial" w:hAnsi="Arial"/>
          <w:sz w:val="14"/>
          <w:szCs w:val="14"/>
          <w:color w:val="215AA8"/>
        </w:rPr>
      </w:pPr>
    </w:p>
    <w:p>
      <w:pPr>
        <w:ind w:left="1600" w:hanging="118"/>
        <w:spacing w:after="0"/>
        <w:tabs>
          <w:tab w:leader="none" w:pos="1600" w:val="left"/>
        </w:tabs>
        <w:numPr>
          <w:ilvl w:val="0"/>
          <w:numId w:val="176"/>
        </w:numPr>
        <w:rPr>
          <w:rFonts w:ascii="Arial" w:cs="Arial" w:eastAsia="Arial" w:hAnsi="Arial"/>
          <w:sz w:val="14"/>
          <w:szCs w:val="14"/>
          <w:color w:val="215AA8"/>
        </w:rPr>
      </w:pPr>
      <w:r>
        <w:rPr>
          <w:rFonts w:ascii="Arial" w:cs="Arial" w:eastAsia="Arial" w:hAnsi="Arial"/>
          <w:sz w:val="14"/>
          <w:szCs w:val="14"/>
          <w:color w:val="211D1E"/>
        </w:rPr>
        <w:t>Increase in manufacturing capabilities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520" w:firstLine="4"/>
        <w:spacing w:after="0" w:line="297" w:lineRule="auto"/>
        <w:tabs>
          <w:tab w:leader="none" w:pos="270" w:val="left"/>
        </w:tabs>
        <w:numPr>
          <w:ilvl w:val="0"/>
          <w:numId w:val="177"/>
        </w:numPr>
        <w:rPr>
          <w:rFonts w:ascii="Arial" w:cs="Arial" w:eastAsia="Arial" w:hAnsi="Arial"/>
          <w:sz w:val="17"/>
          <w:szCs w:val="17"/>
          <w:b w:val="1"/>
          <w:bCs w:val="1"/>
          <w:color w:val="215AA8"/>
        </w:rPr>
      </w:pPr>
      <w:r>
        <w:rPr>
          <w:rFonts w:ascii="Arial" w:cs="Arial" w:eastAsia="Arial" w:hAnsi="Arial"/>
          <w:sz w:val="17"/>
          <w:szCs w:val="17"/>
          <w:b w:val="1"/>
          <w:bCs w:val="1"/>
          <w:color w:val="215AA8"/>
        </w:rPr>
        <w:t>TALENT, CULTURE, AND CORPORATE RESPONSIBILITY (secondary factors)</w:t>
      </w:r>
    </w:p>
    <w:p>
      <w:pPr>
        <w:spacing w:after="0"/>
        <w:rPr>
          <w:sz w:val="20"/>
          <w:szCs w:val="20"/>
          <w:color w:val="auto"/>
        </w:rPr>
      </w:pPr>
      <w:r>
        <w:rPr>
          <w:rFonts w:ascii="Arial" w:cs="Arial" w:eastAsia="Arial" w:hAnsi="Arial"/>
          <w:sz w:val="18"/>
          <w:szCs w:val="18"/>
          <w:b w:val="1"/>
          <w:bCs w:val="1"/>
          <w:color w:val="215AA8"/>
        </w:rPr>
        <w:t>Talent Management &amp; Retention</w:t>
      </w:r>
    </w:p>
    <w:p>
      <w:pPr>
        <w:spacing w:after="0" w:line="87" w:lineRule="exact"/>
        <w:rPr>
          <w:sz w:val="20"/>
          <w:szCs w:val="20"/>
          <w:color w:val="auto"/>
        </w:rPr>
      </w:pPr>
    </w:p>
    <w:p>
      <w:pPr>
        <w:ind w:left="120" w:right="1880" w:hanging="116"/>
        <w:spacing w:after="0" w:line="257" w:lineRule="auto"/>
        <w:tabs>
          <w:tab w:leader="none" w:pos="122" w:val="left"/>
        </w:tabs>
        <w:numPr>
          <w:ilvl w:val="0"/>
          <w:numId w:val="178"/>
        </w:numPr>
        <w:rPr>
          <w:rFonts w:ascii="Arial" w:cs="Arial" w:eastAsia="Arial" w:hAnsi="Arial"/>
          <w:sz w:val="14"/>
          <w:szCs w:val="14"/>
          <w:color w:val="215AA8"/>
        </w:rPr>
      </w:pPr>
      <w:r>
        <w:rPr>
          <w:rFonts w:ascii="Arial" w:cs="Arial" w:eastAsia="Arial" w:hAnsi="Arial"/>
          <w:sz w:val="14"/>
          <w:szCs w:val="14"/>
          <w:color w:val="211D1E"/>
        </w:rPr>
        <w:t>Growth of global workforce to support our long-term strategic objectives</w:t>
      </w:r>
    </w:p>
    <w:p>
      <w:pPr>
        <w:spacing w:after="0" w:line="37" w:lineRule="exact"/>
        <w:rPr>
          <w:rFonts w:ascii="Arial" w:cs="Arial" w:eastAsia="Arial" w:hAnsi="Arial"/>
          <w:sz w:val="14"/>
          <w:szCs w:val="14"/>
          <w:color w:val="215AA8"/>
        </w:rPr>
      </w:pPr>
    </w:p>
    <w:p>
      <w:pPr>
        <w:ind w:left="120" w:hanging="116"/>
        <w:spacing w:after="0"/>
        <w:tabs>
          <w:tab w:leader="none" w:pos="120" w:val="left"/>
        </w:tabs>
        <w:numPr>
          <w:ilvl w:val="0"/>
          <w:numId w:val="178"/>
        </w:numPr>
        <w:rPr>
          <w:rFonts w:ascii="Arial" w:cs="Arial" w:eastAsia="Arial" w:hAnsi="Arial"/>
          <w:sz w:val="14"/>
          <w:szCs w:val="14"/>
          <w:color w:val="215AA8"/>
        </w:rPr>
      </w:pPr>
      <w:r>
        <w:rPr>
          <w:rFonts w:ascii="Arial" w:cs="Arial" w:eastAsia="Arial" w:hAnsi="Arial"/>
          <w:sz w:val="14"/>
          <w:szCs w:val="14"/>
          <w:color w:val="211D1E"/>
        </w:rPr>
        <w:t>Employee retention and below-industry attrition rate</w:t>
      </w:r>
    </w:p>
    <w:p>
      <w:pPr>
        <w:spacing w:after="0" w:line="75" w:lineRule="exact"/>
        <w:rPr>
          <w:rFonts w:ascii="Arial" w:cs="Arial" w:eastAsia="Arial" w:hAnsi="Arial"/>
          <w:sz w:val="14"/>
          <w:szCs w:val="14"/>
          <w:color w:val="215AA8"/>
        </w:rPr>
      </w:pPr>
    </w:p>
    <w:p>
      <w:pPr>
        <w:ind w:left="120" w:hanging="116"/>
        <w:spacing w:after="0"/>
        <w:tabs>
          <w:tab w:leader="none" w:pos="120" w:val="left"/>
        </w:tabs>
        <w:numPr>
          <w:ilvl w:val="0"/>
          <w:numId w:val="178"/>
        </w:numPr>
        <w:rPr>
          <w:rFonts w:ascii="Arial" w:cs="Arial" w:eastAsia="Arial" w:hAnsi="Arial"/>
          <w:sz w:val="14"/>
          <w:szCs w:val="14"/>
          <w:color w:val="215AA8"/>
        </w:rPr>
      </w:pPr>
      <w:r>
        <w:rPr>
          <w:rFonts w:ascii="Arial" w:cs="Arial" w:eastAsia="Arial" w:hAnsi="Arial"/>
          <w:sz w:val="14"/>
          <w:szCs w:val="14"/>
          <w:color w:val="211D1E"/>
        </w:rPr>
        <w:t>Outside recognition and employee feedback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Corporate Responsibility</w:t>
      </w:r>
    </w:p>
    <w:p>
      <w:pPr>
        <w:spacing w:after="0" w:line="87" w:lineRule="exact"/>
        <w:rPr>
          <w:sz w:val="20"/>
          <w:szCs w:val="20"/>
          <w:color w:val="auto"/>
        </w:rPr>
      </w:pPr>
    </w:p>
    <w:p>
      <w:pPr>
        <w:ind w:left="120" w:hanging="116"/>
        <w:spacing w:after="0"/>
        <w:tabs>
          <w:tab w:leader="none" w:pos="120" w:val="left"/>
        </w:tabs>
        <w:numPr>
          <w:ilvl w:val="0"/>
          <w:numId w:val="179"/>
        </w:numPr>
        <w:rPr>
          <w:rFonts w:ascii="Arial" w:cs="Arial" w:eastAsia="Arial" w:hAnsi="Arial"/>
          <w:sz w:val="14"/>
          <w:szCs w:val="14"/>
          <w:color w:val="215AA8"/>
        </w:rPr>
      </w:pPr>
      <w:r>
        <w:rPr>
          <w:rFonts w:ascii="Arial" w:cs="Arial" w:eastAsia="Arial" w:hAnsi="Arial"/>
          <w:sz w:val="14"/>
          <w:szCs w:val="14"/>
          <w:color w:val="211D1E"/>
        </w:rPr>
        <w:t>ESG activities, reporting, ratings, and rankings</w:t>
      </w:r>
    </w:p>
    <w:p>
      <w:pPr>
        <w:spacing w:after="0" w:line="75" w:lineRule="exact"/>
        <w:rPr>
          <w:rFonts w:ascii="Arial" w:cs="Arial" w:eastAsia="Arial" w:hAnsi="Arial"/>
          <w:sz w:val="14"/>
          <w:szCs w:val="14"/>
          <w:color w:val="215AA8"/>
        </w:rPr>
      </w:pPr>
    </w:p>
    <w:p>
      <w:pPr>
        <w:ind w:left="120" w:hanging="116"/>
        <w:spacing w:after="0"/>
        <w:tabs>
          <w:tab w:leader="none" w:pos="120" w:val="left"/>
        </w:tabs>
        <w:numPr>
          <w:ilvl w:val="0"/>
          <w:numId w:val="179"/>
        </w:numPr>
        <w:rPr>
          <w:rFonts w:ascii="Arial" w:cs="Arial" w:eastAsia="Arial" w:hAnsi="Arial"/>
          <w:sz w:val="14"/>
          <w:szCs w:val="14"/>
          <w:color w:val="215AA8"/>
        </w:rPr>
      </w:pPr>
      <w:r>
        <w:rPr>
          <w:rFonts w:ascii="Arial" w:cs="Arial" w:eastAsia="Arial" w:hAnsi="Arial"/>
          <w:sz w:val="14"/>
          <w:szCs w:val="14"/>
          <w:color w:val="211D1E"/>
        </w:rPr>
        <w:t>Corporate giving</w:t>
      </w:r>
    </w:p>
    <w:p>
      <w:pPr>
        <w:spacing w:after="0" w:line="64" w:lineRule="exact"/>
        <w:rPr>
          <w:rFonts w:ascii="Arial" w:cs="Arial" w:eastAsia="Arial" w:hAnsi="Arial"/>
          <w:sz w:val="14"/>
          <w:szCs w:val="14"/>
          <w:color w:val="215AA8"/>
        </w:rPr>
      </w:pPr>
    </w:p>
    <w:p>
      <w:pPr>
        <w:ind w:left="120" w:hanging="116"/>
        <w:spacing w:after="0"/>
        <w:tabs>
          <w:tab w:leader="none" w:pos="120" w:val="left"/>
        </w:tabs>
        <w:numPr>
          <w:ilvl w:val="0"/>
          <w:numId w:val="179"/>
        </w:numPr>
        <w:rPr>
          <w:rFonts w:ascii="Arial" w:cs="Arial" w:eastAsia="Arial" w:hAnsi="Arial"/>
          <w:sz w:val="14"/>
          <w:szCs w:val="14"/>
          <w:color w:val="215AA8"/>
        </w:rPr>
      </w:pPr>
      <w:r>
        <w:rPr>
          <w:rFonts w:ascii="Arial" w:cs="Arial" w:eastAsia="Arial" w:hAnsi="Arial"/>
          <w:sz w:val="14"/>
          <w:szCs w:val="14"/>
          <w:color w:val="211D1E"/>
        </w:rPr>
        <w:t>Philanthropic and citizenship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20"/>
        <w:spacing w:after="0"/>
        <w:rPr>
          <w:sz w:val="20"/>
          <w:szCs w:val="20"/>
          <w:color w:val="auto"/>
        </w:rPr>
      </w:pPr>
      <w:r>
        <w:rPr>
          <w:sz w:val="1"/>
          <w:szCs w:val="1"/>
          <w:color w:val="auto"/>
        </w:rPr>
        <w:drawing>
          <wp:inline distT="0" distB="0" distL="0" distR="0">
            <wp:extent cx="629285" cy="71755"/>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29285" cy="71755"/>
                    </a:xfrm>
                    <a:prstGeom prst="rect">
                      <a:avLst/>
                    </a:prstGeom>
                    <a:noFill/>
                    <a:ln>
                      <a:noFill/>
                    </a:ln>
                  </pic:spPr>
                </pic:pic>
              </a:graphicData>
            </a:graphic>
          </wp:inline>
        </w:drawing>
      </w:r>
      <w:r>
        <w:rPr>
          <w:rFonts w:ascii="Arial" w:cs="Arial" w:eastAsia="Arial" w:hAnsi="Arial"/>
          <w:sz w:val="14"/>
          <w:szCs w:val="14"/>
          <w:b w:val="1"/>
          <w:bCs w:val="1"/>
          <w:color w:val="D60058"/>
        </w:rPr>
        <w:t xml:space="preserve"> | </w:t>
      </w:r>
      <w:r>
        <w:rPr>
          <w:rFonts w:ascii="Arial" w:cs="Arial" w:eastAsia="Arial" w:hAnsi="Arial"/>
          <w:sz w:val="14"/>
          <w:szCs w:val="14"/>
          <w:b w:val="1"/>
          <w:bCs w:val="1"/>
          <w:color w:val="215AA8"/>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134620</wp:posOffset>
            </wp:positionV>
            <wp:extent cx="7155180" cy="285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ectPr>
          <w:pgSz w:w="11900" w:h="16838" w:orient="portrait"/>
          <w:cols w:equalWidth="0" w:num="2">
            <w:col w:w="5440" w:space="720"/>
            <w:col w:w="5100"/>
          </w:cols>
          <w:pgMar w:left="320" w:top="215" w:right="31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Perquisites and Personal Benefits</w:t>
      </w:r>
    </w:p>
    <w:p>
      <w:pPr>
        <w:spacing w:after="0" w:line="174"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All employees who participate in our 401(k) Savings Plan, including the NEOs, are eligible to receive certain matching contributions. In each plan year, we contribute to each participant’s account a matching contribution (in the form of shares of our common stock) equal to 50% of a specified percentage of the participant’s compensation that the participant has contributed to the plan (which was 10% with respect to each of the last three years), up to a maximum level established under the Internal Revenue Code. Each of our NEOs participated in our 401(k) Savings Plan during 2023 and received matching contributions in the aggregate amount of $15,000 in the form of shares of our common stock. The contributions were paid quarterly up and until the maximum level was reached and are included in the compensation amounts reported for each of our NEOs in the Summary Compensation Table included in this proxy statement. As with all employees, the number of shares of common stock that each NEO received on a quarterly basis was determined using the average market price per share of our common stock during the applicable quarter.</w:t>
      </w:r>
    </w:p>
    <w:p>
      <w:pPr>
        <w:spacing w:after="0" w:line="143"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To achieve increased efficiencies and a more secure traveling environment, the Company provides air transportation for certain executive and director travel in accordance with guidelines approved by our board of directors. Based on the recommendation of an independent, third-party security study, the guidelines and our security policy require Drs. Schleifer and Yancopoulos (as well as their spouses and children when they accompany them) to use, as much as practicable, Company-provided aircraft for all business and personal air travel. Regeneron covers the cost of any such personal air travel for up to $250,000 in incremental cost (as described below) annually for each of Drs. Schleifer and Yancopoulos. Family members or other guests may accompany our NEOs and directors during Company-provided air business travel, space permitting, so long as they cover any incremental cost related to such guests (other than with respect to the family members of Drs. Schleifer and Yancopoulos as described above). In addition, in limited circumstances personal use of Company-provided air travel by our other NEOs or directors may be permitted if authorized by either co-Chair of the Board and any incremental cost is paid by the lead passenger. Any required reimbursement or other payment of the incremental cost is made to the extent permitted by applicable Federal Aviation Administration rules.</w:t>
      </w:r>
    </w:p>
    <w:p>
      <w:pPr>
        <w:spacing w:after="0" w:line="141"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We determine the incremental cost of any Company-provided personal or guest air travel based on the direct variable operating cost. Items included in the calculation include (as applicable) fuel costs; landing, non-home-base hangar or aircraft parking, and ground handling fees; in-flight catering; travel, lodging, and other expenses for flight crew; and other trip-related variable cost, including the use of our fractional jet interests. Because Company-provided air transportation is used primarily for business travel, incremental costs exclude fixed costs that generally do not change based on usage, such as (as applicable) flight crew salaries; aircraft purchase or lease costs; depreciation; insurance costs; certain maintenance fees based on minimum usage; and home-base hangar costs. When the aircraft is already flying to a destination for business purposes, only the direct variable costs associated with the guest (for example, catering), if any, are included in determining the aggregate incremental cost to Regeneron. If any aircraft flies empty before picking up or after dropping off a passenger for personal reasons, this “deadhead” segment would be included in the aggregate incremental cost based on the methodology described above. The amount of disallowed corporate tax deductions attributable to Company-provided personal and guest air travel is not included in the NEO incremental cost calculation.</w:t>
      </w:r>
    </w:p>
    <w:p>
      <w:pPr>
        <w:spacing w:after="0" w:line="141" w:lineRule="exact"/>
        <w:rPr>
          <w:sz w:val="20"/>
          <w:szCs w:val="20"/>
          <w:color w:val="auto"/>
        </w:rPr>
      </w:pPr>
    </w:p>
    <w:p>
      <w:pPr>
        <w:ind w:right="120"/>
        <w:spacing w:after="0" w:line="284" w:lineRule="auto"/>
        <w:rPr>
          <w:sz w:val="20"/>
          <w:szCs w:val="20"/>
          <w:color w:val="auto"/>
        </w:rPr>
      </w:pPr>
      <w:r>
        <w:rPr>
          <w:rFonts w:ascii="Arial" w:cs="Arial" w:eastAsia="Arial" w:hAnsi="Arial"/>
          <w:sz w:val="12"/>
          <w:szCs w:val="12"/>
          <w:color w:val="auto"/>
        </w:rPr>
        <w:t>The security policy also covers other security services consisting of secure car transportation, on-site residential security at the primary residence for each of Drs. Schleifer and Yancopoulos, and 24/7 personal security services for Drs. Schleifer and Yancopoulos. Such services are rendered by third-party providers and/or full-time employees of the Company depending on availability and time of day. The incremental costs of such services are calculated based on the methodology described below and exclude costs that the Company would have incurred in any event, such as the ordinary wages, taxes, and benefits of drivers that are employed full-time by the Company for business travel and the costs of security services provided at the Company’s offices during normal business hours. We generally calculate the incremental costs of such services based on (a) an assumed fuel cost per mile (based on then applicable standard mileage rates published by the Internal Revenue Service) times total miles traveled in connection with secure car transportation for personal travel or security services outside of the office; (b) the amount paid by the Company to the third-party providers of such services or any overtime wages of full-time employees of the Company attributed to such services based on the number of hours expended; and (c) the costs of leasing or renting vehicles dedicated to the provision of such services.</w:t>
      </w:r>
    </w:p>
    <w:p>
      <w:pPr>
        <w:spacing w:after="0" w:line="275" w:lineRule="exact"/>
        <w:rPr>
          <w:sz w:val="20"/>
          <w:szCs w:val="20"/>
          <w:color w:val="auto"/>
        </w:rPr>
      </w:pPr>
    </w:p>
    <w:p>
      <w:pPr>
        <w:ind w:right="280"/>
        <w:spacing w:after="0" w:line="257" w:lineRule="auto"/>
        <w:rPr>
          <w:sz w:val="20"/>
          <w:szCs w:val="20"/>
          <w:color w:val="auto"/>
        </w:rPr>
      </w:pPr>
      <w:r>
        <w:rPr>
          <w:rFonts w:ascii="Arial" w:cs="Arial" w:eastAsia="Arial" w:hAnsi="Arial"/>
          <w:sz w:val="14"/>
          <w:szCs w:val="14"/>
          <w:color w:val="auto"/>
        </w:rPr>
        <w:t>Amounts associated with personal or guest Company-provided air transportation and other security services are imputed as income to the NEOs to the extent required by applicable tax regulations. The NEOs do not receive a tax gross-up from us to cover their personal income tax obligations in respect of any such imputed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93</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39" w:lineRule="exact"/>
        <w:rPr>
          <w:sz w:val="20"/>
          <w:szCs w:val="20"/>
          <w:color w:val="auto"/>
        </w:rPr>
      </w:pPr>
    </w:p>
    <w:p>
      <w:pPr>
        <w:ind w:left="10" w:right="220"/>
        <w:spacing w:after="0" w:line="246" w:lineRule="auto"/>
        <w:rPr>
          <w:sz w:val="20"/>
          <w:szCs w:val="20"/>
          <w:color w:val="auto"/>
        </w:rPr>
      </w:pPr>
      <w:r>
        <w:rPr>
          <w:rFonts w:ascii="Arial" w:cs="Arial" w:eastAsia="Arial" w:hAnsi="Arial"/>
          <w:sz w:val="14"/>
          <w:szCs w:val="14"/>
          <w:color w:val="auto"/>
        </w:rPr>
        <w:t>The amounts disclosed in the “All other compensation” column of the Summary Compensation Table relating to personal and guest use of Company-provided air transportation and other security services in accordance with our security policy attributable to Drs. Schleifer and Yancopoulos are based on the incremental cost resulting from such transportation/ services as described above.</w:t>
      </w:r>
    </w:p>
    <w:p>
      <w:pPr>
        <w:spacing w:after="0" w:line="135"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The Corporate Governance and Compliance Committee monitors business and any personal or guest Company-provided air travel on a periodic basis.</w:t>
      </w:r>
    </w:p>
    <w:p>
      <w:pPr>
        <w:spacing w:after="0" w:line="154" w:lineRule="exact"/>
        <w:rPr>
          <w:sz w:val="20"/>
          <w:szCs w:val="20"/>
          <w:color w:val="auto"/>
        </w:rPr>
      </w:pPr>
    </w:p>
    <w:p>
      <w:pPr>
        <w:ind w:left="10" w:right="20"/>
        <w:spacing w:after="0" w:line="283" w:lineRule="auto"/>
        <w:rPr>
          <w:sz w:val="20"/>
          <w:szCs w:val="20"/>
          <w:color w:val="auto"/>
        </w:rPr>
      </w:pPr>
      <w:r>
        <w:rPr>
          <w:rFonts w:ascii="Arial" w:cs="Arial" w:eastAsia="Arial" w:hAnsi="Arial"/>
          <w:sz w:val="12"/>
          <w:szCs w:val="12"/>
          <w:color w:val="auto"/>
        </w:rPr>
        <w:t>In 2023, we paid filing fees of $400,000 for each of Drs. Schleifer and Yancopoulos relating to Hart-Scott-Rodino (“HSR”) filings, as well as tax reimbursements of $417,160 to each of Drs. Schleifer and Yancopoulos to cover their imputed income associated with the filing fee payments. Each filing (along with the associated filing fee) was triggered under the HSR regulations as a result of their respective then-current and anticipated future total holdings of Regeneron stock exceeding a specified threshold. The Compensation Committee determined it appropriate to pay these amounts because the HSR filing obligations resulted from equity awards granted to Drs. Schleifer and Yancopoulos under the Company’s compensation program and the price appreciation in Regeneron stock acquired by Drs. Schleifer and Yancopoulos over a period of time during which they made substantial contributions toward such appreciation. The Compensation Committee also recognized that Regeneron had required Drs. Schleifer and Yancopoulos (as well as other senior executives) to hold Regeneron stock under the Company’s stock ownership guidelines and encouraged alignment of their interests with those of Regeneron’s shareholders through share ownership. Finally, the Compensation Committee recognized that the Company’s payment of these amounts was consistent with the Company’s past practice with respect to HSR filings required to be filed by Company executives and/or directors.</w:t>
      </w:r>
    </w:p>
    <w:p>
      <w:pPr>
        <w:spacing w:after="0" w:line="117" w:lineRule="exact"/>
        <w:rPr>
          <w:sz w:val="20"/>
          <w:szCs w:val="20"/>
          <w:color w:val="auto"/>
        </w:rPr>
      </w:pPr>
    </w:p>
    <w:p>
      <w:pPr>
        <w:ind w:left="10" w:right="40"/>
        <w:spacing w:after="0" w:line="257" w:lineRule="auto"/>
        <w:rPr>
          <w:sz w:val="20"/>
          <w:szCs w:val="20"/>
          <w:color w:val="auto"/>
        </w:rPr>
      </w:pPr>
      <w:r>
        <w:rPr>
          <w:rFonts w:ascii="Arial" w:cs="Arial" w:eastAsia="Arial" w:hAnsi="Arial"/>
          <w:sz w:val="14"/>
          <w:szCs w:val="14"/>
          <w:color w:val="auto"/>
        </w:rPr>
        <w:t>Additional information regarding perquisites and other personal benefits provided to our NEOs in, or with respect to, 2023 is given in the applicable footnotes to the Summary Compensation Table included in this proxy statement.</w:t>
      </w:r>
    </w:p>
    <w:p>
      <w:pPr>
        <w:spacing w:after="0" w:line="219"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Potential Severance Payments</w:t>
      </w:r>
    </w:p>
    <w:p>
      <w:pPr>
        <w:spacing w:after="0" w:line="174" w:lineRule="exact"/>
        <w:rPr>
          <w:sz w:val="20"/>
          <w:szCs w:val="20"/>
          <w:color w:val="auto"/>
        </w:rPr>
      </w:pPr>
    </w:p>
    <w:p>
      <w:pPr>
        <w:ind w:left="10" w:right="140"/>
        <w:spacing w:after="0" w:line="213" w:lineRule="auto"/>
        <w:rPr>
          <w:sz w:val="20"/>
          <w:szCs w:val="20"/>
          <w:color w:val="auto"/>
        </w:rPr>
      </w:pPr>
      <w:r>
        <w:rPr>
          <w:rFonts w:ascii="Arial" w:cs="Arial" w:eastAsia="Arial" w:hAnsi="Arial"/>
          <w:sz w:val="14"/>
          <w:szCs w:val="14"/>
          <w:color w:val="auto"/>
        </w:rPr>
        <w:t>Except for the 2020 PSU award agreements,</w:t>
      </w:r>
      <w:r>
        <w:rPr>
          <w:rFonts w:ascii="Arial" w:cs="Arial" w:eastAsia="Arial" w:hAnsi="Arial"/>
          <w:sz w:val="22"/>
          <w:szCs w:val="22"/>
          <w:color w:val="auto"/>
          <w:vertAlign w:val="superscript"/>
        </w:rPr>
        <w:t>5</w:t>
      </w:r>
      <w:r>
        <w:rPr>
          <w:rFonts w:ascii="Arial" w:cs="Arial" w:eastAsia="Arial" w:hAnsi="Arial"/>
          <w:sz w:val="14"/>
          <w:szCs w:val="14"/>
          <w:color w:val="auto"/>
        </w:rPr>
        <w:t xml:space="preserve"> outstanding equity award agreements for all employees include a “double trigger” provision for the acceleration of vesting of unvested equity awards upon a termination by the Company without cause or by the employee for good reason within two years following a change in control.</w:t>
      </w:r>
    </w:p>
    <w:p>
      <w:pPr>
        <w:spacing w:after="0" w:line="139" w:lineRule="exact"/>
        <w:rPr>
          <w:sz w:val="20"/>
          <w:szCs w:val="20"/>
          <w:color w:val="auto"/>
        </w:rPr>
      </w:pPr>
    </w:p>
    <w:p>
      <w:pPr>
        <w:ind w:left="10"/>
        <w:spacing w:after="0" w:line="287" w:lineRule="auto"/>
        <w:rPr>
          <w:sz w:val="20"/>
          <w:szCs w:val="20"/>
          <w:color w:val="auto"/>
        </w:rPr>
      </w:pPr>
      <w:r>
        <w:rPr>
          <w:rFonts w:ascii="Arial" w:cs="Arial" w:eastAsia="Arial" w:hAnsi="Arial"/>
          <w:sz w:val="12"/>
          <w:szCs w:val="12"/>
          <w:color w:val="auto"/>
        </w:rPr>
        <w:t>Our CEO has an employment agreement that provides for certain severance benefits following termination, including following death or disability, resignation following defined “good reason” events, or termination in connection with a change in control. The other NEOs are covered by a change in control severance plan, which provides certain benefits to them and other designated officers if they are terminated in connection with a change in control. In addition, in the case of our CSO, stock option, RSA, and PSU award agreements applicable to his awards provide that he would have a “good reason” for terminating his employment with Regeneron upon or within two years after the occurrence of a change in control if the employment of our CEO has ended due to our CEO’s involuntary termination (as defined in the CEO’s employment agreement). Information regarding applicable payments under this employment agreement and change in control severance plan is provided in the subsection “2023 Executive Compensation Tables—Post-Employment Compensation.”</w:t>
      </w:r>
    </w:p>
    <w:p>
      <w:pPr>
        <w:spacing w:after="0" w:line="113" w:lineRule="exact"/>
        <w:rPr>
          <w:sz w:val="20"/>
          <w:szCs w:val="20"/>
          <w:color w:val="auto"/>
        </w:rPr>
      </w:pPr>
    </w:p>
    <w:p>
      <w:pPr>
        <w:ind w:left="10" w:right="20"/>
        <w:spacing w:after="0" w:line="238" w:lineRule="auto"/>
        <w:rPr>
          <w:sz w:val="20"/>
          <w:szCs w:val="20"/>
          <w:color w:val="auto"/>
        </w:rPr>
      </w:pPr>
      <w:r>
        <w:rPr>
          <w:rFonts w:ascii="Arial" w:cs="Arial" w:eastAsia="Arial" w:hAnsi="Arial"/>
          <w:sz w:val="14"/>
          <w:szCs w:val="14"/>
          <w:color w:val="auto"/>
        </w:rPr>
        <w:t>Our NEOs will forfeit any unvested stock options or RSAs upon the termination of their employment for any reason (including disability or retirement) other than death, except as provided in our employment agreement with our CEO, in our change in control severance plan, and in certain stock option agreements with our CSO. In the event of the death of an employee, any unvested stock options held by such employee become immediately exercisable, and any shares subject to RSAs/RSUs will become fully vested. In the case of the 2020 PSU awards to our CEO and CSO, upon a termination of employment due to death or disability, the PSU award will remain outstanding, and any vesting of the PSUs will be determined following the completion of the applicable performance period. For information regarding the value of accelerated stock options, RSAs, and PSUs held by our CEO and other NEOs (as applicable) as of December 31, 2023, see the subsection “2023 Executive Compensation Tables—Post-Employment Compensation” under “Value of Accelerated PSUs” in the table entitled “Potential Severance Payments under Dr. Schleifer’s Employment Agreement” (for our CEO) and under “Value of Accelerated Stock Options/RSAs/PSUs” in the table entitled “Potential Payments under Change in Control Severance Plan” (for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155180"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80" w:lineRule="exact"/>
        <w:rPr>
          <w:sz w:val="20"/>
          <w:szCs w:val="20"/>
          <w:color w:val="auto"/>
        </w:rPr>
      </w:pPr>
    </w:p>
    <w:p>
      <w:pPr>
        <w:ind w:left="270" w:right="20" w:hanging="270"/>
        <w:spacing w:after="0" w:line="191" w:lineRule="auto"/>
        <w:tabs>
          <w:tab w:leader="none" w:pos="270" w:val="left"/>
        </w:tabs>
        <w:numPr>
          <w:ilvl w:val="0"/>
          <w:numId w:val="180"/>
        </w:numPr>
        <w:rPr>
          <w:rFonts w:ascii="Arial" w:cs="Arial" w:eastAsia="Arial" w:hAnsi="Arial"/>
          <w:sz w:val="20"/>
          <w:szCs w:val="20"/>
          <w:color w:val="auto"/>
          <w:vertAlign w:val="superscript"/>
        </w:rPr>
      </w:pPr>
      <w:r>
        <w:rPr>
          <w:rFonts w:ascii="Arial" w:cs="Arial" w:eastAsia="Arial" w:hAnsi="Arial"/>
          <w:sz w:val="12"/>
          <w:szCs w:val="12"/>
          <w:color w:val="auto"/>
        </w:rPr>
        <w:t>In the case of these PSUs (granted to our CEO and CSO), if there is a change in control, earnout is measured as of the date of the change in control (using the applicable transaction price as the ending stock price), and all PSUs earned as of that date vest with no Holding Period and any unearned PSUs are forfeited immediately.</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94</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05" w:name="page106"/>
    <w:bookmarkEnd w:id="105"/>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39" w:lineRule="exact"/>
        <w:rPr>
          <w:sz w:val="20"/>
          <w:szCs w:val="20"/>
          <w:color w:val="auto"/>
        </w:rPr>
      </w:pPr>
    </w:p>
    <w:p>
      <w:pPr>
        <w:ind w:left="10" w:right="180"/>
        <w:spacing w:after="0" w:line="296" w:lineRule="auto"/>
        <w:rPr>
          <w:sz w:val="20"/>
          <w:szCs w:val="20"/>
          <w:color w:val="auto"/>
        </w:rPr>
      </w:pPr>
      <w:r>
        <w:rPr>
          <w:rFonts w:ascii="Arial" w:cs="Arial" w:eastAsia="Arial" w:hAnsi="Arial"/>
          <w:sz w:val="12"/>
          <w:szCs w:val="12"/>
          <w:color w:val="auto"/>
        </w:rPr>
        <w:t>Except as provided below, when employees retire, they forfeit all unvested stock options, RSAs, and PSUs, including the PSUs granted to our CEO and CSO in 2020. An employee considered “retirement eligible” upon separation under our employee policies as in effect from time to time has the remaining life of the 10-year stock option term to exercise stock options that are vested as of the date of his or her retirement. In addition, in the case of stock option award agreements with our CEO (as provided in his employment agreement) and our CSO, awards thereunder will continue to vest in accordance with the terms of the applicable award agreement so long as they are “retirement eligible” upon separation.</w:t>
      </w:r>
    </w:p>
    <w:p>
      <w:pPr>
        <w:spacing w:after="0" w:line="107" w:lineRule="exact"/>
        <w:rPr>
          <w:sz w:val="20"/>
          <w:szCs w:val="20"/>
          <w:color w:val="auto"/>
        </w:rPr>
      </w:pPr>
    </w:p>
    <w:p>
      <w:pPr>
        <w:ind w:left="10"/>
        <w:spacing w:after="0" w:line="238" w:lineRule="auto"/>
        <w:rPr>
          <w:sz w:val="20"/>
          <w:szCs w:val="20"/>
          <w:color w:val="auto"/>
        </w:rPr>
      </w:pPr>
      <w:r>
        <w:rPr>
          <w:rFonts w:ascii="Arial" w:cs="Arial" w:eastAsia="Arial" w:hAnsi="Arial"/>
          <w:sz w:val="14"/>
          <w:szCs w:val="14"/>
          <w:color w:val="auto"/>
        </w:rPr>
        <w:t>The award agreements for the 2020 PSU awards to our CEO and CSO provide that if the recipient’s employment with the Company is terminated without Cause or the recipient leaves his employment with the Company for a Good Reason (each as defined in or incorporated by reference into the Second Amended and Restated Regeneron Pharmaceuticals, Inc. 2014 Long-Term Incentive Plan or the award agreement), earnout is measured as of termination and all PSUs earned as of that date vest and remain subject to a mandatory deferral and holding period of three years after vesting. In this circumstance, PSUs not earned as of such termination date have 12 additional months to be earned and, to the extent earned, will vest on the fifth anniversary of the grant date or the first anniversary of the termination, whichever comes first (with the holding period beginning upon such vesting). Unearned PSUs are forfeited at the end of the 12 months. See the table entitled “Potential Severance Payments under Dr. Schleifer’s Employment Agreement” in the subsection “2023 Executive Compensation Tables—Post-Employment Compensation” for the value of accelerated 2020 PSU awards to our CEO under such a termination scenario as of December 31, 2023 (which value would be the same in respect of the 2020 PSU awards to our CSO under a corresponding termination scenario).</w:t>
      </w:r>
    </w:p>
    <w:p>
      <w:pPr>
        <w:spacing w:after="0" w:line="141" w:lineRule="exact"/>
        <w:rPr>
          <w:sz w:val="20"/>
          <w:szCs w:val="20"/>
          <w:color w:val="auto"/>
        </w:rPr>
      </w:pPr>
    </w:p>
    <w:p>
      <w:pPr>
        <w:ind w:left="10" w:right="140"/>
        <w:spacing w:after="0" w:line="246" w:lineRule="auto"/>
        <w:rPr>
          <w:sz w:val="20"/>
          <w:szCs w:val="20"/>
          <w:color w:val="auto"/>
        </w:rPr>
      </w:pPr>
      <w:r>
        <w:rPr>
          <w:rFonts w:ascii="Arial" w:cs="Arial" w:eastAsia="Arial" w:hAnsi="Arial"/>
          <w:sz w:val="14"/>
          <w:szCs w:val="14"/>
          <w:color w:val="auto"/>
        </w:rPr>
        <w:t>The change-in-control severance benefits provided to our NEOs are designed to promote stability and continuity of our senior management and are intended to preserve employee morale and productivity and encourage retention in the face of the disruptive impact of an actual, threatened, or rumored change in control of the Company. These severance benefits were established following a review of comparable practices at the Company’s peer companies and with the advice of the Compensation Committee’s consultant.</w:t>
      </w:r>
    </w:p>
    <w:p>
      <w:pPr>
        <w:spacing w:after="0" w:line="135" w:lineRule="exact"/>
        <w:rPr>
          <w:sz w:val="20"/>
          <w:szCs w:val="20"/>
          <w:color w:val="auto"/>
        </w:rPr>
      </w:pPr>
    </w:p>
    <w:p>
      <w:pPr>
        <w:ind w:left="10"/>
        <w:spacing w:after="0"/>
        <w:rPr>
          <w:sz w:val="20"/>
          <w:szCs w:val="20"/>
          <w:color w:val="auto"/>
        </w:rPr>
      </w:pPr>
      <w:r>
        <w:rPr>
          <w:rFonts w:ascii="Arial" w:cs="Arial" w:eastAsia="Arial" w:hAnsi="Arial"/>
          <w:sz w:val="14"/>
          <w:szCs w:val="14"/>
          <w:color w:val="auto"/>
        </w:rPr>
        <w:t>We have no pension, deferred compensation, or retirement plans applicable to our NEOs, other than our 401(k) Savings Plan described above.</w:t>
      </w:r>
    </w:p>
    <w:p>
      <w:pPr>
        <w:spacing w:after="0" w:line="245"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Pay Ratio</w:t>
      </w:r>
    </w:p>
    <w:p>
      <w:pPr>
        <w:spacing w:after="0" w:line="174" w:lineRule="exact"/>
        <w:rPr>
          <w:sz w:val="20"/>
          <w:szCs w:val="20"/>
          <w:color w:val="auto"/>
        </w:rPr>
      </w:pPr>
    </w:p>
    <w:p>
      <w:pPr>
        <w:ind w:left="10" w:right="80"/>
        <w:spacing w:after="0" w:line="246" w:lineRule="auto"/>
        <w:rPr>
          <w:sz w:val="20"/>
          <w:szCs w:val="20"/>
          <w:color w:val="auto"/>
        </w:rPr>
      </w:pPr>
      <w:r>
        <w:rPr>
          <w:rFonts w:ascii="Arial" w:cs="Arial" w:eastAsia="Arial" w:hAnsi="Arial"/>
          <w:sz w:val="14"/>
          <w:szCs w:val="14"/>
          <w:color w:val="auto"/>
        </w:rPr>
        <w:t>As required by Section 953(b) of the Dodd-Frank Wall Street Reform and Consumer Protection Act and Item 402(u) of Regulation S-K, we are required to disclose the median of the annual total compensation of our employees (excluding our principal executive officer), the annual total compensation of our principal executive officer, Dr. Schleifer, and the ratio of these two amounts.</w:t>
      </w:r>
    </w:p>
    <w:p>
      <w:pPr>
        <w:spacing w:after="0" w:line="135" w:lineRule="exact"/>
        <w:rPr>
          <w:sz w:val="20"/>
          <w:szCs w:val="20"/>
          <w:color w:val="auto"/>
        </w:rPr>
      </w:pPr>
    </w:p>
    <w:p>
      <w:pPr>
        <w:ind w:left="10" w:right="160"/>
        <w:spacing w:after="0" w:line="282" w:lineRule="auto"/>
        <w:rPr>
          <w:sz w:val="20"/>
          <w:szCs w:val="20"/>
          <w:color w:val="auto"/>
        </w:rPr>
      </w:pPr>
      <w:r>
        <w:rPr>
          <w:rFonts w:ascii="Arial" w:cs="Arial" w:eastAsia="Arial" w:hAnsi="Arial"/>
          <w:sz w:val="12"/>
          <w:szCs w:val="12"/>
          <w:color w:val="auto"/>
        </w:rPr>
        <w:t>We have determined the total compensation of our median employee (based on the 2023 annual total compensation of our employees, excluding Dr. Schleifer) to be $165,843. The total 2023 compensation of Dr. Schleifer, as reported in the Summary Compensation Table above, was $8,184,338. Accordingly, the ratio of the 2023 annual total compensation of Dr. Schleifer</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4"/>
          <w:szCs w:val="14"/>
          <w:color w:val="auto"/>
        </w:rPr>
        <w:t>to the median of the 2023 annual total compensation of our employees was approximately 49 to 1.</w:t>
      </w:r>
      <w:r>
        <w:rPr>
          <w:rFonts w:ascii="Arial" w:cs="Arial" w:eastAsia="Arial" w:hAnsi="Arial"/>
          <w:sz w:val="22"/>
          <w:szCs w:val="22"/>
          <w:color w:val="auto"/>
          <w:vertAlign w:val="superscript"/>
        </w:rPr>
        <w:t>6</w:t>
      </w:r>
    </w:p>
    <w:p>
      <w:pPr>
        <w:spacing w:after="0" w:line="86" w:lineRule="exact"/>
        <w:rPr>
          <w:sz w:val="20"/>
          <w:szCs w:val="20"/>
          <w:color w:val="auto"/>
        </w:rPr>
      </w:pPr>
    </w:p>
    <w:p>
      <w:pPr>
        <w:ind w:left="10" w:right="20"/>
        <w:spacing w:after="0" w:line="296" w:lineRule="auto"/>
        <w:rPr>
          <w:sz w:val="20"/>
          <w:szCs w:val="20"/>
          <w:color w:val="auto"/>
        </w:rPr>
      </w:pPr>
      <w:r>
        <w:rPr>
          <w:rFonts w:ascii="Arial" w:cs="Arial" w:eastAsia="Arial" w:hAnsi="Arial"/>
          <w:sz w:val="12"/>
          <w:szCs w:val="12"/>
          <w:color w:val="auto"/>
        </w:rPr>
        <w:t>For 2023, we identified the median employee as of December 31, 2023 by (i) aggregating for each applicable employee (a) annual base salary for salaried employees (or wages plus overtime, based on annual work schedule, for permanent hourly employees), (b) the target annual cash incentive, and (c) the grant date fair value of any equity awards granted during 2023, and (ii) ranking this compensation measure from lowest to highest. This calculation was performed for all employees, excluding Dr. Schleifer, whether employed on a full-time, part-time, or seasonal basis. For purposes of identifying the median employee, we converted amounts paid in foreign currencies to U.S. dollars based on the applicable 2023 average exchange rate.</w:t>
      </w:r>
    </w:p>
    <w:p>
      <w:pPr>
        <w:spacing w:after="0" w:line="107" w:lineRule="exact"/>
        <w:rPr>
          <w:sz w:val="20"/>
          <w:szCs w:val="20"/>
          <w:color w:val="auto"/>
        </w:rPr>
      </w:pPr>
    </w:p>
    <w:p>
      <w:pPr>
        <w:ind w:left="10" w:right="160"/>
        <w:spacing w:after="0"/>
        <w:rPr>
          <w:sz w:val="20"/>
          <w:szCs w:val="20"/>
          <w:color w:val="auto"/>
        </w:rPr>
      </w:pPr>
      <w:r>
        <w:rPr>
          <w:rFonts w:ascii="Arial" w:cs="Arial" w:eastAsia="Arial" w:hAnsi="Arial"/>
          <w:sz w:val="14"/>
          <w:szCs w:val="14"/>
          <w:color w:val="auto"/>
        </w:rPr>
        <w:t>We believe that 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5518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9" w:lineRule="exact"/>
        <w:rPr>
          <w:sz w:val="20"/>
          <w:szCs w:val="20"/>
          <w:color w:val="auto"/>
        </w:rPr>
      </w:pPr>
    </w:p>
    <w:p>
      <w:pPr>
        <w:ind w:left="270" w:right="120" w:hanging="270"/>
        <w:spacing w:after="0" w:line="191" w:lineRule="auto"/>
        <w:tabs>
          <w:tab w:leader="none" w:pos="270" w:val="left"/>
        </w:tabs>
        <w:numPr>
          <w:ilvl w:val="0"/>
          <w:numId w:val="181"/>
        </w:numPr>
        <w:rPr>
          <w:rFonts w:ascii="Arial" w:cs="Arial" w:eastAsia="Arial" w:hAnsi="Arial"/>
          <w:sz w:val="20"/>
          <w:szCs w:val="20"/>
          <w:color w:val="auto"/>
          <w:vertAlign w:val="superscript"/>
        </w:rPr>
      </w:pPr>
      <w:r>
        <w:rPr>
          <w:rFonts w:ascii="Arial" w:cs="Arial" w:eastAsia="Arial" w:hAnsi="Arial"/>
          <w:sz w:val="12"/>
          <w:szCs w:val="12"/>
          <w:color w:val="auto"/>
        </w:rPr>
        <w:t>This ratio would have been approximately 206 to 1 if the five-year, front-loaded PSU award granted to Dr. Schleifer in 2020 in lieu of five years of annual equity awards (i.e., until the Company’s regular year-end grant cycle in December 2025) were annualized over such five-year period.</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95</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8" w:lineRule="exact"/>
        <w:rPr>
          <w:sz w:val="20"/>
          <w:szCs w:val="20"/>
          <w:color w:val="auto"/>
        </w:rPr>
      </w:pPr>
    </w:p>
    <w:p>
      <w:pPr>
        <w:ind w:left="10"/>
        <w:spacing w:after="0"/>
        <w:rPr>
          <w:sz w:val="20"/>
          <w:szCs w:val="20"/>
          <w:color w:val="auto"/>
        </w:rPr>
      </w:pPr>
      <w:r>
        <w:rPr>
          <w:rFonts w:ascii="Arial" w:cs="Arial" w:eastAsia="Arial" w:hAnsi="Arial"/>
          <w:sz w:val="21"/>
          <w:szCs w:val="21"/>
          <w:b w:val="1"/>
          <w:bCs w:val="1"/>
          <w:color w:val="D60058"/>
        </w:rPr>
        <w:t>Pay Versus Performance</w:t>
      </w:r>
    </w:p>
    <w:p>
      <w:pPr>
        <w:spacing w:after="0" w:line="174" w:lineRule="exact"/>
        <w:rPr>
          <w:sz w:val="20"/>
          <w:szCs w:val="20"/>
          <w:color w:val="auto"/>
        </w:rPr>
      </w:pPr>
    </w:p>
    <w:p>
      <w:pPr>
        <w:ind w:left="10" w:right="120"/>
        <w:spacing w:after="0" w:line="242" w:lineRule="auto"/>
        <w:rPr>
          <w:sz w:val="20"/>
          <w:szCs w:val="20"/>
          <w:color w:val="auto"/>
        </w:rPr>
      </w:pPr>
      <w:r>
        <w:rPr>
          <w:rFonts w:ascii="Arial" w:cs="Arial" w:eastAsia="Arial" w:hAnsi="Arial"/>
          <w:sz w:val="14"/>
          <w:szCs w:val="14"/>
          <w:color w:val="auto"/>
        </w:rPr>
        <w:t>As required by Item 402(v) of Regulation S-K, the following table and accompanying footnotes and discussion provide certain information regarding executive compensation and measures of Company performance for the years presented. Except where expressly stated, the information presented below was not considered by the Compensation Committee in structuring our executive compensation program for the years presented, and the reader should instead refer to the section “Compensation Discussion and Analysis” for a description of the philosophy, objectives, and structure of our pay program.</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620" w:type="dxa"/>
            <w:vAlign w:val="bottom"/>
            <w:tcBorders>
              <w:bottom w:val="single" w:sz="8" w:color="215AA8"/>
            </w:tcBorders>
          </w:tcPr>
          <w:p>
            <w:pPr>
              <w:jc w:val="center"/>
              <w:ind w:right="172"/>
              <w:spacing w:after="0"/>
              <w:rPr>
                <w:sz w:val="20"/>
                <w:szCs w:val="20"/>
                <w:color w:val="auto"/>
              </w:rPr>
            </w:pPr>
            <w:r>
              <w:rPr>
                <w:rFonts w:ascii="Arial" w:cs="Arial" w:eastAsia="Arial" w:hAnsi="Arial"/>
                <w:sz w:val="14"/>
                <w:szCs w:val="14"/>
                <w:color w:val="215AA8"/>
              </w:rPr>
              <w:t>A</w:t>
            </w:r>
          </w:p>
        </w:tc>
        <w:tc>
          <w:tcPr>
            <w:tcW w:w="1420" w:type="dxa"/>
            <w:vAlign w:val="bottom"/>
            <w:tcBorders>
              <w:bottom w:val="single" w:sz="8" w:color="215AA8"/>
            </w:tcBorders>
          </w:tcPr>
          <w:p>
            <w:pPr>
              <w:jc w:val="right"/>
              <w:ind w:right="612"/>
              <w:spacing w:after="0"/>
              <w:rPr>
                <w:sz w:val="20"/>
                <w:szCs w:val="20"/>
                <w:color w:val="auto"/>
              </w:rPr>
            </w:pPr>
            <w:r>
              <w:rPr>
                <w:rFonts w:ascii="Arial" w:cs="Arial" w:eastAsia="Arial" w:hAnsi="Arial"/>
                <w:sz w:val="14"/>
                <w:szCs w:val="14"/>
                <w:color w:val="215AA8"/>
              </w:rPr>
              <w:t>B</w:t>
            </w:r>
          </w:p>
        </w:tc>
        <w:tc>
          <w:tcPr>
            <w:tcW w:w="1580" w:type="dxa"/>
            <w:vAlign w:val="bottom"/>
            <w:tcBorders>
              <w:bottom w:val="single" w:sz="8" w:color="215AA8"/>
            </w:tcBorders>
          </w:tcPr>
          <w:p>
            <w:pPr>
              <w:jc w:val="right"/>
              <w:ind w:right="672"/>
              <w:spacing w:after="0"/>
              <w:rPr>
                <w:sz w:val="20"/>
                <w:szCs w:val="20"/>
                <w:color w:val="auto"/>
              </w:rPr>
            </w:pPr>
            <w:r>
              <w:rPr>
                <w:rFonts w:ascii="Arial" w:cs="Arial" w:eastAsia="Arial" w:hAnsi="Arial"/>
                <w:sz w:val="14"/>
                <w:szCs w:val="14"/>
                <w:color w:val="215AA8"/>
              </w:rPr>
              <w:t>C</w:t>
            </w:r>
          </w:p>
        </w:tc>
        <w:tc>
          <w:tcPr>
            <w:tcW w:w="1780" w:type="dxa"/>
            <w:vAlign w:val="bottom"/>
            <w:tcBorders>
              <w:bottom w:val="single" w:sz="8" w:color="215AA8"/>
            </w:tcBorders>
          </w:tcPr>
          <w:p>
            <w:pPr>
              <w:jc w:val="right"/>
              <w:ind w:right="772"/>
              <w:spacing w:after="0"/>
              <w:rPr>
                <w:sz w:val="20"/>
                <w:szCs w:val="20"/>
                <w:color w:val="auto"/>
              </w:rPr>
            </w:pPr>
            <w:r>
              <w:rPr>
                <w:rFonts w:ascii="Arial" w:cs="Arial" w:eastAsia="Arial" w:hAnsi="Arial"/>
                <w:sz w:val="14"/>
                <w:szCs w:val="14"/>
                <w:color w:val="215AA8"/>
              </w:rPr>
              <w:t>D</w:t>
            </w:r>
          </w:p>
        </w:tc>
        <w:tc>
          <w:tcPr>
            <w:tcW w:w="1580" w:type="dxa"/>
            <w:vAlign w:val="bottom"/>
            <w:tcBorders>
              <w:bottom w:val="single" w:sz="8" w:color="215AA8"/>
            </w:tcBorders>
          </w:tcPr>
          <w:p>
            <w:pPr>
              <w:jc w:val="right"/>
              <w:ind w:right="674"/>
              <w:spacing w:after="0"/>
              <w:rPr>
                <w:sz w:val="20"/>
                <w:szCs w:val="20"/>
                <w:color w:val="auto"/>
              </w:rPr>
            </w:pPr>
            <w:r>
              <w:rPr>
                <w:rFonts w:ascii="Arial" w:cs="Arial" w:eastAsia="Arial" w:hAnsi="Arial"/>
                <w:sz w:val="14"/>
                <w:szCs w:val="14"/>
                <w:color w:val="215AA8"/>
              </w:rPr>
              <w:t>E</w:t>
            </w:r>
          </w:p>
        </w:tc>
        <w:tc>
          <w:tcPr>
            <w:tcW w:w="860" w:type="dxa"/>
            <w:vAlign w:val="bottom"/>
            <w:tcBorders>
              <w:bottom w:val="single" w:sz="8" w:color="215AA8"/>
            </w:tcBorders>
          </w:tcPr>
          <w:p>
            <w:pPr>
              <w:jc w:val="right"/>
              <w:ind w:right="252"/>
              <w:spacing w:after="0"/>
              <w:rPr>
                <w:sz w:val="20"/>
                <w:szCs w:val="20"/>
                <w:color w:val="auto"/>
              </w:rPr>
            </w:pPr>
            <w:r>
              <w:rPr>
                <w:rFonts w:ascii="Arial" w:cs="Arial" w:eastAsia="Arial" w:hAnsi="Arial"/>
                <w:sz w:val="14"/>
                <w:szCs w:val="14"/>
                <w:color w:val="215AA8"/>
              </w:rPr>
              <w:t>F</w:t>
            </w:r>
          </w:p>
        </w:tc>
        <w:tc>
          <w:tcPr>
            <w:tcW w:w="1080" w:type="dxa"/>
            <w:vAlign w:val="bottom"/>
            <w:tcBorders>
              <w:bottom w:val="single" w:sz="8" w:color="215AA8"/>
            </w:tcBorders>
          </w:tcPr>
          <w:p>
            <w:pPr>
              <w:jc w:val="right"/>
              <w:ind w:right="512"/>
              <w:spacing w:after="0"/>
              <w:rPr>
                <w:sz w:val="20"/>
                <w:szCs w:val="20"/>
                <w:color w:val="auto"/>
              </w:rPr>
            </w:pPr>
            <w:r>
              <w:rPr>
                <w:rFonts w:ascii="Arial" w:cs="Arial" w:eastAsia="Arial" w:hAnsi="Arial"/>
                <w:sz w:val="14"/>
                <w:szCs w:val="14"/>
                <w:color w:val="215AA8"/>
              </w:rPr>
              <w:t>G</w:t>
            </w:r>
          </w:p>
        </w:tc>
        <w:tc>
          <w:tcPr>
            <w:tcW w:w="1440" w:type="dxa"/>
            <w:vAlign w:val="bottom"/>
            <w:tcBorders>
              <w:bottom w:val="single" w:sz="8" w:color="215AA8"/>
            </w:tcBorders>
          </w:tcPr>
          <w:p>
            <w:pPr>
              <w:jc w:val="center"/>
              <w:spacing w:after="0"/>
              <w:rPr>
                <w:sz w:val="20"/>
                <w:szCs w:val="20"/>
                <w:color w:val="auto"/>
              </w:rPr>
            </w:pPr>
            <w:r>
              <w:rPr>
                <w:rFonts w:ascii="Arial" w:cs="Arial" w:eastAsia="Arial" w:hAnsi="Arial"/>
                <w:sz w:val="14"/>
                <w:szCs w:val="14"/>
                <w:color w:val="215AA8"/>
                <w:w w:val="98"/>
              </w:rPr>
              <w:t>H</w:t>
            </w:r>
          </w:p>
        </w:tc>
        <w:tc>
          <w:tcPr>
            <w:tcW w:w="900" w:type="dxa"/>
            <w:vAlign w:val="bottom"/>
            <w:tcBorders>
              <w:bottom w:val="single" w:sz="8" w:color="215AA8"/>
            </w:tcBorders>
          </w:tcPr>
          <w:p>
            <w:pPr>
              <w:jc w:val="right"/>
              <w:ind w:right="252"/>
              <w:spacing w:after="0"/>
              <w:rPr>
                <w:sz w:val="20"/>
                <w:szCs w:val="20"/>
                <w:color w:val="auto"/>
              </w:rPr>
            </w:pPr>
            <w:r>
              <w:rPr>
                <w:rFonts w:ascii="Arial" w:cs="Arial" w:eastAsia="Arial" w:hAnsi="Arial"/>
                <w:sz w:val="14"/>
                <w:szCs w:val="14"/>
                <w:color w:val="215AA8"/>
              </w:rPr>
              <w:t>I</w:t>
            </w:r>
          </w:p>
        </w:tc>
      </w:tr>
      <w:tr>
        <w:trPr>
          <w:trHeight w:val="147"/>
        </w:trPr>
        <w:tc>
          <w:tcPr>
            <w:tcW w:w="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40" w:type="dxa"/>
            <w:vAlign w:val="bottom"/>
            <w:gridSpan w:val="2"/>
          </w:tcPr>
          <w:p>
            <w:pPr>
              <w:jc w:val="center"/>
              <w:spacing w:after="0" w:line="147" w:lineRule="exact"/>
              <w:rPr>
                <w:sz w:val="20"/>
                <w:szCs w:val="20"/>
                <w:color w:val="auto"/>
              </w:rPr>
            </w:pPr>
            <w:r>
              <w:rPr>
                <w:rFonts w:ascii="Arial" w:cs="Arial" w:eastAsia="Arial" w:hAnsi="Arial"/>
                <w:sz w:val="14"/>
                <w:szCs w:val="14"/>
                <w:color w:val="215AA8"/>
                <w:w w:val="95"/>
              </w:rPr>
              <w:t>Value of Initial Fixed</w:t>
            </w: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8"/>
        </w:trPr>
        <w:tc>
          <w:tcPr>
            <w:tcW w:w="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40" w:type="dxa"/>
            <w:vAlign w:val="bottom"/>
            <w:gridSpan w:val="2"/>
          </w:tcPr>
          <w:p>
            <w:pPr>
              <w:jc w:val="center"/>
              <w:spacing w:after="0" w:line="157" w:lineRule="exact"/>
              <w:rPr>
                <w:sz w:val="20"/>
                <w:szCs w:val="20"/>
                <w:color w:val="auto"/>
              </w:rPr>
            </w:pPr>
            <w:r>
              <w:rPr>
                <w:rFonts w:ascii="Arial" w:cs="Arial" w:eastAsia="Arial" w:hAnsi="Arial"/>
                <w:sz w:val="14"/>
                <w:szCs w:val="14"/>
                <w:color w:val="215AA8"/>
                <w:w w:val="96"/>
              </w:rPr>
              <w:t>$100 Investment</w:t>
            </w: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1"/>
        </w:trPr>
        <w:tc>
          <w:tcPr>
            <w:tcW w:w="620" w:type="dxa"/>
            <w:vAlign w:val="bottom"/>
            <w:tcBorders>
              <w:bottom w:val="single" w:sz="8" w:color="215AA8"/>
            </w:tcBorders>
          </w:tcPr>
          <w:p>
            <w:pPr>
              <w:spacing w:after="0"/>
              <w:rPr>
                <w:sz w:val="14"/>
                <w:szCs w:val="14"/>
                <w:color w:val="auto"/>
              </w:rPr>
            </w:pPr>
          </w:p>
        </w:tc>
        <w:tc>
          <w:tcPr>
            <w:tcW w:w="1420" w:type="dxa"/>
            <w:vAlign w:val="bottom"/>
            <w:tcBorders>
              <w:bottom w:val="single" w:sz="8" w:color="215AA8"/>
            </w:tcBorders>
          </w:tcPr>
          <w:p>
            <w:pPr>
              <w:spacing w:after="0"/>
              <w:rPr>
                <w:sz w:val="14"/>
                <w:szCs w:val="14"/>
                <w:color w:val="auto"/>
              </w:rPr>
            </w:pPr>
          </w:p>
        </w:tc>
        <w:tc>
          <w:tcPr>
            <w:tcW w:w="1580" w:type="dxa"/>
            <w:vAlign w:val="bottom"/>
            <w:tcBorders>
              <w:bottom w:val="single" w:sz="8" w:color="215AA8"/>
            </w:tcBorders>
          </w:tcPr>
          <w:p>
            <w:pPr>
              <w:spacing w:after="0"/>
              <w:rPr>
                <w:sz w:val="14"/>
                <w:szCs w:val="14"/>
                <w:color w:val="auto"/>
              </w:rPr>
            </w:pPr>
          </w:p>
        </w:tc>
        <w:tc>
          <w:tcPr>
            <w:tcW w:w="1780" w:type="dxa"/>
            <w:vAlign w:val="bottom"/>
            <w:tcBorders>
              <w:bottom w:val="single" w:sz="8" w:color="215AA8"/>
            </w:tcBorders>
          </w:tcPr>
          <w:p>
            <w:pPr>
              <w:spacing w:after="0"/>
              <w:rPr>
                <w:sz w:val="14"/>
                <w:szCs w:val="14"/>
                <w:color w:val="auto"/>
              </w:rPr>
            </w:pPr>
          </w:p>
        </w:tc>
        <w:tc>
          <w:tcPr>
            <w:tcW w:w="1580" w:type="dxa"/>
            <w:vAlign w:val="bottom"/>
            <w:tcBorders>
              <w:bottom w:val="single" w:sz="8" w:color="215AA8"/>
            </w:tcBorders>
          </w:tcPr>
          <w:p>
            <w:pPr>
              <w:spacing w:after="0"/>
              <w:rPr>
                <w:sz w:val="14"/>
                <w:szCs w:val="14"/>
                <w:color w:val="auto"/>
              </w:rPr>
            </w:pPr>
          </w:p>
        </w:tc>
        <w:tc>
          <w:tcPr>
            <w:tcW w:w="1940" w:type="dxa"/>
            <w:vAlign w:val="bottom"/>
            <w:tcBorders>
              <w:bottom w:val="single" w:sz="8" w:color="215AA8"/>
            </w:tcBorders>
            <w:gridSpan w:val="2"/>
          </w:tcPr>
          <w:p>
            <w:pPr>
              <w:jc w:val="center"/>
              <w:spacing w:after="0"/>
              <w:rPr>
                <w:sz w:val="20"/>
                <w:szCs w:val="20"/>
                <w:color w:val="auto"/>
              </w:rPr>
            </w:pPr>
            <w:r>
              <w:rPr>
                <w:rFonts w:ascii="Arial" w:cs="Arial" w:eastAsia="Arial" w:hAnsi="Arial"/>
                <w:sz w:val="14"/>
                <w:szCs w:val="14"/>
                <w:color w:val="215AA8"/>
                <w:w w:val="96"/>
              </w:rPr>
              <w:t>Based On:</w:t>
            </w:r>
          </w:p>
        </w:tc>
        <w:tc>
          <w:tcPr>
            <w:tcW w:w="1440" w:type="dxa"/>
            <w:vAlign w:val="bottom"/>
            <w:tcBorders>
              <w:bottom w:val="single" w:sz="8" w:color="215AA8"/>
            </w:tcBorders>
          </w:tcPr>
          <w:p>
            <w:pPr>
              <w:spacing w:after="0"/>
              <w:rPr>
                <w:sz w:val="14"/>
                <w:szCs w:val="14"/>
                <w:color w:val="auto"/>
              </w:rPr>
            </w:pPr>
          </w:p>
        </w:tc>
        <w:tc>
          <w:tcPr>
            <w:tcW w:w="900" w:type="dxa"/>
            <w:vAlign w:val="bottom"/>
            <w:tcBorders>
              <w:bottom w:val="single" w:sz="8" w:color="215AA8"/>
            </w:tcBorders>
          </w:tcPr>
          <w:p>
            <w:pPr>
              <w:spacing w:after="0"/>
              <w:rPr>
                <w:sz w:val="14"/>
                <w:szCs w:val="14"/>
                <w:color w:val="auto"/>
              </w:rPr>
            </w:pPr>
          </w:p>
        </w:tc>
      </w:tr>
      <w:tr>
        <w:trPr>
          <w:trHeight w:val="147"/>
        </w:trPr>
        <w:tc>
          <w:tcPr>
            <w:tcW w:w="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580" w:type="dxa"/>
            <w:vAlign w:val="bottom"/>
          </w:tcPr>
          <w:p>
            <w:pPr>
              <w:jc w:val="right"/>
              <w:ind w:right="214"/>
              <w:spacing w:after="0" w:line="147" w:lineRule="exact"/>
              <w:rPr>
                <w:sz w:val="20"/>
                <w:szCs w:val="20"/>
                <w:color w:val="auto"/>
              </w:rPr>
            </w:pPr>
            <w:r>
              <w:rPr>
                <w:rFonts w:ascii="Arial" w:cs="Arial" w:eastAsia="Arial" w:hAnsi="Arial"/>
                <w:sz w:val="14"/>
                <w:szCs w:val="14"/>
                <w:color w:val="215AA8"/>
              </w:rPr>
              <w:t>Average</w:t>
            </w: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8"/>
        </w:trPr>
        <w:tc>
          <w:tcPr>
            <w:tcW w:w="620" w:type="dxa"/>
            <w:vAlign w:val="bottom"/>
          </w:tcPr>
          <w:p>
            <w:pPr>
              <w:spacing w:after="0"/>
              <w:rPr>
                <w:sz w:val="13"/>
                <w:szCs w:val="13"/>
                <w:color w:val="auto"/>
              </w:rPr>
            </w:pPr>
          </w:p>
        </w:tc>
        <w:tc>
          <w:tcPr>
            <w:tcW w:w="1420" w:type="dxa"/>
            <w:vAlign w:val="bottom"/>
          </w:tcPr>
          <w:p>
            <w:pPr>
              <w:jc w:val="right"/>
              <w:ind w:right="212"/>
              <w:spacing w:after="0" w:line="157" w:lineRule="exact"/>
              <w:rPr>
                <w:sz w:val="20"/>
                <w:szCs w:val="20"/>
                <w:color w:val="auto"/>
              </w:rPr>
            </w:pPr>
            <w:r>
              <w:rPr>
                <w:rFonts w:ascii="Arial" w:cs="Arial" w:eastAsia="Arial" w:hAnsi="Arial"/>
                <w:sz w:val="14"/>
                <w:szCs w:val="14"/>
                <w:color w:val="215AA8"/>
              </w:rPr>
              <w:t>Summary</w:t>
            </w:r>
          </w:p>
        </w:tc>
        <w:tc>
          <w:tcPr>
            <w:tcW w:w="1580" w:type="dxa"/>
            <w:vAlign w:val="bottom"/>
          </w:tcPr>
          <w:p>
            <w:pPr>
              <w:spacing w:after="0"/>
              <w:rPr>
                <w:sz w:val="13"/>
                <w:szCs w:val="13"/>
                <w:color w:val="auto"/>
              </w:rPr>
            </w:pPr>
          </w:p>
        </w:tc>
        <w:tc>
          <w:tcPr>
            <w:tcW w:w="1780" w:type="dxa"/>
            <w:vAlign w:val="bottom"/>
          </w:tcPr>
          <w:p>
            <w:pPr>
              <w:jc w:val="right"/>
              <w:ind w:right="212"/>
              <w:spacing w:after="0" w:line="157" w:lineRule="exact"/>
              <w:rPr>
                <w:sz w:val="20"/>
                <w:szCs w:val="20"/>
                <w:color w:val="auto"/>
              </w:rPr>
            </w:pPr>
            <w:r>
              <w:rPr>
                <w:rFonts w:ascii="Arial" w:cs="Arial" w:eastAsia="Arial" w:hAnsi="Arial"/>
                <w:sz w:val="14"/>
                <w:szCs w:val="14"/>
                <w:color w:val="215AA8"/>
              </w:rPr>
              <w:t>Average Summary</w:t>
            </w:r>
          </w:p>
        </w:tc>
        <w:tc>
          <w:tcPr>
            <w:tcW w:w="1580" w:type="dxa"/>
            <w:vAlign w:val="bottom"/>
          </w:tcPr>
          <w:p>
            <w:pPr>
              <w:jc w:val="right"/>
              <w:ind w:right="214"/>
              <w:spacing w:after="0" w:line="157" w:lineRule="exact"/>
              <w:rPr>
                <w:sz w:val="20"/>
                <w:szCs w:val="20"/>
                <w:color w:val="auto"/>
              </w:rPr>
            </w:pPr>
            <w:r>
              <w:rPr>
                <w:rFonts w:ascii="Arial" w:cs="Arial" w:eastAsia="Arial" w:hAnsi="Arial"/>
                <w:sz w:val="14"/>
                <w:szCs w:val="14"/>
                <w:color w:val="215AA8"/>
              </w:rPr>
              <w:t>Compensation</w:t>
            </w: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8"/>
        </w:trPr>
        <w:tc>
          <w:tcPr>
            <w:tcW w:w="620" w:type="dxa"/>
            <w:vAlign w:val="bottom"/>
          </w:tcPr>
          <w:p>
            <w:pPr>
              <w:spacing w:after="0"/>
              <w:rPr>
                <w:sz w:val="13"/>
                <w:szCs w:val="13"/>
                <w:color w:val="auto"/>
              </w:rPr>
            </w:pPr>
          </w:p>
        </w:tc>
        <w:tc>
          <w:tcPr>
            <w:tcW w:w="1420" w:type="dxa"/>
            <w:vAlign w:val="bottom"/>
          </w:tcPr>
          <w:p>
            <w:pPr>
              <w:jc w:val="right"/>
              <w:ind w:right="212"/>
              <w:spacing w:after="0" w:line="157" w:lineRule="exact"/>
              <w:rPr>
                <w:sz w:val="20"/>
                <w:szCs w:val="20"/>
                <w:color w:val="auto"/>
              </w:rPr>
            </w:pPr>
            <w:r>
              <w:rPr>
                <w:rFonts w:ascii="Arial" w:cs="Arial" w:eastAsia="Arial" w:hAnsi="Arial"/>
                <w:sz w:val="14"/>
                <w:szCs w:val="14"/>
                <w:color w:val="215AA8"/>
              </w:rPr>
              <w:t>Compensation</w:t>
            </w:r>
          </w:p>
        </w:tc>
        <w:tc>
          <w:tcPr>
            <w:tcW w:w="1580" w:type="dxa"/>
            <w:vAlign w:val="bottom"/>
          </w:tcPr>
          <w:p>
            <w:pPr>
              <w:jc w:val="right"/>
              <w:ind w:right="212"/>
              <w:spacing w:after="0" w:line="157" w:lineRule="exact"/>
              <w:rPr>
                <w:sz w:val="20"/>
                <w:szCs w:val="20"/>
                <w:color w:val="auto"/>
              </w:rPr>
            </w:pPr>
            <w:r>
              <w:rPr>
                <w:rFonts w:ascii="Arial" w:cs="Arial" w:eastAsia="Arial" w:hAnsi="Arial"/>
                <w:sz w:val="14"/>
                <w:szCs w:val="14"/>
                <w:color w:val="215AA8"/>
              </w:rPr>
              <w:t>Compensation</w:t>
            </w:r>
          </w:p>
        </w:tc>
        <w:tc>
          <w:tcPr>
            <w:tcW w:w="1780" w:type="dxa"/>
            <w:vAlign w:val="bottom"/>
          </w:tcPr>
          <w:p>
            <w:pPr>
              <w:jc w:val="right"/>
              <w:ind w:right="212"/>
              <w:spacing w:after="0" w:line="157" w:lineRule="exact"/>
              <w:rPr>
                <w:sz w:val="20"/>
                <w:szCs w:val="20"/>
                <w:color w:val="auto"/>
              </w:rPr>
            </w:pPr>
            <w:r>
              <w:rPr>
                <w:rFonts w:ascii="Arial" w:cs="Arial" w:eastAsia="Arial" w:hAnsi="Arial"/>
                <w:sz w:val="14"/>
                <w:szCs w:val="14"/>
                <w:color w:val="215AA8"/>
              </w:rPr>
              <w:t>Compensation Table</w:t>
            </w:r>
          </w:p>
        </w:tc>
        <w:tc>
          <w:tcPr>
            <w:tcW w:w="1580" w:type="dxa"/>
            <w:vAlign w:val="bottom"/>
          </w:tcPr>
          <w:p>
            <w:pPr>
              <w:jc w:val="right"/>
              <w:ind w:right="214"/>
              <w:spacing w:after="0" w:line="157" w:lineRule="exact"/>
              <w:rPr>
                <w:sz w:val="20"/>
                <w:szCs w:val="20"/>
                <w:color w:val="auto"/>
              </w:rPr>
            </w:pPr>
            <w:r>
              <w:rPr>
                <w:rFonts w:ascii="Arial" w:cs="Arial" w:eastAsia="Arial" w:hAnsi="Arial"/>
                <w:sz w:val="14"/>
                <w:szCs w:val="14"/>
                <w:color w:val="215AA8"/>
              </w:rPr>
              <w:t>“Actually Paid” to</w:t>
            </w: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620" w:type="dxa"/>
            <w:vAlign w:val="bottom"/>
          </w:tcPr>
          <w:p>
            <w:pPr>
              <w:spacing w:after="0"/>
              <w:rPr>
                <w:sz w:val="13"/>
                <w:szCs w:val="13"/>
                <w:color w:val="auto"/>
              </w:rPr>
            </w:pPr>
          </w:p>
        </w:tc>
        <w:tc>
          <w:tcPr>
            <w:tcW w:w="1420" w:type="dxa"/>
            <w:vAlign w:val="bottom"/>
          </w:tcPr>
          <w:p>
            <w:pPr>
              <w:jc w:val="right"/>
              <w:ind w:right="212"/>
              <w:spacing w:after="0" w:line="157" w:lineRule="exact"/>
              <w:rPr>
                <w:sz w:val="20"/>
                <w:szCs w:val="20"/>
                <w:color w:val="auto"/>
              </w:rPr>
            </w:pPr>
            <w:r>
              <w:rPr>
                <w:rFonts w:ascii="Arial" w:cs="Arial" w:eastAsia="Arial" w:hAnsi="Arial"/>
                <w:sz w:val="14"/>
                <w:szCs w:val="14"/>
                <w:color w:val="215AA8"/>
              </w:rPr>
              <w:t>Table Total for</w:t>
            </w:r>
          </w:p>
        </w:tc>
        <w:tc>
          <w:tcPr>
            <w:tcW w:w="1580" w:type="dxa"/>
            <w:vAlign w:val="bottom"/>
          </w:tcPr>
          <w:p>
            <w:pPr>
              <w:jc w:val="right"/>
              <w:ind w:right="212"/>
              <w:spacing w:after="0" w:line="157" w:lineRule="exact"/>
              <w:rPr>
                <w:sz w:val="20"/>
                <w:szCs w:val="20"/>
                <w:color w:val="auto"/>
              </w:rPr>
            </w:pPr>
            <w:r>
              <w:rPr>
                <w:rFonts w:ascii="Arial" w:cs="Arial" w:eastAsia="Arial" w:hAnsi="Arial"/>
                <w:sz w:val="14"/>
                <w:szCs w:val="14"/>
                <w:color w:val="215AA8"/>
              </w:rPr>
              <w:t>“Actually Paid” to</w:t>
            </w:r>
          </w:p>
        </w:tc>
        <w:tc>
          <w:tcPr>
            <w:tcW w:w="1780" w:type="dxa"/>
            <w:vAlign w:val="bottom"/>
          </w:tcPr>
          <w:p>
            <w:pPr>
              <w:jc w:val="right"/>
              <w:ind w:right="212"/>
              <w:spacing w:after="0" w:line="157" w:lineRule="exact"/>
              <w:rPr>
                <w:sz w:val="20"/>
                <w:szCs w:val="20"/>
                <w:color w:val="auto"/>
              </w:rPr>
            </w:pPr>
            <w:r>
              <w:rPr>
                <w:rFonts w:ascii="Arial" w:cs="Arial" w:eastAsia="Arial" w:hAnsi="Arial"/>
                <w:sz w:val="14"/>
                <w:szCs w:val="14"/>
                <w:color w:val="215AA8"/>
              </w:rPr>
              <w:t>Total for Non-PEO</w:t>
            </w:r>
          </w:p>
        </w:tc>
        <w:tc>
          <w:tcPr>
            <w:tcW w:w="1580" w:type="dxa"/>
            <w:vAlign w:val="bottom"/>
          </w:tcPr>
          <w:p>
            <w:pPr>
              <w:jc w:val="right"/>
              <w:ind w:right="214"/>
              <w:spacing w:after="0" w:line="157" w:lineRule="exact"/>
              <w:rPr>
                <w:sz w:val="20"/>
                <w:szCs w:val="20"/>
                <w:color w:val="auto"/>
              </w:rPr>
            </w:pPr>
            <w:r>
              <w:rPr>
                <w:rFonts w:ascii="Arial" w:cs="Arial" w:eastAsia="Arial" w:hAnsi="Arial"/>
                <w:sz w:val="14"/>
                <w:szCs w:val="14"/>
                <w:color w:val="215AA8"/>
              </w:rPr>
              <w:t>Non-PEO NEOs</w:t>
            </w:r>
          </w:p>
        </w:tc>
        <w:tc>
          <w:tcPr>
            <w:tcW w:w="860" w:type="dxa"/>
            <w:vAlign w:val="bottom"/>
          </w:tcPr>
          <w:p>
            <w:pPr>
              <w:spacing w:after="0"/>
              <w:rPr>
                <w:sz w:val="13"/>
                <w:szCs w:val="13"/>
                <w:color w:val="auto"/>
              </w:rPr>
            </w:pPr>
          </w:p>
        </w:tc>
        <w:tc>
          <w:tcPr>
            <w:tcW w:w="1080" w:type="dxa"/>
            <w:vAlign w:val="bottom"/>
          </w:tcPr>
          <w:p>
            <w:pPr>
              <w:jc w:val="right"/>
              <w:ind w:right="212"/>
              <w:spacing w:after="0" w:line="157" w:lineRule="exact"/>
              <w:rPr>
                <w:sz w:val="20"/>
                <w:szCs w:val="20"/>
                <w:color w:val="auto"/>
              </w:rPr>
            </w:pPr>
            <w:r>
              <w:rPr>
                <w:rFonts w:ascii="Arial" w:cs="Arial" w:eastAsia="Arial" w:hAnsi="Arial"/>
                <w:sz w:val="14"/>
                <w:szCs w:val="14"/>
                <w:color w:val="215AA8"/>
              </w:rPr>
              <w:t>Peer Group</w:t>
            </w:r>
          </w:p>
        </w:tc>
        <w:tc>
          <w:tcPr>
            <w:tcW w:w="144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215AA8"/>
              </w:rPr>
              <w:t>Stock</w:t>
            </w:r>
          </w:p>
        </w:tc>
      </w:tr>
      <w:tr>
        <w:trPr>
          <w:trHeight w:val="204"/>
        </w:trPr>
        <w:tc>
          <w:tcPr>
            <w:tcW w:w="620" w:type="dxa"/>
            <w:vAlign w:val="bottom"/>
            <w:tcBorders>
              <w:bottom w:val="single" w:sz="8" w:color="215AA8"/>
            </w:tcBorders>
          </w:tcPr>
          <w:p>
            <w:pPr>
              <w:jc w:val="center"/>
              <w:ind w:right="212"/>
              <w:spacing w:after="0"/>
              <w:rPr>
                <w:sz w:val="20"/>
                <w:szCs w:val="20"/>
                <w:color w:val="auto"/>
              </w:rPr>
            </w:pPr>
            <w:r>
              <w:rPr>
                <w:rFonts w:ascii="Arial" w:cs="Arial" w:eastAsia="Arial" w:hAnsi="Arial"/>
                <w:sz w:val="14"/>
                <w:szCs w:val="14"/>
                <w:color w:val="215AA8"/>
                <w:w w:val="87"/>
              </w:rPr>
              <w:t>Year</w:t>
            </w:r>
          </w:p>
        </w:tc>
        <w:tc>
          <w:tcPr>
            <w:tcW w:w="1420" w:type="dxa"/>
            <w:vAlign w:val="bottom"/>
            <w:tcBorders>
              <w:bottom w:val="single" w:sz="8" w:color="215AA8"/>
            </w:tcBorders>
          </w:tcPr>
          <w:p>
            <w:pPr>
              <w:jc w:val="right"/>
              <w:ind w:right="212"/>
              <w:spacing w:after="0" w:line="202" w:lineRule="exact"/>
              <w:rPr>
                <w:sz w:val="20"/>
                <w:szCs w:val="20"/>
                <w:color w:val="auto"/>
              </w:rPr>
            </w:pPr>
            <w:r>
              <w:rPr>
                <w:rFonts w:ascii="Arial" w:cs="Arial" w:eastAsia="Arial" w:hAnsi="Arial"/>
                <w:sz w:val="14"/>
                <w:szCs w:val="14"/>
                <w:color w:val="215AA8"/>
              </w:rPr>
              <w:t>PEO ($)</w:t>
            </w:r>
            <w:r>
              <w:rPr>
                <w:rFonts w:ascii="Arial" w:cs="Arial" w:eastAsia="Arial" w:hAnsi="Arial"/>
                <w:sz w:val="22"/>
                <w:szCs w:val="22"/>
                <w:color w:val="215AA8"/>
                <w:vertAlign w:val="superscript"/>
              </w:rPr>
              <w:t>1</w:t>
            </w:r>
          </w:p>
        </w:tc>
        <w:tc>
          <w:tcPr>
            <w:tcW w:w="1580" w:type="dxa"/>
            <w:vAlign w:val="bottom"/>
            <w:tcBorders>
              <w:bottom w:val="single" w:sz="8" w:color="215AA8"/>
            </w:tcBorders>
          </w:tcPr>
          <w:p>
            <w:pPr>
              <w:jc w:val="right"/>
              <w:ind w:right="212"/>
              <w:spacing w:after="0" w:line="202" w:lineRule="exact"/>
              <w:rPr>
                <w:sz w:val="20"/>
                <w:szCs w:val="20"/>
                <w:color w:val="auto"/>
              </w:rPr>
            </w:pPr>
            <w:r>
              <w:rPr>
                <w:rFonts w:ascii="Arial" w:cs="Arial" w:eastAsia="Arial" w:hAnsi="Arial"/>
                <w:sz w:val="14"/>
                <w:szCs w:val="14"/>
                <w:color w:val="215AA8"/>
              </w:rPr>
              <w:t>PEO ($)</w:t>
            </w:r>
            <w:r>
              <w:rPr>
                <w:rFonts w:ascii="Arial" w:cs="Arial" w:eastAsia="Arial" w:hAnsi="Arial"/>
                <w:sz w:val="22"/>
                <w:szCs w:val="22"/>
                <w:color w:val="215AA8"/>
                <w:vertAlign w:val="superscript"/>
              </w:rPr>
              <w:t>1,2,3</w:t>
            </w:r>
          </w:p>
        </w:tc>
        <w:tc>
          <w:tcPr>
            <w:tcW w:w="1780" w:type="dxa"/>
            <w:vAlign w:val="bottom"/>
            <w:tcBorders>
              <w:bottom w:val="single" w:sz="8" w:color="215AA8"/>
            </w:tcBorders>
          </w:tcPr>
          <w:p>
            <w:pPr>
              <w:jc w:val="right"/>
              <w:ind w:right="212"/>
              <w:spacing w:after="0" w:line="202" w:lineRule="exact"/>
              <w:rPr>
                <w:sz w:val="20"/>
                <w:szCs w:val="20"/>
                <w:color w:val="auto"/>
              </w:rPr>
            </w:pPr>
            <w:r>
              <w:rPr>
                <w:rFonts w:ascii="Arial" w:cs="Arial" w:eastAsia="Arial" w:hAnsi="Arial"/>
                <w:sz w:val="14"/>
                <w:szCs w:val="14"/>
                <w:color w:val="215AA8"/>
              </w:rPr>
              <w:t>NEOs ($)</w:t>
            </w:r>
            <w:r>
              <w:rPr>
                <w:rFonts w:ascii="Arial" w:cs="Arial" w:eastAsia="Arial" w:hAnsi="Arial"/>
                <w:sz w:val="22"/>
                <w:szCs w:val="22"/>
                <w:color w:val="215AA8"/>
                <w:vertAlign w:val="superscript"/>
              </w:rPr>
              <w:t>1</w:t>
            </w:r>
          </w:p>
        </w:tc>
        <w:tc>
          <w:tcPr>
            <w:tcW w:w="1580" w:type="dxa"/>
            <w:vAlign w:val="bottom"/>
            <w:tcBorders>
              <w:bottom w:val="single" w:sz="8" w:color="215AA8"/>
            </w:tcBorders>
          </w:tcPr>
          <w:p>
            <w:pPr>
              <w:jc w:val="right"/>
              <w:ind w:right="214"/>
              <w:spacing w:after="0" w:line="202" w:lineRule="exact"/>
              <w:rPr>
                <w:sz w:val="20"/>
                <w:szCs w:val="20"/>
                <w:color w:val="auto"/>
              </w:rPr>
            </w:pPr>
            <w:r>
              <w:rPr>
                <w:rFonts w:ascii="Arial" w:cs="Arial" w:eastAsia="Arial" w:hAnsi="Arial"/>
                <w:sz w:val="23"/>
                <w:szCs w:val="23"/>
                <w:color w:val="215AA8"/>
                <w:vertAlign w:val="subscript"/>
              </w:rPr>
              <w:t>($)</w:t>
            </w:r>
            <w:r>
              <w:rPr>
                <w:rFonts w:ascii="Arial" w:cs="Arial" w:eastAsia="Arial" w:hAnsi="Arial"/>
                <w:sz w:val="10"/>
                <w:szCs w:val="10"/>
                <w:color w:val="215AA8"/>
              </w:rPr>
              <w:t>1,2,3</w:t>
            </w:r>
          </w:p>
        </w:tc>
        <w:tc>
          <w:tcPr>
            <w:tcW w:w="860" w:type="dxa"/>
            <w:vAlign w:val="bottom"/>
            <w:tcBorders>
              <w:bottom w:val="single" w:sz="8" w:color="215AA8"/>
            </w:tcBorders>
          </w:tcPr>
          <w:p>
            <w:pPr>
              <w:jc w:val="right"/>
              <w:ind w:right="52"/>
              <w:spacing w:after="0"/>
              <w:rPr>
                <w:sz w:val="20"/>
                <w:szCs w:val="20"/>
                <w:color w:val="auto"/>
              </w:rPr>
            </w:pPr>
            <w:r>
              <w:rPr>
                <w:rFonts w:ascii="Arial" w:cs="Arial" w:eastAsia="Arial" w:hAnsi="Arial"/>
                <w:sz w:val="14"/>
                <w:szCs w:val="14"/>
                <w:color w:val="215AA8"/>
              </w:rPr>
              <w:t>TSR ($)</w:t>
            </w:r>
          </w:p>
        </w:tc>
        <w:tc>
          <w:tcPr>
            <w:tcW w:w="1080" w:type="dxa"/>
            <w:vAlign w:val="bottom"/>
            <w:tcBorders>
              <w:bottom w:val="single" w:sz="8" w:color="215AA8"/>
            </w:tcBorders>
          </w:tcPr>
          <w:p>
            <w:pPr>
              <w:jc w:val="right"/>
              <w:ind w:right="212"/>
              <w:spacing w:after="0" w:line="202" w:lineRule="exact"/>
              <w:rPr>
                <w:sz w:val="20"/>
                <w:szCs w:val="20"/>
                <w:color w:val="auto"/>
              </w:rPr>
            </w:pPr>
            <w:r>
              <w:rPr>
                <w:rFonts w:ascii="Arial" w:cs="Arial" w:eastAsia="Arial" w:hAnsi="Arial"/>
                <w:sz w:val="14"/>
                <w:szCs w:val="14"/>
                <w:color w:val="215AA8"/>
              </w:rPr>
              <w:t>TSR ($)</w:t>
            </w:r>
            <w:r>
              <w:rPr>
                <w:rFonts w:ascii="Arial" w:cs="Arial" w:eastAsia="Arial" w:hAnsi="Arial"/>
                <w:sz w:val="22"/>
                <w:szCs w:val="22"/>
                <w:color w:val="215AA8"/>
                <w:vertAlign w:val="superscript"/>
              </w:rPr>
              <w:t>4</w:t>
            </w:r>
          </w:p>
        </w:tc>
        <w:tc>
          <w:tcPr>
            <w:tcW w:w="1440" w:type="dxa"/>
            <w:vAlign w:val="bottom"/>
            <w:tcBorders>
              <w:bottom w:val="single" w:sz="8" w:color="215AA8"/>
            </w:tcBorders>
          </w:tcPr>
          <w:p>
            <w:pPr>
              <w:jc w:val="center"/>
              <w:spacing w:after="0"/>
              <w:rPr>
                <w:sz w:val="20"/>
                <w:szCs w:val="20"/>
                <w:color w:val="auto"/>
              </w:rPr>
            </w:pPr>
            <w:r>
              <w:rPr>
                <w:rFonts w:ascii="Arial" w:cs="Arial" w:eastAsia="Arial" w:hAnsi="Arial"/>
                <w:sz w:val="14"/>
                <w:szCs w:val="14"/>
                <w:color w:val="215AA8"/>
                <w:w w:val="94"/>
              </w:rPr>
              <w:t>Net Income ($)</w:t>
            </w:r>
          </w:p>
        </w:tc>
        <w:tc>
          <w:tcPr>
            <w:tcW w:w="900" w:type="dxa"/>
            <w:vAlign w:val="bottom"/>
            <w:tcBorders>
              <w:bottom w:val="single" w:sz="8" w:color="215AA8"/>
            </w:tcBorders>
          </w:tcPr>
          <w:p>
            <w:pPr>
              <w:jc w:val="right"/>
              <w:spacing w:after="0" w:line="202" w:lineRule="exact"/>
              <w:rPr>
                <w:sz w:val="20"/>
                <w:szCs w:val="20"/>
                <w:color w:val="auto"/>
              </w:rPr>
            </w:pPr>
            <w:r>
              <w:rPr>
                <w:rFonts w:ascii="Arial" w:cs="Arial" w:eastAsia="Arial" w:hAnsi="Arial"/>
                <w:sz w:val="14"/>
                <w:szCs w:val="14"/>
                <w:color w:val="215AA8"/>
              </w:rPr>
              <w:t>Price ($)</w:t>
            </w:r>
            <w:r>
              <w:rPr>
                <w:rFonts w:ascii="Arial" w:cs="Arial" w:eastAsia="Arial" w:hAnsi="Arial"/>
                <w:sz w:val="22"/>
                <w:szCs w:val="22"/>
                <w:color w:val="215AA8"/>
                <w:vertAlign w:val="superscript"/>
              </w:rPr>
              <w:t>5</w:t>
            </w:r>
          </w:p>
        </w:tc>
      </w:tr>
      <w:tr>
        <w:trPr>
          <w:trHeight w:val="158"/>
        </w:trPr>
        <w:tc>
          <w:tcPr>
            <w:tcW w:w="620" w:type="dxa"/>
            <w:vAlign w:val="bottom"/>
            <w:tcBorders>
              <w:bottom w:val="single" w:sz="8" w:color="949599"/>
            </w:tcBorders>
          </w:tcPr>
          <w:p>
            <w:pPr>
              <w:jc w:val="center"/>
              <w:ind w:right="172"/>
              <w:spacing w:after="0" w:line="157" w:lineRule="exact"/>
              <w:rPr>
                <w:sz w:val="20"/>
                <w:szCs w:val="20"/>
                <w:color w:val="auto"/>
              </w:rPr>
            </w:pPr>
            <w:r>
              <w:rPr>
                <w:rFonts w:ascii="Arial" w:cs="Arial" w:eastAsia="Arial" w:hAnsi="Arial"/>
                <w:sz w:val="14"/>
                <w:szCs w:val="14"/>
                <w:color w:val="215AA8"/>
                <w:w w:val="96"/>
              </w:rPr>
              <w:t>2023</w:t>
            </w:r>
          </w:p>
        </w:tc>
        <w:tc>
          <w:tcPr>
            <w:tcW w:w="1420" w:type="dxa"/>
            <w:vAlign w:val="bottom"/>
            <w:tcBorders>
              <w:bottom w:val="single" w:sz="8" w:color="949599"/>
            </w:tcBorders>
          </w:tcPr>
          <w:p>
            <w:pPr>
              <w:jc w:val="right"/>
              <w:ind w:right="212"/>
              <w:spacing w:after="0" w:line="157" w:lineRule="exact"/>
              <w:rPr>
                <w:sz w:val="20"/>
                <w:szCs w:val="20"/>
                <w:color w:val="auto"/>
              </w:rPr>
            </w:pPr>
            <w:r>
              <w:rPr>
                <w:rFonts w:ascii="Arial" w:cs="Arial" w:eastAsia="Arial" w:hAnsi="Arial"/>
                <w:sz w:val="14"/>
                <w:szCs w:val="14"/>
                <w:color w:val="auto"/>
              </w:rPr>
              <w:t>8,184,338</w:t>
            </w:r>
          </w:p>
        </w:tc>
        <w:tc>
          <w:tcPr>
            <w:tcW w:w="1580" w:type="dxa"/>
            <w:vAlign w:val="bottom"/>
            <w:tcBorders>
              <w:bottom w:val="single" w:sz="8" w:color="949599"/>
            </w:tcBorders>
          </w:tcPr>
          <w:p>
            <w:pPr>
              <w:jc w:val="right"/>
              <w:ind w:right="212"/>
              <w:spacing w:after="0" w:line="157" w:lineRule="exact"/>
              <w:rPr>
                <w:sz w:val="20"/>
                <w:szCs w:val="20"/>
                <w:color w:val="auto"/>
              </w:rPr>
            </w:pPr>
            <w:r>
              <w:rPr>
                <w:rFonts w:ascii="Arial" w:cs="Arial" w:eastAsia="Arial" w:hAnsi="Arial"/>
                <w:sz w:val="14"/>
                <w:szCs w:val="14"/>
                <w:color w:val="auto"/>
              </w:rPr>
              <w:t>141,071,193</w:t>
            </w:r>
          </w:p>
        </w:tc>
        <w:tc>
          <w:tcPr>
            <w:tcW w:w="1780" w:type="dxa"/>
            <w:vAlign w:val="bottom"/>
            <w:tcBorders>
              <w:bottom w:val="single" w:sz="8" w:color="949599"/>
            </w:tcBorders>
          </w:tcPr>
          <w:p>
            <w:pPr>
              <w:jc w:val="right"/>
              <w:ind w:right="212"/>
              <w:spacing w:after="0" w:line="157" w:lineRule="exact"/>
              <w:rPr>
                <w:sz w:val="20"/>
                <w:szCs w:val="20"/>
                <w:color w:val="auto"/>
              </w:rPr>
            </w:pPr>
            <w:r>
              <w:rPr>
                <w:rFonts w:ascii="Arial" w:cs="Arial" w:eastAsia="Arial" w:hAnsi="Arial"/>
                <w:sz w:val="14"/>
                <w:szCs w:val="14"/>
                <w:color w:val="auto"/>
              </w:rPr>
              <w:t>6,713,442</w:t>
            </w:r>
          </w:p>
        </w:tc>
        <w:tc>
          <w:tcPr>
            <w:tcW w:w="1580" w:type="dxa"/>
            <w:vAlign w:val="bottom"/>
            <w:tcBorders>
              <w:bottom w:val="single" w:sz="8" w:color="949599"/>
            </w:tcBorders>
          </w:tcPr>
          <w:p>
            <w:pPr>
              <w:jc w:val="right"/>
              <w:ind w:right="214"/>
              <w:spacing w:after="0" w:line="157" w:lineRule="exact"/>
              <w:rPr>
                <w:sz w:val="20"/>
                <w:szCs w:val="20"/>
                <w:color w:val="auto"/>
              </w:rPr>
            </w:pPr>
            <w:r>
              <w:rPr>
                <w:rFonts w:ascii="Arial" w:cs="Arial" w:eastAsia="Arial" w:hAnsi="Arial"/>
                <w:sz w:val="14"/>
                <w:szCs w:val="14"/>
                <w:color w:val="auto"/>
              </w:rPr>
              <w:t>46,896,425</w:t>
            </w:r>
          </w:p>
        </w:tc>
        <w:tc>
          <w:tcPr>
            <w:tcW w:w="860" w:type="dxa"/>
            <w:vAlign w:val="bottom"/>
            <w:tcBorders>
              <w:bottom w:val="single" w:sz="8" w:color="949599"/>
            </w:tcBorders>
          </w:tcPr>
          <w:p>
            <w:pPr>
              <w:jc w:val="right"/>
              <w:ind w:right="52"/>
              <w:spacing w:after="0" w:line="157" w:lineRule="exact"/>
              <w:rPr>
                <w:sz w:val="20"/>
                <w:szCs w:val="20"/>
                <w:color w:val="auto"/>
              </w:rPr>
            </w:pPr>
            <w:r>
              <w:rPr>
                <w:rFonts w:ascii="Arial" w:cs="Arial" w:eastAsia="Arial" w:hAnsi="Arial"/>
                <w:sz w:val="14"/>
                <w:szCs w:val="14"/>
                <w:color w:val="auto"/>
              </w:rPr>
              <w:t>233.91</w:t>
            </w:r>
          </w:p>
        </w:tc>
        <w:tc>
          <w:tcPr>
            <w:tcW w:w="1080" w:type="dxa"/>
            <w:vAlign w:val="bottom"/>
            <w:tcBorders>
              <w:bottom w:val="single" w:sz="8" w:color="949599"/>
            </w:tcBorders>
          </w:tcPr>
          <w:p>
            <w:pPr>
              <w:jc w:val="right"/>
              <w:ind w:right="212"/>
              <w:spacing w:after="0" w:line="157" w:lineRule="exact"/>
              <w:rPr>
                <w:sz w:val="20"/>
                <w:szCs w:val="20"/>
                <w:color w:val="auto"/>
              </w:rPr>
            </w:pPr>
            <w:r>
              <w:rPr>
                <w:rFonts w:ascii="Arial" w:cs="Arial" w:eastAsia="Arial" w:hAnsi="Arial"/>
                <w:sz w:val="14"/>
                <w:szCs w:val="14"/>
                <w:color w:val="auto"/>
              </w:rPr>
              <w:t>159.01</w:t>
            </w:r>
          </w:p>
        </w:tc>
        <w:tc>
          <w:tcPr>
            <w:tcW w:w="1440" w:type="dxa"/>
            <w:vAlign w:val="bottom"/>
            <w:tcBorders>
              <w:bottom w:val="single" w:sz="8" w:color="949599"/>
            </w:tcBorders>
          </w:tcPr>
          <w:p>
            <w:pPr>
              <w:jc w:val="center"/>
              <w:spacing w:after="0" w:line="157" w:lineRule="exact"/>
              <w:rPr>
                <w:sz w:val="20"/>
                <w:szCs w:val="20"/>
                <w:color w:val="auto"/>
              </w:rPr>
            </w:pPr>
            <w:r>
              <w:rPr>
                <w:rFonts w:ascii="Arial" w:cs="Arial" w:eastAsia="Arial" w:hAnsi="Arial"/>
                <w:sz w:val="14"/>
                <w:szCs w:val="14"/>
                <w:color w:val="auto"/>
                <w:w w:val="96"/>
              </w:rPr>
              <w:t>3,953,600,000</w:t>
            </w:r>
          </w:p>
        </w:tc>
        <w:tc>
          <w:tcPr>
            <w:tcW w:w="900" w:type="dxa"/>
            <w:vAlign w:val="bottom"/>
            <w:tcBorders>
              <w:bottom w:val="single" w:sz="8" w:color="949599"/>
            </w:tcBorders>
          </w:tcPr>
          <w:p>
            <w:pPr>
              <w:jc w:val="right"/>
              <w:spacing w:after="0" w:line="157" w:lineRule="exact"/>
              <w:rPr>
                <w:sz w:val="20"/>
                <w:szCs w:val="20"/>
                <w:color w:val="auto"/>
              </w:rPr>
            </w:pPr>
            <w:r>
              <w:rPr>
                <w:rFonts w:ascii="Arial" w:cs="Arial" w:eastAsia="Arial" w:hAnsi="Arial"/>
                <w:sz w:val="14"/>
                <w:szCs w:val="14"/>
                <w:color w:val="auto"/>
              </w:rPr>
              <w:t>878.29</w:t>
            </w:r>
          </w:p>
        </w:tc>
      </w:tr>
      <w:tr>
        <w:trPr>
          <w:trHeight w:val="149"/>
        </w:trPr>
        <w:tc>
          <w:tcPr>
            <w:tcW w:w="620" w:type="dxa"/>
            <w:vAlign w:val="bottom"/>
            <w:tcBorders>
              <w:bottom w:val="single" w:sz="8" w:color="949599"/>
            </w:tcBorders>
            <w:shd w:val="clear" w:color="auto" w:fill="ECECED"/>
          </w:tcPr>
          <w:p>
            <w:pPr>
              <w:jc w:val="center"/>
              <w:ind w:right="172"/>
              <w:spacing w:after="0" w:line="149" w:lineRule="exact"/>
              <w:rPr>
                <w:sz w:val="20"/>
                <w:szCs w:val="20"/>
                <w:color w:val="auto"/>
              </w:rPr>
            </w:pPr>
            <w:r>
              <w:rPr>
                <w:rFonts w:ascii="Arial" w:cs="Arial" w:eastAsia="Arial" w:hAnsi="Arial"/>
                <w:sz w:val="14"/>
                <w:szCs w:val="14"/>
                <w:color w:val="215AA8"/>
                <w:w w:val="96"/>
              </w:rPr>
              <w:t>2022</w:t>
            </w:r>
          </w:p>
        </w:tc>
        <w:tc>
          <w:tcPr>
            <w:tcW w:w="1420" w:type="dxa"/>
            <w:vAlign w:val="bottom"/>
            <w:tcBorders>
              <w:bottom w:val="single" w:sz="8" w:color="949599"/>
            </w:tcBorders>
            <w:shd w:val="clear" w:color="auto" w:fill="ECECED"/>
          </w:tcPr>
          <w:p>
            <w:pPr>
              <w:jc w:val="right"/>
              <w:ind w:right="212"/>
              <w:spacing w:after="0" w:line="149" w:lineRule="exact"/>
              <w:rPr>
                <w:sz w:val="20"/>
                <w:szCs w:val="20"/>
                <w:color w:val="auto"/>
              </w:rPr>
            </w:pPr>
            <w:r>
              <w:rPr>
                <w:rFonts w:ascii="Arial" w:cs="Arial" w:eastAsia="Arial" w:hAnsi="Arial"/>
                <w:sz w:val="14"/>
                <w:szCs w:val="14"/>
                <w:color w:val="auto"/>
              </w:rPr>
              <w:t>7,004,069</w:t>
            </w:r>
          </w:p>
        </w:tc>
        <w:tc>
          <w:tcPr>
            <w:tcW w:w="1580" w:type="dxa"/>
            <w:vAlign w:val="bottom"/>
            <w:tcBorders>
              <w:bottom w:val="single" w:sz="8" w:color="949599"/>
            </w:tcBorders>
            <w:shd w:val="clear" w:color="auto" w:fill="ECECED"/>
          </w:tcPr>
          <w:p>
            <w:pPr>
              <w:jc w:val="right"/>
              <w:ind w:right="212"/>
              <w:spacing w:after="0" w:line="149" w:lineRule="exact"/>
              <w:rPr>
                <w:sz w:val="20"/>
                <w:szCs w:val="20"/>
                <w:color w:val="auto"/>
              </w:rPr>
            </w:pPr>
            <w:r>
              <w:rPr>
                <w:rFonts w:ascii="Arial" w:cs="Arial" w:eastAsia="Arial" w:hAnsi="Arial"/>
                <w:sz w:val="14"/>
                <w:szCs w:val="14"/>
                <w:color w:val="auto"/>
              </w:rPr>
              <w:t>98,786,583</w:t>
            </w:r>
          </w:p>
        </w:tc>
        <w:tc>
          <w:tcPr>
            <w:tcW w:w="1780" w:type="dxa"/>
            <w:vAlign w:val="bottom"/>
            <w:tcBorders>
              <w:bottom w:val="single" w:sz="8" w:color="949599"/>
            </w:tcBorders>
            <w:shd w:val="clear" w:color="auto" w:fill="ECECED"/>
          </w:tcPr>
          <w:p>
            <w:pPr>
              <w:jc w:val="right"/>
              <w:ind w:right="212"/>
              <w:spacing w:after="0" w:line="149" w:lineRule="exact"/>
              <w:rPr>
                <w:sz w:val="20"/>
                <w:szCs w:val="20"/>
                <w:color w:val="auto"/>
              </w:rPr>
            </w:pPr>
            <w:r>
              <w:rPr>
                <w:rFonts w:ascii="Arial" w:cs="Arial" w:eastAsia="Arial" w:hAnsi="Arial"/>
                <w:sz w:val="14"/>
                <w:szCs w:val="14"/>
                <w:color w:val="auto"/>
              </w:rPr>
              <w:t>8,061,639</w:t>
            </w:r>
          </w:p>
        </w:tc>
        <w:tc>
          <w:tcPr>
            <w:tcW w:w="1580" w:type="dxa"/>
            <w:vAlign w:val="bottom"/>
            <w:tcBorders>
              <w:bottom w:val="single" w:sz="8" w:color="949599"/>
            </w:tcBorders>
            <w:shd w:val="clear" w:color="auto" w:fill="ECECED"/>
          </w:tcPr>
          <w:p>
            <w:pPr>
              <w:jc w:val="right"/>
              <w:ind w:right="214"/>
              <w:spacing w:after="0" w:line="149" w:lineRule="exact"/>
              <w:rPr>
                <w:sz w:val="20"/>
                <w:szCs w:val="20"/>
                <w:color w:val="auto"/>
              </w:rPr>
            </w:pPr>
            <w:r>
              <w:rPr>
                <w:rFonts w:ascii="Arial" w:cs="Arial" w:eastAsia="Arial" w:hAnsi="Arial"/>
                <w:sz w:val="14"/>
                <w:szCs w:val="14"/>
                <w:color w:val="auto"/>
              </w:rPr>
              <w:t>32,174,465</w:t>
            </w:r>
          </w:p>
        </w:tc>
        <w:tc>
          <w:tcPr>
            <w:tcW w:w="860" w:type="dxa"/>
            <w:vAlign w:val="bottom"/>
            <w:tcBorders>
              <w:bottom w:val="single" w:sz="8" w:color="949599"/>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192.15</w:t>
            </w:r>
          </w:p>
        </w:tc>
        <w:tc>
          <w:tcPr>
            <w:tcW w:w="1080" w:type="dxa"/>
            <w:vAlign w:val="bottom"/>
            <w:tcBorders>
              <w:bottom w:val="single" w:sz="8" w:color="949599"/>
            </w:tcBorders>
            <w:shd w:val="clear" w:color="auto" w:fill="ECECED"/>
          </w:tcPr>
          <w:p>
            <w:pPr>
              <w:jc w:val="right"/>
              <w:ind w:right="212"/>
              <w:spacing w:after="0" w:line="149" w:lineRule="exact"/>
              <w:rPr>
                <w:sz w:val="20"/>
                <w:szCs w:val="20"/>
                <w:color w:val="auto"/>
              </w:rPr>
            </w:pPr>
            <w:r>
              <w:rPr>
                <w:rFonts w:ascii="Arial" w:cs="Arial" w:eastAsia="Arial" w:hAnsi="Arial"/>
                <w:sz w:val="14"/>
                <w:szCs w:val="14"/>
                <w:color w:val="auto"/>
              </w:rPr>
              <w:t>153.08</w:t>
            </w:r>
          </w:p>
        </w:tc>
        <w:tc>
          <w:tcPr>
            <w:tcW w:w="1440" w:type="dxa"/>
            <w:vAlign w:val="bottom"/>
            <w:tcBorders>
              <w:bottom w:val="single" w:sz="8" w:color="949599"/>
            </w:tcBorders>
            <w:shd w:val="clear" w:color="auto" w:fill="ECECED"/>
          </w:tcPr>
          <w:p>
            <w:pPr>
              <w:jc w:val="center"/>
              <w:spacing w:after="0" w:line="149" w:lineRule="exact"/>
              <w:rPr>
                <w:sz w:val="20"/>
                <w:szCs w:val="20"/>
                <w:color w:val="auto"/>
              </w:rPr>
            </w:pPr>
            <w:r>
              <w:rPr>
                <w:rFonts w:ascii="Arial" w:cs="Arial" w:eastAsia="Arial" w:hAnsi="Arial"/>
                <w:sz w:val="14"/>
                <w:szCs w:val="14"/>
                <w:color w:val="auto"/>
                <w:w w:val="96"/>
              </w:rPr>
              <w:t>4,338,400,000</w:t>
            </w:r>
          </w:p>
        </w:tc>
        <w:tc>
          <w:tcPr>
            <w:tcW w:w="900" w:type="dxa"/>
            <w:vAlign w:val="bottom"/>
            <w:tcBorders>
              <w:bottom w:val="single" w:sz="8" w:color="949599"/>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721.49</w:t>
            </w:r>
          </w:p>
        </w:tc>
      </w:tr>
      <w:tr>
        <w:trPr>
          <w:trHeight w:val="149"/>
        </w:trPr>
        <w:tc>
          <w:tcPr>
            <w:tcW w:w="620" w:type="dxa"/>
            <w:vAlign w:val="bottom"/>
            <w:tcBorders>
              <w:bottom w:val="single" w:sz="8" w:color="949599"/>
            </w:tcBorders>
          </w:tcPr>
          <w:p>
            <w:pPr>
              <w:jc w:val="center"/>
              <w:ind w:right="172"/>
              <w:spacing w:after="0" w:line="149" w:lineRule="exact"/>
              <w:rPr>
                <w:sz w:val="20"/>
                <w:szCs w:val="20"/>
                <w:color w:val="auto"/>
              </w:rPr>
            </w:pPr>
            <w:r>
              <w:rPr>
                <w:rFonts w:ascii="Arial" w:cs="Arial" w:eastAsia="Arial" w:hAnsi="Arial"/>
                <w:sz w:val="14"/>
                <w:szCs w:val="14"/>
                <w:color w:val="215AA8"/>
                <w:w w:val="96"/>
              </w:rPr>
              <w:t>2021</w:t>
            </w:r>
          </w:p>
        </w:tc>
        <w:tc>
          <w:tcPr>
            <w:tcW w:w="1420" w:type="dxa"/>
            <w:vAlign w:val="bottom"/>
            <w:tcBorders>
              <w:bottom w:val="single" w:sz="8" w:color="949599"/>
            </w:tcBorders>
          </w:tcPr>
          <w:p>
            <w:pPr>
              <w:jc w:val="right"/>
              <w:ind w:right="212"/>
              <w:spacing w:after="0" w:line="149" w:lineRule="exact"/>
              <w:rPr>
                <w:sz w:val="20"/>
                <w:szCs w:val="20"/>
                <w:color w:val="auto"/>
              </w:rPr>
            </w:pPr>
            <w:r>
              <w:rPr>
                <w:rFonts w:ascii="Arial" w:cs="Arial" w:eastAsia="Arial" w:hAnsi="Arial"/>
                <w:sz w:val="14"/>
                <w:szCs w:val="14"/>
                <w:color w:val="auto"/>
              </w:rPr>
              <w:t>6,470,514</w:t>
            </w:r>
          </w:p>
        </w:tc>
        <w:tc>
          <w:tcPr>
            <w:tcW w:w="1580" w:type="dxa"/>
            <w:vAlign w:val="bottom"/>
            <w:tcBorders>
              <w:bottom w:val="single" w:sz="8" w:color="949599"/>
            </w:tcBorders>
          </w:tcPr>
          <w:p>
            <w:pPr>
              <w:jc w:val="right"/>
              <w:ind w:right="212"/>
              <w:spacing w:after="0" w:line="149" w:lineRule="exact"/>
              <w:rPr>
                <w:sz w:val="20"/>
                <w:szCs w:val="20"/>
                <w:color w:val="auto"/>
              </w:rPr>
            </w:pPr>
            <w:r>
              <w:rPr>
                <w:rFonts w:ascii="Arial" w:cs="Arial" w:eastAsia="Arial" w:hAnsi="Arial"/>
                <w:sz w:val="14"/>
                <w:szCs w:val="14"/>
                <w:color w:val="auto"/>
              </w:rPr>
              <w:t>123,744,652</w:t>
            </w:r>
          </w:p>
        </w:tc>
        <w:tc>
          <w:tcPr>
            <w:tcW w:w="1780" w:type="dxa"/>
            <w:vAlign w:val="bottom"/>
            <w:tcBorders>
              <w:bottom w:val="single" w:sz="8" w:color="949599"/>
            </w:tcBorders>
          </w:tcPr>
          <w:p>
            <w:pPr>
              <w:jc w:val="right"/>
              <w:ind w:right="212"/>
              <w:spacing w:after="0" w:line="149" w:lineRule="exact"/>
              <w:rPr>
                <w:sz w:val="20"/>
                <w:szCs w:val="20"/>
                <w:color w:val="auto"/>
              </w:rPr>
            </w:pPr>
            <w:r>
              <w:rPr>
                <w:rFonts w:ascii="Arial" w:cs="Arial" w:eastAsia="Arial" w:hAnsi="Arial"/>
                <w:sz w:val="14"/>
                <w:szCs w:val="14"/>
                <w:color w:val="auto"/>
              </w:rPr>
              <w:t>7,548,928</w:t>
            </w:r>
          </w:p>
        </w:tc>
        <w:tc>
          <w:tcPr>
            <w:tcW w:w="1580" w:type="dxa"/>
            <w:vAlign w:val="bottom"/>
            <w:tcBorders>
              <w:bottom w:val="single" w:sz="8" w:color="949599"/>
            </w:tcBorders>
          </w:tcPr>
          <w:p>
            <w:pPr>
              <w:jc w:val="right"/>
              <w:ind w:right="214"/>
              <w:spacing w:after="0" w:line="149" w:lineRule="exact"/>
              <w:rPr>
                <w:sz w:val="20"/>
                <w:szCs w:val="20"/>
                <w:color w:val="auto"/>
              </w:rPr>
            </w:pPr>
            <w:r>
              <w:rPr>
                <w:rFonts w:ascii="Arial" w:cs="Arial" w:eastAsia="Arial" w:hAnsi="Arial"/>
                <w:sz w:val="14"/>
                <w:szCs w:val="14"/>
                <w:color w:val="auto"/>
              </w:rPr>
              <w:t>40,168,860</w:t>
            </w:r>
          </w:p>
        </w:tc>
        <w:tc>
          <w:tcPr>
            <w:tcW w:w="860" w:type="dxa"/>
            <w:vAlign w:val="bottom"/>
            <w:tcBorders>
              <w:bottom w:val="single" w:sz="8" w:color="949599"/>
            </w:tcBorders>
          </w:tcPr>
          <w:p>
            <w:pPr>
              <w:jc w:val="right"/>
              <w:ind w:right="52"/>
              <w:spacing w:after="0" w:line="149" w:lineRule="exact"/>
              <w:rPr>
                <w:sz w:val="20"/>
                <w:szCs w:val="20"/>
                <w:color w:val="auto"/>
              </w:rPr>
            </w:pPr>
            <w:r>
              <w:rPr>
                <w:rFonts w:ascii="Arial" w:cs="Arial" w:eastAsia="Arial" w:hAnsi="Arial"/>
                <w:sz w:val="14"/>
                <w:szCs w:val="14"/>
                <w:color w:val="auto"/>
              </w:rPr>
              <w:t>168.19</w:t>
            </w:r>
          </w:p>
        </w:tc>
        <w:tc>
          <w:tcPr>
            <w:tcW w:w="1080" w:type="dxa"/>
            <w:vAlign w:val="bottom"/>
            <w:tcBorders>
              <w:bottom w:val="single" w:sz="8" w:color="949599"/>
            </w:tcBorders>
          </w:tcPr>
          <w:p>
            <w:pPr>
              <w:jc w:val="right"/>
              <w:ind w:right="212"/>
              <w:spacing w:after="0" w:line="149" w:lineRule="exact"/>
              <w:rPr>
                <w:sz w:val="20"/>
                <w:szCs w:val="20"/>
                <w:color w:val="auto"/>
              </w:rPr>
            </w:pPr>
            <w:r>
              <w:rPr>
                <w:rFonts w:ascii="Arial" w:cs="Arial" w:eastAsia="Arial" w:hAnsi="Arial"/>
                <w:sz w:val="14"/>
                <w:szCs w:val="14"/>
                <w:color w:val="auto"/>
              </w:rPr>
              <w:t>137.47</w:t>
            </w:r>
          </w:p>
        </w:tc>
        <w:tc>
          <w:tcPr>
            <w:tcW w:w="1440" w:type="dxa"/>
            <w:vAlign w:val="bottom"/>
            <w:tcBorders>
              <w:bottom w:val="single" w:sz="8" w:color="949599"/>
            </w:tcBorders>
          </w:tcPr>
          <w:p>
            <w:pPr>
              <w:jc w:val="center"/>
              <w:spacing w:after="0" w:line="149" w:lineRule="exact"/>
              <w:rPr>
                <w:sz w:val="20"/>
                <w:szCs w:val="20"/>
                <w:color w:val="auto"/>
              </w:rPr>
            </w:pPr>
            <w:r>
              <w:rPr>
                <w:rFonts w:ascii="Arial" w:cs="Arial" w:eastAsia="Arial" w:hAnsi="Arial"/>
                <w:sz w:val="14"/>
                <w:szCs w:val="14"/>
                <w:color w:val="auto"/>
                <w:w w:val="96"/>
              </w:rPr>
              <w:t>8,075,300,000</w:t>
            </w:r>
          </w:p>
        </w:tc>
        <w:tc>
          <w:tcPr>
            <w:tcW w:w="900" w:type="dxa"/>
            <w:vAlign w:val="bottom"/>
            <w:tcBorders>
              <w:bottom w:val="single" w:sz="8" w:color="949599"/>
            </w:tcBorders>
          </w:tcPr>
          <w:p>
            <w:pPr>
              <w:jc w:val="right"/>
              <w:spacing w:after="0" w:line="149" w:lineRule="exact"/>
              <w:rPr>
                <w:sz w:val="20"/>
                <w:szCs w:val="20"/>
                <w:color w:val="auto"/>
              </w:rPr>
            </w:pPr>
            <w:r>
              <w:rPr>
                <w:rFonts w:ascii="Arial" w:cs="Arial" w:eastAsia="Arial" w:hAnsi="Arial"/>
                <w:sz w:val="14"/>
                <w:szCs w:val="14"/>
                <w:color w:val="auto"/>
              </w:rPr>
              <w:t>631.52</w:t>
            </w:r>
          </w:p>
        </w:tc>
      </w:tr>
      <w:tr>
        <w:trPr>
          <w:trHeight w:val="151"/>
        </w:trPr>
        <w:tc>
          <w:tcPr>
            <w:tcW w:w="620" w:type="dxa"/>
            <w:vAlign w:val="bottom"/>
            <w:tcBorders>
              <w:bottom w:val="single" w:sz="8" w:color="215AA8"/>
            </w:tcBorders>
            <w:shd w:val="clear" w:color="auto" w:fill="ECECED"/>
          </w:tcPr>
          <w:p>
            <w:pPr>
              <w:jc w:val="center"/>
              <w:ind w:right="172"/>
              <w:spacing w:after="0" w:line="149" w:lineRule="exact"/>
              <w:rPr>
                <w:sz w:val="20"/>
                <w:szCs w:val="20"/>
                <w:color w:val="auto"/>
              </w:rPr>
            </w:pPr>
            <w:r>
              <w:rPr>
                <w:rFonts w:ascii="Arial" w:cs="Arial" w:eastAsia="Arial" w:hAnsi="Arial"/>
                <w:sz w:val="14"/>
                <w:szCs w:val="14"/>
                <w:color w:val="215AA8"/>
                <w:w w:val="96"/>
              </w:rPr>
              <w:t>2020</w:t>
            </w:r>
          </w:p>
        </w:tc>
        <w:tc>
          <w:tcPr>
            <w:tcW w:w="1420" w:type="dxa"/>
            <w:vAlign w:val="bottom"/>
            <w:tcBorders>
              <w:bottom w:val="single" w:sz="8" w:color="215AA8"/>
            </w:tcBorders>
            <w:shd w:val="clear" w:color="auto" w:fill="ECECED"/>
          </w:tcPr>
          <w:p>
            <w:pPr>
              <w:jc w:val="right"/>
              <w:ind w:right="212"/>
              <w:spacing w:after="0" w:line="149" w:lineRule="exact"/>
              <w:rPr>
                <w:sz w:val="20"/>
                <w:szCs w:val="20"/>
                <w:color w:val="auto"/>
              </w:rPr>
            </w:pPr>
            <w:r>
              <w:rPr>
                <w:rFonts w:ascii="Arial" w:cs="Arial" w:eastAsia="Arial" w:hAnsi="Arial"/>
                <w:sz w:val="14"/>
                <w:szCs w:val="14"/>
                <w:color w:val="auto"/>
              </w:rPr>
              <w:t>135,350,121</w:t>
            </w:r>
          </w:p>
        </w:tc>
        <w:tc>
          <w:tcPr>
            <w:tcW w:w="1580" w:type="dxa"/>
            <w:vAlign w:val="bottom"/>
            <w:tcBorders>
              <w:bottom w:val="single" w:sz="8" w:color="215AA8"/>
            </w:tcBorders>
            <w:shd w:val="clear" w:color="auto" w:fill="ECECED"/>
          </w:tcPr>
          <w:p>
            <w:pPr>
              <w:jc w:val="right"/>
              <w:ind w:right="212"/>
              <w:spacing w:after="0" w:line="149" w:lineRule="exact"/>
              <w:rPr>
                <w:sz w:val="20"/>
                <w:szCs w:val="20"/>
                <w:color w:val="auto"/>
              </w:rPr>
            </w:pPr>
            <w:r>
              <w:rPr>
                <w:rFonts w:ascii="Arial" w:cs="Arial" w:eastAsia="Arial" w:hAnsi="Arial"/>
                <w:sz w:val="14"/>
                <w:szCs w:val="14"/>
                <w:color w:val="auto"/>
              </w:rPr>
              <w:t>153,035,522</w:t>
            </w:r>
          </w:p>
        </w:tc>
        <w:tc>
          <w:tcPr>
            <w:tcW w:w="1780" w:type="dxa"/>
            <w:vAlign w:val="bottom"/>
            <w:tcBorders>
              <w:bottom w:val="single" w:sz="8" w:color="215AA8"/>
            </w:tcBorders>
            <w:shd w:val="clear" w:color="auto" w:fill="ECECED"/>
          </w:tcPr>
          <w:p>
            <w:pPr>
              <w:jc w:val="right"/>
              <w:ind w:right="212"/>
              <w:spacing w:after="0" w:line="149" w:lineRule="exact"/>
              <w:rPr>
                <w:sz w:val="20"/>
                <w:szCs w:val="20"/>
                <w:color w:val="auto"/>
              </w:rPr>
            </w:pPr>
            <w:r>
              <w:rPr>
                <w:rFonts w:ascii="Arial" w:cs="Arial" w:eastAsia="Arial" w:hAnsi="Arial"/>
                <w:sz w:val="14"/>
                <w:szCs w:val="14"/>
                <w:color w:val="auto"/>
              </w:rPr>
              <w:t>40,058,597</w:t>
            </w:r>
          </w:p>
        </w:tc>
        <w:tc>
          <w:tcPr>
            <w:tcW w:w="1580" w:type="dxa"/>
            <w:vAlign w:val="bottom"/>
            <w:tcBorders>
              <w:bottom w:val="single" w:sz="8" w:color="215AA8"/>
            </w:tcBorders>
            <w:shd w:val="clear" w:color="auto" w:fill="ECECED"/>
          </w:tcPr>
          <w:p>
            <w:pPr>
              <w:jc w:val="right"/>
              <w:ind w:right="214"/>
              <w:spacing w:after="0" w:line="149" w:lineRule="exact"/>
              <w:rPr>
                <w:sz w:val="20"/>
                <w:szCs w:val="20"/>
                <w:color w:val="auto"/>
              </w:rPr>
            </w:pPr>
            <w:r>
              <w:rPr>
                <w:rFonts w:ascii="Arial" w:cs="Arial" w:eastAsia="Arial" w:hAnsi="Arial"/>
                <w:sz w:val="14"/>
                <w:szCs w:val="14"/>
                <w:color w:val="auto"/>
              </w:rPr>
              <w:t>48,557,559</w:t>
            </w:r>
          </w:p>
        </w:tc>
        <w:tc>
          <w:tcPr>
            <w:tcW w:w="860" w:type="dxa"/>
            <w:vAlign w:val="bottom"/>
            <w:tcBorders>
              <w:bottom w:val="single" w:sz="8" w:color="215AA8"/>
            </w:tcBorders>
            <w:shd w:val="clear" w:color="auto" w:fill="ECECED"/>
          </w:tcPr>
          <w:p>
            <w:pPr>
              <w:jc w:val="right"/>
              <w:ind w:right="52"/>
              <w:spacing w:after="0" w:line="149" w:lineRule="exact"/>
              <w:rPr>
                <w:sz w:val="20"/>
                <w:szCs w:val="20"/>
                <w:color w:val="auto"/>
              </w:rPr>
            </w:pPr>
            <w:r>
              <w:rPr>
                <w:rFonts w:ascii="Arial" w:cs="Arial" w:eastAsia="Arial" w:hAnsi="Arial"/>
                <w:sz w:val="14"/>
                <w:szCs w:val="14"/>
                <w:color w:val="auto"/>
              </w:rPr>
              <w:t>128.66</w:t>
            </w:r>
          </w:p>
        </w:tc>
        <w:tc>
          <w:tcPr>
            <w:tcW w:w="1080" w:type="dxa"/>
            <w:vAlign w:val="bottom"/>
            <w:tcBorders>
              <w:bottom w:val="single" w:sz="8" w:color="215AA8"/>
            </w:tcBorders>
            <w:shd w:val="clear" w:color="auto" w:fill="ECECED"/>
          </w:tcPr>
          <w:p>
            <w:pPr>
              <w:jc w:val="right"/>
              <w:ind w:right="212"/>
              <w:spacing w:after="0" w:line="149" w:lineRule="exact"/>
              <w:rPr>
                <w:sz w:val="20"/>
                <w:szCs w:val="20"/>
                <w:color w:val="auto"/>
              </w:rPr>
            </w:pPr>
            <w:r>
              <w:rPr>
                <w:rFonts w:ascii="Arial" w:cs="Arial" w:eastAsia="Arial" w:hAnsi="Arial"/>
                <w:sz w:val="14"/>
                <w:szCs w:val="14"/>
                <w:color w:val="auto"/>
              </w:rPr>
              <w:t>110.52</w:t>
            </w:r>
          </w:p>
        </w:tc>
        <w:tc>
          <w:tcPr>
            <w:tcW w:w="1440" w:type="dxa"/>
            <w:vAlign w:val="bottom"/>
            <w:tcBorders>
              <w:bottom w:val="single" w:sz="8" w:color="215AA8"/>
            </w:tcBorders>
            <w:shd w:val="clear" w:color="auto" w:fill="ECECED"/>
          </w:tcPr>
          <w:p>
            <w:pPr>
              <w:jc w:val="center"/>
              <w:spacing w:after="0" w:line="149" w:lineRule="exact"/>
              <w:rPr>
                <w:sz w:val="20"/>
                <w:szCs w:val="20"/>
                <w:color w:val="auto"/>
              </w:rPr>
            </w:pPr>
            <w:r>
              <w:rPr>
                <w:rFonts w:ascii="Arial" w:cs="Arial" w:eastAsia="Arial" w:hAnsi="Arial"/>
                <w:sz w:val="14"/>
                <w:szCs w:val="14"/>
                <w:color w:val="auto"/>
                <w:w w:val="96"/>
              </w:rPr>
              <w:t>3,513,200,000</w:t>
            </w:r>
          </w:p>
        </w:tc>
        <w:tc>
          <w:tcPr>
            <w:tcW w:w="900" w:type="dxa"/>
            <w:vAlign w:val="bottom"/>
            <w:tcBorders>
              <w:bottom w:val="single" w:sz="8" w:color="215AA8"/>
            </w:tcBorders>
            <w:shd w:val="clear" w:color="auto" w:fill="ECECED"/>
          </w:tcPr>
          <w:p>
            <w:pPr>
              <w:jc w:val="right"/>
              <w:spacing w:after="0" w:line="149" w:lineRule="exact"/>
              <w:rPr>
                <w:sz w:val="20"/>
                <w:szCs w:val="20"/>
                <w:color w:val="auto"/>
              </w:rPr>
            </w:pPr>
            <w:r>
              <w:rPr>
                <w:rFonts w:ascii="Arial" w:cs="Arial" w:eastAsia="Arial" w:hAnsi="Arial"/>
                <w:sz w:val="14"/>
                <w:szCs w:val="14"/>
                <w:color w:val="auto"/>
              </w:rPr>
              <w:t>483.11</w:t>
            </w:r>
          </w:p>
        </w:tc>
      </w:tr>
    </w:tbl>
    <w:p>
      <w:pPr>
        <w:spacing w:after="0" w:line="285" w:lineRule="exact"/>
        <w:rPr>
          <w:sz w:val="20"/>
          <w:szCs w:val="20"/>
          <w:color w:val="auto"/>
        </w:rPr>
      </w:pPr>
    </w:p>
    <w:p>
      <w:pPr>
        <w:ind w:left="270" w:right="260" w:hanging="270"/>
        <w:spacing w:after="0" w:line="203" w:lineRule="auto"/>
        <w:tabs>
          <w:tab w:leader="none" w:pos="270" w:val="left"/>
        </w:tabs>
        <w:numPr>
          <w:ilvl w:val="0"/>
          <w:numId w:val="182"/>
        </w:numPr>
        <w:rPr>
          <w:rFonts w:ascii="Arial" w:cs="Arial" w:eastAsia="Arial" w:hAnsi="Arial"/>
          <w:sz w:val="20"/>
          <w:szCs w:val="20"/>
          <w:color w:val="auto"/>
          <w:vertAlign w:val="superscript"/>
        </w:rPr>
      </w:pPr>
      <w:r>
        <w:rPr>
          <w:rFonts w:ascii="Arial" w:cs="Arial" w:eastAsia="Arial" w:hAnsi="Arial"/>
          <w:sz w:val="12"/>
          <w:szCs w:val="12"/>
          <w:color w:val="auto"/>
        </w:rPr>
        <w:t>Leonard S. Schleifer, M.D., Ph.D. was our principal executive officer (“PEO”) for each year presented. George D. Yancopoulos, M.D., Ph.D., Robert E. Landry, Daniel P. Van Plew, and Andrew J. Murphy, Ph.D. comprise the non-PEO named executive officers (“Non-PEO NEOs”) for 2020 and 2023; and each of these individuals plus Joseph J. LaRosa and Marion McCourt comprise the Non-PEO NEOs for 2021 and 2022, respectively.</w:t>
      </w:r>
    </w:p>
    <w:p>
      <w:pPr>
        <w:spacing w:after="0" w:line="225" w:lineRule="exact"/>
        <w:rPr>
          <w:sz w:val="20"/>
          <w:szCs w:val="20"/>
          <w:color w:val="auto"/>
        </w:rPr>
      </w:pPr>
    </w:p>
    <w:p>
      <w:pPr>
        <w:ind w:left="270" w:right="160" w:hanging="270"/>
        <w:spacing w:after="0" w:line="191" w:lineRule="auto"/>
        <w:tabs>
          <w:tab w:leader="none" w:pos="270" w:val="left"/>
        </w:tabs>
        <w:numPr>
          <w:ilvl w:val="0"/>
          <w:numId w:val="183"/>
        </w:numPr>
        <w:rPr>
          <w:rFonts w:ascii="Arial" w:cs="Arial" w:eastAsia="Arial" w:hAnsi="Arial"/>
          <w:sz w:val="20"/>
          <w:szCs w:val="20"/>
          <w:color w:val="auto"/>
          <w:vertAlign w:val="superscript"/>
        </w:rPr>
      </w:pPr>
      <w:r>
        <w:rPr>
          <w:rFonts w:ascii="Arial" w:cs="Arial" w:eastAsia="Arial" w:hAnsi="Arial"/>
          <w:sz w:val="12"/>
          <w:szCs w:val="12"/>
          <w:color w:val="auto"/>
        </w:rPr>
        <w:t>The amounts shown for “Compensation “Actually Paid”” have been calculated in accordance with Item 402(v) of Regulation S K and do not reflect compensation actually earned, realized, or received by the Company’s NEOs. These amounts reflect total compensation as reported in the Summary Compensation Table with certain adjustments as described in footnote 3 below.</w:t>
      </w:r>
    </w:p>
    <w:p>
      <w:pPr>
        <w:spacing w:after="0" w:line="22" w:lineRule="exact"/>
        <w:rPr>
          <w:sz w:val="20"/>
          <w:szCs w:val="20"/>
          <w:color w:val="auto"/>
        </w:rPr>
      </w:pPr>
    </w:p>
    <w:p>
      <w:pPr>
        <w:ind w:left="270" w:right="80" w:hanging="270"/>
        <w:spacing w:after="0" w:line="203" w:lineRule="auto"/>
        <w:tabs>
          <w:tab w:leader="none" w:pos="270" w:val="left"/>
        </w:tabs>
        <w:numPr>
          <w:ilvl w:val="0"/>
          <w:numId w:val="184"/>
        </w:numPr>
        <w:rPr>
          <w:rFonts w:ascii="Arial" w:cs="Arial" w:eastAsia="Arial" w:hAnsi="Arial"/>
          <w:sz w:val="20"/>
          <w:szCs w:val="20"/>
          <w:color w:val="auto"/>
          <w:vertAlign w:val="superscript"/>
        </w:rPr>
      </w:pPr>
      <w:r>
        <w:rPr>
          <w:rFonts w:ascii="Arial" w:cs="Arial" w:eastAsia="Arial" w:hAnsi="Arial"/>
          <w:sz w:val="12"/>
          <w:szCs w:val="12"/>
          <w:color w:val="auto"/>
        </w:rPr>
        <w:t>“Compensation “Actually Paid”” reflects the exclusions and inclusions of equity awards for the PEO and the Non-PEO NEOs as set forth below and calculated in accordance with FASB ASC Topic 718 using the valuation methodologies and assumptions set forth in the calculation of the grant date fair value of these awards as disclosed in the Company’s audited financial statements for the fiscal year in which the equity awards were granted.</w:t>
      </w:r>
    </w:p>
    <w:p>
      <w:pPr>
        <w:spacing w:after="0" w:line="22" w:lineRule="exact"/>
        <w:rPr>
          <w:rFonts w:ascii="Arial" w:cs="Arial" w:eastAsia="Arial" w:hAnsi="Arial"/>
          <w:sz w:val="20"/>
          <w:szCs w:val="20"/>
          <w:color w:val="auto"/>
          <w:vertAlign w:val="superscript"/>
        </w:rPr>
      </w:pPr>
    </w:p>
    <w:p>
      <w:pPr>
        <w:ind w:left="270" w:right="280"/>
        <w:spacing w:after="0" w:line="270" w:lineRule="auto"/>
        <w:rPr>
          <w:rFonts w:ascii="Arial" w:cs="Arial" w:eastAsia="Arial" w:hAnsi="Arial"/>
          <w:sz w:val="20"/>
          <w:szCs w:val="20"/>
          <w:color w:val="auto"/>
          <w:vertAlign w:val="superscript"/>
        </w:rPr>
      </w:pPr>
      <w:r>
        <w:rPr>
          <w:rFonts w:ascii="Arial" w:cs="Arial" w:eastAsia="Arial" w:hAnsi="Arial"/>
          <w:sz w:val="12"/>
          <w:szCs w:val="12"/>
          <w:color w:val="auto"/>
        </w:rPr>
        <w:t>The “Exclusion of Stock Awards and Option Awards from Summary Compensation Table” columns in the tables below reflect the aggregate amounts reported in the Summary Compensation Table for the applicable year in the “Stock Awards” and “Option Awards” columns.</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160" w:type="dxa"/>
            <w:vAlign w:val="bottom"/>
          </w:tcPr>
          <w:p>
            <w:pPr>
              <w:jc w:val="right"/>
              <w:ind w:right="200"/>
              <w:spacing w:after="0"/>
              <w:rPr>
                <w:sz w:val="20"/>
                <w:szCs w:val="20"/>
                <w:color w:val="auto"/>
              </w:rPr>
            </w:pPr>
            <w:r>
              <w:rPr>
                <w:rFonts w:ascii="Arial" w:cs="Arial" w:eastAsia="Arial" w:hAnsi="Arial"/>
                <w:sz w:val="12"/>
                <w:szCs w:val="12"/>
                <w:color w:val="215AA8"/>
              </w:rPr>
              <w:t>Exclusion of Stock Awards</w:t>
            </w:r>
          </w:p>
        </w:tc>
        <w:tc>
          <w:tcPr>
            <w:tcW w:w="17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5"/>
        </w:trPr>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160" w:type="dxa"/>
            <w:vAlign w:val="bottom"/>
          </w:tcPr>
          <w:p>
            <w:pPr>
              <w:jc w:val="right"/>
              <w:ind w:right="200"/>
              <w:spacing w:after="0" w:line="135" w:lineRule="exact"/>
              <w:rPr>
                <w:sz w:val="20"/>
                <w:szCs w:val="20"/>
                <w:color w:val="auto"/>
              </w:rPr>
            </w:pPr>
            <w:r>
              <w:rPr>
                <w:rFonts w:ascii="Arial" w:cs="Arial" w:eastAsia="Arial" w:hAnsi="Arial"/>
                <w:sz w:val="12"/>
                <w:szCs w:val="12"/>
                <w:color w:val="215AA8"/>
              </w:rPr>
              <w:t>and Option Awards from</w:t>
            </w:r>
          </w:p>
        </w:tc>
        <w:tc>
          <w:tcPr>
            <w:tcW w:w="1780" w:type="dxa"/>
            <w:vAlign w:val="bottom"/>
          </w:tcPr>
          <w:p>
            <w:pPr>
              <w:jc w:val="right"/>
              <w:ind w:right="180"/>
              <w:spacing w:after="0" w:line="135" w:lineRule="exact"/>
              <w:rPr>
                <w:sz w:val="20"/>
                <w:szCs w:val="20"/>
                <w:color w:val="auto"/>
              </w:rPr>
            </w:pPr>
            <w:r>
              <w:rPr>
                <w:rFonts w:ascii="Arial" w:cs="Arial" w:eastAsia="Arial" w:hAnsi="Arial"/>
                <w:sz w:val="12"/>
                <w:szCs w:val="12"/>
                <w:color w:val="215AA8"/>
              </w:rPr>
              <w:t>Inclusion of Item 402(v)</w:t>
            </w:r>
          </w:p>
        </w:tc>
        <w:tc>
          <w:tcPr>
            <w:tcW w:w="1560" w:type="dxa"/>
            <w:vAlign w:val="bottom"/>
          </w:tcPr>
          <w:p>
            <w:pPr>
              <w:spacing w:after="0"/>
              <w:rPr>
                <w:sz w:val="11"/>
                <w:szCs w:val="11"/>
                <w:color w:val="auto"/>
              </w:rPr>
            </w:pPr>
          </w:p>
        </w:tc>
      </w:tr>
      <w:tr>
        <w:trPr>
          <w:trHeight w:val="135"/>
        </w:trPr>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540" w:type="dxa"/>
            <w:vAlign w:val="bottom"/>
          </w:tcPr>
          <w:p>
            <w:pPr>
              <w:jc w:val="right"/>
              <w:ind w:right="300"/>
              <w:spacing w:after="0" w:line="135" w:lineRule="exact"/>
              <w:rPr>
                <w:sz w:val="20"/>
                <w:szCs w:val="20"/>
                <w:color w:val="auto"/>
              </w:rPr>
            </w:pPr>
            <w:r>
              <w:rPr>
                <w:rFonts w:ascii="Arial" w:cs="Arial" w:eastAsia="Arial" w:hAnsi="Arial"/>
                <w:sz w:val="12"/>
                <w:szCs w:val="12"/>
                <w:color w:val="215AA8"/>
              </w:rPr>
              <w:t>Summary Compensation</w:t>
            </w:r>
          </w:p>
        </w:tc>
        <w:tc>
          <w:tcPr>
            <w:tcW w:w="2160" w:type="dxa"/>
            <w:vAlign w:val="bottom"/>
          </w:tcPr>
          <w:p>
            <w:pPr>
              <w:jc w:val="right"/>
              <w:ind w:right="200"/>
              <w:spacing w:after="0" w:line="135" w:lineRule="exact"/>
              <w:rPr>
                <w:sz w:val="20"/>
                <w:szCs w:val="20"/>
                <w:color w:val="auto"/>
              </w:rPr>
            </w:pPr>
            <w:r>
              <w:rPr>
                <w:rFonts w:ascii="Arial" w:cs="Arial" w:eastAsia="Arial" w:hAnsi="Arial"/>
                <w:sz w:val="12"/>
                <w:szCs w:val="12"/>
                <w:color w:val="215AA8"/>
              </w:rPr>
              <w:t>Summary Compensation</w:t>
            </w:r>
          </w:p>
        </w:tc>
        <w:tc>
          <w:tcPr>
            <w:tcW w:w="1780" w:type="dxa"/>
            <w:vAlign w:val="bottom"/>
          </w:tcPr>
          <w:p>
            <w:pPr>
              <w:jc w:val="right"/>
              <w:ind w:right="180"/>
              <w:spacing w:after="0" w:line="135" w:lineRule="exact"/>
              <w:rPr>
                <w:sz w:val="20"/>
                <w:szCs w:val="20"/>
                <w:color w:val="auto"/>
              </w:rPr>
            </w:pPr>
            <w:r>
              <w:rPr>
                <w:rFonts w:ascii="Arial" w:cs="Arial" w:eastAsia="Arial" w:hAnsi="Arial"/>
                <w:sz w:val="12"/>
                <w:szCs w:val="12"/>
                <w:color w:val="215AA8"/>
              </w:rPr>
              <w:t>Equity Award Values for</w:t>
            </w:r>
          </w:p>
        </w:tc>
        <w:tc>
          <w:tcPr>
            <w:tcW w:w="1560" w:type="dxa"/>
            <w:vAlign w:val="bottom"/>
          </w:tcPr>
          <w:p>
            <w:pPr>
              <w:jc w:val="right"/>
              <w:spacing w:after="0" w:line="135" w:lineRule="exact"/>
              <w:rPr>
                <w:sz w:val="20"/>
                <w:szCs w:val="20"/>
                <w:color w:val="auto"/>
              </w:rPr>
            </w:pPr>
            <w:r>
              <w:rPr>
                <w:rFonts w:ascii="Arial" w:cs="Arial" w:eastAsia="Arial" w:hAnsi="Arial"/>
                <w:sz w:val="12"/>
                <w:szCs w:val="12"/>
                <w:color w:val="215AA8"/>
              </w:rPr>
              <w:t>Compensation “Actually</w:t>
            </w:r>
          </w:p>
        </w:tc>
      </w:tr>
      <w:tr>
        <w:trPr>
          <w:trHeight w:val="146"/>
        </w:trPr>
        <w:tc>
          <w:tcPr>
            <w:tcW w:w="260" w:type="dxa"/>
            <w:vAlign w:val="bottom"/>
          </w:tcPr>
          <w:p>
            <w:pPr>
              <w:spacing w:after="0"/>
              <w:rPr>
                <w:sz w:val="12"/>
                <w:szCs w:val="12"/>
                <w:color w:val="auto"/>
              </w:rPr>
            </w:pPr>
          </w:p>
        </w:tc>
        <w:tc>
          <w:tcPr>
            <w:tcW w:w="1960" w:type="dxa"/>
            <w:vAlign w:val="bottom"/>
            <w:tcBorders>
              <w:bottom w:val="single" w:sz="8" w:color="215AA8"/>
            </w:tcBorders>
          </w:tcPr>
          <w:p>
            <w:pPr>
              <w:ind w:left="40"/>
              <w:spacing w:after="0"/>
              <w:rPr>
                <w:sz w:val="20"/>
                <w:szCs w:val="20"/>
                <w:color w:val="auto"/>
              </w:rPr>
            </w:pPr>
            <w:r>
              <w:rPr>
                <w:rFonts w:ascii="Arial" w:cs="Arial" w:eastAsia="Arial" w:hAnsi="Arial"/>
                <w:sz w:val="12"/>
                <w:szCs w:val="12"/>
                <w:color w:val="215AA8"/>
              </w:rPr>
              <w:t>Year</w:t>
            </w:r>
          </w:p>
        </w:tc>
        <w:tc>
          <w:tcPr>
            <w:tcW w:w="3540" w:type="dxa"/>
            <w:vAlign w:val="bottom"/>
            <w:tcBorders>
              <w:bottom w:val="single" w:sz="8" w:color="215AA8"/>
            </w:tcBorders>
          </w:tcPr>
          <w:p>
            <w:pPr>
              <w:jc w:val="right"/>
              <w:ind w:right="300"/>
              <w:spacing w:after="0"/>
              <w:rPr>
                <w:sz w:val="20"/>
                <w:szCs w:val="20"/>
                <w:color w:val="auto"/>
              </w:rPr>
            </w:pPr>
            <w:r>
              <w:rPr>
                <w:rFonts w:ascii="Arial" w:cs="Arial" w:eastAsia="Arial" w:hAnsi="Arial"/>
                <w:sz w:val="12"/>
                <w:szCs w:val="12"/>
                <w:color w:val="215AA8"/>
              </w:rPr>
              <w:t>Table Total for PEO ($)</w:t>
            </w:r>
          </w:p>
        </w:tc>
        <w:tc>
          <w:tcPr>
            <w:tcW w:w="2160" w:type="dxa"/>
            <w:vAlign w:val="bottom"/>
            <w:tcBorders>
              <w:bottom w:val="single" w:sz="8" w:color="215AA8"/>
            </w:tcBorders>
          </w:tcPr>
          <w:p>
            <w:pPr>
              <w:jc w:val="right"/>
              <w:ind w:right="200"/>
              <w:spacing w:after="0"/>
              <w:rPr>
                <w:sz w:val="20"/>
                <w:szCs w:val="20"/>
                <w:color w:val="auto"/>
              </w:rPr>
            </w:pPr>
            <w:r>
              <w:rPr>
                <w:rFonts w:ascii="Arial" w:cs="Arial" w:eastAsia="Arial" w:hAnsi="Arial"/>
                <w:sz w:val="12"/>
                <w:szCs w:val="12"/>
                <w:color w:val="215AA8"/>
              </w:rPr>
              <w:t>Table for PEO ($)</w:t>
            </w:r>
          </w:p>
        </w:tc>
        <w:tc>
          <w:tcPr>
            <w:tcW w:w="1780" w:type="dxa"/>
            <w:vAlign w:val="bottom"/>
            <w:tcBorders>
              <w:bottom w:val="single" w:sz="8" w:color="215AA8"/>
            </w:tcBorders>
          </w:tcPr>
          <w:p>
            <w:pPr>
              <w:jc w:val="right"/>
              <w:ind w:right="180"/>
              <w:spacing w:after="0"/>
              <w:rPr>
                <w:sz w:val="20"/>
                <w:szCs w:val="20"/>
                <w:color w:val="auto"/>
              </w:rPr>
            </w:pPr>
            <w:r>
              <w:rPr>
                <w:rFonts w:ascii="Arial" w:cs="Arial" w:eastAsia="Arial" w:hAnsi="Arial"/>
                <w:sz w:val="12"/>
                <w:szCs w:val="12"/>
                <w:color w:val="215AA8"/>
              </w:rPr>
              <w:t>PEO ($)</w:t>
            </w:r>
          </w:p>
        </w:tc>
        <w:tc>
          <w:tcPr>
            <w:tcW w:w="1560" w:type="dxa"/>
            <w:vAlign w:val="bottom"/>
            <w:tcBorders>
              <w:bottom w:val="single" w:sz="8" w:color="215AA8"/>
            </w:tcBorders>
          </w:tcPr>
          <w:p>
            <w:pPr>
              <w:jc w:val="right"/>
              <w:spacing w:after="0"/>
              <w:rPr>
                <w:sz w:val="20"/>
                <w:szCs w:val="20"/>
                <w:color w:val="auto"/>
              </w:rPr>
            </w:pPr>
            <w:r>
              <w:rPr>
                <w:rFonts w:ascii="Arial" w:cs="Arial" w:eastAsia="Arial" w:hAnsi="Arial"/>
                <w:sz w:val="12"/>
                <w:szCs w:val="12"/>
                <w:color w:val="215AA8"/>
              </w:rPr>
              <w:t>Paid” to PEO ($)</w:t>
            </w:r>
          </w:p>
        </w:tc>
      </w:tr>
      <w:tr>
        <w:trPr>
          <w:trHeight w:val="138"/>
        </w:trPr>
        <w:tc>
          <w:tcPr>
            <w:tcW w:w="260" w:type="dxa"/>
            <w:vAlign w:val="bottom"/>
          </w:tcPr>
          <w:p>
            <w:pPr>
              <w:spacing w:after="0"/>
              <w:rPr>
                <w:sz w:val="11"/>
                <w:szCs w:val="11"/>
                <w:color w:val="auto"/>
              </w:rPr>
            </w:pPr>
          </w:p>
        </w:tc>
        <w:tc>
          <w:tcPr>
            <w:tcW w:w="1960" w:type="dxa"/>
            <w:vAlign w:val="bottom"/>
            <w:tcBorders>
              <w:bottom w:val="single" w:sz="8" w:color="215AA8"/>
            </w:tcBorders>
          </w:tcPr>
          <w:p>
            <w:pPr>
              <w:ind w:left="40"/>
              <w:spacing w:after="0" w:line="135" w:lineRule="exact"/>
              <w:rPr>
                <w:sz w:val="20"/>
                <w:szCs w:val="20"/>
                <w:color w:val="auto"/>
              </w:rPr>
            </w:pPr>
            <w:r>
              <w:rPr>
                <w:rFonts w:ascii="Arial" w:cs="Arial" w:eastAsia="Arial" w:hAnsi="Arial"/>
                <w:sz w:val="12"/>
                <w:szCs w:val="12"/>
                <w:color w:val="215AA8"/>
              </w:rPr>
              <w:t>2023</w:t>
            </w:r>
          </w:p>
        </w:tc>
        <w:tc>
          <w:tcPr>
            <w:tcW w:w="3540" w:type="dxa"/>
            <w:vAlign w:val="bottom"/>
            <w:tcBorders>
              <w:bottom w:val="single" w:sz="8" w:color="215AA8"/>
            </w:tcBorders>
          </w:tcPr>
          <w:p>
            <w:pPr>
              <w:jc w:val="right"/>
              <w:ind w:right="300"/>
              <w:spacing w:after="0" w:line="135" w:lineRule="exact"/>
              <w:rPr>
                <w:sz w:val="20"/>
                <w:szCs w:val="20"/>
                <w:color w:val="auto"/>
              </w:rPr>
            </w:pPr>
            <w:r>
              <w:rPr>
                <w:rFonts w:ascii="Arial" w:cs="Arial" w:eastAsia="Arial" w:hAnsi="Arial"/>
                <w:sz w:val="12"/>
                <w:szCs w:val="12"/>
                <w:color w:val="auto"/>
              </w:rPr>
              <w:t>8,184,338</w:t>
            </w:r>
          </w:p>
        </w:tc>
        <w:tc>
          <w:tcPr>
            <w:tcW w:w="2160" w:type="dxa"/>
            <w:vAlign w:val="bottom"/>
            <w:tcBorders>
              <w:bottom w:val="single" w:sz="8" w:color="215AA8"/>
            </w:tcBorders>
          </w:tcPr>
          <w:p>
            <w:pPr>
              <w:jc w:val="right"/>
              <w:ind w:right="200"/>
              <w:spacing w:after="0" w:line="135" w:lineRule="exact"/>
              <w:rPr>
                <w:sz w:val="20"/>
                <w:szCs w:val="20"/>
                <w:color w:val="auto"/>
              </w:rPr>
            </w:pPr>
            <w:r>
              <w:rPr>
                <w:rFonts w:ascii="Arial" w:cs="Arial" w:eastAsia="Arial" w:hAnsi="Arial"/>
                <w:sz w:val="12"/>
                <w:szCs w:val="12"/>
                <w:color w:val="auto"/>
              </w:rPr>
              <w:t>0</w:t>
            </w:r>
          </w:p>
        </w:tc>
        <w:tc>
          <w:tcPr>
            <w:tcW w:w="1780" w:type="dxa"/>
            <w:vAlign w:val="bottom"/>
            <w:tcBorders>
              <w:bottom w:val="single" w:sz="8" w:color="215AA8"/>
            </w:tcBorders>
          </w:tcPr>
          <w:p>
            <w:pPr>
              <w:jc w:val="right"/>
              <w:ind w:right="180"/>
              <w:spacing w:after="0" w:line="135" w:lineRule="exact"/>
              <w:rPr>
                <w:sz w:val="20"/>
                <w:szCs w:val="20"/>
                <w:color w:val="auto"/>
              </w:rPr>
            </w:pPr>
            <w:r>
              <w:rPr>
                <w:rFonts w:ascii="Arial" w:cs="Arial" w:eastAsia="Arial" w:hAnsi="Arial"/>
                <w:sz w:val="12"/>
                <w:szCs w:val="12"/>
                <w:color w:val="auto"/>
              </w:rPr>
              <w:t>132,886,855</w:t>
            </w:r>
          </w:p>
        </w:tc>
        <w:tc>
          <w:tcPr>
            <w:tcW w:w="1560" w:type="dxa"/>
            <w:vAlign w:val="bottom"/>
            <w:tcBorders>
              <w:bottom w:val="single" w:sz="8" w:color="215AA8"/>
            </w:tcBorders>
          </w:tcPr>
          <w:p>
            <w:pPr>
              <w:jc w:val="right"/>
              <w:spacing w:after="0" w:line="135" w:lineRule="exact"/>
              <w:rPr>
                <w:sz w:val="20"/>
                <w:szCs w:val="20"/>
                <w:color w:val="auto"/>
              </w:rPr>
            </w:pPr>
            <w:r>
              <w:rPr>
                <w:rFonts w:ascii="Arial" w:cs="Arial" w:eastAsia="Arial" w:hAnsi="Arial"/>
                <w:sz w:val="12"/>
                <w:szCs w:val="12"/>
                <w:color w:val="auto"/>
              </w:rPr>
              <w:t>141,071,193</w:t>
            </w:r>
          </w:p>
        </w:tc>
      </w:tr>
      <w:tr>
        <w:trPr>
          <w:trHeight w:val="667"/>
        </w:trPr>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160" w:type="dxa"/>
            <w:vAlign w:val="bottom"/>
          </w:tcPr>
          <w:p>
            <w:pPr>
              <w:jc w:val="right"/>
              <w:ind w:right="200"/>
              <w:spacing w:after="0"/>
              <w:rPr>
                <w:sz w:val="20"/>
                <w:szCs w:val="20"/>
                <w:color w:val="auto"/>
              </w:rPr>
            </w:pPr>
            <w:r>
              <w:rPr>
                <w:rFonts w:ascii="Arial" w:cs="Arial" w:eastAsia="Arial" w:hAnsi="Arial"/>
                <w:sz w:val="12"/>
                <w:szCs w:val="12"/>
                <w:color w:val="215AA8"/>
              </w:rPr>
              <w:t>Exclusion of Stock Awards</w:t>
            </w:r>
          </w:p>
        </w:tc>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5"/>
        </w:trPr>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540" w:type="dxa"/>
            <w:vAlign w:val="bottom"/>
          </w:tcPr>
          <w:p>
            <w:pPr>
              <w:jc w:val="right"/>
              <w:ind w:right="300"/>
              <w:spacing w:after="0" w:line="135" w:lineRule="exact"/>
              <w:rPr>
                <w:sz w:val="20"/>
                <w:szCs w:val="20"/>
                <w:color w:val="auto"/>
              </w:rPr>
            </w:pPr>
            <w:r>
              <w:rPr>
                <w:rFonts w:ascii="Arial" w:cs="Arial" w:eastAsia="Arial" w:hAnsi="Arial"/>
                <w:sz w:val="12"/>
                <w:szCs w:val="12"/>
                <w:color w:val="215AA8"/>
              </w:rPr>
              <w:t>Average Summary</w:t>
            </w:r>
          </w:p>
        </w:tc>
        <w:tc>
          <w:tcPr>
            <w:tcW w:w="2160" w:type="dxa"/>
            <w:vAlign w:val="bottom"/>
          </w:tcPr>
          <w:p>
            <w:pPr>
              <w:jc w:val="right"/>
              <w:ind w:right="200"/>
              <w:spacing w:after="0" w:line="135" w:lineRule="exact"/>
              <w:rPr>
                <w:sz w:val="20"/>
                <w:szCs w:val="20"/>
                <w:color w:val="auto"/>
              </w:rPr>
            </w:pPr>
            <w:r>
              <w:rPr>
                <w:rFonts w:ascii="Arial" w:cs="Arial" w:eastAsia="Arial" w:hAnsi="Arial"/>
                <w:sz w:val="12"/>
                <w:szCs w:val="12"/>
                <w:color w:val="215AA8"/>
              </w:rPr>
              <w:t>and Option Awards from</w:t>
            </w:r>
          </w:p>
        </w:tc>
        <w:tc>
          <w:tcPr>
            <w:tcW w:w="1780" w:type="dxa"/>
            <w:vAlign w:val="bottom"/>
          </w:tcPr>
          <w:p>
            <w:pPr>
              <w:jc w:val="right"/>
              <w:ind w:right="180"/>
              <w:spacing w:after="0" w:line="135" w:lineRule="exact"/>
              <w:rPr>
                <w:sz w:val="20"/>
                <w:szCs w:val="20"/>
                <w:color w:val="auto"/>
              </w:rPr>
            </w:pPr>
            <w:r>
              <w:rPr>
                <w:rFonts w:ascii="Arial" w:cs="Arial" w:eastAsia="Arial" w:hAnsi="Arial"/>
                <w:sz w:val="12"/>
                <w:szCs w:val="12"/>
                <w:color w:val="215AA8"/>
              </w:rPr>
              <w:t>Inclusion of Item 402(v)</w:t>
            </w:r>
          </w:p>
        </w:tc>
        <w:tc>
          <w:tcPr>
            <w:tcW w:w="1560" w:type="dxa"/>
            <w:vAlign w:val="bottom"/>
          </w:tcPr>
          <w:p>
            <w:pPr>
              <w:jc w:val="right"/>
              <w:spacing w:after="0" w:line="135" w:lineRule="exact"/>
              <w:rPr>
                <w:sz w:val="20"/>
                <w:szCs w:val="20"/>
                <w:color w:val="auto"/>
              </w:rPr>
            </w:pPr>
            <w:r>
              <w:rPr>
                <w:rFonts w:ascii="Arial" w:cs="Arial" w:eastAsia="Arial" w:hAnsi="Arial"/>
                <w:sz w:val="12"/>
                <w:szCs w:val="12"/>
                <w:color w:val="215AA8"/>
              </w:rPr>
              <w:t>Average Compensation</w:t>
            </w:r>
          </w:p>
        </w:tc>
      </w:tr>
      <w:tr>
        <w:trPr>
          <w:trHeight w:val="135"/>
        </w:trPr>
        <w:tc>
          <w:tcPr>
            <w:tcW w:w="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540" w:type="dxa"/>
            <w:vAlign w:val="bottom"/>
          </w:tcPr>
          <w:p>
            <w:pPr>
              <w:jc w:val="right"/>
              <w:ind w:right="300"/>
              <w:spacing w:after="0" w:line="135" w:lineRule="exact"/>
              <w:rPr>
                <w:sz w:val="20"/>
                <w:szCs w:val="20"/>
                <w:color w:val="auto"/>
              </w:rPr>
            </w:pPr>
            <w:r>
              <w:rPr>
                <w:rFonts w:ascii="Arial" w:cs="Arial" w:eastAsia="Arial" w:hAnsi="Arial"/>
                <w:sz w:val="12"/>
                <w:szCs w:val="12"/>
                <w:color w:val="215AA8"/>
              </w:rPr>
              <w:t>Compensation Table Total for</w:t>
            </w:r>
          </w:p>
        </w:tc>
        <w:tc>
          <w:tcPr>
            <w:tcW w:w="2160" w:type="dxa"/>
            <w:vAlign w:val="bottom"/>
          </w:tcPr>
          <w:p>
            <w:pPr>
              <w:jc w:val="right"/>
              <w:ind w:right="200"/>
              <w:spacing w:after="0" w:line="135" w:lineRule="exact"/>
              <w:rPr>
                <w:sz w:val="20"/>
                <w:szCs w:val="20"/>
                <w:color w:val="auto"/>
              </w:rPr>
            </w:pPr>
            <w:r>
              <w:rPr>
                <w:rFonts w:ascii="Arial" w:cs="Arial" w:eastAsia="Arial" w:hAnsi="Arial"/>
                <w:sz w:val="12"/>
                <w:szCs w:val="12"/>
                <w:color w:val="215AA8"/>
              </w:rPr>
              <w:t>Summary Compensation</w:t>
            </w:r>
          </w:p>
        </w:tc>
        <w:tc>
          <w:tcPr>
            <w:tcW w:w="1780" w:type="dxa"/>
            <w:vAlign w:val="bottom"/>
          </w:tcPr>
          <w:p>
            <w:pPr>
              <w:jc w:val="right"/>
              <w:ind w:right="180"/>
              <w:spacing w:after="0" w:line="135" w:lineRule="exact"/>
              <w:rPr>
                <w:sz w:val="20"/>
                <w:szCs w:val="20"/>
                <w:color w:val="auto"/>
              </w:rPr>
            </w:pPr>
            <w:r>
              <w:rPr>
                <w:rFonts w:ascii="Arial" w:cs="Arial" w:eastAsia="Arial" w:hAnsi="Arial"/>
                <w:sz w:val="12"/>
                <w:szCs w:val="12"/>
                <w:color w:val="215AA8"/>
              </w:rPr>
              <w:t>Equity Award Values for</w:t>
            </w:r>
          </w:p>
        </w:tc>
        <w:tc>
          <w:tcPr>
            <w:tcW w:w="1560" w:type="dxa"/>
            <w:vAlign w:val="bottom"/>
          </w:tcPr>
          <w:p>
            <w:pPr>
              <w:jc w:val="right"/>
              <w:spacing w:after="0" w:line="135" w:lineRule="exact"/>
              <w:rPr>
                <w:sz w:val="20"/>
                <w:szCs w:val="20"/>
                <w:color w:val="auto"/>
              </w:rPr>
            </w:pPr>
            <w:r>
              <w:rPr>
                <w:rFonts w:ascii="Arial" w:cs="Arial" w:eastAsia="Arial" w:hAnsi="Arial"/>
                <w:sz w:val="12"/>
                <w:szCs w:val="12"/>
                <w:color w:val="215AA8"/>
              </w:rPr>
              <w:t>“Actually Paid” to</w:t>
            </w:r>
          </w:p>
        </w:tc>
      </w:tr>
      <w:tr>
        <w:trPr>
          <w:trHeight w:val="146"/>
        </w:trPr>
        <w:tc>
          <w:tcPr>
            <w:tcW w:w="260" w:type="dxa"/>
            <w:vAlign w:val="bottom"/>
          </w:tcPr>
          <w:p>
            <w:pPr>
              <w:spacing w:after="0"/>
              <w:rPr>
                <w:sz w:val="12"/>
                <w:szCs w:val="12"/>
                <w:color w:val="auto"/>
              </w:rPr>
            </w:pPr>
          </w:p>
        </w:tc>
        <w:tc>
          <w:tcPr>
            <w:tcW w:w="1960" w:type="dxa"/>
            <w:vAlign w:val="bottom"/>
            <w:tcBorders>
              <w:bottom w:val="single" w:sz="8" w:color="215AA8"/>
            </w:tcBorders>
          </w:tcPr>
          <w:p>
            <w:pPr>
              <w:ind w:left="40"/>
              <w:spacing w:after="0"/>
              <w:rPr>
                <w:sz w:val="20"/>
                <w:szCs w:val="20"/>
                <w:color w:val="auto"/>
              </w:rPr>
            </w:pPr>
            <w:r>
              <w:rPr>
                <w:rFonts w:ascii="Arial" w:cs="Arial" w:eastAsia="Arial" w:hAnsi="Arial"/>
                <w:sz w:val="12"/>
                <w:szCs w:val="12"/>
                <w:color w:val="215AA8"/>
              </w:rPr>
              <w:t>Year</w:t>
            </w:r>
          </w:p>
        </w:tc>
        <w:tc>
          <w:tcPr>
            <w:tcW w:w="3540" w:type="dxa"/>
            <w:vAlign w:val="bottom"/>
            <w:tcBorders>
              <w:bottom w:val="single" w:sz="8" w:color="215AA8"/>
            </w:tcBorders>
          </w:tcPr>
          <w:p>
            <w:pPr>
              <w:jc w:val="right"/>
              <w:ind w:right="300"/>
              <w:spacing w:after="0"/>
              <w:rPr>
                <w:sz w:val="20"/>
                <w:szCs w:val="20"/>
                <w:color w:val="auto"/>
              </w:rPr>
            </w:pPr>
            <w:r>
              <w:rPr>
                <w:rFonts w:ascii="Arial" w:cs="Arial" w:eastAsia="Arial" w:hAnsi="Arial"/>
                <w:sz w:val="12"/>
                <w:szCs w:val="12"/>
                <w:color w:val="215AA8"/>
              </w:rPr>
              <w:t>Non-PEO NEOs ($)</w:t>
            </w:r>
          </w:p>
        </w:tc>
        <w:tc>
          <w:tcPr>
            <w:tcW w:w="2160" w:type="dxa"/>
            <w:vAlign w:val="bottom"/>
            <w:tcBorders>
              <w:bottom w:val="single" w:sz="8" w:color="215AA8"/>
            </w:tcBorders>
          </w:tcPr>
          <w:p>
            <w:pPr>
              <w:jc w:val="right"/>
              <w:ind w:right="200"/>
              <w:spacing w:after="0"/>
              <w:rPr>
                <w:sz w:val="20"/>
                <w:szCs w:val="20"/>
                <w:color w:val="auto"/>
              </w:rPr>
            </w:pPr>
            <w:r>
              <w:rPr>
                <w:rFonts w:ascii="Arial" w:cs="Arial" w:eastAsia="Arial" w:hAnsi="Arial"/>
                <w:sz w:val="12"/>
                <w:szCs w:val="12"/>
                <w:color w:val="215AA8"/>
              </w:rPr>
              <w:t>Table for Non-PEO NEOs ($)</w:t>
            </w:r>
          </w:p>
        </w:tc>
        <w:tc>
          <w:tcPr>
            <w:tcW w:w="1780" w:type="dxa"/>
            <w:vAlign w:val="bottom"/>
            <w:tcBorders>
              <w:bottom w:val="single" w:sz="8" w:color="215AA8"/>
            </w:tcBorders>
          </w:tcPr>
          <w:p>
            <w:pPr>
              <w:jc w:val="right"/>
              <w:ind w:right="180"/>
              <w:spacing w:after="0"/>
              <w:rPr>
                <w:sz w:val="20"/>
                <w:szCs w:val="20"/>
                <w:color w:val="auto"/>
              </w:rPr>
            </w:pPr>
            <w:r>
              <w:rPr>
                <w:rFonts w:ascii="Arial" w:cs="Arial" w:eastAsia="Arial" w:hAnsi="Arial"/>
                <w:sz w:val="12"/>
                <w:szCs w:val="12"/>
                <w:color w:val="215AA8"/>
              </w:rPr>
              <w:t>Non-PEO NEOs ($)</w:t>
            </w:r>
          </w:p>
        </w:tc>
        <w:tc>
          <w:tcPr>
            <w:tcW w:w="1560" w:type="dxa"/>
            <w:vAlign w:val="bottom"/>
            <w:tcBorders>
              <w:bottom w:val="single" w:sz="8" w:color="215AA8"/>
            </w:tcBorders>
          </w:tcPr>
          <w:p>
            <w:pPr>
              <w:jc w:val="right"/>
              <w:spacing w:after="0"/>
              <w:rPr>
                <w:sz w:val="20"/>
                <w:szCs w:val="20"/>
                <w:color w:val="auto"/>
              </w:rPr>
            </w:pPr>
            <w:r>
              <w:rPr>
                <w:rFonts w:ascii="Arial" w:cs="Arial" w:eastAsia="Arial" w:hAnsi="Arial"/>
                <w:sz w:val="12"/>
                <w:szCs w:val="12"/>
                <w:color w:val="215AA8"/>
              </w:rPr>
              <w:t>Non-PEO NEOs ($)</w:t>
            </w:r>
          </w:p>
        </w:tc>
      </w:tr>
      <w:tr>
        <w:trPr>
          <w:trHeight w:val="138"/>
        </w:trPr>
        <w:tc>
          <w:tcPr>
            <w:tcW w:w="260" w:type="dxa"/>
            <w:vAlign w:val="bottom"/>
          </w:tcPr>
          <w:p>
            <w:pPr>
              <w:spacing w:after="0"/>
              <w:rPr>
                <w:sz w:val="11"/>
                <w:szCs w:val="11"/>
                <w:color w:val="auto"/>
              </w:rPr>
            </w:pPr>
          </w:p>
        </w:tc>
        <w:tc>
          <w:tcPr>
            <w:tcW w:w="1960" w:type="dxa"/>
            <w:vAlign w:val="bottom"/>
            <w:tcBorders>
              <w:bottom w:val="single" w:sz="8" w:color="215AA8"/>
            </w:tcBorders>
          </w:tcPr>
          <w:p>
            <w:pPr>
              <w:ind w:left="40"/>
              <w:spacing w:after="0" w:line="135" w:lineRule="exact"/>
              <w:rPr>
                <w:sz w:val="20"/>
                <w:szCs w:val="20"/>
                <w:color w:val="auto"/>
              </w:rPr>
            </w:pPr>
            <w:r>
              <w:rPr>
                <w:rFonts w:ascii="Arial" w:cs="Arial" w:eastAsia="Arial" w:hAnsi="Arial"/>
                <w:sz w:val="12"/>
                <w:szCs w:val="12"/>
                <w:color w:val="215AA8"/>
              </w:rPr>
              <w:t>2023</w:t>
            </w:r>
          </w:p>
        </w:tc>
        <w:tc>
          <w:tcPr>
            <w:tcW w:w="3540" w:type="dxa"/>
            <w:vAlign w:val="bottom"/>
            <w:tcBorders>
              <w:bottom w:val="single" w:sz="8" w:color="215AA8"/>
            </w:tcBorders>
          </w:tcPr>
          <w:p>
            <w:pPr>
              <w:jc w:val="right"/>
              <w:ind w:right="300"/>
              <w:spacing w:after="0" w:line="135" w:lineRule="exact"/>
              <w:rPr>
                <w:sz w:val="20"/>
                <w:szCs w:val="20"/>
                <w:color w:val="auto"/>
              </w:rPr>
            </w:pPr>
            <w:r>
              <w:rPr>
                <w:rFonts w:ascii="Arial" w:cs="Arial" w:eastAsia="Arial" w:hAnsi="Arial"/>
                <w:sz w:val="12"/>
                <w:szCs w:val="12"/>
                <w:color w:val="auto"/>
              </w:rPr>
              <w:t>6,713,442</w:t>
            </w:r>
          </w:p>
        </w:tc>
        <w:tc>
          <w:tcPr>
            <w:tcW w:w="2160" w:type="dxa"/>
            <w:vAlign w:val="bottom"/>
            <w:tcBorders>
              <w:bottom w:val="single" w:sz="8" w:color="215AA8"/>
            </w:tcBorders>
          </w:tcPr>
          <w:p>
            <w:pPr>
              <w:jc w:val="right"/>
              <w:ind w:right="200"/>
              <w:spacing w:after="0" w:line="135" w:lineRule="exact"/>
              <w:rPr>
                <w:sz w:val="20"/>
                <w:szCs w:val="20"/>
                <w:color w:val="auto"/>
              </w:rPr>
            </w:pPr>
            <w:r>
              <w:rPr>
                <w:rFonts w:ascii="Arial" w:cs="Arial" w:eastAsia="Arial" w:hAnsi="Arial"/>
                <w:sz w:val="12"/>
                <w:szCs w:val="12"/>
                <w:color w:val="auto"/>
              </w:rPr>
              <w:t>(3,374,461)</w:t>
            </w:r>
          </w:p>
        </w:tc>
        <w:tc>
          <w:tcPr>
            <w:tcW w:w="1780" w:type="dxa"/>
            <w:vAlign w:val="bottom"/>
            <w:tcBorders>
              <w:bottom w:val="single" w:sz="8" w:color="215AA8"/>
            </w:tcBorders>
          </w:tcPr>
          <w:p>
            <w:pPr>
              <w:jc w:val="right"/>
              <w:ind w:right="180"/>
              <w:spacing w:after="0" w:line="135" w:lineRule="exact"/>
              <w:rPr>
                <w:sz w:val="20"/>
                <w:szCs w:val="20"/>
                <w:color w:val="auto"/>
              </w:rPr>
            </w:pPr>
            <w:r>
              <w:rPr>
                <w:rFonts w:ascii="Arial" w:cs="Arial" w:eastAsia="Arial" w:hAnsi="Arial"/>
                <w:sz w:val="12"/>
                <w:szCs w:val="12"/>
                <w:color w:val="auto"/>
              </w:rPr>
              <w:t>43,557,444</w:t>
            </w:r>
          </w:p>
        </w:tc>
        <w:tc>
          <w:tcPr>
            <w:tcW w:w="1560" w:type="dxa"/>
            <w:vAlign w:val="bottom"/>
            <w:tcBorders>
              <w:bottom w:val="single" w:sz="8" w:color="215AA8"/>
            </w:tcBorders>
          </w:tcPr>
          <w:p>
            <w:pPr>
              <w:jc w:val="right"/>
              <w:spacing w:after="0" w:line="135" w:lineRule="exact"/>
              <w:rPr>
                <w:sz w:val="20"/>
                <w:szCs w:val="20"/>
                <w:color w:val="auto"/>
              </w:rPr>
            </w:pPr>
            <w:r>
              <w:rPr>
                <w:rFonts w:ascii="Arial" w:cs="Arial" w:eastAsia="Arial" w:hAnsi="Arial"/>
                <w:sz w:val="12"/>
                <w:szCs w:val="12"/>
                <w:color w:val="auto"/>
              </w:rPr>
              <w:t>46,896,425</w:t>
            </w:r>
          </w:p>
        </w:tc>
      </w:tr>
      <w:tr>
        <w:trPr>
          <w:trHeight w:val="331"/>
        </w:trPr>
        <w:tc>
          <w:tcPr>
            <w:tcW w:w="5760" w:type="dxa"/>
            <w:vAlign w:val="bottom"/>
            <w:gridSpan w:val="3"/>
          </w:tcPr>
          <w:p>
            <w:pPr>
              <w:jc w:val="right"/>
              <w:ind w:right="1540"/>
              <w:spacing w:after="0"/>
              <w:rPr>
                <w:sz w:val="20"/>
                <w:szCs w:val="20"/>
                <w:color w:val="auto"/>
              </w:rPr>
            </w:pPr>
            <w:r>
              <w:rPr>
                <w:rFonts w:ascii="Arial" w:cs="Arial" w:eastAsia="Arial" w:hAnsi="Arial"/>
                <w:sz w:val="14"/>
                <w:szCs w:val="14"/>
                <w:b w:val="1"/>
                <w:bCs w:val="1"/>
                <w:color w:val="215AA8"/>
                <w:w w:val="95"/>
              </w:rPr>
              <w:t>2024 Proxy Statement and Notice of Annual Shareholder Meeting</w:t>
            </w:r>
          </w:p>
        </w:tc>
        <w:tc>
          <w:tcPr>
            <w:tcW w:w="2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96</w:t>
            </w:r>
          </w:p>
        </w:tc>
      </w:tr>
      <w:tr>
        <w:trPr>
          <w:trHeight w:val="211"/>
        </w:trPr>
        <w:tc>
          <w:tcPr>
            <w:tcW w:w="260" w:type="dxa"/>
            <w:vAlign w:val="bottom"/>
            <w:tcBorders>
              <w:bottom w:val="single" w:sz="8" w:color="C0C0C0"/>
            </w:tcBorders>
          </w:tcPr>
          <w:p>
            <w:pPr>
              <w:spacing w:after="0"/>
              <w:rPr>
                <w:sz w:val="18"/>
                <w:szCs w:val="18"/>
                <w:color w:val="auto"/>
              </w:rPr>
            </w:pPr>
          </w:p>
        </w:tc>
        <w:tc>
          <w:tcPr>
            <w:tcW w:w="1960" w:type="dxa"/>
            <w:vAlign w:val="bottom"/>
            <w:tcBorders>
              <w:bottom w:val="single" w:sz="8" w:color="C0C0C0"/>
            </w:tcBorders>
          </w:tcPr>
          <w:p>
            <w:pPr>
              <w:spacing w:after="0"/>
              <w:rPr>
                <w:sz w:val="18"/>
                <w:szCs w:val="18"/>
                <w:color w:val="auto"/>
              </w:rPr>
            </w:pPr>
          </w:p>
        </w:tc>
        <w:tc>
          <w:tcPr>
            <w:tcW w:w="3540" w:type="dxa"/>
            <w:vAlign w:val="bottom"/>
            <w:tcBorders>
              <w:bottom w:val="single" w:sz="8" w:color="C0C0C0"/>
            </w:tcBorders>
          </w:tcPr>
          <w:p>
            <w:pPr>
              <w:spacing w:after="0"/>
              <w:rPr>
                <w:sz w:val="18"/>
                <w:szCs w:val="18"/>
                <w:color w:val="auto"/>
              </w:rPr>
            </w:pPr>
          </w:p>
        </w:tc>
        <w:tc>
          <w:tcPr>
            <w:tcW w:w="2160" w:type="dxa"/>
            <w:vAlign w:val="bottom"/>
            <w:tcBorders>
              <w:bottom w:val="single" w:sz="8" w:color="C0C0C0"/>
            </w:tcBorders>
          </w:tcPr>
          <w:p>
            <w:pPr>
              <w:spacing w:after="0"/>
              <w:rPr>
                <w:sz w:val="18"/>
                <w:szCs w:val="18"/>
                <w:color w:val="auto"/>
              </w:rPr>
            </w:pPr>
          </w:p>
        </w:tc>
        <w:tc>
          <w:tcPr>
            <w:tcW w:w="1780" w:type="dxa"/>
            <w:vAlign w:val="bottom"/>
            <w:tcBorders>
              <w:bottom w:val="single" w:sz="8" w:color="C0C0C0"/>
            </w:tcBorders>
          </w:tcPr>
          <w:p>
            <w:pPr>
              <w:spacing w:after="0"/>
              <w:rPr>
                <w:sz w:val="18"/>
                <w:szCs w:val="18"/>
                <w:color w:val="auto"/>
              </w:rPr>
            </w:pPr>
          </w:p>
        </w:tc>
        <w:tc>
          <w:tcPr>
            <w:tcW w:w="156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41" w:lineRule="exact"/>
        <w:rPr>
          <w:sz w:val="20"/>
          <w:szCs w:val="20"/>
          <w:color w:val="auto"/>
        </w:rPr>
      </w:pPr>
    </w:p>
    <w:p>
      <w:pPr>
        <w:ind w:left="270"/>
        <w:spacing w:after="0"/>
        <w:rPr>
          <w:sz w:val="20"/>
          <w:szCs w:val="20"/>
          <w:color w:val="auto"/>
        </w:rPr>
      </w:pPr>
      <w:r>
        <w:rPr>
          <w:rFonts w:ascii="Arial" w:cs="Arial" w:eastAsia="Arial" w:hAnsi="Arial"/>
          <w:sz w:val="12"/>
          <w:szCs w:val="12"/>
          <w:color w:val="auto"/>
        </w:rPr>
        <w:t>The “Inclusion of Item 402(v) Equity Award Values” columns in the tables above are derived from the dollar values set forth in the following tables:</w:t>
      </w:r>
    </w:p>
    <w:p>
      <w:pPr>
        <w:spacing w:after="0" w:line="152" w:lineRule="exact"/>
        <w:rPr>
          <w:sz w:val="20"/>
          <w:szCs w:val="20"/>
          <w:color w:val="auto"/>
        </w:rPr>
      </w:pPr>
    </w:p>
    <w:tbl>
      <w:tblPr>
        <w:tblLayout w:type="fixed"/>
        <w:tblInd w:w="270" w:type="dxa"/>
        <w:tblCellMar>
          <w:top w:w="0" w:type="dxa"/>
          <w:left w:w="0" w:type="dxa"/>
          <w:bottom w:w="0" w:type="dxa"/>
          <w:right w:w="0" w:type="dxa"/>
        </w:tblCellMar>
      </w:tblPr>
      <w:tr>
        <w:trPr>
          <w:trHeight w:val="138"/>
        </w:trPr>
        <w:tc>
          <w:tcPr>
            <w:tcW w:w="1340" w:type="dxa"/>
            <w:vAlign w:val="bottom"/>
          </w:tcPr>
          <w:p>
            <w:pPr>
              <w:spacing w:after="0"/>
              <w:rPr>
                <w:sz w:val="12"/>
                <w:szCs w:val="12"/>
                <w:color w:val="auto"/>
              </w:rPr>
            </w:pPr>
          </w:p>
        </w:tc>
        <w:tc>
          <w:tcPr>
            <w:tcW w:w="2320" w:type="dxa"/>
            <w:vAlign w:val="bottom"/>
          </w:tcPr>
          <w:p>
            <w:pPr>
              <w:jc w:val="right"/>
              <w:ind w:right="40"/>
              <w:spacing w:after="0"/>
              <w:rPr>
                <w:sz w:val="20"/>
                <w:szCs w:val="20"/>
                <w:color w:val="auto"/>
              </w:rPr>
            </w:pPr>
            <w:r>
              <w:rPr>
                <w:rFonts w:ascii="Arial" w:cs="Arial" w:eastAsia="Arial" w:hAnsi="Arial"/>
                <w:sz w:val="12"/>
                <w:szCs w:val="12"/>
                <w:color w:val="215AA8"/>
              </w:rPr>
              <w:t>Year-End Fair</w:t>
            </w: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Pr>
          <w:p>
            <w:pPr>
              <w:jc w:val="right"/>
              <w:ind w:right="80"/>
              <w:spacing w:after="0"/>
              <w:rPr>
                <w:sz w:val="20"/>
                <w:szCs w:val="20"/>
                <w:color w:val="auto"/>
              </w:rPr>
            </w:pPr>
            <w:r>
              <w:rPr>
                <w:rFonts w:ascii="Arial" w:cs="Arial" w:eastAsia="Arial" w:hAnsi="Arial"/>
                <w:sz w:val="12"/>
                <w:szCs w:val="12"/>
                <w:color w:val="215AA8"/>
              </w:rPr>
              <w:t>Change in Fair</w:t>
            </w: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35"/>
        </w:trPr>
        <w:tc>
          <w:tcPr>
            <w:tcW w:w="1340" w:type="dxa"/>
            <w:vAlign w:val="bottom"/>
          </w:tcPr>
          <w:p>
            <w:pPr>
              <w:spacing w:after="0"/>
              <w:rPr>
                <w:sz w:val="11"/>
                <w:szCs w:val="11"/>
                <w:color w:val="auto"/>
              </w:rPr>
            </w:pPr>
          </w:p>
        </w:tc>
        <w:tc>
          <w:tcPr>
            <w:tcW w:w="232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Value of Equity</w:t>
            </w:r>
          </w:p>
        </w:tc>
        <w:tc>
          <w:tcPr>
            <w:tcW w:w="124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Change in Fair</w:t>
            </w:r>
          </w:p>
        </w:tc>
        <w:tc>
          <w:tcPr>
            <w:tcW w:w="1280" w:type="dxa"/>
            <w:vAlign w:val="bottom"/>
          </w:tcPr>
          <w:p>
            <w:pPr>
              <w:spacing w:after="0"/>
              <w:rPr>
                <w:sz w:val="11"/>
                <w:szCs w:val="11"/>
                <w:color w:val="auto"/>
              </w:rPr>
            </w:pPr>
          </w:p>
        </w:tc>
        <w:tc>
          <w:tcPr>
            <w:tcW w:w="124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Value from Last</w:t>
            </w:r>
          </w:p>
        </w:tc>
        <w:tc>
          <w:tcPr>
            <w:tcW w:w="1220" w:type="dxa"/>
            <w:vAlign w:val="bottom"/>
          </w:tcPr>
          <w:p>
            <w:pPr>
              <w:spacing w:after="0"/>
              <w:rPr>
                <w:sz w:val="11"/>
                <w:szCs w:val="11"/>
                <w:color w:val="auto"/>
              </w:rPr>
            </w:pPr>
          </w:p>
        </w:tc>
        <w:tc>
          <w:tcPr>
            <w:tcW w:w="1200" w:type="dxa"/>
            <w:vAlign w:val="bottom"/>
          </w:tcPr>
          <w:p>
            <w:pPr>
              <w:jc w:val="right"/>
              <w:ind w:right="20"/>
              <w:spacing w:after="0" w:line="135" w:lineRule="exact"/>
              <w:rPr>
                <w:sz w:val="20"/>
                <w:szCs w:val="20"/>
                <w:color w:val="auto"/>
              </w:rPr>
            </w:pPr>
            <w:r>
              <w:rPr>
                <w:rFonts w:ascii="Arial" w:cs="Arial" w:eastAsia="Arial" w:hAnsi="Arial"/>
                <w:sz w:val="12"/>
                <w:szCs w:val="12"/>
                <w:color w:val="215AA8"/>
              </w:rPr>
              <w:t>Value of Dividends</w:t>
            </w:r>
          </w:p>
        </w:tc>
        <w:tc>
          <w:tcPr>
            <w:tcW w:w="1160" w:type="dxa"/>
            <w:vAlign w:val="bottom"/>
          </w:tcPr>
          <w:p>
            <w:pPr>
              <w:spacing w:after="0"/>
              <w:rPr>
                <w:sz w:val="11"/>
                <w:szCs w:val="11"/>
                <w:color w:val="auto"/>
              </w:rPr>
            </w:pPr>
          </w:p>
        </w:tc>
      </w:tr>
      <w:tr>
        <w:trPr>
          <w:trHeight w:val="135"/>
        </w:trPr>
        <w:tc>
          <w:tcPr>
            <w:tcW w:w="1340" w:type="dxa"/>
            <w:vAlign w:val="bottom"/>
          </w:tcPr>
          <w:p>
            <w:pPr>
              <w:spacing w:after="0"/>
              <w:rPr>
                <w:sz w:val="11"/>
                <w:szCs w:val="11"/>
                <w:color w:val="auto"/>
              </w:rPr>
            </w:pPr>
          </w:p>
        </w:tc>
        <w:tc>
          <w:tcPr>
            <w:tcW w:w="232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Awards Granted</w:t>
            </w:r>
          </w:p>
        </w:tc>
        <w:tc>
          <w:tcPr>
            <w:tcW w:w="124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Value from Last</w:t>
            </w:r>
          </w:p>
        </w:tc>
        <w:tc>
          <w:tcPr>
            <w:tcW w:w="128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Vesting-Date Fair</w:t>
            </w:r>
          </w:p>
        </w:tc>
        <w:tc>
          <w:tcPr>
            <w:tcW w:w="124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Day of Prior Year</w:t>
            </w:r>
          </w:p>
        </w:tc>
        <w:tc>
          <w:tcPr>
            <w:tcW w:w="1220" w:type="dxa"/>
            <w:vAlign w:val="bottom"/>
          </w:tcPr>
          <w:p>
            <w:pPr>
              <w:spacing w:after="0"/>
              <w:rPr>
                <w:sz w:val="11"/>
                <w:szCs w:val="11"/>
                <w:color w:val="auto"/>
              </w:rPr>
            </w:pPr>
          </w:p>
        </w:tc>
        <w:tc>
          <w:tcPr>
            <w:tcW w:w="1200" w:type="dxa"/>
            <w:vAlign w:val="bottom"/>
          </w:tcPr>
          <w:p>
            <w:pPr>
              <w:jc w:val="right"/>
              <w:ind w:right="20"/>
              <w:spacing w:after="0" w:line="135" w:lineRule="exact"/>
              <w:rPr>
                <w:sz w:val="20"/>
                <w:szCs w:val="20"/>
                <w:color w:val="auto"/>
              </w:rPr>
            </w:pPr>
            <w:r>
              <w:rPr>
                <w:rFonts w:ascii="Arial" w:cs="Arial" w:eastAsia="Arial" w:hAnsi="Arial"/>
                <w:sz w:val="12"/>
                <w:szCs w:val="12"/>
                <w:color w:val="215AA8"/>
              </w:rPr>
              <w:t>or Other Earnings</w:t>
            </w:r>
          </w:p>
        </w:tc>
        <w:tc>
          <w:tcPr>
            <w:tcW w:w="1160" w:type="dxa"/>
            <w:vAlign w:val="bottom"/>
          </w:tcPr>
          <w:p>
            <w:pPr>
              <w:spacing w:after="0"/>
              <w:rPr>
                <w:sz w:val="11"/>
                <w:szCs w:val="11"/>
                <w:color w:val="auto"/>
              </w:rPr>
            </w:pPr>
          </w:p>
        </w:tc>
      </w:tr>
      <w:tr>
        <w:trPr>
          <w:trHeight w:val="135"/>
        </w:trPr>
        <w:tc>
          <w:tcPr>
            <w:tcW w:w="1340" w:type="dxa"/>
            <w:vAlign w:val="bottom"/>
          </w:tcPr>
          <w:p>
            <w:pPr>
              <w:spacing w:after="0"/>
              <w:rPr>
                <w:sz w:val="11"/>
                <w:szCs w:val="11"/>
                <w:color w:val="auto"/>
              </w:rPr>
            </w:pPr>
          </w:p>
        </w:tc>
        <w:tc>
          <w:tcPr>
            <w:tcW w:w="232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During Year</w:t>
            </w:r>
          </w:p>
        </w:tc>
        <w:tc>
          <w:tcPr>
            <w:tcW w:w="124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Day of Prior Year</w:t>
            </w:r>
          </w:p>
        </w:tc>
        <w:tc>
          <w:tcPr>
            <w:tcW w:w="128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Value of Equity</w:t>
            </w:r>
          </w:p>
        </w:tc>
        <w:tc>
          <w:tcPr>
            <w:tcW w:w="124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to Vesting Date of</w:t>
            </w:r>
          </w:p>
        </w:tc>
        <w:tc>
          <w:tcPr>
            <w:tcW w:w="1220" w:type="dxa"/>
            <w:vAlign w:val="bottom"/>
          </w:tcPr>
          <w:p>
            <w:pPr>
              <w:jc w:val="right"/>
              <w:ind w:right="60"/>
              <w:spacing w:after="0" w:line="135" w:lineRule="exact"/>
              <w:rPr>
                <w:sz w:val="20"/>
                <w:szCs w:val="20"/>
                <w:color w:val="auto"/>
              </w:rPr>
            </w:pPr>
            <w:r>
              <w:rPr>
                <w:rFonts w:ascii="Arial" w:cs="Arial" w:eastAsia="Arial" w:hAnsi="Arial"/>
                <w:sz w:val="12"/>
                <w:szCs w:val="12"/>
                <w:color w:val="215AA8"/>
              </w:rPr>
              <w:t>Fair Value at Last</w:t>
            </w:r>
          </w:p>
        </w:tc>
        <w:tc>
          <w:tcPr>
            <w:tcW w:w="1200" w:type="dxa"/>
            <w:vAlign w:val="bottom"/>
          </w:tcPr>
          <w:p>
            <w:pPr>
              <w:jc w:val="right"/>
              <w:ind w:right="20"/>
              <w:spacing w:after="0" w:line="135" w:lineRule="exact"/>
              <w:rPr>
                <w:sz w:val="20"/>
                <w:szCs w:val="20"/>
                <w:color w:val="auto"/>
              </w:rPr>
            </w:pPr>
            <w:r>
              <w:rPr>
                <w:rFonts w:ascii="Arial" w:cs="Arial" w:eastAsia="Arial" w:hAnsi="Arial"/>
                <w:sz w:val="12"/>
                <w:szCs w:val="12"/>
                <w:color w:val="215AA8"/>
              </w:rPr>
              <w:t>Paid on Stock or</w:t>
            </w:r>
          </w:p>
        </w:tc>
        <w:tc>
          <w:tcPr>
            <w:tcW w:w="1160" w:type="dxa"/>
            <w:vAlign w:val="bottom"/>
          </w:tcPr>
          <w:p>
            <w:pPr>
              <w:spacing w:after="0"/>
              <w:rPr>
                <w:sz w:val="11"/>
                <w:szCs w:val="11"/>
                <w:color w:val="auto"/>
              </w:rPr>
            </w:pPr>
          </w:p>
        </w:tc>
      </w:tr>
      <w:tr>
        <w:trPr>
          <w:trHeight w:val="135"/>
        </w:trPr>
        <w:tc>
          <w:tcPr>
            <w:tcW w:w="1340" w:type="dxa"/>
            <w:vAlign w:val="bottom"/>
          </w:tcPr>
          <w:p>
            <w:pPr>
              <w:spacing w:after="0"/>
              <w:rPr>
                <w:sz w:val="11"/>
                <w:szCs w:val="11"/>
                <w:color w:val="auto"/>
              </w:rPr>
            </w:pPr>
          </w:p>
        </w:tc>
        <w:tc>
          <w:tcPr>
            <w:tcW w:w="232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That Remained</w:t>
            </w:r>
          </w:p>
        </w:tc>
        <w:tc>
          <w:tcPr>
            <w:tcW w:w="124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to Last Day of Year</w:t>
            </w:r>
          </w:p>
        </w:tc>
        <w:tc>
          <w:tcPr>
            <w:tcW w:w="128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Awards Granted</w:t>
            </w:r>
          </w:p>
        </w:tc>
        <w:tc>
          <w:tcPr>
            <w:tcW w:w="124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Unvested Equity</w:t>
            </w:r>
          </w:p>
        </w:tc>
        <w:tc>
          <w:tcPr>
            <w:tcW w:w="1220" w:type="dxa"/>
            <w:vAlign w:val="bottom"/>
          </w:tcPr>
          <w:p>
            <w:pPr>
              <w:jc w:val="right"/>
              <w:ind w:right="60"/>
              <w:spacing w:after="0" w:line="135" w:lineRule="exact"/>
              <w:rPr>
                <w:sz w:val="20"/>
                <w:szCs w:val="20"/>
                <w:color w:val="auto"/>
              </w:rPr>
            </w:pPr>
            <w:r>
              <w:rPr>
                <w:rFonts w:ascii="Arial" w:cs="Arial" w:eastAsia="Arial" w:hAnsi="Arial"/>
                <w:sz w:val="12"/>
                <w:szCs w:val="12"/>
                <w:color w:val="215AA8"/>
              </w:rPr>
              <w:t>Day of Prior Year</w:t>
            </w:r>
          </w:p>
        </w:tc>
        <w:tc>
          <w:tcPr>
            <w:tcW w:w="1200" w:type="dxa"/>
            <w:vAlign w:val="bottom"/>
          </w:tcPr>
          <w:p>
            <w:pPr>
              <w:jc w:val="right"/>
              <w:ind w:right="20"/>
              <w:spacing w:after="0" w:line="135" w:lineRule="exact"/>
              <w:rPr>
                <w:sz w:val="20"/>
                <w:szCs w:val="20"/>
                <w:color w:val="auto"/>
              </w:rPr>
            </w:pPr>
            <w:r>
              <w:rPr>
                <w:rFonts w:ascii="Arial" w:cs="Arial" w:eastAsia="Arial" w:hAnsi="Arial"/>
                <w:sz w:val="12"/>
                <w:szCs w:val="12"/>
                <w:color w:val="215AA8"/>
              </w:rPr>
              <w:t>Option Awards</w:t>
            </w:r>
          </w:p>
        </w:tc>
        <w:tc>
          <w:tcPr>
            <w:tcW w:w="1160" w:type="dxa"/>
            <w:vAlign w:val="bottom"/>
          </w:tcPr>
          <w:p>
            <w:pPr>
              <w:spacing w:after="0"/>
              <w:rPr>
                <w:sz w:val="11"/>
                <w:szCs w:val="11"/>
                <w:color w:val="auto"/>
              </w:rPr>
            </w:pPr>
          </w:p>
        </w:tc>
      </w:tr>
      <w:tr>
        <w:trPr>
          <w:trHeight w:val="135"/>
        </w:trPr>
        <w:tc>
          <w:tcPr>
            <w:tcW w:w="1340" w:type="dxa"/>
            <w:vAlign w:val="bottom"/>
          </w:tcPr>
          <w:p>
            <w:pPr>
              <w:spacing w:after="0"/>
              <w:rPr>
                <w:sz w:val="11"/>
                <w:szCs w:val="11"/>
                <w:color w:val="auto"/>
              </w:rPr>
            </w:pPr>
          </w:p>
        </w:tc>
        <w:tc>
          <w:tcPr>
            <w:tcW w:w="232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Unvested as of</w:t>
            </w:r>
          </w:p>
        </w:tc>
        <w:tc>
          <w:tcPr>
            <w:tcW w:w="124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of Unvested Equity</w:t>
            </w:r>
          </w:p>
        </w:tc>
        <w:tc>
          <w:tcPr>
            <w:tcW w:w="128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During Year that</w:t>
            </w:r>
          </w:p>
        </w:tc>
        <w:tc>
          <w:tcPr>
            <w:tcW w:w="124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Awards that</w:t>
            </w:r>
          </w:p>
        </w:tc>
        <w:tc>
          <w:tcPr>
            <w:tcW w:w="1220" w:type="dxa"/>
            <w:vAlign w:val="bottom"/>
          </w:tcPr>
          <w:p>
            <w:pPr>
              <w:jc w:val="right"/>
              <w:ind w:right="60"/>
              <w:spacing w:after="0" w:line="135" w:lineRule="exact"/>
              <w:rPr>
                <w:sz w:val="20"/>
                <w:szCs w:val="20"/>
                <w:color w:val="auto"/>
              </w:rPr>
            </w:pPr>
            <w:r>
              <w:rPr>
                <w:rFonts w:ascii="Arial" w:cs="Arial" w:eastAsia="Arial" w:hAnsi="Arial"/>
                <w:sz w:val="12"/>
                <w:szCs w:val="12"/>
                <w:color w:val="215AA8"/>
              </w:rPr>
              <w:t>of Equity Awards</w:t>
            </w:r>
          </w:p>
        </w:tc>
        <w:tc>
          <w:tcPr>
            <w:tcW w:w="1200" w:type="dxa"/>
            <w:vAlign w:val="bottom"/>
          </w:tcPr>
          <w:p>
            <w:pPr>
              <w:jc w:val="right"/>
              <w:ind w:right="20"/>
              <w:spacing w:after="0" w:line="135" w:lineRule="exact"/>
              <w:rPr>
                <w:sz w:val="20"/>
                <w:szCs w:val="20"/>
                <w:color w:val="auto"/>
              </w:rPr>
            </w:pPr>
            <w:r>
              <w:rPr>
                <w:rFonts w:ascii="Arial" w:cs="Arial" w:eastAsia="Arial" w:hAnsi="Arial"/>
                <w:sz w:val="12"/>
                <w:szCs w:val="12"/>
                <w:color w:val="215AA8"/>
              </w:rPr>
              <w:t>Not Otherwise</w:t>
            </w:r>
          </w:p>
        </w:tc>
        <w:tc>
          <w:tcPr>
            <w:tcW w:w="1160" w:type="dxa"/>
            <w:vAlign w:val="bottom"/>
          </w:tcPr>
          <w:p>
            <w:pPr>
              <w:jc w:val="right"/>
              <w:spacing w:after="0" w:line="135" w:lineRule="exact"/>
              <w:rPr>
                <w:sz w:val="20"/>
                <w:szCs w:val="20"/>
                <w:color w:val="auto"/>
              </w:rPr>
            </w:pPr>
            <w:r>
              <w:rPr>
                <w:rFonts w:ascii="Arial" w:cs="Arial" w:eastAsia="Arial" w:hAnsi="Arial"/>
                <w:sz w:val="12"/>
                <w:szCs w:val="12"/>
                <w:color w:val="215AA8"/>
              </w:rPr>
              <w:t>Total - Inclusion</w:t>
            </w:r>
          </w:p>
        </w:tc>
      </w:tr>
      <w:tr>
        <w:trPr>
          <w:trHeight w:val="135"/>
        </w:trPr>
        <w:tc>
          <w:tcPr>
            <w:tcW w:w="1340" w:type="dxa"/>
            <w:vAlign w:val="bottom"/>
          </w:tcPr>
          <w:p>
            <w:pPr>
              <w:spacing w:after="0"/>
              <w:rPr>
                <w:sz w:val="11"/>
                <w:szCs w:val="11"/>
                <w:color w:val="auto"/>
              </w:rPr>
            </w:pPr>
          </w:p>
        </w:tc>
        <w:tc>
          <w:tcPr>
            <w:tcW w:w="232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Last Day of Year</w:t>
            </w:r>
          </w:p>
        </w:tc>
        <w:tc>
          <w:tcPr>
            <w:tcW w:w="124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Awards for</w:t>
            </w:r>
          </w:p>
        </w:tc>
        <w:tc>
          <w:tcPr>
            <w:tcW w:w="128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Vested During</w:t>
            </w:r>
          </w:p>
        </w:tc>
        <w:tc>
          <w:tcPr>
            <w:tcW w:w="124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Vested During</w:t>
            </w:r>
          </w:p>
        </w:tc>
        <w:tc>
          <w:tcPr>
            <w:tcW w:w="1220" w:type="dxa"/>
            <w:vAlign w:val="bottom"/>
          </w:tcPr>
          <w:p>
            <w:pPr>
              <w:jc w:val="right"/>
              <w:ind w:right="60"/>
              <w:spacing w:after="0" w:line="135" w:lineRule="exact"/>
              <w:rPr>
                <w:sz w:val="20"/>
                <w:szCs w:val="20"/>
                <w:color w:val="auto"/>
              </w:rPr>
            </w:pPr>
            <w:r>
              <w:rPr>
                <w:rFonts w:ascii="Arial" w:cs="Arial" w:eastAsia="Arial" w:hAnsi="Arial"/>
                <w:sz w:val="12"/>
                <w:szCs w:val="12"/>
                <w:color w:val="215AA8"/>
              </w:rPr>
              <w:t>Forfeited During</w:t>
            </w:r>
          </w:p>
        </w:tc>
        <w:tc>
          <w:tcPr>
            <w:tcW w:w="1200" w:type="dxa"/>
            <w:vAlign w:val="bottom"/>
          </w:tcPr>
          <w:p>
            <w:pPr>
              <w:jc w:val="right"/>
              <w:ind w:right="20"/>
              <w:spacing w:after="0" w:line="135" w:lineRule="exact"/>
              <w:rPr>
                <w:sz w:val="20"/>
                <w:szCs w:val="20"/>
                <w:color w:val="auto"/>
              </w:rPr>
            </w:pPr>
            <w:r>
              <w:rPr>
                <w:rFonts w:ascii="Arial" w:cs="Arial" w:eastAsia="Arial" w:hAnsi="Arial"/>
                <w:sz w:val="12"/>
                <w:szCs w:val="12"/>
                <w:color w:val="215AA8"/>
              </w:rPr>
              <w:t>Included</w:t>
            </w:r>
          </w:p>
        </w:tc>
        <w:tc>
          <w:tcPr>
            <w:tcW w:w="1160" w:type="dxa"/>
            <w:vAlign w:val="bottom"/>
          </w:tcPr>
          <w:p>
            <w:pPr>
              <w:jc w:val="right"/>
              <w:spacing w:after="0" w:line="135" w:lineRule="exact"/>
              <w:rPr>
                <w:sz w:val="20"/>
                <w:szCs w:val="20"/>
                <w:color w:val="auto"/>
              </w:rPr>
            </w:pPr>
            <w:r>
              <w:rPr>
                <w:rFonts w:ascii="Arial" w:cs="Arial" w:eastAsia="Arial" w:hAnsi="Arial"/>
                <w:sz w:val="12"/>
                <w:szCs w:val="12"/>
                <w:color w:val="215AA8"/>
              </w:rPr>
              <w:t>of Equity Values</w:t>
            </w:r>
          </w:p>
        </w:tc>
      </w:tr>
      <w:tr>
        <w:trPr>
          <w:trHeight w:val="146"/>
        </w:trPr>
        <w:tc>
          <w:tcPr>
            <w:tcW w:w="1340" w:type="dxa"/>
            <w:vAlign w:val="bottom"/>
            <w:tcBorders>
              <w:bottom w:val="single" w:sz="8" w:color="215AA8"/>
            </w:tcBorders>
          </w:tcPr>
          <w:p>
            <w:pPr>
              <w:ind w:left="40"/>
              <w:spacing w:after="0"/>
              <w:rPr>
                <w:sz w:val="20"/>
                <w:szCs w:val="20"/>
                <w:color w:val="auto"/>
              </w:rPr>
            </w:pPr>
            <w:r>
              <w:rPr>
                <w:rFonts w:ascii="Arial" w:cs="Arial" w:eastAsia="Arial" w:hAnsi="Arial"/>
                <w:sz w:val="12"/>
                <w:szCs w:val="12"/>
                <w:color w:val="215AA8"/>
              </w:rPr>
              <w:t>Year</w:t>
            </w:r>
          </w:p>
        </w:tc>
        <w:tc>
          <w:tcPr>
            <w:tcW w:w="2320" w:type="dxa"/>
            <w:vAlign w:val="bottom"/>
            <w:tcBorders>
              <w:bottom w:val="single" w:sz="8" w:color="215AA8"/>
            </w:tcBorders>
          </w:tcPr>
          <w:p>
            <w:pPr>
              <w:jc w:val="right"/>
              <w:ind w:right="40"/>
              <w:spacing w:after="0"/>
              <w:rPr>
                <w:sz w:val="20"/>
                <w:szCs w:val="20"/>
                <w:color w:val="auto"/>
              </w:rPr>
            </w:pPr>
            <w:r>
              <w:rPr>
                <w:rFonts w:ascii="Arial" w:cs="Arial" w:eastAsia="Arial" w:hAnsi="Arial"/>
                <w:sz w:val="12"/>
                <w:szCs w:val="12"/>
                <w:color w:val="215AA8"/>
              </w:rPr>
              <w:t>for PEO ($)</w:t>
            </w:r>
          </w:p>
        </w:tc>
        <w:tc>
          <w:tcPr>
            <w:tcW w:w="1240" w:type="dxa"/>
            <w:vAlign w:val="bottom"/>
            <w:tcBorders>
              <w:bottom w:val="single" w:sz="8" w:color="215AA8"/>
            </w:tcBorders>
          </w:tcPr>
          <w:p>
            <w:pPr>
              <w:jc w:val="right"/>
              <w:ind w:right="40"/>
              <w:spacing w:after="0"/>
              <w:rPr>
                <w:sz w:val="20"/>
                <w:szCs w:val="20"/>
                <w:color w:val="auto"/>
              </w:rPr>
            </w:pPr>
            <w:r>
              <w:rPr>
                <w:rFonts w:ascii="Arial" w:cs="Arial" w:eastAsia="Arial" w:hAnsi="Arial"/>
                <w:sz w:val="12"/>
                <w:szCs w:val="12"/>
                <w:color w:val="215AA8"/>
              </w:rPr>
              <w:t>PEO ($)</w:t>
            </w:r>
          </w:p>
        </w:tc>
        <w:tc>
          <w:tcPr>
            <w:tcW w:w="1280" w:type="dxa"/>
            <w:vAlign w:val="bottom"/>
            <w:tcBorders>
              <w:bottom w:val="single" w:sz="8" w:color="215AA8"/>
            </w:tcBorders>
          </w:tcPr>
          <w:p>
            <w:pPr>
              <w:jc w:val="right"/>
              <w:ind w:right="80"/>
              <w:spacing w:after="0"/>
              <w:rPr>
                <w:sz w:val="20"/>
                <w:szCs w:val="20"/>
                <w:color w:val="auto"/>
              </w:rPr>
            </w:pPr>
            <w:r>
              <w:rPr>
                <w:rFonts w:ascii="Arial" w:cs="Arial" w:eastAsia="Arial" w:hAnsi="Arial"/>
                <w:sz w:val="12"/>
                <w:szCs w:val="12"/>
                <w:color w:val="215AA8"/>
              </w:rPr>
              <w:t>Year for PEO ($)</w:t>
            </w:r>
          </w:p>
        </w:tc>
        <w:tc>
          <w:tcPr>
            <w:tcW w:w="1240" w:type="dxa"/>
            <w:vAlign w:val="bottom"/>
            <w:tcBorders>
              <w:bottom w:val="single" w:sz="8" w:color="215AA8"/>
            </w:tcBorders>
          </w:tcPr>
          <w:p>
            <w:pPr>
              <w:jc w:val="right"/>
              <w:ind w:right="80"/>
              <w:spacing w:after="0"/>
              <w:rPr>
                <w:sz w:val="20"/>
                <w:szCs w:val="20"/>
                <w:color w:val="auto"/>
              </w:rPr>
            </w:pPr>
            <w:r>
              <w:rPr>
                <w:rFonts w:ascii="Arial" w:cs="Arial" w:eastAsia="Arial" w:hAnsi="Arial"/>
                <w:sz w:val="12"/>
                <w:szCs w:val="12"/>
                <w:color w:val="215AA8"/>
              </w:rPr>
              <w:t>Year for PEO ($)</w:t>
            </w:r>
          </w:p>
        </w:tc>
        <w:tc>
          <w:tcPr>
            <w:tcW w:w="1220" w:type="dxa"/>
            <w:vAlign w:val="bottom"/>
            <w:tcBorders>
              <w:bottom w:val="single" w:sz="8" w:color="215AA8"/>
            </w:tcBorders>
          </w:tcPr>
          <w:p>
            <w:pPr>
              <w:jc w:val="right"/>
              <w:ind w:right="60"/>
              <w:spacing w:after="0"/>
              <w:rPr>
                <w:sz w:val="20"/>
                <w:szCs w:val="20"/>
                <w:color w:val="auto"/>
              </w:rPr>
            </w:pPr>
            <w:r>
              <w:rPr>
                <w:rFonts w:ascii="Arial" w:cs="Arial" w:eastAsia="Arial" w:hAnsi="Arial"/>
                <w:sz w:val="12"/>
                <w:szCs w:val="12"/>
                <w:color w:val="215AA8"/>
              </w:rPr>
              <w:t>Year for PEO ($)</w:t>
            </w:r>
          </w:p>
        </w:tc>
        <w:tc>
          <w:tcPr>
            <w:tcW w:w="1200" w:type="dxa"/>
            <w:vAlign w:val="bottom"/>
            <w:tcBorders>
              <w:bottom w:val="single" w:sz="8" w:color="215AA8"/>
            </w:tcBorders>
          </w:tcPr>
          <w:p>
            <w:pPr>
              <w:jc w:val="right"/>
              <w:ind w:right="20"/>
              <w:spacing w:after="0"/>
              <w:rPr>
                <w:sz w:val="20"/>
                <w:szCs w:val="20"/>
                <w:color w:val="auto"/>
              </w:rPr>
            </w:pPr>
            <w:r>
              <w:rPr>
                <w:rFonts w:ascii="Arial" w:cs="Arial" w:eastAsia="Arial" w:hAnsi="Arial"/>
                <w:sz w:val="12"/>
                <w:szCs w:val="12"/>
                <w:color w:val="215AA8"/>
              </w:rPr>
              <w:t>for PEO ($)</w:t>
            </w:r>
          </w:p>
        </w:tc>
        <w:tc>
          <w:tcPr>
            <w:tcW w:w="1160" w:type="dxa"/>
            <w:vAlign w:val="bottom"/>
            <w:tcBorders>
              <w:bottom w:val="single" w:sz="8" w:color="215AA8"/>
            </w:tcBorders>
          </w:tcPr>
          <w:p>
            <w:pPr>
              <w:jc w:val="right"/>
              <w:spacing w:after="0"/>
              <w:rPr>
                <w:sz w:val="20"/>
                <w:szCs w:val="20"/>
                <w:color w:val="auto"/>
              </w:rPr>
            </w:pPr>
            <w:r>
              <w:rPr>
                <w:rFonts w:ascii="Arial" w:cs="Arial" w:eastAsia="Arial" w:hAnsi="Arial"/>
                <w:sz w:val="12"/>
                <w:szCs w:val="12"/>
                <w:color w:val="215AA8"/>
              </w:rPr>
              <w:t>for PEO ($)</w:t>
            </w:r>
          </w:p>
        </w:tc>
      </w:tr>
      <w:tr>
        <w:trPr>
          <w:trHeight w:val="138"/>
        </w:trPr>
        <w:tc>
          <w:tcPr>
            <w:tcW w:w="1340" w:type="dxa"/>
            <w:vAlign w:val="bottom"/>
            <w:tcBorders>
              <w:bottom w:val="single" w:sz="8" w:color="215AA8"/>
            </w:tcBorders>
          </w:tcPr>
          <w:p>
            <w:pPr>
              <w:ind w:left="40"/>
              <w:spacing w:after="0" w:line="135" w:lineRule="exact"/>
              <w:rPr>
                <w:sz w:val="20"/>
                <w:szCs w:val="20"/>
                <w:color w:val="auto"/>
              </w:rPr>
            </w:pPr>
            <w:r>
              <w:rPr>
                <w:rFonts w:ascii="Arial" w:cs="Arial" w:eastAsia="Arial" w:hAnsi="Arial"/>
                <w:sz w:val="12"/>
                <w:szCs w:val="12"/>
                <w:color w:val="215AA8"/>
              </w:rPr>
              <w:t>2023</w:t>
            </w:r>
          </w:p>
        </w:tc>
        <w:tc>
          <w:tcPr>
            <w:tcW w:w="2320" w:type="dxa"/>
            <w:vAlign w:val="bottom"/>
            <w:tcBorders>
              <w:bottom w:val="single" w:sz="8" w:color="215AA8"/>
            </w:tcBorders>
          </w:tcPr>
          <w:p>
            <w:pPr>
              <w:jc w:val="right"/>
              <w:ind w:right="40"/>
              <w:spacing w:after="0" w:line="135" w:lineRule="exact"/>
              <w:rPr>
                <w:sz w:val="20"/>
                <w:szCs w:val="20"/>
                <w:color w:val="auto"/>
              </w:rPr>
            </w:pPr>
            <w:r>
              <w:rPr>
                <w:rFonts w:ascii="Arial" w:cs="Arial" w:eastAsia="Arial" w:hAnsi="Arial"/>
                <w:sz w:val="12"/>
                <w:szCs w:val="12"/>
                <w:color w:val="auto"/>
              </w:rPr>
              <w:t>0</w:t>
            </w:r>
          </w:p>
        </w:tc>
        <w:tc>
          <w:tcPr>
            <w:tcW w:w="1240" w:type="dxa"/>
            <w:vAlign w:val="bottom"/>
            <w:tcBorders>
              <w:bottom w:val="single" w:sz="8" w:color="215AA8"/>
            </w:tcBorders>
          </w:tcPr>
          <w:p>
            <w:pPr>
              <w:jc w:val="right"/>
              <w:ind w:right="40"/>
              <w:spacing w:after="0" w:line="135" w:lineRule="exact"/>
              <w:rPr>
                <w:sz w:val="20"/>
                <w:szCs w:val="20"/>
                <w:color w:val="auto"/>
              </w:rPr>
            </w:pPr>
            <w:r>
              <w:rPr>
                <w:rFonts w:ascii="Arial" w:cs="Arial" w:eastAsia="Arial" w:hAnsi="Arial"/>
                <w:sz w:val="12"/>
                <w:szCs w:val="12"/>
                <w:color w:val="auto"/>
              </w:rPr>
              <w:t>126,245,090</w:t>
            </w:r>
          </w:p>
        </w:tc>
        <w:tc>
          <w:tcPr>
            <w:tcW w:w="1280" w:type="dxa"/>
            <w:vAlign w:val="bottom"/>
            <w:tcBorders>
              <w:bottom w:val="single" w:sz="8" w:color="215AA8"/>
            </w:tcBorders>
          </w:tcPr>
          <w:p>
            <w:pPr>
              <w:jc w:val="right"/>
              <w:ind w:right="80"/>
              <w:spacing w:after="0" w:line="135" w:lineRule="exact"/>
              <w:rPr>
                <w:sz w:val="20"/>
                <w:szCs w:val="20"/>
                <w:color w:val="auto"/>
              </w:rPr>
            </w:pPr>
            <w:r>
              <w:rPr>
                <w:rFonts w:ascii="Arial" w:cs="Arial" w:eastAsia="Arial" w:hAnsi="Arial"/>
                <w:sz w:val="12"/>
                <w:szCs w:val="12"/>
                <w:color w:val="auto"/>
              </w:rPr>
              <w:t>0</w:t>
            </w:r>
          </w:p>
        </w:tc>
        <w:tc>
          <w:tcPr>
            <w:tcW w:w="1240" w:type="dxa"/>
            <w:vAlign w:val="bottom"/>
            <w:tcBorders>
              <w:bottom w:val="single" w:sz="8" w:color="215AA8"/>
            </w:tcBorders>
          </w:tcPr>
          <w:p>
            <w:pPr>
              <w:jc w:val="right"/>
              <w:ind w:right="80"/>
              <w:spacing w:after="0" w:line="135" w:lineRule="exact"/>
              <w:rPr>
                <w:sz w:val="20"/>
                <w:szCs w:val="20"/>
                <w:color w:val="auto"/>
              </w:rPr>
            </w:pPr>
            <w:r>
              <w:rPr>
                <w:rFonts w:ascii="Arial" w:cs="Arial" w:eastAsia="Arial" w:hAnsi="Arial"/>
                <w:sz w:val="12"/>
                <w:szCs w:val="12"/>
                <w:color w:val="auto"/>
              </w:rPr>
              <w:t>6,641,765</w:t>
            </w:r>
          </w:p>
        </w:tc>
        <w:tc>
          <w:tcPr>
            <w:tcW w:w="1220" w:type="dxa"/>
            <w:vAlign w:val="bottom"/>
            <w:tcBorders>
              <w:bottom w:val="single" w:sz="8" w:color="215AA8"/>
            </w:tcBorders>
          </w:tcPr>
          <w:p>
            <w:pPr>
              <w:jc w:val="right"/>
              <w:ind w:right="60"/>
              <w:spacing w:after="0" w:line="135" w:lineRule="exact"/>
              <w:rPr>
                <w:sz w:val="20"/>
                <w:szCs w:val="20"/>
                <w:color w:val="auto"/>
              </w:rPr>
            </w:pPr>
            <w:r>
              <w:rPr>
                <w:rFonts w:ascii="Arial" w:cs="Arial" w:eastAsia="Arial" w:hAnsi="Arial"/>
                <w:sz w:val="12"/>
                <w:szCs w:val="12"/>
                <w:color w:val="auto"/>
              </w:rPr>
              <w:t>0</w:t>
            </w:r>
          </w:p>
        </w:tc>
        <w:tc>
          <w:tcPr>
            <w:tcW w:w="1200" w:type="dxa"/>
            <w:vAlign w:val="bottom"/>
            <w:tcBorders>
              <w:bottom w:val="single" w:sz="8" w:color="215AA8"/>
            </w:tcBorders>
          </w:tcPr>
          <w:p>
            <w:pPr>
              <w:jc w:val="right"/>
              <w:ind w:right="20"/>
              <w:spacing w:after="0" w:line="135" w:lineRule="exact"/>
              <w:rPr>
                <w:sz w:val="20"/>
                <w:szCs w:val="20"/>
                <w:color w:val="auto"/>
              </w:rPr>
            </w:pPr>
            <w:r>
              <w:rPr>
                <w:rFonts w:ascii="Arial" w:cs="Arial" w:eastAsia="Arial" w:hAnsi="Arial"/>
                <w:sz w:val="12"/>
                <w:szCs w:val="12"/>
                <w:color w:val="auto"/>
              </w:rPr>
              <w:t>0</w:t>
            </w:r>
          </w:p>
        </w:tc>
        <w:tc>
          <w:tcPr>
            <w:tcW w:w="1160" w:type="dxa"/>
            <w:vAlign w:val="bottom"/>
            <w:tcBorders>
              <w:bottom w:val="single" w:sz="8" w:color="215AA8"/>
            </w:tcBorders>
          </w:tcPr>
          <w:p>
            <w:pPr>
              <w:jc w:val="right"/>
              <w:spacing w:after="0" w:line="135" w:lineRule="exact"/>
              <w:rPr>
                <w:sz w:val="20"/>
                <w:szCs w:val="20"/>
                <w:color w:val="auto"/>
              </w:rPr>
            </w:pPr>
            <w:r>
              <w:rPr>
                <w:rFonts w:ascii="Arial" w:cs="Arial" w:eastAsia="Arial" w:hAnsi="Arial"/>
                <w:sz w:val="12"/>
                <w:szCs w:val="12"/>
                <w:color w:val="auto"/>
              </w:rPr>
              <w:t>132,886,855</w:t>
            </w:r>
          </w:p>
        </w:tc>
      </w:tr>
      <w:tr>
        <w:trPr>
          <w:trHeight w:val="532"/>
        </w:trPr>
        <w:tc>
          <w:tcPr>
            <w:tcW w:w="1340" w:type="dxa"/>
            <w:vAlign w:val="bottom"/>
          </w:tcPr>
          <w:p>
            <w:pPr>
              <w:spacing w:after="0"/>
              <w:rPr>
                <w:sz w:val="24"/>
                <w:szCs w:val="24"/>
                <w:color w:val="auto"/>
              </w:rPr>
            </w:pPr>
          </w:p>
        </w:tc>
        <w:tc>
          <w:tcPr>
            <w:tcW w:w="2320" w:type="dxa"/>
            <w:vAlign w:val="bottom"/>
          </w:tcPr>
          <w:p>
            <w:pPr>
              <w:jc w:val="right"/>
              <w:ind w:right="40"/>
              <w:spacing w:after="0"/>
              <w:rPr>
                <w:sz w:val="20"/>
                <w:szCs w:val="20"/>
                <w:color w:val="auto"/>
              </w:rPr>
            </w:pPr>
            <w:r>
              <w:rPr>
                <w:rFonts w:ascii="Arial" w:cs="Arial" w:eastAsia="Arial" w:hAnsi="Arial"/>
                <w:sz w:val="12"/>
                <w:szCs w:val="12"/>
                <w:color w:val="215AA8"/>
              </w:rPr>
              <w:t>Average</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jc w:val="right"/>
              <w:ind w:right="80"/>
              <w:spacing w:after="0"/>
              <w:rPr>
                <w:sz w:val="20"/>
                <w:szCs w:val="20"/>
                <w:color w:val="auto"/>
              </w:rPr>
            </w:pPr>
            <w:r>
              <w:rPr>
                <w:rFonts w:ascii="Arial" w:cs="Arial" w:eastAsia="Arial" w:hAnsi="Arial"/>
                <w:sz w:val="12"/>
                <w:szCs w:val="12"/>
                <w:color w:val="215AA8"/>
              </w:rPr>
              <w:t>Average Change</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35"/>
        </w:trPr>
        <w:tc>
          <w:tcPr>
            <w:tcW w:w="1340" w:type="dxa"/>
            <w:vAlign w:val="bottom"/>
          </w:tcPr>
          <w:p>
            <w:pPr>
              <w:spacing w:after="0"/>
              <w:rPr>
                <w:sz w:val="11"/>
                <w:szCs w:val="11"/>
                <w:color w:val="auto"/>
              </w:rPr>
            </w:pPr>
          </w:p>
        </w:tc>
        <w:tc>
          <w:tcPr>
            <w:tcW w:w="232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Year-End Fair</w:t>
            </w:r>
          </w:p>
        </w:tc>
        <w:tc>
          <w:tcPr>
            <w:tcW w:w="1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4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in Fair Value from</w:t>
            </w:r>
          </w:p>
        </w:tc>
        <w:tc>
          <w:tcPr>
            <w:tcW w:w="1220" w:type="dxa"/>
            <w:vAlign w:val="bottom"/>
          </w:tcPr>
          <w:p>
            <w:pPr>
              <w:spacing w:after="0"/>
              <w:rPr>
                <w:sz w:val="11"/>
                <w:szCs w:val="11"/>
                <w:color w:val="auto"/>
              </w:rPr>
            </w:pPr>
          </w:p>
        </w:tc>
        <w:tc>
          <w:tcPr>
            <w:tcW w:w="1200" w:type="dxa"/>
            <w:vAlign w:val="bottom"/>
          </w:tcPr>
          <w:p>
            <w:pPr>
              <w:jc w:val="right"/>
              <w:ind w:right="20"/>
              <w:spacing w:after="0" w:line="135" w:lineRule="exact"/>
              <w:rPr>
                <w:sz w:val="20"/>
                <w:szCs w:val="20"/>
                <w:color w:val="auto"/>
              </w:rPr>
            </w:pPr>
            <w:r>
              <w:rPr>
                <w:rFonts w:ascii="Arial" w:cs="Arial" w:eastAsia="Arial" w:hAnsi="Arial"/>
                <w:sz w:val="12"/>
                <w:szCs w:val="12"/>
                <w:color w:val="215AA8"/>
              </w:rPr>
              <w:t>Average Value</w:t>
            </w:r>
          </w:p>
        </w:tc>
        <w:tc>
          <w:tcPr>
            <w:tcW w:w="1160" w:type="dxa"/>
            <w:vAlign w:val="bottom"/>
          </w:tcPr>
          <w:p>
            <w:pPr>
              <w:spacing w:after="0"/>
              <w:rPr>
                <w:sz w:val="11"/>
                <w:szCs w:val="11"/>
                <w:color w:val="auto"/>
              </w:rPr>
            </w:pPr>
          </w:p>
        </w:tc>
      </w:tr>
      <w:tr>
        <w:trPr>
          <w:trHeight w:val="135"/>
        </w:trPr>
        <w:tc>
          <w:tcPr>
            <w:tcW w:w="1340" w:type="dxa"/>
            <w:vAlign w:val="bottom"/>
          </w:tcPr>
          <w:p>
            <w:pPr>
              <w:spacing w:after="0"/>
              <w:rPr>
                <w:sz w:val="11"/>
                <w:szCs w:val="11"/>
                <w:color w:val="auto"/>
              </w:rPr>
            </w:pPr>
          </w:p>
        </w:tc>
        <w:tc>
          <w:tcPr>
            <w:tcW w:w="232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Value of Equity</w:t>
            </w:r>
          </w:p>
        </w:tc>
        <w:tc>
          <w:tcPr>
            <w:tcW w:w="124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Average Change</w:t>
            </w:r>
          </w:p>
        </w:tc>
        <w:tc>
          <w:tcPr>
            <w:tcW w:w="128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Average Vesting-</w:t>
            </w:r>
          </w:p>
        </w:tc>
        <w:tc>
          <w:tcPr>
            <w:tcW w:w="124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Last Day of Prior</w:t>
            </w:r>
          </w:p>
        </w:tc>
        <w:tc>
          <w:tcPr>
            <w:tcW w:w="1220" w:type="dxa"/>
            <w:vAlign w:val="bottom"/>
          </w:tcPr>
          <w:p>
            <w:pPr>
              <w:jc w:val="right"/>
              <w:ind w:right="60"/>
              <w:spacing w:after="0" w:line="135" w:lineRule="exact"/>
              <w:rPr>
                <w:sz w:val="20"/>
                <w:szCs w:val="20"/>
                <w:color w:val="auto"/>
              </w:rPr>
            </w:pPr>
            <w:r>
              <w:rPr>
                <w:rFonts w:ascii="Arial" w:cs="Arial" w:eastAsia="Arial" w:hAnsi="Arial"/>
                <w:sz w:val="12"/>
                <w:szCs w:val="12"/>
                <w:color w:val="215AA8"/>
              </w:rPr>
              <w:t>Average Fair</w:t>
            </w:r>
          </w:p>
        </w:tc>
        <w:tc>
          <w:tcPr>
            <w:tcW w:w="1200" w:type="dxa"/>
            <w:vAlign w:val="bottom"/>
          </w:tcPr>
          <w:p>
            <w:pPr>
              <w:jc w:val="right"/>
              <w:ind w:right="20"/>
              <w:spacing w:after="0" w:line="135" w:lineRule="exact"/>
              <w:rPr>
                <w:sz w:val="20"/>
                <w:szCs w:val="20"/>
                <w:color w:val="auto"/>
              </w:rPr>
            </w:pPr>
            <w:r>
              <w:rPr>
                <w:rFonts w:ascii="Arial" w:cs="Arial" w:eastAsia="Arial" w:hAnsi="Arial"/>
                <w:sz w:val="12"/>
                <w:szCs w:val="12"/>
                <w:color w:val="215AA8"/>
              </w:rPr>
              <w:t>of Dividends or</w:t>
            </w:r>
          </w:p>
        </w:tc>
        <w:tc>
          <w:tcPr>
            <w:tcW w:w="1160" w:type="dxa"/>
            <w:vAlign w:val="bottom"/>
          </w:tcPr>
          <w:p>
            <w:pPr>
              <w:spacing w:after="0"/>
              <w:rPr>
                <w:sz w:val="11"/>
                <w:szCs w:val="11"/>
                <w:color w:val="auto"/>
              </w:rPr>
            </w:pPr>
          </w:p>
        </w:tc>
      </w:tr>
      <w:tr>
        <w:trPr>
          <w:trHeight w:val="135"/>
        </w:trPr>
        <w:tc>
          <w:tcPr>
            <w:tcW w:w="1340" w:type="dxa"/>
            <w:vAlign w:val="bottom"/>
          </w:tcPr>
          <w:p>
            <w:pPr>
              <w:spacing w:after="0"/>
              <w:rPr>
                <w:sz w:val="11"/>
                <w:szCs w:val="11"/>
                <w:color w:val="auto"/>
              </w:rPr>
            </w:pPr>
          </w:p>
        </w:tc>
        <w:tc>
          <w:tcPr>
            <w:tcW w:w="232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Awards Granted</w:t>
            </w:r>
          </w:p>
        </w:tc>
        <w:tc>
          <w:tcPr>
            <w:tcW w:w="124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in Fair Value from</w:t>
            </w:r>
          </w:p>
        </w:tc>
        <w:tc>
          <w:tcPr>
            <w:tcW w:w="128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Date Fair Value</w:t>
            </w:r>
          </w:p>
        </w:tc>
        <w:tc>
          <w:tcPr>
            <w:tcW w:w="124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Year to Vesting</w:t>
            </w:r>
          </w:p>
        </w:tc>
        <w:tc>
          <w:tcPr>
            <w:tcW w:w="1220" w:type="dxa"/>
            <w:vAlign w:val="bottom"/>
          </w:tcPr>
          <w:p>
            <w:pPr>
              <w:jc w:val="right"/>
              <w:ind w:right="60"/>
              <w:spacing w:after="0" w:line="135" w:lineRule="exact"/>
              <w:rPr>
                <w:sz w:val="20"/>
                <w:szCs w:val="20"/>
                <w:color w:val="auto"/>
              </w:rPr>
            </w:pPr>
            <w:r>
              <w:rPr>
                <w:rFonts w:ascii="Arial" w:cs="Arial" w:eastAsia="Arial" w:hAnsi="Arial"/>
                <w:sz w:val="12"/>
                <w:szCs w:val="12"/>
                <w:color w:val="215AA8"/>
              </w:rPr>
              <w:t>Value at Last Day</w:t>
            </w:r>
          </w:p>
        </w:tc>
        <w:tc>
          <w:tcPr>
            <w:tcW w:w="1200" w:type="dxa"/>
            <w:vAlign w:val="bottom"/>
          </w:tcPr>
          <w:p>
            <w:pPr>
              <w:jc w:val="right"/>
              <w:ind w:right="20"/>
              <w:spacing w:after="0" w:line="135" w:lineRule="exact"/>
              <w:rPr>
                <w:sz w:val="20"/>
                <w:szCs w:val="20"/>
                <w:color w:val="auto"/>
              </w:rPr>
            </w:pPr>
            <w:r>
              <w:rPr>
                <w:rFonts w:ascii="Arial" w:cs="Arial" w:eastAsia="Arial" w:hAnsi="Arial"/>
                <w:sz w:val="12"/>
                <w:szCs w:val="12"/>
                <w:color w:val="215AA8"/>
              </w:rPr>
              <w:t>Other Earnings</w:t>
            </w:r>
          </w:p>
        </w:tc>
        <w:tc>
          <w:tcPr>
            <w:tcW w:w="1160" w:type="dxa"/>
            <w:vAlign w:val="bottom"/>
          </w:tcPr>
          <w:p>
            <w:pPr>
              <w:spacing w:after="0"/>
              <w:rPr>
                <w:sz w:val="11"/>
                <w:szCs w:val="11"/>
                <w:color w:val="auto"/>
              </w:rPr>
            </w:pPr>
          </w:p>
        </w:tc>
      </w:tr>
      <w:tr>
        <w:trPr>
          <w:trHeight w:val="135"/>
        </w:trPr>
        <w:tc>
          <w:tcPr>
            <w:tcW w:w="1340" w:type="dxa"/>
            <w:vAlign w:val="bottom"/>
          </w:tcPr>
          <w:p>
            <w:pPr>
              <w:spacing w:after="0"/>
              <w:rPr>
                <w:sz w:val="11"/>
                <w:szCs w:val="11"/>
                <w:color w:val="auto"/>
              </w:rPr>
            </w:pPr>
          </w:p>
        </w:tc>
        <w:tc>
          <w:tcPr>
            <w:tcW w:w="232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During Year</w:t>
            </w:r>
          </w:p>
        </w:tc>
        <w:tc>
          <w:tcPr>
            <w:tcW w:w="124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Last Day of Prior</w:t>
            </w:r>
          </w:p>
        </w:tc>
        <w:tc>
          <w:tcPr>
            <w:tcW w:w="128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of Equity Awards</w:t>
            </w:r>
          </w:p>
        </w:tc>
        <w:tc>
          <w:tcPr>
            <w:tcW w:w="124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Date of Unvested</w:t>
            </w:r>
          </w:p>
        </w:tc>
        <w:tc>
          <w:tcPr>
            <w:tcW w:w="1220" w:type="dxa"/>
            <w:vAlign w:val="bottom"/>
          </w:tcPr>
          <w:p>
            <w:pPr>
              <w:jc w:val="right"/>
              <w:ind w:right="60"/>
              <w:spacing w:after="0" w:line="135" w:lineRule="exact"/>
              <w:rPr>
                <w:sz w:val="20"/>
                <w:szCs w:val="20"/>
                <w:color w:val="auto"/>
              </w:rPr>
            </w:pPr>
            <w:r>
              <w:rPr>
                <w:rFonts w:ascii="Arial" w:cs="Arial" w:eastAsia="Arial" w:hAnsi="Arial"/>
                <w:sz w:val="12"/>
                <w:szCs w:val="12"/>
                <w:color w:val="215AA8"/>
              </w:rPr>
              <w:t>of Prior Year of</w:t>
            </w:r>
          </w:p>
        </w:tc>
        <w:tc>
          <w:tcPr>
            <w:tcW w:w="1200" w:type="dxa"/>
            <w:vAlign w:val="bottom"/>
          </w:tcPr>
          <w:p>
            <w:pPr>
              <w:jc w:val="right"/>
              <w:ind w:right="20"/>
              <w:spacing w:after="0" w:line="135" w:lineRule="exact"/>
              <w:rPr>
                <w:sz w:val="20"/>
                <w:szCs w:val="20"/>
                <w:color w:val="auto"/>
              </w:rPr>
            </w:pPr>
            <w:r>
              <w:rPr>
                <w:rFonts w:ascii="Arial" w:cs="Arial" w:eastAsia="Arial" w:hAnsi="Arial"/>
                <w:sz w:val="12"/>
                <w:szCs w:val="12"/>
                <w:color w:val="215AA8"/>
              </w:rPr>
              <w:t>Paid on Stock or</w:t>
            </w:r>
          </w:p>
        </w:tc>
        <w:tc>
          <w:tcPr>
            <w:tcW w:w="1160" w:type="dxa"/>
            <w:vAlign w:val="bottom"/>
          </w:tcPr>
          <w:p>
            <w:pPr>
              <w:spacing w:after="0"/>
              <w:rPr>
                <w:sz w:val="11"/>
                <w:szCs w:val="11"/>
                <w:color w:val="auto"/>
              </w:rPr>
            </w:pPr>
          </w:p>
        </w:tc>
      </w:tr>
      <w:tr>
        <w:trPr>
          <w:trHeight w:val="135"/>
        </w:trPr>
        <w:tc>
          <w:tcPr>
            <w:tcW w:w="1340" w:type="dxa"/>
            <w:vAlign w:val="bottom"/>
          </w:tcPr>
          <w:p>
            <w:pPr>
              <w:spacing w:after="0"/>
              <w:rPr>
                <w:sz w:val="11"/>
                <w:szCs w:val="11"/>
                <w:color w:val="auto"/>
              </w:rPr>
            </w:pPr>
          </w:p>
        </w:tc>
        <w:tc>
          <w:tcPr>
            <w:tcW w:w="232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That Remained</w:t>
            </w:r>
          </w:p>
        </w:tc>
        <w:tc>
          <w:tcPr>
            <w:tcW w:w="124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Year to Last Day of</w:t>
            </w:r>
          </w:p>
        </w:tc>
        <w:tc>
          <w:tcPr>
            <w:tcW w:w="128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Granted During</w:t>
            </w:r>
          </w:p>
        </w:tc>
        <w:tc>
          <w:tcPr>
            <w:tcW w:w="124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Equity Awards</w:t>
            </w:r>
          </w:p>
        </w:tc>
        <w:tc>
          <w:tcPr>
            <w:tcW w:w="1220" w:type="dxa"/>
            <w:vAlign w:val="bottom"/>
          </w:tcPr>
          <w:p>
            <w:pPr>
              <w:jc w:val="right"/>
              <w:ind w:right="60"/>
              <w:spacing w:after="0" w:line="135" w:lineRule="exact"/>
              <w:rPr>
                <w:sz w:val="20"/>
                <w:szCs w:val="20"/>
                <w:color w:val="auto"/>
              </w:rPr>
            </w:pPr>
            <w:r>
              <w:rPr>
                <w:rFonts w:ascii="Arial" w:cs="Arial" w:eastAsia="Arial" w:hAnsi="Arial"/>
                <w:sz w:val="12"/>
                <w:szCs w:val="12"/>
                <w:color w:val="215AA8"/>
              </w:rPr>
              <w:t>Equity Awards</w:t>
            </w:r>
          </w:p>
        </w:tc>
        <w:tc>
          <w:tcPr>
            <w:tcW w:w="1200" w:type="dxa"/>
            <w:vAlign w:val="bottom"/>
          </w:tcPr>
          <w:p>
            <w:pPr>
              <w:jc w:val="right"/>
              <w:ind w:right="20"/>
              <w:spacing w:after="0" w:line="135" w:lineRule="exact"/>
              <w:rPr>
                <w:sz w:val="20"/>
                <w:szCs w:val="20"/>
                <w:color w:val="auto"/>
              </w:rPr>
            </w:pPr>
            <w:r>
              <w:rPr>
                <w:rFonts w:ascii="Arial" w:cs="Arial" w:eastAsia="Arial" w:hAnsi="Arial"/>
                <w:sz w:val="12"/>
                <w:szCs w:val="12"/>
                <w:color w:val="215AA8"/>
              </w:rPr>
              <w:t>Option Awards</w:t>
            </w:r>
          </w:p>
        </w:tc>
        <w:tc>
          <w:tcPr>
            <w:tcW w:w="1160" w:type="dxa"/>
            <w:vAlign w:val="bottom"/>
          </w:tcPr>
          <w:p>
            <w:pPr>
              <w:jc w:val="right"/>
              <w:spacing w:after="0" w:line="135" w:lineRule="exact"/>
              <w:rPr>
                <w:sz w:val="20"/>
                <w:szCs w:val="20"/>
                <w:color w:val="auto"/>
              </w:rPr>
            </w:pPr>
            <w:r>
              <w:rPr>
                <w:rFonts w:ascii="Arial" w:cs="Arial" w:eastAsia="Arial" w:hAnsi="Arial"/>
                <w:sz w:val="12"/>
                <w:szCs w:val="12"/>
                <w:color w:val="215AA8"/>
              </w:rPr>
              <w:t>Total—Average</w:t>
            </w:r>
          </w:p>
        </w:tc>
      </w:tr>
      <w:tr>
        <w:trPr>
          <w:trHeight w:val="135"/>
        </w:trPr>
        <w:tc>
          <w:tcPr>
            <w:tcW w:w="1340" w:type="dxa"/>
            <w:vAlign w:val="bottom"/>
          </w:tcPr>
          <w:p>
            <w:pPr>
              <w:spacing w:after="0"/>
              <w:rPr>
                <w:sz w:val="11"/>
                <w:szCs w:val="11"/>
                <w:color w:val="auto"/>
              </w:rPr>
            </w:pPr>
          </w:p>
        </w:tc>
        <w:tc>
          <w:tcPr>
            <w:tcW w:w="232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Unvested as of</w:t>
            </w:r>
          </w:p>
        </w:tc>
        <w:tc>
          <w:tcPr>
            <w:tcW w:w="124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Year of Unvested</w:t>
            </w:r>
          </w:p>
        </w:tc>
        <w:tc>
          <w:tcPr>
            <w:tcW w:w="128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Year that Vested</w:t>
            </w:r>
          </w:p>
        </w:tc>
        <w:tc>
          <w:tcPr>
            <w:tcW w:w="124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that Vested During</w:t>
            </w:r>
          </w:p>
        </w:tc>
        <w:tc>
          <w:tcPr>
            <w:tcW w:w="1220" w:type="dxa"/>
            <w:vAlign w:val="bottom"/>
          </w:tcPr>
          <w:p>
            <w:pPr>
              <w:jc w:val="right"/>
              <w:ind w:right="60"/>
              <w:spacing w:after="0" w:line="135" w:lineRule="exact"/>
              <w:rPr>
                <w:sz w:val="20"/>
                <w:szCs w:val="20"/>
                <w:color w:val="auto"/>
              </w:rPr>
            </w:pPr>
            <w:r>
              <w:rPr>
                <w:rFonts w:ascii="Arial" w:cs="Arial" w:eastAsia="Arial" w:hAnsi="Arial"/>
                <w:sz w:val="12"/>
                <w:szCs w:val="12"/>
                <w:color w:val="215AA8"/>
              </w:rPr>
              <w:t>Forfeited During</w:t>
            </w:r>
          </w:p>
        </w:tc>
        <w:tc>
          <w:tcPr>
            <w:tcW w:w="1200" w:type="dxa"/>
            <w:vAlign w:val="bottom"/>
          </w:tcPr>
          <w:p>
            <w:pPr>
              <w:jc w:val="right"/>
              <w:ind w:right="20"/>
              <w:spacing w:after="0" w:line="135" w:lineRule="exact"/>
              <w:rPr>
                <w:sz w:val="20"/>
                <w:szCs w:val="20"/>
                <w:color w:val="auto"/>
              </w:rPr>
            </w:pPr>
            <w:r>
              <w:rPr>
                <w:rFonts w:ascii="Arial" w:cs="Arial" w:eastAsia="Arial" w:hAnsi="Arial"/>
                <w:sz w:val="12"/>
                <w:szCs w:val="12"/>
                <w:color w:val="215AA8"/>
              </w:rPr>
              <w:t>Not Otherwise</w:t>
            </w:r>
          </w:p>
        </w:tc>
        <w:tc>
          <w:tcPr>
            <w:tcW w:w="1160" w:type="dxa"/>
            <w:vAlign w:val="bottom"/>
          </w:tcPr>
          <w:p>
            <w:pPr>
              <w:jc w:val="right"/>
              <w:spacing w:after="0" w:line="135" w:lineRule="exact"/>
              <w:rPr>
                <w:sz w:val="20"/>
                <w:szCs w:val="20"/>
                <w:color w:val="auto"/>
              </w:rPr>
            </w:pPr>
            <w:r>
              <w:rPr>
                <w:rFonts w:ascii="Arial" w:cs="Arial" w:eastAsia="Arial" w:hAnsi="Arial"/>
                <w:sz w:val="12"/>
                <w:szCs w:val="12"/>
                <w:color w:val="215AA8"/>
              </w:rPr>
              <w:t>Inclusion of</w:t>
            </w:r>
          </w:p>
        </w:tc>
      </w:tr>
      <w:tr>
        <w:trPr>
          <w:trHeight w:val="135"/>
        </w:trPr>
        <w:tc>
          <w:tcPr>
            <w:tcW w:w="1340" w:type="dxa"/>
            <w:vAlign w:val="bottom"/>
          </w:tcPr>
          <w:p>
            <w:pPr>
              <w:spacing w:after="0"/>
              <w:rPr>
                <w:sz w:val="11"/>
                <w:szCs w:val="11"/>
                <w:color w:val="auto"/>
              </w:rPr>
            </w:pPr>
          </w:p>
        </w:tc>
        <w:tc>
          <w:tcPr>
            <w:tcW w:w="232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Last Day of Year</w:t>
            </w:r>
          </w:p>
        </w:tc>
        <w:tc>
          <w:tcPr>
            <w:tcW w:w="1240" w:type="dxa"/>
            <w:vAlign w:val="bottom"/>
          </w:tcPr>
          <w:p>
            <w:pPr>
              <w:jc w:val="right"/>
              <w:ind w:right="40"/>
              <w:spacing w:after="0" w:line="135" w:lineRule="exact"/>
              <w:rPr>
                <w:sz w:val="20"/>
                <w:szCs w:val="20"/>
                <w:color w:val="auto"/>
              </w:rPr>
            </w:pPr>
            <w:r>
              <w:rPr>
                <w:rFonts w:ascii="Arial" w:cs="Arial" w:eastAsia="Arial" w:hAnsi="Arial"/>
                <w:sz w:val="12"/>
                <w:szCs w:val="12"/>
                <w:color w:val="215AA8"/>
              </w:rPr>
              <w:t>Equity Awards for</w:t>
            </w:r>
          </w:p>
        </w:tc>
        <w:tc>
          <w:tcPr>
            <w:tcW w:w="128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During Year for</w:t>
            </w:r>
          </w:p>
        </w:tc>
        <w:tc>
          <w:tcPr>
            <w:tcW w:w="1240" w:type="dxa"/>
            <w:vAlign w:val="bottom"/>
          </w:tcPr>
          <w:p>
            <w:pPr>
              <w:jc w:val="right"/>
              <w:ind w:right="80"/>
              <w:spacing w:after="0" w:line="135" w:lineRule="exact"/>
              <w:rPr>
                <w:sz w:val="20"/>
                <w:szCs w:val="20"/>
                <w:color w:val="auto"/>
              </w:rPr>
            </w:pPr>
            <w:r>
              <w:rPr>
                <w:rFonts w:ascii="Arial" w:cs="Arial" w:eastAsia="Arial" w:hAnsi="Arial"/>
                <w:sz w:val="12"/>
                <w:szCs w:val="12"/>
                <w:color w:val="215AA8"/>
              </w:rPr>
              <w:t>Year for Non-PEO</w:t>
            </w:r>
          </w:p>
        </w:tc>
        <w:tc>
          <w:tcPr>
            <w:tcW w:w="1220" w:type="dxa"/>
            <w:vAlign w:val="bottom"/>
          </w:tcPr>
          <w:p>
            <w:pPr>
              <w:jc w:val="right"/>
              <w:ind w:right="60"/>
              <w:spacing w:after="0" w:line="135" w:lineRule="exact"/>
              <w:rPr>
                <w:sz w:val="20"/>
                <w:szCs w:val="20"/>
                <w:color w:val="auto"/>
              </w:rPr>
            </w:pPr>
            <w:r>
              <w:rPr>
                <w:rFonts w:ascii="Arial" w:cs="Arial" w:eastAsia="Arial" w:hAnsi="Arial"/>
                <w:sz w:val="12"/>
                <w:szCs w:val="12"/>
                <w:color w:val="215AA8"/>
              </w:rPr>
              <w:t>Year for Non-PEO</w:t>
            </w:r>
          </w:p>
        </w:tc>
        <w:tc>
          <w:tcPr>
            <w:tcW w:w="1200" w:type="dxa"/>
            <w:vAlign w:val="bottom"/>
          </w:tcPr>
          <w:p>
            <w:pPr>
              <w:jc w:val="right"/>
              <w:ind w:right="20"/>
              <w:spacing w:after="0" w:line="135" w:lineRule="exact"/>
              <w:rPr>
                <w:sz w:val="20"/>
                <w:szCs w:val="20"/>
                <w:color w:val="auto"/>
              </w:rPr>
            </w:pPr>
            <w:r>
              <w:rPr>
                <w:rFonts w:ascii="Arial" w:cs="Arial" w:eastAsia="Arial" w:hAnsi="Arial"/>
                <w:sz w:val="12"/>
                <w:szCs w:val="12"/>
                <w:color w:val="215AA8"/>
              </w:rPr>
              <w:t>Included for Non-</w:t>
            </w:r>
          </w:p>
        </w:tc>
        <w:tc>
          <w:tcPr>
            <w:tcW w:w="1160" w:type="dxa"/>
            <w:vAlign w:val="bottom"/>
          </w:tcPr>
          <w:p>
            <w:pPr>
              <w:jc w:val="right"/>
              <w:spacing w:after="0" w:line="135" w:lineRule="exact"/>
              <w:rPr>
                <w:sz w:val="20"/>
                <w:szCs w:val="20"/>
                <w:color w:val="auto"/>
              </w:rPr>
            </w:pPr>
            <w:r>
              <w:rPr>
                <w:rFonts w:ascii="Arial" w:cs="Arial" w:eastAsia="Arial" w:hAnsi="Arial"/>
                <w:sz w:val="12"/>
                <w:szCs w:val="12"/>
                <w:color w:val="215AA8"/>
              </w:rPr>
              <w:t>Equity Values for</w:t>
            </w:r>
          </w:p>
        </w:tc>
      </w:tr>
      <w:tr>
        <w:trPr>
          <w:trHeight w:val="146"/>
        </w:trPr>
        <w:tc>
          <w:tcPr>
            <w:tcW w:w="1340" w:type="dxa"/>
            <w:vAlign w:val="bottom"/>
            <w:tcBorders>
              <w:bottom w:val="single" w:sz="8" w:color="215AA8"/>
            </w:tcBorders>
          </w:tcPr>
          <w:p>
            <w:pPr>
              <w:ind w:left="40"/>
              <w:spacing w:after="0"/>
              <w:rPr>
                <w:sz w:val="20"/>
                <w:szCs w:val="20"/>
                <w:color w:val="auto"/>
              </w:rPr>
            </w:pPr>
            <w:r>
              <w:rPr>
                <w:rFonts w:ascii="Arial" w:cs="Arial" w:eastAsia="Arial" w:hAnsi="Arial"/>
                <w:sz w:val="12"/>
                <w:szCs w:val="12"/>
                <w:color w:val="215AA8"/>
              </w:rPr>
              <w:t>Year</w:t>
            </w:r>
          </w:p>
        </w:tc>
        <w:tc>
          <w:tcPr>
            <w:tcW w:w="2320" w:type="dxa"/>
            <w:vAlign w:val="bottom"/>
            <w:tcBorders>
              <w:bottom w:val="single" w:sz="8" w:color="215AA8"/>
            </w:tcBorders>
          </w:tcPr>
          <w:p>
            <w:pPr>
              <w:jc w:val="right"/>
              <w:ind w:right="40"/>
              <w:spacing w:after="0"/>
              <w:rPr>
                <w:sz w:val="20"/>
                <w:szCs w:val="20"/>
                <w:color w:val="auto"/>
              </w:rPr>
            </w:pPr>
            <w:r>
              <w:rPr>
                <w:rFonts w:ascii="Arial" w:cs="Arial" w:eastAsia="Arial" w:hAnsi="Arial"/>
                <w:sz w:val="12"/>
                <w:szCs w:val="12"/>
                <w:color w:val="215AA8"/>
              </w:rPr>
              <w:t>for Non-PEO NEOs ($)</w:t>
            </w:r>
          </w:p>
        </w:tc>
        <w:tc>
          <w:tcPr>
            <w:tcW w:w="1240" w:type="dxa"/>
            <w:vAlign w:val="bottom"/>
            <w:tcBorders>
              <w:bottom w:val="single" w:sz="8" w:color="215AA8"/>
            </w:tcBorders>
          </w:tcPr>
          <w:p>
            <w:pPr>
              <w:jc w:val="right"/>
              <w:ind w:right="40"/>
              <w:spacing w:after="0"/>
              <w:rPr>
                <w:sz w:val="20"/>
                <w:szCs w:val="20"/>
                <w:color w:val="auto"/>
              </w:rPr>
            </w:pPr>
            <w:r>
              <w:rPr>
                <w:rFonts w:ascii="Arial" w:cs="Arial" w:eastAsia="Arial" w:hAnsi="Arial"/>
                <w:sz w:val="12"/>
                <w:szCs w:val="12"/>
                <w:color w:val="215AA8"/>
              </w:rPr>
              <w:t>Non-PEO NEOs ($)</w:t>
            </w:r>
          </w:p>
        </w:tc>
        <w:tc>
          <w:tcPr>
            <w:tcW w:w="1280" w:type="dxa"/>
            <w:vAlign w:val="bottom"/>
            <w:tcBorders>
              <w:bottom w:val="single" w:sz="8" w:color="215AA8"/>
            </w:tcBorders>
          </w:tcPr>
          <w:p>
            <w:pPr>
              <w:jc w:val="right"/>
              <w:ind w:right="80"/>
              <w:spacing w:after="0"/>
              <w:rPr>
                <w:sz w:val="20"/>
                <w:szCs w:val="20"/>
                <w:color w:val="auto"/>
              </w:rPr>
            </w:pPr>
            <w:r>
              <w:rPr>
                <w:rFonts w:ascii="Arial" w:cs="Arial" w:eastAsia="Arial" w:hAnsi="Arial"/>
                <w:sz w:val="12"/>
                <w:szCs w:val="12"/>
                <w:color w:val="215AA8"/>
              </w:rPr>
              <w:t>Non-PEO NEOs ($)</w:t>
            </w:r>
          </w:p>
        </w:tc>
        <w:tc>
          <w:tcPr>
            <w:tcW w:w="1240" w:type="dxa"/>
            <w:vAlign w:val="bottom"/>
            <w:tcBorders>
              <w:bottom w:val="single" w:sz="8" w:color="215AA8"/>
            </w:tcBorders>
          </w:tcPr>
          <w:p>
            <w:pPr>
              <w:jc w:val="right"/>
              <w:ind w:right="80"/>
              <w:spacing w:after="0"/>
              <w:rPr>
                <w:sz w:val="20"/>
                <w:szCs w:val="20"/>
                <w:color w:val="auto"/>
              </w:rPr>
            </w:pPr>
            <w:r>
              <w:rPr>
                <w:rFonts w:ascii="Arial" w:cs="Arial" w:eastAsia="Arial" w:hAnsi="Arial"/>
                <w:sz w:val="12"/>
                <w:szCs w:val="12"/>
                <w:color w:val="215AA8"/>
              </w:rPr>
              <w:t>NEOs ($)</w:t>
            </w:r>
          </w:p>
        </w:tc>
        <w:tc>
          <w:tcPr>
            <w:tcW w:w="1220" w:type="dxa"/>
            <w:vAlign w:val="bottom"/>
            <w:tcBorders>
              <w:bottom w:val="single" w:sz="8" w:color="215AA8"/>
            </w:tcBorders>
          </w:tcPr>
          <w:p>
            <w:pPr>
              <w:jc w:val="right"/>
              <w:ind w:right="60"/>
              <w:spacing w:after="0"/>
              <w:rPr>
                <w:sz w:val="20"/>
                <w:szCs w:val="20"/>
                <w:color w:val="auto"/>
              </w:rPr>
            </w:pPr>
            <w:r>
              <w:rPr>
                <w:rFonts w:ascii="Arial" w:cs="Arial" w:eastAsia="Arial" w:hAnsi="Arial"/>
                <w:sz w:val="12"/>
                <w:szCs w:val="12"/>
                <w:color w:val="215AA8"/>
              </w:rPr>
              <w:t>NEOs ($)</w:t>
            </w:r>
          </w:p>
        </w:tc>
        <w:tc>
          <w:tcPr>
            <w:tcW w:w="1200" w:type="dxa"/>
            <w:vAlign w:val="bottom"/>
            <w:tcBorders>
              <w:bottom w:val="single" w:sz="8" w:color="215AA8"/>
            </w:tcBorders>
          </w:tcPr>
          <w:p>
            <w:pPr>
              <w:jc w:val="right"/>
              <w:ind w:right="20"/>
              <w:spacing w:after="0"/>
              <w:rPr>
                <w:sz w:val="20"/>
                <w:szCs w:val="20"/>
                <w:color w:val="auto"/>
              </w:rPr>
            </w:pPr>
            <w:r>
              <w:rPr>
                <w:rFonts w:ascii="Arial" w:cs="Arial" w:eastAsia="Arial" w:hAnsi="Arial"/>
                <w:sz w:val="12"/>
                <w:szCs w:val="12"/>
                <w:color w:val="215AA8"/>
              </w:rPr>
              <w:t>PEO NEOs ($)</w:t>
            </w:r>
          </w:p>
        </w:tc>
        <w:tc>
          <w:tcPr>
            <w:tcW w:w="1160" w:type="dxa"/>
            <w:vAlign w:val="bottom"/>
            <w:tcBorders>
              <w:bottom w:val="single" w:sz="8" w:color="215AA8"/>
            </w:tcBorders>
          </w:tcPr>
          <w:p>
            <w:pPr>
              <w:jc w:val="right"/>
              <w:spacing w:after="0"/>
              <w:rPr>
                <w:sz w:val="20"/>
                <w:szCs w:val="20"/>
                <w:color w:val="auto"/>
              </w:rPr>
            </w:pPr>
            <w:r>
              <w:rPr>
                <w:rFonts w:ascii="Arial" w:cs="Arial" w:eastAsia="Arial" w:hAnsi="Arial"/>
                <w:sz w:val="12"/>
                <w:szCs w:val="12"/>
                <w:color w:val="215AA8"/>
              </w:rPr>
              <w:t>Non-PEO NEOs ($)</w:t>
            </w:r>
          </w:p>
        </w:tc>
      </w:tr>
      <w:tr>
        <w:trPr>
          <w:trHeight w:val="138"/>
        </w:trPr>
        <w:tc>
          <w:tcPr>
            <w:tcW w:w="1340" w:type="dxa"/>
            <w:vAlign w:val="bottom"/>
            <w:tcBorders>
              <w:bottom w:val="single" w:sz="8" w:color="215AA8"/>
            </w:tcBorders>
          </w:tcPr>
          <w:p>
            <w:pPr>
              <w:ind w:left="40"/>
              <w:spacing w:after="0" w:line="135" w:lineRule="exact"/>
              <w:rPr>
                <w:sz w:val="20"/>
                <w:szCs w:val="20"/>
                <w:color w:val="auto"/>
              </w:rPr>
            </w:pPr>
            <w:r>
              <w:rPr>
                <w:rFonts w:ascii="Arial" w:cs="Arial" w:eastAsia="Arial" w:hAnsi="Arial"/>
                <w:sz w:val="12"/>
                <w:szCs w:val="12"/>
                <w:color w:val="215AA8"/>
              </w:rPr>
              <w:t>2023</w:t>
            </w:r>
          </w:p>
        </w:tc>
        <w:tc>
          <w:tcPr>
            <w:tcW w:w="2320" w:type="dxa"/>
            <w:vAlign w:val="bottom"/>
            <w:tcBorders>
              <w:bottom w:val="single" w:sz="8" w:color="215AA8"/>
            </w:tcBorders>
          </w:tcPr>
          <w:p>
            <w:pPr>
              <w:jc w:val="right"/>
              <w:ind w:right="40"/>
              <w:spacing w:after="0" w:line="135" w:lineRule="exact"/>
              <w:rPr>
                <w:sz w:val="20"/>
                <w:szCs w:val="20"/>
                <w:color w:val="auto"/>
              </w:rPr>
            </w:pPr>
            <w:r>
              <w:rPr>
                <w:rFonts w:ascii="Arial" w:cs="Arial" w:eastAsia="Arial" w:hAnsi="Arial"/>
                <w:sz w:val="12"/>
                <w:szCs w:val="12"/>
                <w:color w:val="auto"/>
              </w:rPr>
              <w:t>3,521,007</w:t>
            </w:r>
          </w:p>
        </w:tc>
        <w:tc>
          <w:tcPr>
            <w:tcW w:w="1240" w:type="dxa"/>
            <w:vAlign w:val="bottom"/>
            <w:tcBorders>
              <w:bottom w:val="single" w:sz="8" w:color="215AA8"/>
            </w:tcBorders>
          </w:tcPr>
          <w:p>
            <w:pPr>
              <w:jc w:val="right"/>
              <w:ind w:right="40"/>
              <w:spacing w:after="0" w:line="135" w:lineRule="exact"/>
              <w:rPr>
                <w:sz w:val="20"/>
                <w:szCs w:val="20"/>
                <w:color w:val="auto"/>
              </w:rPr>
            </w:pPr>
            <w:r>
              <w:rPr>
                <w:rFonts w:ascii="Arial" w:cs="Arial" w:eastAsia="Arial" w:hAnsi="Arial"/>
                <w:sz w:val="12"/>
                <w:szCs w:val="12"/>
                <w:color w:val="auto"/>
              </w:rPr>
              <w:t>34,981,296</w:t>
            </w:r>
          </w:p>
        </w:tc>
        <w:tc>
          <w:tcPr>
            <w:tcW w:w="1280" w:type="dxa"/>
            <w:vAlign w:val="bottom"/>
            <w:tcBorders>
              <w:bottom w:val="single" w:sz="8" w:color="215AA8"/>
            </w:tcBorders>
          </w:tcPr>
          <w:p>
            <w:pPr>
              <w:jc w:val="right"/>
              <w:ind w:right="80"/>
              <w:spacing w:after="0" w:line="135" w:lineRule="exact"/>
              <w:rPr>
                <w:sz w:val="20"/>
                <w:szCs w:val="20"/>
                <w:color w:val="auto"/>
              </w:rPr>
            </w:pPr>
            <w:r>
              <w:rPr>
                <w:rFonts w:ascii="Arial" w:cs="Arial" w:eastAsia="Arial" w:hAnsi="Arial"/>
                <w:sz w:val="12"/>
                <w:szCs w:val="12"/>
                <w:color w:val="auto"/>
              </w:rPr>
              <w:t>0</w:t>
            </w:r>
          </w:p>
        </w:tc>
        <w:tc>
          <w:tcPr>
            <w:tcW w:w="1240" w:type="dxa"/>
            <w:vAlign w:val="bottom"/>
            <w:tcBorders>
              <w:bottom w:val="single" w:sz="8" w:color="215AA8"/>
            </w:tcBorders>
          </w:tcPr>
          <w:p>
            <w:pPr>
              <w:jc w:val="right"/>
              <w:ind w:right="80"/>
              <w:spacing w:after="0" w:line="135" w:lineRule="exact"/>
              <w:rPr>
                <w:sz w:val="20"/>
                <w:szCs w:val="20"/>
                <w:color w:val="auto"/>
              </w:rPr>
            </w:pPr>
            <w:r>
              <w:rPr>
                <w:rFonts w:ascii="Arial" w:cs="Arial" w:eastAsia="Arial" w:hAnsi="Arial"/>
                <w:sz w:val="12"/>
                <w:szCs w:val="12"/>
                <w:color w:val="auto"/>
              </w:rPr>
              <w:t>5,055,141</w:t>
            </w:r>
          </w:p>
        </w:tc>
        <w:tc>
          <w:tcPr>
            <w:tcW w:w="1220" w:type="dxa"/>
            <w:vAlign w:val="bottom"/>
            <w:tcBorders>
              <w:bottom w:val="single" w:sz="8" w:color="215AA8"/>
            </w:tcBorders>
          </w:tcPr>
          <w:p>
            <w:pPr>
              <w:jc w:val="right"/>
              <w:ind w:right="60"/>
              <w:spacing w:after="0" w:line="135" w:lineRule="exact"/>
              <w:rPr>
                <w:sz w:val="20"/>
                <w:szCs w:val="20"/>
                <w:color w:val="auto"/>
              </w:rPr>
            </w:pPr>
            <w:r>
              <w:rPr>
                <w:rFonts w:ascii="Arial" w:cs="Arial" w:eastAsia="Arial" w:hAnsi="Arial"/>
                <w:sz w:val="12"/>
                <w:szCs w:val="12"/>
                <w:color w:val="auto"/>
              </w:rPr>
              <w:t>0</w:t>
            </w:r>
          </w:p>
        </w:tc>
        <w:tc>
          <w:tcPr>
            <w:tcW w:w="1200" w:type="dxa"/>
            <w:vAlign w:val="bottom"/>
            <w:tcBorders>
              <w:bottom w:val="single" w:sz="8" w:color="215AA8"/>
            </w:tcBorders>
          </w:tcPr>
          <w:p>
            <w:pPr>
              <w:jc w:val="right"/>
              <w:ind w:right="20"/>
              <w:spacing w:after="0" w:line="135" w:lineRule="exact"/>
              <w:rPr>
                <w:sz w:val="20"/>
                <w:szCs w:val="20"/>
                <w:color w:val="auto"/>
              </w:rPr>
            </w:pPr>
            <w:r>
              <w:rPr>
                <w:rFonts w:ascii="Arial" w:cs="Arial" w:eastAsia="Arial" w:hAnsi="Arial"/>
                <w:sz w:val="12"/>
                <w:szCs w:val="12"/>
                <w:color w:val="auto"/>
              </w:rPr>
              <w:t>0</w:t>
            </w:r>
          </w:p>
        </w:tc>
        <w:tc>
          <w:tcPr>
            <w:tcW w:w="1160" w:type="dxa"/>
            <w:vAlign w:val="bottom"/>
            <w:tcBorders>
              <w:bottom w:val="single" w:sz="8" w:color="215AA8"/>
            </w:tcBorders>
          </w:tcPr>
          <w:p>
            <w:pPr>
              <w:jc w:val="right"/>
              <w:spacing w:after="0" w:line="135" w:lineRule="exact"/>
              <w:rPr>
                <w:sz w:val="20"/>
                <w:szCs w:val="20"/>
                <w:color w:val="auto"/>
              </w:rPr>
            </w:pPr>
            <w:r>
              <w:rPr>
                <w:rFonts w:ascii="Arial" w:cs="Arial" w:eastAsia="Arial" w:hAnsi="Arial"/>
                <w:sz w:val="12"/>
                <w:szCs w:val="12"/>
                <w:color w:val="auto"/>
              </w:rPr>
              <w:t>43,557,444</w:t>
            </w:r>
          </w:p>
        </w:tc>
      </w:tr>
    </w:tbl>
    <w:p>
      <w:pPr>
        <w:spacing w:after="0" w:line="240" w:lineRule="exact"/>
        <w:rPr>
          <w:sz w:val="20"/>
          <w:szCs w:val="20"/>
          <w:color w:val="auto"/>
        </w:rPr>
      </w:pPr>
    </w:p>
    <w:p>
      <w:pPr>
        <w:ind w:left="270" w:right="40" w:hanging="270"/>
        <w:spacing w:after="0" w:line="210" w:lineRule="auto"/>
        <w:tabs>
          <w:tab w:leader="none" w:pos="270" w:val="left"/>
        </w:tabs>
        <w:numPr>
          <w:ilvl w:val="0"/>
          <w:numId w:val="185"/>
        </w:numPr>
        <w:rPr>
          <w:rFonts w:ascii="Arial" w:cs="Arial" w:eastAsia="Arial" w:hAnsi="Arial"/>
          <w:sz w:val="20"/>
          <w:szCs w:val="20"/>
          <w:color w:val="auto"/>
          <w:vertAlign w:val="superscript"/>
        </w:rPr>
      </w:pPr>
      <w:r>
        <w:rPr>
          <w:rFonts w:ascii="Arial" w:cs="Arial" w:eastAsia="Arial" w:hAnsi="Arial"/>
          <w:sz w:val="12"/>
          <w:szCs w:val="12"/>
          <w:color w:val="auto"/>
        </w:rPr>
        <w:t>The Peer Group TSR shown in this table utilizes the NASDAQ US Benchmark Pharmaceuticals Total Return Index (“NQ US Pharma Index”), which we also utilized in the stock performance graph required by Item 201(e) of Regulation S-K included in our Annual Reports on Form 10-K for the years reflected in the table above. The comparison assumes $100 was invested for the period starting December 31, 2019 through December 31 of the applicable fiscal year in each of the Company’s common stock and the NQ US Pharma Index. All dollar values assume reinvestment of the pre-tax value of dividends paid by companies included in the NQ US Pharma Index. The historical stock price performance of our common stock shown is not necessarily indicative of future stock price performance.</w:t>
      </w:r>
    </w:p>
    <w:p>
      <w:pPr>
        <w:spacing w:after="0" w:line="225" w:lineRule="exact"/>
        <w:rPr>
          <w:sz w:val="20"/>
          <w:szCs w:val="20"/>
          <w:color w:val="auto"/>
        </w:rPr>
      </w:pPr>
    </w:p>
    <w:p>
      <w:pPr>
        <w:ind w:left="270" w:right="120" w:hanging="270"/>
        <w:spacing w:after="0" w:line="203" w:lineRule="auto"/>
        <w:tabs>
          <w:tab w:leader="none" w:pos="270" w:val="left"/>
        </w:tabs>
        <w:numPr>
          <w:ilvl w:val="0"/>
          <w:numId w:val="186"/>
        </w:numPr>
        <w:rPr>
          <w:rFonts w:ascii="Arial" w:cs="Arial" w:eastAsia="Arial" w:hAnsi="Arial"/>
          <w:sz w:val="20"/>
          <w:szCs w:val="20"/>
          <w:color w:val="auto"/>
          <w:vertAlign w:val="superscript"/>
        </w:rPr>
      </w:pPr>
      <w:r>
        <w:rPr>
          <w:rFonts w:ascii="Arial" w:cs="Arial" w:eastAsia="Arial" w:hAnsi="Arial"/>
          <w:sz w:val="12"/>
          <w:szCs w:val="12"/>
          <w:color w:val="auto"/>
        </w:rPr>
        <w:t>Pursuant to Item 402(v) of Regulation S-K, we determined our stock price to be the most important financial performance measure used to link Company performance to Compensation “Actually Paid” to our PEO and other NEOs in 2023. This performance measure may not have been the most important financial performance measure for prior years and we may determine a different financial performance measure to be the most important such measure in future years.</w:t>
      </w:r>
    </w:p>
    <w:p>
      <w:pPr>
        <w:spacing w:after="0" w:line="22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Description of Relationship Between NEO Compensation “Actually Paid” and Company Total Shareholder Return</w:t>
      </w:r>
    </w:p>
    <w:p>
      <w:pPr>
        <w:spacing w:after="0" w:line="211" w:lineRule="exact"/>
        <w:rPr>
          <w:sz w:val="20"/>
          <w:szCs w:val="20"/>
          <w:color w:val="auto"/>
        </w:rPr>
      </w:pPr>
    </w:p>
    <w:p>
      <w:pPr>
        <w:ind w:left="10" w:right="160"/>
        <w:spacing w:after="0" w:line="257" w:lineRule="auto"/>
        <w:rPr>
          <w:sz w:val="20"/>
          <w:szCs w:val="20"/>
          <w:color w:val="auto"/>
        </w:rPr>
      </w:pPr>
      <w:r>
        <w:rPr>
          <w:rFonts w:ascii="Arial" w:cs="Arial" w:eastAsia="Arial" w:hAnsi="Arial"/>
          <w:sz w:val="14"/>
          <w:szCs w:val="14"/>
          <w:color w:val="auto"/>
        </w:rPr>
        <w:t>The following chart sets forth the relationship between Compensation “Actually Paid” to our PEO, the average of Compensation “Actually Paid” to our Non-PEO NEOs, each as set forth in the Table above, and the Company’s cumulative TSR over the four-year period from 2020 through 2023.</w:t>
      </w:r>
    </w:p>
    <w:p>
      <w:pPr>
        <w:spacing w:after="0" w:line="126"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215AA8"/>
        </w:rPr>
        <w:t>PEO and Average Non-PEO NEO Compensation “Actually Paid” Versus Regeneron TSR, 2020-2023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106045</wp:posOffset>
            </wp:positionV>
            <wp:extent cx="4610735" cy="20656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61073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97</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-242570</wp:posOffset>
            </wp:positionV>
            <wp:extent cx="629285" cy="717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Description of Relationship Between NEO Compensation “Actually Paid” and Net Income</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4"/>
          <w:szCs w:val="14"/>
          <w:color w:val="auto"/>
        </w:rPr>
        <w:t>The following chart sets forth the relationship between Compensation “Actually Paid” to our PEO, the average of Compensation “Actually Paid” to our Non-PEO NEOs, and our net income during years 2020 through 2023, each as set forth in the table above.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15AA8"/>
        </w:rPr>
        <w:t>PEO and Average NEO Compensation “Actually Paid” Versus Regeneron Net Income, 2020-2023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106045</wp:posOffset>
            </wp:positionV>
            <wp:extent cx="4653280" cy="20942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653280" cy="209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Description of Relationship Between NEO Compensation “Actually Paid” and Stock Price</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The following chart sets forth the relationship between Compensation “Actually Paid” to our PEO, the average of Compensation “Actually Paid” to our Non-PEO NEOs, and the closing price of our common stock on the last trading day of years 2020 through 2023, each as set forth in the table above.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15AA8"/>
        </w:rPr>
        <w:t>PEO and Average Non-PEO NEO Compensation “Actually Paid” Versus Regeneron Stock Price, 2020-2023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106045</wp:posOffset>
            </wp:positionV>
            <wp:extent cx="4653280" cy="21012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65328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6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98</w:t>
            </w:r>
          </w:p>
        </w:tc>
      </w:tr>
      <w:tr>
        <w:trPr>
          <w:trHeight w:val="211"/>
        </w:trPr>
        <w:tc>
          <w:tcPr>
            <w:tcW w:w="7580" w:type="dxa"/>
            <w:vAlign w:val="bottom"/>
            <w:tcBorders>
              <w:bottom w:val="single" w:sz="8" w:color="C0C0C0"/>
            </w:tcBorders>
          </w:tcPr>
          <w:p>
            <w:pPr>
              <w:spacing w:after="0"/>
              <w:rPr>
                <w:sz w:val="18"/>
                <w:szCs w:val="18"/>
                <w:color w:val="auto"/>
              </w:rPr>
            </w:pPr>
          </w:p>
        </w:tc>
        <w:tc>
          <w:tcPr>
            <w:tcW w:w="36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Description of Relationship Between Company TSR and Peer Group TSR</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chart compares our cumulative TSR over the four-year period from 2020 through 2023 to that of the NQ US Pharma Index over the same time period.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15AA8"/>
        </w:rPr>
        <w:t>Comparison of Regeneron Cumulative TSR to the NQ US Pharma Total Return Index, 2020-2023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106045</wp:posOffset>
            </wp:positionV>
            <wp:extent cx="4138930" cy="19088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138930" cy="190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2023 Tabular List of Most Important Financial and Non-Financial Performance Measures</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The following table presents the financial and non-financial performance measures that the Company considers to have been the most important in linking Compensation “Actually Paid” to our PEO and our Non-PEO NEOs in 2023 to Company performance. The measures in this table are not ranked.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80" w:type="dxa"/>
            <w:vAlign w:val="bottom"/>
            <w:tcBorders>
              <w:top w:val="single" w:sz="8" w:color="215AA8"/>
              <w:bottom w:val="single" w:sz="8" w:color="949599"/>
            </w:tcBorders>
          </w:tcPr>
          <w:p>
            <w:pPr>
              <w:ind w:left="40"/>
              <w:spacing w:after="0"/>
              <w:rPr>
                <w:sz w:val="20"/>
                <w:szCs w:val="20"/>
                <w:color w:val="auto"/>
              </w:rPr>
            </w:pPr>
            <w:r>
              <w:rPr>
                <w:rFonts w:ascii="Arial" w:cs="Arial" w:eastAsia="Arial" w:hAnsi="Arial"/>
                <w:sz w:val="14"/>
                <w:szCs w:val="14"/>
                <w:color w:val="auto"/>
              </w:rPr>
              <w:t>Stock Price</w:t>
            </w:r>
          </w:p>
        </w:tc>
        <w:tc>
          <w:tcPr>
            <w:tcW w:w="6080" w:type="dxa"/>
            <w:vAlign w:val="bottom"/>
            <w:tcBorders>
              <w:top w:val="single" w:sz="8" w:color="215AA8"/>
              <w:bottom w:val="single" w:sz="8" w:color="949599"/>
            </w:tcBorders>
          </w:tcPr>
          <w:p>
            <w:pPr>
              <w:ind w:left="1020"/>
              <w:spacing w:after="0"/>
              <w:rPr>
                <w:sz w:val="20"/>
                <w:szCs w:val="20"/>
                <w:color w:val="auto"/>
              </w:rPr>
            </w:pPr>
            <w:r>
              <w:rPr>
                <w:rFonts w:ascii="Arial" w:cs="Arial" w:eastAsia="Arial" w:hAnsi="Arial"/>
                <w:sz w:val="14"/>
                <w:szCs w:val="14"/>
                <w:color w:val="auto"/>
              </w:rPr>
              <w:t>Regulatory submissions for new products or indications</w:t>
            </w:r>
          </w:p>
        </w:tc>
      </w:tr>
      <w:tr>
        <w:trPr>
          <w:trHeight w:val="149"/>
        </w:trPr>
        <w:tc>
          <w:tcPr>
            <w:tcW w:w="5180" w:type="dxa"/>
            <w:vAlign w:val="bottom"/>
            <w:tcBorders>
              <w:bottom w:val="single" w:sz="8" w:color="949599"/>
            </w:tcBorders>
            <w:shd w:val="clear" w:color="auto" w:fill="ECECED"/>
          </w:tcPr>
          <w:p>
            <w:pPr>
              <w:ind w:left="40"/>
              <w:spacing w:after="0" w:line="149" w:lineRule="exact"/>
              <w:rPr>
                <w:sz w:val="20"/>
                <w:szCs w:val="20"/>
                <w:color w:val="auto"/>
              </w:rPr>
            </w:pPr>
            <w:r>
              <w:rPr>
                <w:rFonts w:ascii="Arial" w:cs="Arial" w:eastAsia="Arial" w:hAnsi="Arial"/>
                <w:sz w:val="14"/>
                <w:szCs w:val="14"/>
                <w:color w:val="auto"/>
              </w:rPr>
              <w:t>TSR</w:t>
            </w:r>
          </w:p>
        </w:tc>
        <w:tc>
          <w:tcPr>
            <w:tcW w:w="6080" w:type="dxa"/>
            <w:vAlign w:val="bottom"/>
            <w:tcBorders>
              <w:bottom w:val="single" w:sz="8" w:color="949599"/>
            </w:tcBorders>
            <w:shd w:val="clear" w:color="auto" w:fill="ECECED"/>
          </w:tcPr>
          <w:p>
            <w:pPr>
              <w:ind w:left="1020"/>
              <w:spacing w:after="0" w:line="149" w:lineRule="exact"/>
              <w:rPr>
                <w:sz w:val="20"/>
                <w:szCs w:val="20"/>
                <w:color w:val="auto"/>
              </w:rPr>
            </w:pPr>
            <w:r>
              <w:rPr>
                <w:rFonts w:ascii="Arial" w:cs="Arial" w:eastAsia="Arial" w:hAnsi="Arial"/>
                <w:sz w:val="14"/>
                <w:szCs w:val="14"/>
                <w:color w:val="auto"/>
              </w:rPr>
              <w:t>Positive data readouts</w:t>
            </w:r>
          </w:p>
        </w:tc>
      </w:tr>
      <w:tr>
        <w:trPr>
          <w:trHeight w:val="149"/>
        </w:trPr>
        <w:tc>
          <w:tcPr>
            <w:tcW w:w="5180" w:type="dxa"/>
            <w:vAlign w:val="bottom"/>
            <w:tcBorders>
              <w:bottom w:val="single" w:sz="8" w:color="949599"/>
            </w:tcBorders>
          </w:tcPr>
          <w:p>
            <w:pPr>
              <w:ind w:left="40"/>
              <w:spacing w:after="0" w:line="149" w:lineRule="exact"/>
              <w:rPr>
                <w:sz w:val="20"/>
                <w:szCs w:val="20"/>
                <w:color w:val="auto"/>
              </w:rPr>
            </w:pPr>
            <w:r>
              <w:rPr>
                <w:rFonts w:ascii="Arial" w:cs="Arial" w:eastAsia="Arial" w:hAnsi="Arial"/>
                <w:sz w:val="14"/>
                <w:szCs w:val="14"/>
                <w:color w:val="auto"/>
              </w:rPr>
              <w:t>Non-GAAP diluted EPS</w:t>
            </w:r>
          </w:p>
        </w:tc>
        <w:tc>
          <w:tcPr>
            <w:tcW w:w="6080" w:type="dxa"/>
            <w:vAlign w:val="bottom"/>
            <w:tcBorders>
              <w:bottom w:val="single" w:sz="8" w:color="949599"/>
            </w:tcBorders>
          </w:tcPr>
          <w:p>
            <w:pPr>
              <w:ind w:left="1020"/>
              <w:spacing w:after="0" w:line="149" w:lineRule="exact"/>
              <w:rPr>
                <w:sz w:val="20"/>
                <w:szCs w:val="20"/>
                <w:color w:val="auto"/>
              </w:rPr>
            </w:pPr>
            <w:r>
              <w:rPr>
                <w:rFonts w:ascii="Arial" w:cs="Arial" w:eastAsia="Arial" w:hAnsi="Arial"/>
                <w:sz w:val="14"/>
                <w:szCs w:val="14"/>
                <w:color w:val="auto"/>
              </w:rPr>
              <w:t>New Investigational New Drug Applications</w:t>
            </w:r>
          </w:p>
        </w:tc>
      </w:tr>
      <w:tr>
        <w:trPr>
          <w:trHeight w:val="151"/>
        </w:trPr>
        <w:tc>
          <w:tcPr>
            <w:tcW w:w="5180" w:type="dxa"/>
            <w:vAlign w:val="bottom"/>
            <w:tcBorders>
              <w:bottom w:val="single" w:sz="8" w:color="215AA8"/>
            </w:tcBorders>
            <w:shd w:val="clear" w:color="auto" w:fill="ECECED"/>
          </w:tcPr>
          <w:p>
            <w:pPr>
              <w:ind w:left="40"/>
              <w:spacing w:after="0" w:line="149" w:lineRule="exact"/>
              <w:rPr>
                <w:sz w:val="20"/>
                <w:szCs w:val="20"/>
                <w:color w:val="auto"/>
              </w:rPr>
            </w:pPr>
            <w:r>
              <w:rPr>
                <w:rFonts w:ascii="Arial" w:cs="Arial" w:eastAsia="Arial" w:hAnsi="Arial"/>
                <w:sz w:val="14"/>
                <w:szCs w:val="14"/>
                <w:color w:val="auto"/>
              </w:rPr>
              <w:t>Approvals of new products or indications</w:t>
            </w:r>
          </w:p>
        </w:tc>
        <w:tc>
          <w:tcPr>
            <w:tcW w:w="6080" w:type="dxa"/>
            <w:vAlign w:val="bottom"/>
            <w:tcBorders>
              <w:bottom w:val="single" w:sz="8" w:color="215AA8"/>
            </w:tcBorders>
            <w:shd w:val="clear" w:color="auto" w:fill="ECECED"/>
          </w:tcPr>
          <w:p>
            <w:pPr>
              <w:spacing w:after="0"/>
              <w:rPr>
                <w:sz w:val="13"/>
                <w:szCs w:val="13"/>
                <w:color w:val="auto"/>
              </w:rPr>
            </w:pPr>
          </w:p>
        </w:tc>
      </w:tr>
      <w:tr>
        <w:trPr>
          <w:trHeight w:val="331"/>
        </w:trPr>
        <w:tc>
          <w:tcPr>
            <w:tcW w:w="518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608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99</w:t>
            </w:r>
          </w:p>
        </w:tc>
      </w:tr>
      <w:tr>
        <w:trPr>
          <w:trHeight w:val="211"/>
        </w:trPr>
        <w:tc>
          <w:tcPr>
            <w:tcW w:w="5180" w:type="dxa"/>
            <w:vAlign w:val="bottom"/>
            <w:tcBorders>
              <w:bottom w:val="single" w:sz="8" w:color="C0C0C0"/>
            </w:tcBorders>
          </w:tcPr>
          <w:p>
            <w:pPr>
              <w:spacing w:after="0"/>
              <w:rPr>
                <w:sz w:val="18"/>
                <w:szCs w:val="18"/>
                <w:color w:val="auto"/>
              </w:rPr>
            </w:pPr>
          </w:p>
        </w:tc>
        <w:tc>
          <w:tcPr>
            <w:tcW w:w="608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-242570</wp:posOffset>
            </wp:positionV>
            <wp:extent cx="629285" cy="717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D60058"/>
        </w:rPr>
        <w:t>Equity Compensation Information</w:t>
      </w:r>
    </w:p>
    <w:p>
      <w:pPr>
        <w:spacing w:after="0" w:line="161"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color w:val="215AA8"/>
        </w:rPr>
        <w:t>Corporate Governance Aspects of the Second Amended and Restated Regeneron Pharmaceuticals, Inc. 2014 Long-Term Incentive Plan</w:t>
      </w:r>
    </w:p>
    <w:p>
      <w:pPr>
        <w:spacing w:after="0" w:line="136" w:lineRule="exact"/>
        <w:rPr>
          <w:sz w:val="20"/>
          <w:szCs w:val="20"/>
          <w:color w:val="auto"/>
        </w:rPr>
      </w:pPr>
    </w:p>
    <w:p>
      <w:pPr>
        <w:ind w:right="280"/>
        <w:spacing w:after="0" w:line="246" w:lineRule="auto"/>
        <w:rPr>
          <w:sz w:val="20"/>
          <w:szCs w:val="20"/>
          <w:color w:val="auto"/>
        </w:rPr>
      </w:pPr>
      <w:r>
        <w:rPr>
          <w:rFonts w:ascii="Arial" w:cs="Arial" w:eastAsia="Arial" w:hAnsi="Arial"/>
          <w:sz w:val="14"/>
          <w:szCs w:val="14"/>
          <w:color w:val="auto"/>
        </w:rPr>
        <w:t>The Second Amended and Restated Regeneron Pharmaceuticals, Inc. 2014 Long-Term Incentive Plan (referred to in this subsection as the “Plan”) is the only plan currently used by the Company to grant equity awards. The Plan was approved by shareholders and is designed to promote best practices by reinforcing the alignment between equity compensation arrangements for employees and non-employee directors and the interests of shareholders. The provisions that promote such best practices include: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Borders>
              <w:bottom w:val="single" w:sz="8" w:color="215AA8"/>
            </w:tcBorders>
          </w:tcPr>
          <w:p>
            <w:pPr>
              <w:ind w:left="1660"/>
              <w:spacing w:after="0"/>
              <w:rPr>
                <w:sz w:val="20"/>
                <w:szCs w:val="20"/>
                <w:color w:val="auto"/>
              </w:rPr>
            </w:pPr>
            <w:r>
              <w:rPr>
                <w:rFonts w:ascii="Arial" w:cs="Arial" w:eastAsia="Arial" w:hAnsi="Arial"/>
                <w:sz w:val="14"/>
                <w:szCs w:val="14"/>
                <w:b w:val="1"/>
                <w:bCs w:val="1"/>
                <w:color w:val="215AA8"/>
              </w:rPr>
              <w:t>Provision</w:t>
            </w:r>
          </w:p>
        </w:tc>
        <w:tc>
          <w:tcPr>
            <w:tcW w:w="7400" w:type="dxa"/>
            <w:vAlign w:val="bottom"/>
            <w:tcBorders>
              <w:bottom w:val="single" w:sz="8" w:color="215AA8"/>
            </w:tcBorders>
          </w:tcPr>
          <w:p>
            <w:pPr>
              <w:ind w:left="3440"/>
              <w:spacing w:after="0"/>
              <w:rPr>
                <w:sz w:val="20"/>
                <w:szCs w:val="20"/>
                <w:color w:val="auto"/>
              </w:rPr>
            </w:pPr>
            <w:r>
              <w:rPr>
                <w:rFonts w:ascii="Arial" w:cs="Arial" w:eastAsia="Arial" w:hAnsi="Arial"/>
                <w:sz w:val="14"/>
                <w:szCs w:val="14"/>
                <w:b w:val="1"/>
                <w:bCs w:val="1"/>
                <w:color w:val="215AA8"/>
              </w:rPr>
              <w:t>Description</w:t>
            </w:r>
          </w:p>
        </w:tc>
      </w:tr>
      <w:tr>
        <w:trPr>
          <w:trHeight w:val="170"/>
        </w:trPr>
        <w:tc>
          <w:tcPr>
            <w:tcW w:w="3860" w:type="dxa"/>
            <w:vAlign w:val="bottom"/>
          </w:tcPr>
          <w:p>
            <w:pPr>
              <w:ind w:left="40"/>
              <w:spacing w:after="0"/>
              <w:rPr>
                <w:sz w:val="20"/>
                <w:szCs w:val="20"/>
                <w:color w:val="auto"/>
              </w:rPr>
            </w:pPr>
            <w:r>
              <w:rPr>
                <w:rFonts w:ascii="Arial" w:cs="Arial" w:eastAsia="Arial" w:hAnsi="Arial"/>
                <w:sz w:val="14"/>
                <w:szCs w:val="14"/>
                <w:color w:val="auto"/>
              </w:rPr>
              <w:t>No Discounted Stock Options or Stock Appreciation Rights</w:t>
            </w:r>
          </w:p>
        </w:tc>
        <w:tc>
          <w:tcPr>
            <w:tcW w:w="7400" w:type="dxa"/>
            <w:vAlign w:val="bottom"/>
          </w:tcPr>
          <w:p>
            <w:pPr>
              <w:ind w:left="300"/>
              <w:spacing w:after="0"/>
              <w:rPr>
                <w:sz w:val="20"/>
                <w:szCs w:val="20"/>
                <w:color w:val="auto"/>
              </w:rPr>
            </w:pPr>
            <w:r>
              <w:rPr>
                <w:rFonts w:ascii="Arial" w:cs="Arial" w:eastAsia="Arial" w:hAnsi="Arial"/>
                <w:sz w:val="14"/>
                <w:szCs w:val="14"/>
                <w:color w:val="auto"/>
              </w:rPr>
              <w:t>Stock options and stock appreciation rights are not granted with an exercise or base price less than the fair market</w:t>
            </w:r>
          </w:p>
        </w:tc>
      </w:tr>
      <w:tr>
        <w:trPr>
          <w:trHeight w:val="176"/>
        </w:trPr>
        <w:tc>
          <w:tcPr>
            <w:tcW w:w="3860" w:type="dxa"/>
            <w:vAlign w:val="bottom"/>
          </w:tcPr>
          <w:p>
            <w:pPr>
              <w:spacing w:after="0"/>
              <w:rPr>
                <w:sz w:val="15"/>
                <w:szCs w:val="15"/>
                <w:color w:val="auto"/>
              </w:rPr>
            </w:pPr>
          </w:p>
        </w:tc>
        <w:tc>
          <w:tcPr>
            <w:tcW w:w="7400" w:type="dxa"/>
            <w:vAlign w:val="bottom"/>
          </w:tcPr>
          <w:p>
            <w:pPr>
              <w:ind w:left="300"/>
              <w:spacing w:after="0"/>
              <w:rPr>
                <w:sz w:val="20"/>
                <w:szCs w:val="20"/>
                <w:color w:val="auto"/>
              </w:rPr>
            </w:pPr>
            <w:r>
              <w:rPr>
                <w:rFonts w:ascii="Arial" w:cs="Arial" w:eastAsia="Arial" w:hAnsi="Arial"/>
                <w:sz w:val="14"/>
                <w:szCs w:val="14"/>
                <w:color w:val="auto"/>
              </w:rPr>
              <w:t>value of common stock (as defined in the Plan) on the date of grant.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7155180" cy="535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5180" cy="535940"/>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p>
      <w:pPr>
        <w:spacing w:after="0" w:line="38" w:lineRule="exact"/>
        <w:rPr>
          <w:sz w:val="20"/>
          <w:szCs w:val="20"/>
          <w:color w:val="auto"/>
        </w:rPr>
      </w:pPr>
    </w:p>
    <w:p>
      <w:pPr>
        <w:ind w:left="40"/>
        <w:spacing w:after="0" w:line="257" w:lineRule="auto"/>
        <w:rPr>
          <w:sz w:val="20"/>
          <w:szCs w:val="20"/>
          <w:color w:val="auto"/>
        </w:rPr>
      </w:pPr>
      <w:r>
        <w:rPr>
          <w:rFonts w:ascii="Arial" w:cs="Arial" w:eastAsia="Arial" w:hAnsi="Arial"/>
          <w:sz w:val="14"/>
          <w:szCs w:val="14"/>
          <w:color w:val="auto"/>
        </w:rPr>
        <w:t>No Stock Option or Stock Appreciation Right Re-pricing or Exchange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Except for equitable adjustments in connection with specific corporate transactions (such as stock splits, recapitalizations, reorganizations, mergers, consolidations, and similar transactions), the Plan does not permit a decrease in the exercise price or base price of a stock option or stock appreciation right granted under the Plan through settlement, cancellation, forfeiture, exchange, surrender, or otherwise below the fair market value of common stock (as defined in the Plan)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-2647315</wp:posOffset>
            </wp:positionH>
            <wp:positionV relativeFrom="paragraph">
              <wp:posOffset>10160</wp:posOffset>
            </wp:positionV>
            <wp:extent cx="715518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3500" w:space="660"/>
            <w:col w:w="7100"/>
          </w:cols>
          <w:pgMar w:left="320" w:top="215"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160" w:type="dxa"/>
            <w:vAlign w:val="bottom"/>
          </w:tcPr>
          <w:p>
            <w:pPr>
              <w:ind w:left="40"/>
              <w:spacing w:after="0"/>
              <w:rPr>
                <w:sz w:val="20"/>
                <w:szCs w:val="20"/>
                <w:color w:val="auto"/>
              </w:rPr>
            </w:pPr>
            <w:r>
              <w:rPr>
                <w:rFonts w:ascii="Arial" w:cs="Arial" w:eastAsia="Arial" w:hAnsi="Arial"/>
                <w:sz w:val="14"/>
                <w:szCs w:val="14"/>
                <w:color w:val="auto"/>
              </w:rPr>
              <w:t>Recoupment (Clawback) Policy</w:t>
            </w:r>
          </w:p>
        </w:tc>
        <w:tc>
          <w:tcPr>
            <w:tcW w:w="7100" w:type="dxa"/>
            <w:vAlign w:val="bottom"/>
          </w:tcPr>
          <w:p>
            <w:pPr>
              <w:spacing w:after="0"/>
              <w:rPr>
                <w:sz w:val="20"/>
                <w:szCs w:val="20"/>
                <w:color w:val="auto"/>
              </w:rPr>
            </w:pPr>
            <w:r>
              <w:rPr>
                <w:rFonts w:ascii="Arial" w:cs="Arial" w:eastAsia="Arial" w:hAnsi="Arial"/>
                <w:sz w:val="14"/>
                <w:szCs w:val="14"/>
                <w:color w:val="auto"/>
                <w:w w:val="98"/>
              </w:rPr>
              <w:t>Awards granted to our officers and other specified employees under the Plan are subject to recoupment or reduction</w:t>
            </w:r>
          </w:p>
        </w:tc>
      </w:tr>
      <w:tr>
        <w:trPr>
          <w:trHeight w:val="158"/>
        </w:trPr>
        <w:tc>
          <w:tcPr>
            <w:tcW w:w="4160" w:type="dxa"/>
            <w:vAlign w:val="bottom"/>
          </w:tcPr>
          <w:p>
            <w:pPr>
              <w:spacing w:after="0"/>
              <w:rPr>
                <w:sz w:val="13"/>
                <w:szCs w:val="13"/>
                <w:color w:val="auto"/>
              </w:rPr>
            </w:pPr>
          </w:p>
        </w:tc>
        <w:tc>
          <w:tcPr>
            <w:tcW w:w="7100" w:type="dxa"/>
            <w:vAlign w:val="bottom"/>
          </w:tcPr>
          <w:p>
            <w:pPr>
              <w:spacing w:after="0" w:line="157" w:lineRule="exact"/>
              <w:rPr>
                <w:sz w:val="20"/>
                <w:szCs w:val="20"/>
                <w:color w:val="auto"/>
              </w:rPr>
            </w:pPr>
            <w:r>
              <w:rPr>
                <w:rFonts w:ascii="Arial" w:cs="Arial" w:eastAsia="Arial" w:hAnsi="Arial"/>
                <w:sz w:val="14"/>
                <w:szCs w:val="14"/>
                <w:color w:val="auto"/>
                <w:w w:val="98"/>
              </w:rPr>
              <w:t>in accordance with the terms of our policy regarding recoupment or reduction of incentive compensation (sometimes</w:t>
            </w:r>
          </w:p>
        </w:tc>
      </w:tr>
      <w:tr>
        <w:trPr>
          <w:trHeight w:val="158"/>
        </w:trPr>
        <w:tc>
          <w:tcPr>
            <w:tcW w:w="4160" w:type="dxa"/>
            <w:vAlign w:val="bottom"/>
          </w:tcPr>
          <w:p>
            <w:pPr>
              <w:spacing w:after="0"/>
              <w:rPr>
                <w:sz w:val="13"/>
                <w:szCs w:val="13"/>
                <w:color w:val="auto"/>
              </w:rPr>
            </w:pPr>
          </w:p>
        </w:tc>
        <w:tc>
          <w:tcPr>
            <w:tcW w:w="7100" w:type="dxa"/>
            <w:vAlign w:val="bottom"/>
          </w:tcPr>
          <w:p>
            <w:pPr>
              <w:spacing w:after="0" w:line="157" w:lineRule="exact"/>
              <w:rPr>
                <w:sz w:val="20"/>
                <w:szCs w:val="20"/>
                <w:color w:val="auto"/>
              </w:rPr>
            </w:pPr>
            <w:r>
              <w:rPr>
                <w:rFonts w:ascii="Arial" w:cs="Arial" w:eastAsia="Arial" w:hAnsi="Arial"/>
                <w:sz w:val="14"/>
                <w:szCs w:val="14"/>
                <w:color w:val="auto"/>
              </w:rPr>
              <w:t>referred to as our “clawback policy”). This clawback policy was supplemented in 2023 (as required by amended</w:t>
            </w:r>
          </w:p>
        </w:tc>
      </w:tr>
      <w:tr>
        <w:trPr>
          <w:trHeight w:val="158"/>
        </w:trPr>
        <w:tc>
          <w:tcPr>
            <w:tcW w:w="4160" w:type="dxa"/>
            <w:vAlign w:val="bottom"/>
          </w:tcPr>
          <w:p>
            <w:pPr>
              <w:spacing w:after="0"/>
              <w:rPr>
                <w:sz w:val="13"/>
                <w:szCs w:val="13"/>
                <w:color w:val="auto"/>
              </w:rPr>
            </w:pPr>
          </w:p>
        </w:tc>
        <w:tc>
          <w:tcPr>
            <w:tcW w:w="7100" w:type="dxa"/>
            <w:vAlign w:val="bottom"/>
          </w:tcPr>
          <w:p>
            <w:pPr>
              <w:spacing w:after="0" w:line="157" w:lineRule="exact"/>
              <w:rPr>
                <w:sz w:val="20"/>
                <w:szCs w:val="20"/>
                <w:color w:val="auto"/>
              </w:rPr>
            </w:pPr>
            <w:r>
              <w:rPr>
                <w:rFonts w:ascii="Arial" w:cs="Arial" w:eastAsia="Arial" w:hAnsi="Arial"/>
                <w:sz w:val="14"/>
                <w:szCs w:val="14"/>
                <w:color w:val="auto"/>
              </w:rPr>
              <w:t>listing standards of the Nasdaq Stock Market LLC) to provide for recovery of incentive-based compensation of</w:t>
            </w:r>
          </w:p>
        </w:tc>
      </w:tr>
      <w:tr>
        <w:trPr>
          <w:trHeight w:val="183"/>
        </w:trPr>
        <w:tc>
          <w:tcPr>
            <w:tcW w:w="4160" w:type="dxa"/>
            <w:vAlign w:val="bottom"/>
            <w:tcBorders>
              <w:bottom w:val="single" w:sz="8" w:color="949599"/>
            </w:tcBorders>
          </w:tcPr>
          <w:p>
            <w:pPr>
              <w:spacing w:after="0"/>
              <w:rPr>
                <w:sz w:val="15"/>
                <w:szCs w:val="15"/>
                <w:color w:val="auto"/>
              </w:rPr>
            </w:pPr>
          </w:p>
        </w:tc>
        <w:tc>
          <w:tcPr>
            <w:tcW w:w="710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specified officers in the event an accounting restatement renders such compensation erroneously received.</w:t>
            </w:r>
          </w:p>
        </w:tc>
      </w:tr>
      <w:tr>
        <w:trPr>
          <w:trHeight w:val="168"/>
        </w:trPr>
        <w:tc>
          <w:tcPr>
            <w:tcW w:w="4160" w:type="dxa"/>
            <w:vAlign w:val="bottom"/>
            <w:shd w:val="clear" w:color="auto" w:fill="ECECED"/>
          </w:tcPr>
          <w:p>
            <w:pPr>
              <w:ind w:left="40"/>
              <w:spacing w:after="0"/>
              <w:rPr>
                <w:sz w:val="20"/>
                <w:szCs w:val="20"/>
                <w:color w:val="auto"/>
              </w:rPr>
            </w:pPr>
            <w:r>
              <w:rPr>
                <w:rFonts w:ascii="Arial" w:cs="Arial" w:eastAsia="Arial" w:hAnsi="Arial"/>
                <w:sz w:val="14"/>
                <w:szCs w:val="14"/>
                <w:color w:val="auto"/>
              </w:rPr>
              <w:t>Independent Administration</w:t>
            </w:r>
          </w:p>
        </w:tc>
        <w:tc>
          <w:tcPr>
            <w:tcW w:w="7100" w:type="dxa"/>
            <w:vAlign w:val="bottom"/>
            <w:shd w:val="clear" w:color="auto" w:fill="ECECED"/>
          </w:tcPr>
          <w:p>
            <w:pPr>
              <w:spacing w:after="0"/>
              <w:rPr>
                <w:sz w:val="20"/>
                <w:szCs w:val="20"/>
                <w:color w:val="auto"/>
              </w:rPr>
            </w:pPr>
            <w:r>
              <w:rPr>
                <w:rFonts w:ascii="Arial" w:cs="Arial" w:eastAsia="Arial" w:hAnsi="Arial"/>
                <w:sz w:val="14"/>
                <w:szCs w:val="14"/>
                <w:color w:val="auto"/>
              </w:rPr>
              <w:t>The Plan is administered by the Compensation Committee, which is intended to be comprised solely of non-</w:t>
            </w:r>
          </w:p>
        </w:tc>
      </w:tr>
      <w:tr>
        <w:trPr>
          <w:trHeight w:val="158"/>
        </w:trPr>
        <w:tc>
          <w:tcPr>
            <w:tcW w:w="4160" w:type="dxa"/>
            <w:vAlign w:val="bottom"/>
            <w:shd w:val="clear" w:color="auto" w:fill="ECECED"/>
          </w:tcPr>
          <w:p>
            <w:pPr>
              <w:spacing w:after="0"/>
              <w:rPr>
                <w:sz w:val="13"/>
                <w:szCs w:val="13"/>
                <w:color w:val="auto"/>
              </w:rPr>
            </w:pPr>
          </w:p>
        </w:tc>
        <w:tc>
          <w:tcPr>
            <w:tcW w:w="7100" w:type="dxa"/>
            <w:vAlign w:val="bottom"/>
            <w:shd w:val="clear" w:color="auto" w:fill="ECECED"/>
          </w:tcPr>
          <w:p>
            <w:pPr>
              <w:spacing w:after="0" w:line="157" w:lineRule="exact"/>
              <w:rPr>
                <w:sz w:val="20"/>
                <w:szCs w:val="20"/>
                <w:color w:val="auto"/>
              </w:rPr>
            </w:pPr>
            <w:r>
              <w:rPr>
                <w:rFonts w:ascii="Arial" w:cs="Arial" w:eastAsia="Arial" w:hAnsi="Arial"/>
                <w:sz w:val="14"/>
                <w:szCs w:val="14"/>
                <w:color w:val="auto"/>
                <w:w w:val="98"/>
              </w:rPr>
              <w:t>employee directors each of whom meets the additional independence criteria applicable to compensation committee</w:t>
            </w:r>
          </w:p>
        </w:tc>
      </w:tr>
      <w:tr>
        <w:trPr>
          <w:trHeight w:val="158"/>
        </w:trPr>
        <w:tc>
          <w:tcPr>
            <w:tcW w:w="4160" w:type="dxa"/>
            <w:vAlign w:val="bottom"/>
            <w:shd w:val="clear" w:color="auto" w:fill="ECECED"/>
          </w:tcPr>
          <w:p>
            <w:pPr>
              <w:spacing w:after="0"/>
              <w:rPr>
                <w:sz w:val="13"/>
                <w:szCs w:val="13"/>
                <w:color w:val="auto"/>
              </w:rPr>
            </w:pPr>
          </w:p>
        </w:tc>
        <w:tc>
          <w:tcPr>
            <w:tcW w:w="7100" w:type="dxa"/>
            <w:vAlign w:val="bottom"/>
            <w:shd w:val="clear" w:color="auto" w:fill="ECECED"/>
          </w:tcPr>
          <w:p>
            <w:pPr>
              <w:spacing w:after="0" w:line="157" w:lineRule="exact"/>
              <w:rPr>
                <w:sz w:val="20"/>
                <w:szCs w:val="20"/>
                <w:color w:val="auto"/>
              </w:rPr>
            </w:pPr>
            <w:r>
              <w:rPr>
                <w:rFonts w:ascii="Arial" w:cs="Arial" w:eastAsia="Arial" w:hAnsi="Arial"/>
                <w:sz w:val="14"/>
                <w:szCs w:val="14"/>
                <w:color w:val="auto"/>
              </w:rPr>
              <w:t>members under the listing standards of the Nasdaq Stock Market LLC and qualifies as a “Non-Employee Director”</w:t>
            </w:r>
          </w:p>
        </w:tc>
      </w:tr>
      <w:tr>
        <w:trPr>
          <w:trHeight w:val="183"/>
        </w:trPr>
        <w:tc>
          <w:tcPr>
            <w:tcW w:w="4160" w:type="dxa"/>
            <w:vAlign w:val="bottom"/>
            <w:tcBorders>
              <w:bottom w:val="single" w:sz="8" w:color="949599"/>
            </w:tcBorders>
            <w:shd w:val="clear" w:color="auto" w:fill="ECECED"/>
          </w:tcPr>
          <w:p>
            <w:pPr>
              <w:spacing w:after="0"/>
              <w:rPr>
                <w:sz w:val="15"/>
                <w:szCs w:val="15"/>
                <w:color w:val="auto"/>
              </w:rPr>
            </w:pPr>
          </w:p>
        </w:tc>
        <w:tc>
          <w:tcPr>
            <w:tcW w:w="7100" w:type="dxa"/>
            <w:vAlign w:val="bottom"/>
            <w:tcBorders>
              <w:bottom w:val="single" w:sz="8" w:color="949599"/>
            </w:tcBorders>
            <w:shd w:val="clear" w:color="auto" w:fill="ECECED"/>
          </w:tcPr>
          <w:p>
            <w:pPr>
              <w:spacing w:after="0"/>
              <w:rPr>
                <w:sz w:val="20"/>
                <w:szCs w:val="20"/>
                <w:color w:val="auto"/>
              </w:rPr>
            </w:pPr>
            <w:r>
              <w:rPr>
                <w:rFonts w:ascii="Arial" w:cs="Arial" w:eastAsia="Arial" w:hAnsi="Arial"/>
                <w:sz w:val="14"/>
                <w:szCs w:val="14"/>
                <w:color w:val="auto"/>
              </w:rPr>
              <w:t>pursuant to Rule 16b-3 under the Exchange Act.</w:t>
            </w:r>
          </w:p>
        </w:tc>
      </w:tr>
      <w:tr>
        <w:trPr>
          <w:trHeight w:val="168"/>
        </w:trPr>
        <w:tc>
          <w:tcPr>
            <w:tcW w:w="4160" w:type="dxa"/>
            <w:vAlign w:val="bottom"/>
          </w:tcPr>
          <w:p>
            <w:pPr>
              <w:ind w:left="40"/>
              <w:spacing w:after="0"/>
              <w:rPr>
                <w:sz w:val="20"/>
                <w:szCs w:val="20"/>
                <w:color w:val="auto"/>
              </w:rPr>
            </w:pPr>
            <w:r>
              <w:rPr>
                <w:rFonts w:ascii="Arial" w:cs="Arial" w:eastAsia="Arial" w:hAnsi="Arial"/>
                <w:sz w:val="14"/>
                <w:szCs w:val="14"/>
                <w:color w:val="auto"/>
              </w:rPr>
              <w:t>No “Evergreen” Provision</w:t>
            </w:r>
          </w:p>
        </w:tc>
        <w:tc>
          <w:tcPr>
            <w:tcW w:w="7100" w:type="dxa"/>
            <w:vAlign w:val="bottom"/>
          </w:tcPr>
          <w:p>
            <w:pPr>
              <w:spacing w:after="0"/>
              <w:rPr>
                <w:sz w:val="20"/>
                <w:szCs w:val="20"/>
                <w:color w:val="auto"/>
              </w:rPr>
            </w:pPr>
            <w:r>
              <w:rPr>
                <w:rFonts w:ascii="Arial" w:cs="Arial" w:eastAsia="Arial" w:hAnsi="Arial"/>
                <w:sz w:val="14"/>
                <w:szCs w:val="14"/>
                <w:color w:val="auto"/>
                <w:w w:val="99"/>
              </w:rPr>
              <w:t>The Plan does not contain an “evergreen” feature pursuant to which the shares authorized for issuance thereunder</w:t>
            </w:r>
          </w:p>
        </w:tc>
      </w:tr>
      <w:tr>
        <w:trPr>
          <w:trHeight w:val="183"/>
        </w:trPr>
        <w:tc>
          <w:tcPr>
            <w:tcW w:w="4160" w:type="dxa"/>
            <w:vAlign w:val="bottom"/>
            <w:tcBorders>
              <w:bottom w:val="single" w:sz="8" w:color="949599"/>
            </w:tcBorders>
          </w:tcPr>
          <w:p>
            <w:pPr>
              <w:spacing w:after="0"/>
              <w:rPr>
                <w:sz w:val="15"/>
                <w:szCs w:val="15"/>
                <w:color w:val="auto"/>
              </w:rPr>
            </w:pPr>
          </w:p>
        </w:tc>
        <w:tc>
          <w:tcPr>
            <w:tcW w:w="710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can be automatically replenished.</w:t>
            </w:r>
          </w:p>
        </w:tc>
      </w:tr>
      <w:tr>
        <w:trPr>
          <w:trHeight w:val="204"/>
        </w:trPr>
        <w:tc>
          <w:tcPr>
            <w:tcW w:w="4160" w:type="dxa"/>
            <w:vAlign w:val="bottom"/>
            <w:tcBorders>
              <w:bottom w:val="single" w:sz="8" w:color="215AA8"/>
            </w:tcBorders>
            <w:shd w:val="clear" w:color="auto" w:fill="ECECED"/>
          </w:tcPr>
          <w:p>
            <w:pPr>
              <w:ind w:left="40"/>
              <w:spacing w:after="0"/>
              <w:rPr>
                <w:sz w:val="20"/>
                <w:szCs w:val="20"/>
                <w:color w:val="auto"/>
              </w:rPr>
            </w:pPr>
            <w:r>
              <w:rPr>
                <w:rFonts w:ascii="Arial" w:cs="Arial" w:eastAsia="Arial" w:hAnsi="Arial"/>
                <w:sz w:val="14"/>
                <w:szCs w:val="14"/>
                <w:color w:val="auto"/>
              </w:rPr>
              <w:t>No Tax Gross-ups</w:t>
            </w:r>
          </w:p>
        </w:tc>
        <w:tc>
          <w:tcPr>
            <w:tcW w:w="7100" w:type="dxa"/>
            <w:vAlign w:val="bottom"/>
            <w:tcBorders>
              <w:bottom w:val="single" w:sz="8" w:color="215AA8"/>
            </w:tcBorders>
            <w:shd w:val="clear" w:color="auto" w:fill="ECECED"/>
          </w:tcPr>
          <w:p>
            <w:pPr>
              <w:spacing w:after="0"/>
              <w:rPr>
                <w:sz w:val="20"/>
                <w:szCs w:val="20"/>
                <w:color w:val="auto"/>
              </w:rPr>
            </w:pPr>
            <w:r>
              <w:rPr>
                <w:rFonts w:ascii="Arial" w:cs="Arial" w:eastAsia="Arial" w:hAnsi="Arial"/>
                <w:sz w:val="14"/>
                <w:szCs w:val="14"/>
                <w:color w:val="auto"/>
              </w:rPr>
              <w:t>The Plan does not provide for any tax gross-ups.</w:t>
            </w:r>
          </w:p>
        </w:tc>
      </w:tr>
      <w:tr>
        <w:trPr>
          <w:trHeight w:val="331"/>
        </w:trPr>
        <w:tc>
          <w:tcPr>
            <w:tcW w:w="4160" w:type="dxa"/>
            <w:vAlign w:val="bottom"/>
          </w:tcPr>
          <w:p>
            <w:pPr>
              <w:spacing w:after="0"/>
              <w:rPr>
                <w:sz w:val="20"/>
                <w:szCs w:val="20"/>
                <w:color w:val="auto"/>
              </w:rPr>
            </w:pPr>
            <w:r>
              <w:rPr>
                <w:rFonts w:ascii="Arial" w:cs="Arial" w:eastAsia="Arial" w:hAnsi="Arial"/>
                <w:sz w:val="14"/>
                <w:szCs w:val="14"/>
                <w:b w:val="1"/>
                <w:bCs w:val="1"/>
                <w:color w:val="215AA8"/>
                <w:w w:val="95"/>
              </w:rPr>
              <w:t>2024 Proxy Statement and Notice of Annual Shareholder Meeting</w:t>
            </w:r>
          </w:p>
        </w:tc>
        <w:tc>
          <w:tcPr>
            <w:tcW w:w="7100" w:type="dxa"/>
            <w:vAlign w:val="bottom"/>
          </w:tcPr>
          <w:p>
            <w:pPr>
              <w:ind w:left="6760"/>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100</w:t>
            </w:r>
          </w:p>
        </w:tc>
      </w:tr>
      <w:tr>
        <w:trPr>
          <w:trHeight w:val="211"/>
        </w:trPr>
        <w:tc>
          <w:tcPr>
            <w:tcW w:w="4160" w:type="dxa"/>
            <w:vAlign w:val="bottom"/>
            <w:tcBorders>
              <w:bottom w:val="single" w:sz="8" w:color="C0C0C0"/>
            </w:tcBorders>
          </w:tcPr>
          <w:p>
            <w:pPr>
              <w:spacing w:after="0"/>
              <w:rPr>
                <w:sz w:val="18"/>
                <w:szCs w:val="18"/>
                <w:color w:val="auto"/>
              </w:rPr>
            </w:pPr>
          </w:p>
        </w:tc>
        <w:tc>
          <w:tcPr>
            <w:tcW w:w="710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-242570</wp:posOffset>
            </wp:positionV>
            <wp:extent cx="629285" cy="717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type w:val="continuous"/>
        </w:sectPr>
      </w:pPr>
    </w:p>
    <w:bookmarkStart w:id="111" w:name="page112"/>
    <w:bookmarkEnd w:id="111"/>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Key Equity Metrics</w:t>
      </w:r>
    </w:p>
    <w:p>
      <w:pPr>
        <w:spacing w:after="0" w:line="166" w:lineRule="exact"/>
        <w:rPr>
          <w:sz w:val="20"/>
          <w:szCs w:val="20"/>
          <w:color w:val="auto"/>
        </w:rPr>
      </w:pPr>
    </w:p>
    <w:p>
      <w:pPr>
        <w:ind w:left="10" w:right="80"/>
        <w:spacing w:after="0" w:line="242" w:lineRule="auto"/>
        <w:rPr>
          <w:sz w:val="20"/>
          <w:szCs w:val="20"/>
          <w:color w:val="auto"/>
        </w:rPr>
      </w:pPr>
      <w:r>
        <w:rPr>
          <w:rFonts w:ascii="Arial" w:cs="Arial" w:eastAsia="Arial" w:hAnsi="Arial"/>
          <w:sz w:val="14"/>
          <w:szCs w:val="14"/>
          <w:color w:val="auto"/>
        </w:rPr>
        <w:t>The following table summarizes some key metrics relating to the equity component of our compensation program. When evaluating the information below, it is important to keep in mind the 47% increase in the number of our employees over the 2021 – 2023 period and our all-employee equity award strategy encompassing initial equity grants to all new hires as well as a comprehensive annual equity program covering all levels of employees. See “Compensation Discussion and Analysis – Compensation Program Overview — 2023 Compensation Highlights” for more information on our burn rate (which in 2023 was at the lowest level in more than a decade) and headcount growth.</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4800" w:type="dxa"/>
            <w:vAlign w:val="bottom"/>
            <w:tcBorders>
              <w:bottom w:val="single" w:sz="8" w:color="215AA8"/>
            </w:tcBorders>
          </w:tcPr>
          <w:p>
            <w:pPr>
              <w:spacing w:after="0"/>
              <w:rPr>
                <w:sz w:val="14"/>
                <w:szCs w:val="14"/>
                <w:color w:val="auto"/>
              </w:rPr>
            </w:pPr>
          </w:p>
        </w:tc>
        <w:tc>
          <w:tcPr>
            <w:tcW w:w="4200" w:type="dxa"/>
            <w:vAlign w:val="bottom"/>
            <w:tcBorders>
              <w:bottom w:val="single" w:sz="8" w:color="215AA8"/>
            </w:tcBorders>
          </w:tcPr>
          <w:p>
            <w:pPr>
              <w:jc w:val="right"/>
              <w:ind w:right="372"/>
              <w:spacing w:after="0"/>
              <w:rPr>
                <w:sz w:val="20"/>
                <w:szCs w:val="20"/>
                <w:color w:val="auto"/>
              </w:rPr>
            </w:pPr>
            <w:r>
              <w:rPr>
                <w:rFonts w:ascii="Arial" w:cs="Arial" w:eastAsia="Arial" w:hAnsi="Arial"/>
                <w:sz w:val="14"/>
                <w:szCs w:val="14"/>
                <w:color w:val="215AA8"/>
              </w:rPr>
              <w:t>2023</w:t>
            </w:r>
          </w:p>
        </w:tc>
        <w:tc>
          <w:tcPr>
            <w:tcW w:w="1340" w:type="dxa"/>
            <w:vAlign w:val="bottom"/>
            <w:tcBorders>
              <w:bottom w:val="single" w:sz="8" w:color="215AA8"/>
            </w:tcBorders>
          </w:tcPr>
          <w:p>
            <w:pPr>
              <w:jc w:val="right"/>
              <w:ind w:right="372"/>
              <w:spacing w:after="0"/>
              <w:rPr>
                <w:sz w:val="20"/>
                <w:szCs w:val="20"/>
                <w:color w:val="auto"/>
              </w:rPr>
            </w:pPr>
            <w:r>
              <w:rPr>
                <w:rFonts w:ascii="Arial" w:cs="Arial" w:eastAsia="Arial" w:hAnsi="Arial"/>
                <w:sz w:val="14"/>
                <w:szCs w:val="14"/>
                <w:color w:val="215AA8"/>
              </w:rPr>
              <w:t>2022</w:t>
            </w:r>
          </w:p>
        </w:tc>
        <w:tc>
          <w:tcPr>
            <w:tcW w:w="92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215AA8"/>
              </w:rPr>
              <w:t>2021</w:t>
            </w:r>
          </w:p>
        </w:tc>
      </w:tr>
      <w:tr>
        <w:trPr>
          <w:trHeight w:val="191"/>
        </w:trPr>
        <w:tc>
          <w:tcPr>
            <w:tcW w:w="4800" w:type="dxa"/>
            <w:vAlign w:val="bottom"/>
            <w:tcBorders>
              <w:bottom w:val="single" w:sz="8" w:color="949599"/>
            </w:tcBorders>
          </w:tcPr>
          <w:p>
            <w:pPr>
              <w:ind w:left="40"/>
              <w:spacing w:after="0" w:line="191" w:lineRule="exact"/>
              <w:rPr>
                <w:sz w:val="20"/>
                <w:szCs w:val="20"/>
                <w:color w:val="auto"/>
              </w:rPr>
            </w:pPr>
            <w:r>
              <w:rPr>
                <w:rFonts w:ascii="Arial" w:cs="Arial" w:eastAsia="Arial" w:hAnsi="Arial"/>
                <w:sz w:val="14"/>
                <w:szCs w:val="14"/>
                <w:b w:val="1"/>
                <w:bCs w:val="1"/>
                <w:color w:val="auto"/>
              </w:rPr>
              <w:t>Unadjusted Burn Rate</w:t>
            </w:r>
            <w:r>
              <w:rPr>
                <w:rFonts w:ascii="Arial" w:cs="Arial" w:eastAsia="Arial" w:hAnsi="Arial"/>
                <w:sz w:val="22"/>
                <w:szCs w:val="22"/>
                <w:b w:val="1"/>
                <w:bCs w:val="1"/>
                <w:color w:val="auto"/>
                <w:vertAlign w:val="superscript"/>
              </w:rPr>
              <w:t>1</w:t>
            </w:r>
          </w:p>
        </w:tc>
        <w:tc>
          <w:tcPr>
            <w:tcW w:w="4200" w:type="dxa"/>
            <w:vAlign w:val="bottom"/>
            <w:tcBorders>
              <w:bottom w:val="single" w:sz="8" w:color="949599"/>
            </w:tcBorders>
          </w:tcPr>
          <w:p>
            <w:pPr>
              <w:jc w:val="right"/>
              <w:ind w:right="372"/>
              <w:spacing w:after="0"/>
              <w:rPr>
                <w:sz w:val="20"/>
                <w:szCs w:val="20"/>
                <w:color w:val="auto"/>
              </w:rPr>
            </w:pPr>
            <w:r>
              <w:rPr>
                <w:rFonts w:ascii="Arial" w:cs="Arial" w:eastAsia="Arial" w:hAnsi="Arial"/>
                <w:sz w:val="14"/>
                <w:szCs w:val="14"/>
                <w:color w:val="auto"/>
              </w:rPr>
              <w:t>2.69%</w:t>
            </w:r>
          </w:p>
        </w:tc>
        <w:tc>
          <w:tcPr>
            <w:tcW w:w="1340" w:type="dxa"/>
            <w:vAlign w:val="bottom"/>
            <w:tcBorders>
              <w:bottom w:val="single" w:sz="8" w:color="949599"/>
            </w:tcBorders>
          </w:tcPr>
          <w:p>
            <w:pPr>
              <w:jc w:val="right"/>
              <w:ind w:right="372"/>
              <w:spacing w:after="0"/>
              <w:rPr>
                <w:sz w:val="20"/>
                <w:szCs w:val="20"/>
                <w:color w:val="auto"/>
              </w:rPr>
            </w:pPr>
            <w:r>
              <w:rPr>
                <w:rFonts w:ascii="Arial" w:cs="Arial" w:eastAsia="Arial" w:hAnsi="Arial"/>
                <w:sz w:val="14"/>
                <w:szCs w:val="14"/>
                <w:color w:val="auto"/>
              </w:rPr>
              <w:t>2.71%</w:t>
            </w:r>
          </w:p>
        </w:tc>
        <w:tc>
          <w:tcPr>
            <w:tcW w:w="92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3.14%</w:t>
            </w:r>
          </w:p>
        </w:tc>
      </w:tr>
      <w:tr>
        <w:trPr>
          <w:trHeight w:val="183"/>
        </w:trPr>
        <w:tc>
          <w:tcPr>
            <w:tcW w:w="4800" w:type="dxa"/>
            <w:vAlign w:val="bottom"/>
            <w:tcBorders>
              <w:bottom w:val="single" w:sz="8" w:color="949599"/>
            </w:tcBorders>
            <w:shd w:val="clear" w:color="auto" w:fill="ECECED"/>
          </w:tcPr>
          <w:p>
            <w:pPr>
              <w:ind w:left="40"/>
              <w:spacing w:after="0" w:line="183" w:lineRule="exact"/>
              <w:rPr>
                <w:sz w:val="20"/>
                <w:szCs w:val="20"/>
                <w:color w:val="auto"/>
              </w:rPr>
            </w:pPr>
            <w:r>
              <w:rPr>
                <w:rFonts w:ascii="Arial" w:cs="Arial" w:eastAsia="Arial" w:hAnsi="Arial"/>
                <w:sz w:val="13"/>
                <w:szCs w:val="13"/>
                <w:b w:val="1"/>
                <w:bCs w:val="1"/>
                <w:color w:val="auto"/>
              </w:rPr>
              <w:t>Adjusted Burn Rate</w:t>
            </w:r>
            <w:r>
              <w:rPr>
                <w:rFonts w:ascii="Arial" w:cs="Arial" w:eastAsia="Arial" w:hAnsi="Arial"/>
                <w:sz w:val="21"/>
                <w:szCs w:val="21"/>
                <w:b w:val="1"/>
                <w:bCs w:val="1"/>
                <w:color w:val="auto"/>
                <w:vertAlign w:val="superscript"/>
              </w:rPr>
              <w:t>1</w:t>
            </w:r>
          </w:p>
        </w:tc>
        <w:tc>
          <w:tcPr>
            <w:tcW w:w="4200" w:type="dxa"/>
            <w:vAlign w:val="bottom"/>
            <w:tcBorders>
              <w:bottom w:val="single" w:sz="8" w:color="949599"/>
            </w:tcBorders>
            <w:shd w:val="clear" w:color="auto" w:fill="ECECED"/>
          </w:tcPr>
          <w:p>
            <w:pPr>
              <w:jc w:val="right"/>
              <w:ind w:right="372"/>
              <w:spacing w:after="0"/>
              <w:rPr>
                <w:sz w:val="20"/>
                <w:szCs w:val="20"/>
                <w:color w:val="auto"/>
              </w:rPr>
            </w:pPr>
            <w:r>
              <w:rPr>
                <w:rFonts w:ascii="Arial" w:cs="Arial" w:eastAsia="Arial" w:hAnsi="Arial"/>
                <w:sz w:val="14"/>
                <w:szCs w:val="14"/>
                <w:color w:val="auto"/>
              </w:rPr>
              <w:t>4.45%</w:t>
            </w:r>
          </w:p>
        </w:tc>
        <w:tc>
          <w:tcPr>
            <w:tcW w:w="1340" w:type="dxa"/>
            <w:vAlign w:val="bottom"/>
            <w:tcBorders>
              <w:bottom w:val="single" w:sz="8" w:color="949599"/>
            </w:tcBorders>
            <w:shd w:val="clear" w:color="auto" w:fill="ECECED"/>
          </w:tcPr>
          <w:p>
            <w:pPr>
              <w:jc w:val="right"/>
              <w:ind w:right="372"/>
              <w:spacing w:after="0"/>
              <w:rPr>
                <w:sz w:val="20"/>
                <w:szCs w:val="20"/>
                <w:color w:val="auto"/>
              </w:rPr>
            </w:pPr>
            <w:r>
              <w:rPr>
                <w:rFonts w:ascii="Arial" w:cs="Arial" w:eastAsia="Arial" w:hAnsi="Arial"/>
                <w:sz w:val="14"/>
                <w:szCs w:val="14"/>
                <w:color w:val="auto"/>
              </w:rPr>
              <w:t>4.00%</w:t>
            </w:r>
          </w:p>
        </w:tc>
        <w:tc>
          <w:tcPr>
            <w:tcW w:w="92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4.53%</w:t>
            </w:r>
          </w:p>
        </w:tc>
      </w:tr>
      <w:tr>
        <w:trPr>
          <w:trHeight w:val="183"/>
        </w:trPr>
        <w:tc>
          <w:tcPr>
            <w:tcW w:w="4800" w:type="dxa"/>
            <w:vAlign w:val="bottom"/>
            <w:tcBorders>
              <w:bottom w:val="single" w:sz="8" w:color="949599"/>
            </w:tcBorders>
          </w:tcPr>
          <w:p>
            <w:pPr>
              <w:ind w:left="40"/>
              <w:spacing w:after="0" w:line="183" w:lineRule="exact"/>
              <w:rPr>
                <w:sz w:val="20"/>
                <w:szCs w:val="20"/>
                <w:color w:val="auto"/>
              </w:rPr>
            </w:pPr>
            <w:r>
              <w:rPr>
                <w:rFonts w:ascii="Arial" w:cs="Arial" w:eastAsia="Arial" w:hAnsi="Arial"/>
                <w:sz w:val="13"/>
                <w:szCs w:val="13"/>
                <w:b w:val="1"/>
                <w:bCs w:val="1"/>
                <w:color w:val="auto"/>
              </w:rPr>
              <w:t>Overhang</w:t>
            </w:r>
            <w:r>
              <w:rPr>
                <w:rFonts w:ascii="Arial" w:cs="Arial" w:eastAsia="Arial" w:hAnsi="Arial"/>
                <w:sz w:val="21"/>
                <w:szCs w:val="21"/>
                <w:b w:val="1"/>
                <w:bCs w:val="1"/>
                <w:color w:val="auto"/>
                <w:vertAlign w:val="superscript"/>
              </w:rPr>
              <w:t>2</w:t>
            </w:r>
          </w:p>
        </w:tc>
        <w:tc>
          <w:tcPr>
            <w:tcW w:w="4200" w:type="dxa"/>
            <w:vAlign w:val="bottom"/>
            <w:tcBorders>
              <w:bottom w:val="single" w:sz="8" w:color="949599"/>
            </w:tcBorders>
          </w:tcPr>
          <w:p>
            <w:pPr>
              <w:jc w:val="right"/>
              <w:ind w:right="372"/>
              <w:spacing w:after="0"/>
              <w:rPr>
                <w:sz w:val="20"/>
                <w:szCs w:val="20"/>
                <w:color w:val="auto"/>
              </w:rPr>
            </w:pPr>
            <w:r>
              <w:rPr>
                <w:rFonts w:ascii="Arial" w:cs="Arial" w:eastAsia="Arial" w:hAnsi="Arial"/>
                <w:sz w:val="14"/>
                <w:szCs w:val="14"/>
                <w:color w:val="auto"/>
              </w:rPr>
              <w:t>23.38%</w:t>
            </w:r>
          </w:p>
        </w:tc>
        <w:tc>
          <w:tcPr>
            <w:tcW w:w="1340" w:type="dxa"/>
            <w:vAlign w:val="bottom"/>
            <w:tcBorders>
              <w:bottom w:val="single" w:sz="8" w:color="949599"/>
            </w:tcBorders>
          </w:tcPr>
          <w:p>
            <w:pPr>
              <w:jc w:val="right"/>
              <w:ind w:right="372"/>
              <w:spacing w:after="0"/>
              <w:rPr>
                <w:sz w:val="20"/>
                <w:szCs w:val="20"/>
                <w:color w:val="auto"/>
              </w:rPr>
            </w:pPr>
            <w:r>
              <w:rPr>
                <w:rFonts w:ascii="Arial" w:cs="Arial" w:eastAsia="Arial" w:hAnsi="Arial"/>
                <w:sz w:val="14"/>
                <w:szCs w:val="14"/>
                <w:color w:val="auto"/>
              </w:rPr>
              <w:t>25.01%</w:t>
            </w:r>
          </w:p>
        </w:tc>
        <w:tc>
          <w:tcPr>
            <w:tcW w:w="92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26.92%</w:t>
            </w:r>
          </w:p>
        </w:tc>
      </w:tr>
      <w:tr>
        <w:trPr>
          <w:trHeight w:val="185"/>
        </w:trPr>
        <w:tc>
          <w:tcPr>
            <w:tcW w:w="4800" w:type="dxa"/>
            <w:vAlign w:val="bottom"/>
            <w:tcBorders>
              <w:bottom w:val="single" w:sz="8" w:color="215AA8"/>
            </w:tcBorders>
            <w:shd w:val="clear" w:color="auto" w:fill="ECECED"/>
          </w:tcPr>
          <w:p>
            <w:pPr>
              <w:ind w:left="40"/>
              <w:spacing w:after="0" w:line="183" w:lineRule="exact"/>
              <w:rPr>
                <w:sz w:val="20"/>
                <w:szCs w:val="20"/>
                <w:color w:val="auto"/>
              </w:rPr>
            </w:pPr>
            <w:r>
              <w:rPr>
                <w:rFonts w:ascii="Arial" w:cs="Arial" w:eastAsia="Arial" w:hAnsi="Arial"/>
                <w:sz w:val="13"/>
                <w:szCs w:val="13"/>
                <w:b w:val="1"/>
                <w:bCs w:val="1"/>
                <w:color w:val="auto"/>
              </w:rPr>
              <w:t>Dilution</w:t>
            </w:r>
            <w:r>
              <w:rPr>
                <w:rFonts w:ascii="Arial" w:cs="Arial" w:eastAsia="Arial" w:hAnsi="Arial"/>
                <w:sz w:val="21"/>
                <w:szCs w:val="21"/>
                <w:b w:val="1"/>
                <w:bCs w:val="1"/>
                <w:color w:val="auto"/>
                <w:vertAlign w:val="superscript"/>
              </w:rPr>
              <w:t>3</w:t>
            </w:r>
          </w:p>
        </w:tc>
        <w:tc>
          <w:tcPr>
            <w:tcW w:w="4200" w:type="dxa"/>
            <w:vAlign w:val="bottom"/>
            <w:tcBorders>
              <w:bottom w:val="single" w:sz="8" w:color="215AA8"/>
            </w:tcBorders>
            <w:shd w:val="clear" w:color="auto" w:fill="ECECED"/>
          </w:tcPr>
          <w:p>
            <w:pPr>
              <w:jc w:val="right"/>
              <w:ind w:right="372"/>
              <w:spacing w:after="0"/>
              <w:rPr>
                <w:sz w:val="20"/>
                <w:szCs w:val="20"/>
                <w:color w:val="auto"/>
              </w:rPr>
            </w:pPr>
            <w:r>
              <w:rPr>
                <w:rFonts w:ascii="Arial" w:cs="Arial" w:eastAsia="Arial" w:hAnsi="Arial"/>
                <w:sz w:val="14"/>
                <w:szCs w:val="14"/>
                <w:color w:val="auto"/>
              </w:rPr>
              <w:t>14.45%</w:t>
            </w:r>
          </w:p>
        </w:tc>
        <w:tc>
          <w:tcPr>
            <w:tcW w:w="1340" w:type="dxa"/>
            <w:vAlign w:val="bottom"/>
            <w:tcBorders>
              <w:bottom w:val="single" w:sz="8" w:color="215AA8"/>
            </w:tcBorders>
            <w:shd w:val="clear" w:color="auto" w:fill="ECECED"/>
          </w:tcPr>
          <w:p>
            <w:pPr>
              <w:jc w:val="right"/>
              <w:ind w:right="372"/>
              <w:spacing w:after="0"/>
              <w:rPr>
                <w:sz w:val="20"/>
                <w:szCs w:val="20"/>
                <w:color w:val="auto"/>
              </w:rPr>
            </w:pPr>
            <w:r>
              <w:rPr>
                <w:rFonts w:ascii="Arial" w:cs="Arial" w:eastAsia="Arial" w:hAnsi="Arial"/>
                <w:sz w:val="14"/>
                <w:szCs w:val="14"/>
                <w:color w:val="auto"/>
              </w:rPr>
              <w:t>15.63%</w:t>
            </w:r>
          </w:p>
        </w:tc>
        <w:tc>
          <w:tcPr>
            <w:tcW w:w="920" w:type="dxa"/>
            <w:vAlign w:val="bottom"/>
            <w:tcBorders>
              <w:bottom w:val="single" w:sz="8" w:color="215AA8"/>
            </w:tcBorders>
            <w:shd w:val="clear" w:color="auto" w:fill="ECECED"/>
          </w:tcPr>
          <w:p>
            <w:pPr>
              <w:jc w:val="right"/>
              <w:spacing w:after="0"/>
              <w:rPr>
                <w:sz w:val="20"/>
                <w:szCs w:val="20"/>
                <w:color w:val="auto"/>
              </w:rPr>
            </w:pPr>
            <w:r>
              <w:rPr>
                <w:rFonts w:ascii="Arial" w:cs="Arial" w:eastAsia="Arial" w:hAnsi="Arial"/>
                <w:sz w:val="14"/>
                <w:szCs w:val="14"/>
                <w:color w:val="auto"/>
              </w:rPr>
              <w:t>16.71%</w:t>
            </w:r>
          </w:p>
        </w:tc>
      </w:tr>
    </w:tbl>
    <w:p>
      <w:pPr>
        <w:spacing w:after="0" w:line="37" w:lineRule="exact"/>
        <w:rPr>
          <w:sz w:val="20"/>
          <w:szCs w:val="20"/>
          <w:color w:val="auto"/>
        </w:rPr>
      </w:pPr>
    </w:p>
    <w:p>
      <w:pPr>
        <w:ind w:left="270" w:right="400" w:hanging="270"/>
        <w:spacing w:after="0" w:line="191" w:lineRule="auto"/>
        <w:tabs>
          <w:tab w:leader="none" w:pos="270" w:val="left"/>
        </w:tabs>
        <w:numPr>
          <w:ilvl w:val="0"/>
          <w:numId w:val="187"/>
        </w:numPr>
        <w:rPr>
          <w:rFonts w:ascii="Arial" w:cs="Arial" w:eastAsia="Arial" w:hAnsi="Arial"/>
          <w:sz w:val="20"/>
          <w:szCs w:val="20"/>
          <w:color w:val="auto"/>
          <w:vertAlign w:val="superscript"/>
        </w:rPr>
      </w:pPr>
      <w:r>
        <w:rPr>
          <w:rFonts w:ascii="Arial" w:cs="Arial" w:eastAsia="Arial" w:hAnsi="Arial"/>
          <w:sz w:val="12"/>
          <w:szCs w:val="12"/>
          <w:color w:val="auto"/>
        </w:rPr>
        <w:t>Calculated by dividing (a) the sum of the number of shares subject to (i) stock options, RSAs, and RSUs granted during the year and (ii) PSUs earned during the year (if any), by (b) the basic weighted-average number of shares of common stock and Class A stock outstanding during the year. For “Adjusted Burn Rate,” a multiplier of 2.5 is applied to RSAs, RSUs, and PSUs.</w:t>
      </w:r>
    </w:p>
    <w:p>
      <w:pPr>
        <w:spacing w:after="0" w:line="22" w:lineRule="exact"/>
        <w:rPr>
          <w:sz w:val="20"/>
          <w:szCs w:val="20"/>
          <w:color w:val="auto"/>
        </w:rPr>
      </w:pPr>
    </w:p>
    <w:p>
      <w:pPr>
        <w:ind w:left="270" w:right="40" w:hanging="270"/>
        <w:spacing w:after="0" w:line="210" w:lineRule="auto"/>
        <w:tabs>
          <w:tab w:leader="none" w:pos="270" w:val="left"/>
        </w:tabs>
        <w:numPr>
          <w:ilvl w:val="0"/>
          <w:numId w:val="188"/>
        </w:numPr>
        <w:rPr>
          <w:rFonts w:ascii="Arial" w:cs="Arial" w:eastAsia="Arial" w:hAnsi="Arial"/>
          <w:sz w:val="20"/>
          <w:szCs w:val="20"/>
          <w:color w:val="auto"/>
          <w:vertAlign w:val="superscript"/>
        </w:rPr>
      </w:pPr>
      <w:r>
        <w:rPr>
          <w:rFonts w:ascii="Arial" w:cs="Arial" w:eastAsia="Arial" w:hAnsi="Arial"/>
          <w:sz w:val="12"/>
          <w:szCs w:val="12"/>
          <w:color w:val="auto"/>
        </w:rPr>
        <w:t>Calculated by dividing (a) the sum of (i) the number of shares subject to equity awards (stock options and unvested RSAs, RSUs, and PSUs (assuming, in the case of PSUs, maximum payouts earned)) outstanding at the end of the year and (ii) the number of shares available for future grants under the Plan at the end of the year, by (b) the sum of (i) the number of shares of common stock and Class A stock outstanding at the end of the year, (ii) the shares subject to equity awards (stock options and unvested RSAs, RSUs, and PSUs (assuming, in the case of PSUs, maximum payouts earned)) outstanding at the end of the year, and (iii) the number of shares available for future grants under the Plan at the end of the year.</w:t>
      </w:r>
    </w:p>
    <w:p>
      <w:pPr>
        <w:spacing w:after="0" w:line="22" w:lineRule="exact"/>
        <w:rPr>
          <w:sz w:val="20"/>
          <w:szCs w:val="20"/>
          <w:color w:val="auto"/>
        </w:rPr>
      </w:pPr>
    </w:p>
    <w:p>
      <w:pPr>
        <w:jc w:val="both"/>
        <w:ind w:left="270" w:right="20" w:hanging="270"/>
        <w:spacing w:after="0" w:line="203" w:lineRule="auto"/>
        <w:tabs>
          <w:tab w:leader="none" w:pos="270" w:val="left"/>
        </w:tabs>
        <w:numPr>
          <w:ilvl w:val="0"/>
          <w:numId w:val="189"/>
        </w:numPr>
        <w:rPr>
          <w:rFonts w:ascii="Arial" w:cs="Arial" w:eastAsia="Arial" w:hAnsi="Arial"/>
          <w:sz w:val="20"/>
          <w:szCs w:val="20"/>
          <w:color w:val="auto"/>
          <w:vertAlign w:val="superscript"/>
        </w:rPr>
      </w:pPr>
      <w:r>
        <w:rPr>
          <w:rFonts w:ascii="Arial" w:cs="Arial" w:eastAsia="Arial" w:hAnsi="Arial"/>
          <w:sz w:val="12"/>
          <w:szCs w:val="12"/>
          <w:color w:val="auto"/>
        </w:rPr>
        <w:t>Calculated by dividing the number of shares subject to equity awards (stock options and unvested RSAs, RSUs, and PSUs (assuming, in the case of PSUs, maximum payouts earned)) outstanding at the end of the year by the sum of (i) the number of shares of common stock and Class A stock outstanding at the end of the year and (ii) the shares subject to equity awards (stock options and unvested RSAs, RSUs, and PSUs (assuming, in the case of PSUs, maximum payouts earned)) outstanding at the end of the year.</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101</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6261735</wp:posOffset>
            </wp:positionH>
            <wp:positionV relativeFrom="paragraph">
              <wp:posOffset>-242570</wp:posOffset>
            </wp:positionV>
            <wp:extent cx="629285" cy="717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12" w:name="page113"/>
    <w:bookmarkEnd w:id="112"/>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32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Equity Compensation Plan Information</w:t>
      </w:r>
    </w:p>
    <w:p>
      <w:pPr>
        <w:spacing w:after="0" w:line="166"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The following table shows information with respect to securities authorized for issuance under the equity compensation plans maintained by the Company as of December 31, 2023.</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740" w:type="dxa"/>
            <w:vAlign w:val="bottom"/>
            <w:tcBorders>
              <w:bottom w:val="single" w:sz="8" w:color="215AA8"/>
            </w:tcBorders>
          </w:tcPr>
          <w:p>
            <w:pPr>
              <w:spacing w:after="0"/>
              <w:rPr>
                <w:sz w:val="16"/>
                <w:szCs w:val="16"/>
                <w:color w:val="auto"/>
              </w:rPr>
            </w:pPr>
          </w:p>
        </w:tc>
        <w:tc>
          <w:tcPr>
            <w:tcW w:w="2760" w:type="dxa"/>
            <w:vAlign w:val="bottom"/>
            <w:tcBorders>
              <w:bottom w:val="single" w:sz="8" w:color="215AA8"/>
            </w:tcBorders>
          </w:tcPr>
          <w:p>
            <w:pPr>
              <w:jc w:val="right"/>
              <w:ind w:right="333"/>
              <w:spacing w:after="0"/>
              <w:rPr>
                <w:sz w:val="20"/>
                <w:szCs w:val="20"/>
                <w:color w:val="auto"/>
              </w:rPr>
            </w:pPr>
            <w:r>
              <w:rPr>
                <w:rFonts w:ascii="Arial" w:cs="Arial" w:eastAsia="Arial" w:hAnsi="Arial"/>
                <w:sz w:val="14"/>
                <w:szCs w:val="14"/>
                <w:color w:val="215AA8"/>
              </w:rPr>
              <w:t>A</w:t>
            </w:r>
          </w:p>
        </w:tc>
        <w:tc>
          <w:tcPr>
            <w:tcW w:w="1880" w:type="dxa"/>
            <w:vAlign w:val="bottom"/>
            <w:tcBorders>
              <w:bottom w:val="single" w:sz="8" w:color="215AA8"/>
            </w:tcBorders>
          </w:tcPr>
          <w:p>
            <w:pPr>
              <w:jc w:val="right"/>
              <w:ind w:right="193"/>
              <w:spacing w:after="0"/>
              <w:rPr>
                <w:sz w:val="20"/>
                <w:szCs w:val="20"/>
                <w:color w:val="auto"/>
              </w:rPr>
            </w:pPr>
            <w:r>
              <w:rPr>
                <w:rFonts w:ascii="Arial" w:cs="Arial" w:eastAsia="Arial" w:hAnsi="Arial"/>
                <w:sz w:val="14"/>
                <w:szCs w:val="14"/>
                <w:color w:val="215AA8"/>
              </w:rPr>
              <w:t>B</w:t>
            </w:r>
          </w:p>
        </w:tc>
        <w:tc>
          <w:tcPr>
            <w:tcW w:w="188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215AA8"/>
              </w:rPr>
              <w:t>C</w:t>
            </w:r>
          </w:p>
        </w:tc>
      </w:tr>
      <w:tr>
        <w:trPr>
          <w:trHeight w:val="170"/>
        </w:trPr>
        <w:tc>
          <w:tcPr>
            <w:tcW w:w="4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215AA8"/>
              </w:rPr>
              <w:t>Number of securities</w:t>
            </w:r>
          </w:p>
        </w:tc>
      </w:tr>
      <w:tr>
        <w:trPr>
          <w:trHeight w:val="158"/>
        </w:trPr>
        <w:tc>
          <w:tcPr>
            <w:tcW w:w="4740" w:type="dxa"/>
            <w:vAlign w:val="bottom"/>
          </w:tcPr>
          <w:p>
            <w:pPr>
              <w:spacing w:after="0"/>
              <w:rPr>
                <w:sz w:val="13"/>
                <w:szCs w:val="13"/>
                <w:color w:val="auto"/>
              </w:rPr>
            </w:pPr>
          </w:p>
        </w:tc>
        <w:tc>
          <w:tcPr>
            <w:tcW w:w="2760" w:type="dxa"/>
            <w:vAlign w:val="bottom"/>
          </w:tcPr>
          <w:p>
            <w:pPr>
              <w:jc w:val="right"/>
              <w:ind w:right="333"/>
              <w:spacing w:after="0" w:line="157" w:lineRule="exact"/>
              <w:rPr>
                <w:sz w:val="20"/>
                <w:szCs w:val="20"/>
                <w:color w:val="auto"/>
              </w:rPr>
            </w:pPr>
            <w:r>
              <w:rPr>
                <w:rFonts w:ascii="Arial" w:cs="Arial" w:eastAsia="Arial" w:hAnsi="Arial"/>
                <w:sz w:val="14"/>
                <w:szCs w:val="14"/>
                <w:color w:val="215AA8"/>
              </w:rPr>
              <w:t>Number of securities</w:t>
            </w:r>
          </w:p>
        </w:tc>
        <w:tc>
          <w:tcPr>
            <w:tcW w:w="1880" w:type="dxa"/>
            <w:vAlign w:val="bottom"/>
          </w:tcPr>
          <w:p>
            <w:pPr>
              <w:jc w:val="right"/>
              <w:ind w:right="193"/>
              <w:spacing w:after="0" w:line="157" w:lineRule="exact"/>
              <w:rPr>
                <w:sz w:val="20"/>
                <w:szCs w:val="20"/>
                <w:color w:val="auto"/>
              </w:rPr>
            </w:pPr>
            <w:r>
              <w:rPr>
                <w:rFonts w:ascii="Arial" w:cs="Arial" w:eastAsia="Arial" w:hAnsi="Arial"/>
                <w:sz w:val="14"/>
                <w:szCs w:val="14"/>
                <w:color w:val="215AA8"/>
              </w:rPr>
              <w:t>Weighted-average</w:t>
            </w:r>
          </w:p>
        </w:tc>
        <w:tc>
          <w:tcPr>
            <w:tcW w:w="1880" w:type="dxa"/>
            <w:vAlign w:val="bottom"/>
          </w:tcPr>
          <w:p>
            <w:pPr>
              <w:jc w:val="right"/>
              <w:spacing w:after="0" w:line="157" w:lineRule="exact"/>
              <w:rPr>
                <w:sz w:val="20"/>
                <w:szCs w:val="20"/>
                <w:color w:val="auto"/>
              </w:rPr>
            </w:pPr>
            <w:r>
              <w:rPr>
                <w:rFonts w:ascii="Arial" w:cs="Arial" w:eastAsia="Arial" w:hAnsi="Arial"/>
                <w:sz w:val="14"/>
                <w:szCs w:val="14"/>
                <w:color w:val="215AA8"/>
              </w:rPr>
              <w:t>remaining available for</w:t>
            </w:r>
          </w:p>
        </w:tc>
      </w:tr>
      <w:tr>
        <w:trPr>
          <w:trHeight w:val="158"/>
        </w:trPr>
        <w:tc>
          <w:tcPr>
            <w:tcW w:w="4740" w:type="dxa"/>
            <w:vAlign w:val="bottom"/>
          </w:tcPr>
          <w:p>
            <w:pPr>
              <w:spacing w:after="0"/>
              <w:rPr>
                <w:sz w:val="13"/>
                <w:szCs w:val="13"/>
                <w:color w:val="auto"/>
              </w:rPr>
            </w:pPr>
          </w:p>
        </w:tc>
        <w:tc>
          <w:tcPr>
            <w:tcW w:w="2760" w:type="dxa"/>
            <w:vAlign w:val="bottom"/>
          </w:tcPr>
          <w:p>
            <w:pPr>
              <w:jc w:val="right"/>
              <w:ind w:right="333"/>
              <w:spacing w:after="0" w:line="157" w:lineRule="exact"/>
              <w:rPr>
                <w:sz w:val="20"/>
                <w:szCs w:val="20"/>
                <w:color w:val="auto"/>
              </w:rPr>
            </w:pPr>
            <w:r>
              <w:rPr>
                <w:rFonts w:ascii="Arial" w:cs="Arial" w:eastAsia="Arial" w:hAnsi="Arial"/>
                <w:sz w:val="14"/>
                <w:szCs w:val="14"/>
                <w:color w:val="215AA8"/>
              </w:rPr>
              <w:t>to be issued upon</w:t>
            </w:r>
          </w:p>
        </w:tc>
        <w:tc>
          <w:tcPr>
            <w:tcW w:w="1880" w:type="dxa"/>
            <w:vAlign w:val="bottom"/>
          </w:tcPr>
          <w:p>
            <w:pPr>
              <w:jc w:val="right"/>
              <w:ind w:right="193"/>
              <w:spacing w:after="0" w:line="157" w:lineRule="exact"/>
              <w:rPr>
                <w:sz w:val="20"/>
                <w:szCs w:val="20"/>
                <w:color w:val="auto"/>
              </w:rPr>
            </w:pPr>
            <w:r>
              <w:rPr>
                <w:rFonts w:ascii="Arial" w:cs="Arial" w:eastAsia="Arial" w:hAnsi="Arial"/>
                <w:sz w:val="14"/>
                <w:szCs w:val="14"/>
                <w:color w:val="215AA8"/>
              </w:rPr>
              <w:t>exercise price of</w:t>
            </w:r>
          </w:p>
        </w:tc>
        <w:tc>
          <w:tcPr>
            <w:tcW w:w="1880" w:type="dxa"/>
            <w:vAlign w:val="bottom"/>
          </w:tcPr>
          <w:p>
            <w:pPr>
              <w:jc w:val="right"/>
              <w:spacing w:after="0" w:line="157" w:lineRule="exact"/>
              <w:rPr>
                <w:sz w:val="20"/>
                <w:szCs w:val="20"/>
                <w:color w:val="auto"/>
              </w:rPr>
            </w:pPr>
            <w:r>
              <w:rPr>
                <w:rFonts w:ascii="Arial" w:cs="Arial" w:eastAsia="Arial" w:hAnsi="Arial"/>
                <w:sz w:val="14"/>
                <w:szCs w:val="14"/>
                <w:color w:val="215AA8"/>
              </w:rPr>
              <w:t>future issuance under</w:t>
            </w:r>
          </w:p>
        </w:tc>
      </w:tr>
      <w:tr>
        <w:trPr>
          <w:trHeight w:val="158"/>
        </w:trPr>
        <w:tc>
          <w:tcPr>
            <w:tcW w:w="4740" w:type="dxa"/>
            <w:vAlign w:val="bottom"/>
          </w:tcPr>
          <w:p>
            <w:pPr>
              <w:spacing w:after="0"/>
              <w:rPr>
                <w:sz w:val="13"/>
                <w:szCs w:val="13"/>
                <w:color w:val="auto"/>
              </w:rPr>
            </w:pPr>
          </w:p>
        </w:tc>
        <w:tc>
          <w:tcPr>
            <w:tcW w:w="2760" w:type="dxa"/>
            <w:vAlign w:val="bottom"/>
          </w:tcPr>
          <w:p>
            <w:pPr>
              <w:jc w:val="right"/>
              <w:ind w:right="333"/>
              <w:spacing w:after="0" w:line="157" w:lineRule="exact"/>
              <w:rPr>
                <w:sz w:val="20"/>
                <w:szCs w:val="20"/>
                <w:color w:val="auto"/>
              </w:rPr>
            </w:pPr>
            <w:r>
              <w:rPr>
                <w:rFonts w:ascii="Arial" w:cs="Arial" w:eastAsia="Arial" w:hAnsi="Arial"/>
                <w:sz w:val="14"/>
                <w:szCs w:val="14"/>
                <w:color w:val="215AA8"/>
              </w:rPr>
              <w:t>exercise of</w:t>
            </w:r>
          </w:p>
        </w:tc>
        <w:tc>
          <w:tcPr>
            <w:tcW w:w="1880" w:type="dxa"/>
            <w:vAlign w:val="bottom"/>
          </w:tcPr>
          <w:p>
            <w:pPr>
              <w:jc w:val="right"/>
              <w:ind w:right="193"/>
              <w:spacing w:after="0" w:line="157" w:lineRule="exact"/>
              <w:rPr>
                <w:sz w:val="20"/>
                <w:szCs w:val="20"/>
                <w:color w:val="auto"/>
              </w:rPr>
            </w:pPr>
            <w:r>
              <w:rPr>
                <w:rFonts w:ascii="Arial" w:cs="Arial" w:eastAsia="Arial" w:hAnsi="Arial"/>
                <w:sz w:val="14"/>
                <w:szCs w:val="14"/>
                <w:color w:val="215AA8"/>
              </w:rPr>
              <w:t>outstanding options,</w:t>
            </w:r>
          </w:p>
        </w:tc>
        <w:tc>
          <w:tcPr>
            <w:tcW w:w="1880" w:type="dxa"/>
            <w:vAlign w:val="bottom"/>
          </w:tcPr>
          <w:p>
            <w:pPr>
              <w:jc w:val="right"/>
              <w:spacing w:after="0" w:line="157" w:lineRule="exact"/>
              <w:rPr>
                <w:sz w:val="20"/>
                <w:szCs w:val="20"/>
                <w:color w:val="auto"/>
              </w:rPr>
            </w:pPr>
            <w:r>
              <w:rPr>
                <w:rFonts w:ascii="Arial" w:cs="Arial" w:eastAsia="Arial" w:hAnsi="Arial"/>
                <w:sz w:val="14"/>
                <w:szCs w:val="14"/>
                <w:color w:val="215AA8"/>
              </w:rPr>
              <w:t>equity compensation</w:t>
            </w:r>
          </w:p>
        </w:tc>
      </w:tr>
      <w:tr>
        <w:trPr>
          <w:trHeight w:val="158"/>
        </w:trPr>
        <w:tc>
          <w:tcPr>
            <w:tcW w:w="4740" w:type="dxa"/>
            <w:vAlign w:val="bottom"/>
          </w:tcPr>
          <w:p>
            <w:pPr>
              <w:spacing w:after="0"/>
              <w:rPr>
                <w:sz w:val="13"/>
                <w:szCs w:val="13"/>
                <w:color w:val="auto"/>
              </w:rPr>
            </w:pPr>
          </w:p>
        </w:tc>
        <w:tc>
          <w:tcPr>
            <w:tcW w:w="2760" w:type="dxa"/>
            <w:vAlign w:val="bottom"/>
          </w:tcPr>
          <w:p>
            <w:pPr>
              <w:jc w:val="right"/>
              <w:ind w:right="333"/>
              <w:spacing w:after="0" w:line="157" w:lineRule="exact"/>
              <w:rPr>
                <w:sz w:val="20"/>
                <w:szCs w:val="20"/>
                <w:color w:val="auto"/>
              </w:rPr>
            </w:pPr>
            <w:r>
              <w:rPr>
                <w:rFonts w:ascii="Arial" w:cs="Arial" w:eastAsia="Arial" w:hAnsi="Arial"/>
                <w:sz w:val="14"/>
                <w:szCs w:val="14"/>
                <w:color w:val="215AA8"/>
              </w:rPr>
              <w:t>outstanding options,</w:t>
            </w:r>
          </w:p>
        </w:tc>
        <w:tc>
          <w:tcPr>
            <w:tcW w:w="1880" w:type="dxa"/>
            <w:vAlign w:val="bottom"/>
          </w:tcPr>
          <w:p>
            <w:pPr>
              <w:jc w:val="right"/>
              <w:ind w:right="193"/>
              <w:spacing w:after="0" w:line="157" w:lineRule="exact"/>
              <w:rPr>
                <w:sz w:val="20"/>
                <w:szCs w:val="20"/>
                <w:color w:val="auto"/>
              </w:rPr>
            </w:pPr>
            <w:r>
              <w:rPr>
                <w:rFonts w:ascii="Arial" w:cs="Arial" w:eastAsia="Arial" w:hAnsi="Arial"/>
                <w:sz w:val="14"/>
                <w:szCs w:val="14"/>
                <w:color w:val="215AA8"/>
              </w:rPr>
              <w:t>warrants, and rights</w:t>
            </w:r>
          </w:p>
        </w:tc>
        <w:tc>
          <w:tcPr>
            <w:tcW w:w="1880" w:type="dxa"/>
            <w:vAlign w:val="bottom"/>
          </w:tcPr>
          <w:p>
            <w:pPr>
              <w:jc w:val="right"/>
              <w:spacing w:after="0" w:line="157" w:lineRule="exact"/>
              <w:rPr>
                <w:sz w:val="20"/>
                <w:szCs w:val="20"/>
                <w:color w:val="auto"/>
              </w:rPr>
            </w:pPr>
            <w:r>
              <w:rPr>
                <w:rFonts w:ascii="Arial" w:cs="Arial" w:eastAsia="Arial" w:hAnsi="Arial"/>
                <w:sz w:val="14"/>
                <w:szCs w:val="14"/>
                <w:color w:val="215AA8"/>
              </w:rPr>
              <w:t>plans (excluding securities</w:t>
            </w:r>
          </w:p>
        </w:tc>
      </w:tr>
      <w:tr>
        <w:trPr>
          <w:trHeight w:val="193"/>
        </w:trPr>
        <w:tc>
          <w:tcPr>
            <w:tcW w:w="4740" w:type="dxa"/>
            <w:vAlign w:val="bottom"/>
            <w:tcBorders>
              <w:bottom w:val="single" w:sz="8" w:color="215AA8"/>
            </w:tcBorders>
          </w:tcPr>
          <w:p>
            <w:pPr>
              <w:ind w:left="40"/>
              <w:spacing w:after="0"/>
              <w:rPr>
                <w:sz w:val="20"/>
                <w:szCs w:val="20"/>
                <w:color w:val="auto"/>
              </w:rPr>
            </w:pPr>
            <w:r>
              <w:rPr>
                <w:rFonts w:ascii="Arial" w:cs="Arial" w:eastAsia="Arial" w:hAnsi="Arial"/>
                <w:sz w:val="14"/>
                <w:szCs w:val="14"/>
                <w:color w:val="215AA8"/>
              </w:rPr>
              <w:t>Plan Category</w:t>
            </w:r>
          </w:p>
        </w:tc>
        <w:tc>
          <w:tcPr>
            <w:tcW w:w="2760" w:type="dxa"/>
            <w:vAlign w:val="bottom"/>
            <w:tcBorders>
              <w:bottom w:val="single" w:sz="8" w:color="215AA8"/>
            </w:tcBorders>
          </w:tcPr>
          <w:p>
            <w:pPr>
              <w:jc w:val="right"/>
              <w:ind w:right="333"/>
              <w:spacing w:after="0"/>
              <w:rPr>
                <w:sz w:val="20"/>
                <w:szCs w:val="20"/>
                <w:color w:val="auto"/>
              </w:rPr>
            </w:pPr>
            <w:r>
              <w:rPr>
                <w:rFonts w:ascii="Arial" w:cs="Arial" w:eastAsia="Arial" w:hAnsi="Arial"/>
                <w:sz w:val="14"/>
                <w:szCs w:val="14"/>
                <w:color w:val="215AA8"/>
              </w:rPr>
              <w:t>warrants, and rights</w:t>
            </w:r>
          </w:p>
        </w:tc>
        <w:tc>
          <w:tcPr>
            <w:tcW w:w="1880" w:type="dxa"/>
            <w:vAlign w:val="bottom"/>
            <w:tcBorders>
              <w:bottom w:val="single" w:sz="8" w:color="215AA8"/>
            </w:tcBorders>
          </w:tcPr>
          <w:p>
            <w:pPr>
              <w:jc w:val="right"/>
              <w:ind w:right="193"/>
              <w:spacing w:after="0"/>
              <w:rPr>
                <w:sz w:val="20"/>
                <w:szCs w:val="20"/>
                <w:color w:val="auto"/>
              </w:rPr>
            </w:pPr>
            <w:r>
              <w:rPr>
                <w:rFonts w:ascii="Arial" w:cs="Arial" w:eastAsia="Arial" w:hAnsi="Arial"/>
                <w:sz w:val="14"/>
                <w:szCs w:val="14"/>
                <w:color w:val="215AA8"/>
              </w:rPr>
              <w:t>($)</w:t>
            </w:r>
          </w:p>
        </w:tc>
        <w:tc>
          <w:tcPr>
            <w:tcW w:w="188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215AA8"/>
              </w:rPr>
              <w:t>reflected in column A)</w:t>
            </w:r>
          </w:p>
        </w:tc>
      </w:tr>
      <w:tr>
        <w:trPr>
          <w:trHeight w:val="180"/>
        </w:trPr>
        <w:tc>
          <w:tcPr>
            <w:tcW w:w="4740" w:type="dxa"/>
            <w:vAlign w:val="bottom"/>
          </w:tcPr>
          <w:p>
            <w:pPr>
              <w:ind w:left="40"/>
              <w:spacing w:after="0" w:line="180" w:lineRule="exact"/>
              <w:rPr>
                <w:sz w:val="20"/>
                <w:szCs w:val="20"/>
                <w:color w:val="auto"/>
              </w:rPr>
            </w:pPr>
            <w:r>
              <w:rPr>
                <w:rFonts w:ascii="Arial" w:cs="Arial" w:eastAsia="Arial" w:hAnsi="Arial"/>
                <w:sz w:val="13"/>
                <w:szCs w:val="13"/>
                <w:color w:val="auto"/>
              </w:rPr>
              <w:t>Equity compensation plans approved by security holders</w:t>
            </w:r>
            <w:r>
              <w:rPr>
                <w:rFonts w:ascii="Arial" w:cs="Arial" w:eastAsia="Arial" w:hAnsi="Arial"/>
                <w:sz w:val="20"/>
                <w:szCs w:val="20"/>
                <w:color w:val="auto"/>
                <w:vertAlign w:val="superscript"/>
              </w:rPr>
              <w:t>1</w:t>
            </w:r>
          </w:p>
        </w:tc>
        <w:tc>
          <w:tcPr>
            <w:tcW w:w="2760" w:type="dxa"/>
            <w:vAlign w:val="bottom"/>
          </w:tcPr>
          <w:p>
            <w:pPr>
              <w:jc w:val="right"/>
              <w:ind w:right="333"/>
              <w:spacing w:after="0" w:line="180" w:lineRule="exact"/>
              <w:rPr>
                <w:sz w:val="20"/>
                <w:szCs w:val="20"/>
                <w:color w:val="auto"/>
              </w:rPr>
            </w:pPr>
            <w:r>
              <w:rPr>
                <w:rFonts w:ascii="Arial" w:cs="Arial" w:eastAsia="Arial" w:hAnsi="Arial"/>
                <w:sz w:val="13"/>
                <w:szCs w:val="13"/>
                <w:color w:val="auto"/>
              </w:rPr>
              <w:t>15,941,146</w:t>
            </w:r>
            <w:r>
              <w:rPr>
                <w:rFonts w:ascii="Arial" w:cs="Arial" w:eastAsia="Arial" w:hAnsi="Arial"/>
                <w:sz w:val="20"/>
                <w:szCs w:val="20"/>
                <w:color w:val="auto"/>
                <w:vertAlign w:val="superscript"/>
              </w:rPr>
              <w:t>3</w:t>
            </w:r>
            <w:r>
              <w:rPr>
                <w:rFonts w:ascii="Arial" w:cs="Arial" w:eastAsia="Arial" w:hAnsi="Arial"/>
                <w:sz w:val="13"/>
                <w:szCs w:val="13"/>
                <w:color w:val="auto"/>
              </w:rPr>
              <w:t xml:space="preserve"> shares of</w:t>
            </w:r>
          </w:p>
        </w:tc>
        <w:tc>
          <w:tcPr>
            <w:tcW w:w="1880" w:type="dxa"/>
            <w:vAlign w:val="bottom"/>
          </w:tcPr>
          <w:p>
            <w:pPr>
              <w:jc w:val="right"/>
              <w:ind w:right="193"/>
              <w:spacing w:after="0" w:line="180" w:lineRule="exact"/>
              <w:rPr>
                <w:sz w:val="20"/>
                <w:szCs w:val="20"/>
                <w:color w:val="auto"/>
              </w:rPr>
            </w:pPr>
            <w:r>
              <w:rPr>
                <w:rFonts w:ascii="Arial" w:cs="Arial" w:eastAsia="Arial" w:hAnsi="Arial"/>
                <w:sz w:val="13"/>
                <w:szCs w:val="13"/>
                <w:color w:val="auto"/>
              </w:rPr>
              <w:t>534.13</w:t>
            </w:r>
            <w:r>
              <w:rPr>
                <w:rFonts w:ascii="Arial" w:cs="Arial" w:eastAsia="Arial" w:hAnsi="Arial"/>
                <w:sz w:val="20"/>
                <w:szCs w:val="20"/>
                <w:color w:val="auto"/>
                <w:vertAlign w:val="superscript"/>
              </w:rPr>
              <w:t>4</w:t>
            </w:r>
          </w:p>
        </w:tc>
        <w:tc>
          <w:tcPr>
            <w:tcW w:w="1880" w:type="dxa"/>
            <w:vAlign w:val="bottom"/>
          </w:tcPr>
          <w:p>
            <w:pPr>
              <w:jc w:val="right"/>
              <w:spacing w:after="0"/>
              <w:rPr>
                <w:sz w:val="20"/>
                <w:szCs w:val="20"/>
                <w:color w:val="auto"/>
              </w:rPr>
            </w:pPr>
            <w:r>
              <w:rPr>
                <w:rFonts w:ascii="Arial" w:cs="Arial" w:eastAsia="Arial" w:hAnsi="Arial"/>
                <w:sz w:val="14"/>
                <w:szCs w:val="14"/>
                <w:color w:val="auto"/>
              </w:rPr>
              <w:t>14,569,917 shares of</w:t>
            </w:r>
          </w:p>
        </w:tc>
      </w:tr>
      <w:tr>
        <w:trPr>
          <w:trHeight w:val="214"/>
        </w:trPr>
        <w:tc>
          <w:tcPr>
            <w:tcW w:w="4740" w:type="dxa"/>
            <w:vAlign w:val="bottom"/>
            <w:tcBorders>
              <w:bottom w:val="single" w:sz="8" w:color="949599"/>
            </w:tcBorders>
          </w:tcPr>
          <w:p>
            <w:pPr>
              <w:spacing w:after="0"/>
              <w:rPr>
                <w:sz w:val="18"/>
                <w:szCs w:val="18"/>
                <w:color w:val="auto"/>
              </w:rPr>
            </w:pPr>
          </w:p>
        </w:tc>
        <w:tc>
          <w:tcPr>
            <w:tcW w:w="2760" w:type="dxa"/>
            <w:vAlign w:val="bottom"/>
            <w:tcBorders>
              <w:bottom w:val="single" w:sz="8" w:color="949599"/>
            </w:tcBorders>
          </w:tcPr>
          <w:p>
            <w:pPr>
              <w:jc w:val="right"/>
              <w:ind w:right="333"/>
              <w:spacing w:after="0"/>
              <w:rPr>
                <w:sz w:val="20"/>
                <w:szCs w:val="20"/>
                <w:color w:val="auto"/>
              </w:rPr>
            </w:pPr>
            <w:r>
              <w:rPr>
                <w:rFonts w:ascii="Arial" w:cs="Arial" w:eastAsia="Arial" w:hAnsi="Arial"/>
                <w:sz w:val="14"/>
                <w:szCs w:val="14"/>
                <w:color w:val="auto"/>
              </w:rPr>
              <w:t>common stock</w:t>
            </w:r>
          </w:p>
        </w:tc>
        <w:tc>
          <w:tcPr>
            <w:tcW w:w="1880" w:type="dxa"/>
            <w:vAlign w:val="bottom"/>
            <w:tcBorders>
              <w:bottom w:val="single" w:sz="8" w:color="949599"/>
            </w:tcBorders>
          </w:tcPr>
          <w:p>
            <w:pPr>
              <w:spacing w:after="0"/>
              <w:rPr>
                <w:sz w:val="18"/>
                <w:szCs w:val="18"/>
                <w:color w:val="auto"/>
              </w:rPr>
            </w:pPr>
          </w:p>
        </w:tc>
        <w:tc>
          <w:tcPr>
            <w:tcW w:w="1880" w:type="dxa"/>
            <w:vAlign w:val="bottom"/>
            <w:tcBorders>
              <w:bottom w:val="single" w:sz="8" w:color="949599"/>
            </w:tcBorders>
          </w:tcPr>
          <w:p>
            <w:pPr>
              <w:jc w:val="right"/>
              <w:spacing w:after="0" w:line="213" w:lineRule="exact"/>
              <w:rPr>
                <w:sz w:val="20"/>
                <w:szCs w:val="20"/>
                <w:color w:val="auto"/>
              </w:rPr>
            </w:pPr>
            <w:r>
              <w:rPr>
                <w:rFonts w:ascii="Arial" w:cs="Arial" w:eastAsia="Arial" w:hAnsi="Arial"/>
                <w:sz w:val="14"/>
                <w:szCs w:val="14"/>
                <w:color w:val="auto"/>
              </w:rPr>
              <w:t>common stock</w:t>
            </w:r>
            <w:r>
              <w:rPr>
                <w:rFonts w:ascii="Arial" w:cs="Arial" w:eastAsia="Arial" w:hAnsi="Arial"/>
                <w:sz w:val="22"/>
                <w:szCs w:val="22"/>
                <w:color w:val="auto"/>
                <w:vertAlign w:val="superscript"/>
              </w:rPr>
              <w:t>5</w:t>
            </w:r>
          </w:p>
        </w:tc>
      </w:tr>
      <w:tr>
        <w:trPr>
          <w:trHeight w:val="171"/>
        </w:trPr>
        <w:tc>
          <w:tcPr>
            <w:tcW w:w="4740" w:type="dxa"/>
            <w:vAlign w:val="bottom"/>
            <w:shd w:val="clear" w:color="auto" w:fill="ECECED"/>
          </w:tcPr>
          <w:p>
            <w:pPr>
              <w:ind w:left="40"/>
              <w:spacing w:after="0" w:line="172" w:lineRule="exact"/>
              <w:rPr>
                <w:sz w:val="20"/>
                <w:szCs w:val="20"/>
                <w:color w:val="auto"/>
              </w:rPr>
            </w:pPr>
            <w:r>
              <w:rPr>
                <w:rFonts w:ascii="Arial" w:cs="Arial" w:eastAsia="Arial" w:hAnsi="Arial"/>
                <w:sz w:val="12"/>
                <w:szCs w:val="12"/>
                <w:color w:val="auto"/>
              </w:rPr>
              <w:t>Equity compensation plans not approved by security holders</w:t>
            </w:r>
            <w:r>
              <w:rPr>
                <w:rFonts w:ascii="Arial" w:cs="Arial" w:eastAsia="Arial" w:hAnsi="Arial"/>
                <w:sz w:val="19"/>
                <w:szCs w:val="19"/>
                <w:color w:val="auto"/>
                <w:vertAlign w:val="superscript"/>
              </w:rPr>
              <w:t>2</w:t>
            </w:r>
          </w:p>
        </w:tc>
        <w:tc>
          <w:tcPr>
            <w:tcW w:w="2760" w:type="dxa"/>
            <w:vAlign w:val="bottom"/>
            <w:shd w:val="clear" w:color="auto" w:fill="ECECED"/>
          </w:tcPr>
          <w:p>
            <w:pPr>
              <w:jc w:val="right"/>
              <w:ind w:right="333"/>
              <w:spacing w:after="0"/>
              <w:rPr>
                <w:sz w:val="20"/>
                <w:szCs w:val="20"/>
                <w:color w:val="auto"/>
              </w:rPr>
            </w:pPr>
            <w:r>
              <w:rPr>
                <w:rFonts w:ascii="Arial" w:cs="Arial" w:eastAsia="Arial" w:hAnsi="Arial"/>
                <w:sz w:val="14"/>
                <w:szCs w:val="14"/>
                <w:color w:val="auto"/>
              </w:rPr>
              <w:t>—</w:t>
            </w:r>
          </w:p>
        </w:tc>
        <w:tc>
          <w:tcPr>
            <w:tcW w:w="1880" w:type="dxa"/>
            <w:vAlign w:val="bottom"/>
            <w:shd w:val="clear" w:color="auto" w:fill="ECECED"/>
          </w:tcPr>
          <w:p>
            <w:pPr>
              <w:jc w:val="right"/>
              <w:ind w:right="193"/>
              <w:spacing w:after="0"/>
              <w:rPr>
                <w:sz w:val="20"/>
                <w:szCs w:val="20"/>
                <w:color w:val="auto"/>
              </w:rPr>
            </w:pPr>
            <w:r>
              <w:rPr>
                <w:rFonts w:ascii="Arial" w:cs="Arial" w:eastAsia="Arial" w:hAnsi="Arial"/>
                <w:sz w:val="14"/>
                <w:szCs w:val="14"/>
                <w:color w:val="auto"/>
              </w:rPr>
              <w:t>—</w:t>
            </w:r>
          </w:p>
        </w:tc>
        <w:tc>
          <w:tcPr>
            <w:tcW w:w="1880" w:type="dxa"/>
            <w:vAlign w:val="bottom"/>
            <w:shd w:val="clear" w:color="auto" w:fill="ECECED"/>
          </w:tcPr>
          <w:p>
            <w:pPr>
              <w:jc w:val="right"/>
              <w:ind w:right="12"/>
              <w:spacing w:after="0"/>
              <w:rPr>
                <w:sz w:val="20"/>
                <w:szCs w:val="20"/>
                <w:color w:val="auto"/>
              </w:rPr>
            </w:pPr>
            <w:r>
              <w:rPr>
                <w:rFonts w:ascii="Arial" w:cs="Arial" w:eastAsia="Arial" w:hAnsi="Arial"/>
                <w:sz w:val="14"/>
                <w:szCs w:val="14"/>
                <w:color w:val="auto"/>
              </w:rPr>
              <w:t>44,246 shares of</w:t>
            </w:r>
          </w:p>
        </w:tc>
      </w:tr>
      <w:tr>
        <w:trPr>
          <w:trHeight w:val="178"/>
        </w:trPr>
        <w:tc>
          <w:tcPr>
            <w:tcW w:w="4740" w:type="dxa"/>
            <w:vAlign w:val="bottom"/>
            <w:tcBorders>
              <w:bottom w:val="single" w:sz="8" w:color="949599"/>
            </w:tcBorders>
            <w:shd w:val="clear" w:color="auto" w:fill="ECECED"/>
          </w:tcPr>
          <w:p>
            <w:pPr>
              <w:spacing w:after="0"/>
              <w:rPr>
                <w:sz w:val="15"/>
                <w:szCs w:val="15"/>
                <w:color w:val="auto"/>
              </w:rPr>
            </w:pPr>
          </w:p>
        </w:tc>
        <w:tc>
          <w:tcPr>
            <w:tcW w:w="2760" w:type="dxa"/>
            <w:vAlign w:val="bottom"/>
            <w:tcBorders>
              <w:bottom w:val="single" w:sz="8" w:color="949599"/>
            </w:tcBorders>
            <w:shd w:val="clear" w:color="auto" w:fill="ECECED"/>
          </w:tcPr>
          <w:p>
            <w:pPr>
              <w:spacing w:after="0"/>
              <w:rPr>
                <w:sz w:val="15"/>
                <w:szCs w:val="15"/>
                <w:color w:val="auto"/>
              </w:rPr>
            </w:pPr>
          </w:p>
        </w:tc>
        <w:tc>
          <w:tcPr>
            <w:tcW w:w="1880" w:type="dxa"/>
            <w:vAlign w:val="bottom"/>
            <w:tcBorders>
              <w:bottom w:val="single" w:sz="8" w:color="949599"/>
            </w:tcBorders>
            <w:shd w:val="clear" w:color="auto" w:fill="ECECED"/>
          </w:tcPr>
          <w:p>
            <w:pPr>
              <w:spacing w:after="0"/>
              <w:rPr>
                <w:sz w:val="15"/>
                <w:szCs w:val="15"/>
                <w:color w:val="auto"/>
              </w:rPr>
            </w:pPr>
          </w:p>
        </w:tc>
        <w:tc>
          <w:tcPr>
            <w:tcW w:w="1880" w:type="dxa"/>
            <w:vAlign w:val="bottom"/>
            <w:tcBorders>
              <w:bottom w:val="single" w:sz="8" w:color="949599"/>
            </w:tcBorders>
            <w:shd w:val="clear" w:color="auto" w:fill="ECECED"/>
          </w:tcPr>
          <w:p>
            <w:pPr>
              <w:jc w:val="right"/>
              <w:spacing w:after="0"/>
              <w:rPr>
                <w:sz w:val="20"/>
                <w:szCs w:val="20"/>
                <w:color w:val="auto"/>
              </w:rPr>
            </w:pPr>
            <w:r>
              <w:rPr>
                <w:rFonts w:ascii="Arial" w:cs="Arial" w:eastAsia="Arial" w:hAnsi="Arial"/>
                <w:sz w:val="14"/>
                <w:szCs w:val="14"/>
                <w:color w:val="auto"/>
              </w:rPr>
              <w:t>Class A stock</w:t>
            </w:r>
          </w:p>
        </w:tc>
      </w:tr>
      <w:tr>
        <w:trPr>
          <w:trHeight w:val="163"/>
        </w:trPr>
        <w:tc>
          <w:tcPr>
            <w:tcW w:w="4740" w:type="dxa"/>
            <w:vAlign w:val="bottom"/>
          </w:tcPr>
          <w:p>
            <w:pPr>
              <w:ind w:left="40"/>
              <w:spacing w:after="0"/>
              <w:rPr>
                <w:sz w:val="20"/>
                <w:szCs w:val="20"/>
                <w:color w:val="auto"/>
              </w:rPr>
            </w:pPr>
            <w:r>
              <w:rPr>
                <w:rFonts w:ascii="Arial" w:cs="Arial" w:eastAsia="Arial" w:hAnsi="Arial"/>
                <w:sz w:val="14"/>
                <w:szCs w:val="14"/>
                <w:color w:val="auto"/>
              </w:rPr>
              <w:t>Total</w:t>
            </w:r>
          </w:p>
        </w:tc>
        <w:tc>
          <w:tcPr>
            <w:tcW w:w="2760" w:type="dxa"/>
            <w:vAlign w:val="bottom"/>
          </w:tcPr>
          <w:p>
            <w:pPr>
              <w:jc w:val="right"/>
              <w:ind w:right="333"/>
              <w:spacing w:after="0"/>
              <w:rPr>
                <w:sz w:val="20"/>
                <w:szCs w:val="20"/>
                <w:color w:val="auto"/>
              </w:rPr>
            </w:pPr>
            <w:r>
              <w:rPr>
                <w:rFonts w:ascii="Arial" w:cs="Arial" w:eastAsia="Arial" w:hAnsi="Arial"/>
                <w:sz w:val="14"/>
                <w:szCs w:val="14"/>
                <w:color w:val="auto"/>
              </w:rPr>
              <w:t>15,941,146 shares of</w:t>
            </w:r>
          </w:p>
        </w:tc>
        <w:tc>
          <w:tcPr>
            <w:tcW w:w="1880" w:type="dxa"/>
            <w:vAlign w:val="bottom"/>
          </w:tcPr>
          <w:p>
            <w:pPr>
              <w:jc w:val="right"/>
              <w:ind w:right="193"/>
              <w:spacing w:after="0"/>
              <w:rPr>
                <w:sz w:val="20"/>
                <w:szCs w:val="20"/>
                <w:color w:val="auto"/>
              </w:rPr>
            </w:pPr>
            <w:r>
              <w:rPr>
                <w:rFonts w:ascii="Arial" w:cs="Arial" w:eastAsia="Arial" w:hAnsi="Arial"/>
                <w:sz w:val="14"/>
                <w:szCs w:val="14"/>
                <w:color w:val="auto"/>
              </w:rPr>
              <w:t>534.13</w:t>
            </w:r>
          </w:p>
        </w:tc>
        <w:tc>
          <w:tcPr>
            <w:tcW w:w="1880" w:type="dxa"/>
            <w:vAlign w:val="bottom"/>
          </w:tcPr>
          <w:p>
            <w:pPr>
              <w:jc w:val="right"/>
              <w:ind w:right="12"/>
              <w:spacing w:after="0"/>
              <w:rPr>
                <w:sz w:val="20"/>
                <w:szCs w:val="20"/>
                <w:color w:val="auto"/>
              </w:rPr>
            </w:pPr>
            <w:r>
              <w:rPr>
                <w:rFonts w:ascii="Arial" w:cs="Arial" w:eastAsia="Arial" w:hAnsi="Arial"/>
                <w:sz w:val="14"/>
                <w:szCs w:val="14"/>
                <w:color w:val="auto"/>
              </w:rPr>
              <w:t>14,614,163 shares of</w:t>
            </w:r>
          </w:p>
        </w:tc>
      </w:tr>
      <w:tr>
        <w:trPr>
          <w:trHeight w:val="158"/>
        </w:trPr>
        <w:tc>
          <w:tcPr>
            <w:tcW w:w="4740" w:type="dxa"/>
            <w:vAlign w:val="bottom"/>
          </w:tcPr>
          <w:p>
            <w:pPr>
              <w:spacing w:after="0"/>
              <w:rPr>
                <w:sz w:val="13"/>
                <w:szCs w:val="13"/>
                <w:color w:val="auto"/>
              </w:rPr>
            </w:pPr>
          </w:p>
        </w:tc>
        <w:tc>
          <w:tcPr>
            <w:tcW w:w="2760" w:type="dxa"/>
            <w:vAlign w:val="bottom"/>
          </w:tcPr>
          <w:p>
            <w:pPr>
              <w:jc w:val="right"/>
              <w:ind w:right="333"/>
              <w:spacing w:after="0" w:line="157" w:lineRule="exact"/>
              <w:rPr>
                <w:sz w:val="20"/>
                <w:szCs w:val="20"/>
                <w:color w:val="auto"/>
              </w:rPr>
            </w:pPr>
            <w:r>
              <w:rPr>
                <w:rFonts w:ascii="Arial" w:cs="Arial" w:eastAsia="Arial" w:hAnsi="Arial"/>
                <w:sz w:val="14"/>
                <w:szCs w:val="14"/>
                <w:color w:val="auto"/>
              </w:rPr>
              <w:t>common stock</w:t>
            </w:r>
          </w:p>
        </w:tc>
        <w:tc>
          <w:tcPr>
            <w:tcW w:w="1880" w:type="dxa"/>
            <w:vAlign w:val="bottom"/>
          </w:tcPr>
          <w:p>
            <w:pPr>
              <w:spacing w:after="0"/>
              <w:rPr>
                <w:sz w:val="13"/>
                <w:szCs w:val="13"/>
                <w:color w:val="auto"/>
              </w:rPr>
            </w:pPr>
          </w:p>
        </w:tc>
        <w:tc>
          <w:tcPr>
            <w:tcW w:w="1880" w:type="dxa"/>
            <w:vAlign w:val="bottom"/>
          </w:tcPr>
          <w:p>
            <w:pPr>
              <w:jc w:val="right"/>
              <w:spacing w:after="0" w:line="157" w:lineRule="exact"/>
              <w:rPr>
                <w:sz w:val="20"/>
                <w:szCs w:val="20"/>
                <w:color w:val="auto"/>
              </w:rPr>
            </w:pPr>
            <w:r>
              <w:rPr>
                <w:rFonts w:ascii="Arial" w:cs="Arial" w:eastAsia="Arial" w:hAnsi="Arial"/>
                <w:sz w:val="14"/>
                <w:szCs w:val="14"/>
                <w:color w:val="auto"/>
              </w:rPr>
              <w:t>common stock and</w:t>
            </w:r>
          </w:p>
        </w:tc>
      </w:tr>
      <w:tr>
        <w:trPr>
          <w:trHeight w:val="193"/>
        </w:trPr>
        <w:tc>
          <w:tcPr>
            <w:tcW w:w="4740" w:type="dxa"/>
            <w:vAlign w:val="bottom"/>
            <w:tcBorders>
              <w:bottom w:val="single" w:sz="8" w:color="215AA8"/>
            </w:tcBorders>
          </w:tcPr>
          <w:p>
            <w:pPr>
              <w:spacing w:after="0"/>
              <w:rPr>
                <w:sz w:val="16"/>
                <w:szCs w:val="16"/>
                <w:color w:val="auto"/>
              </w:rPr>
            </w:pPr>
          </w:p>
        </w:tc>
        <w:tc>
          <w:tcPr>
            <w:tcW w:w="2760" w:type="dxa"/>
            <w:vAlign w:val="bottom"/>
            <w:tcBorders>
              <w:bottom w:val="single" w:sz="8" w:color="215AA8"/>
            </w:tcBorders>
          </w:tcPr>
          <w:p>
            <w:pPr>
              <w:spacing w:after="0"/>
              <w:rPr>
                <w:sz w:val="16"/>
                <w:szCs w:val="16"/>
                <w:color w:val="auto"/>
              </w:rPr>
            </w:pPr>
          </w:p>
        </w:tc>
        <w:tc>
          <w:tcPr>
            <w:tcW w:w="1880" w:type="dxa"/>
            <w:vAlign w:val="bottom"/>
            <w:tcBorders>
              <w:bottom w:val="single" w:sz="8" w:color="215AA8"/>
            </w:tcBorders>
          </w:tcPr>
          <w:p>
            <w:pPr>
              <w:spacing w:after="0"/>
              <w:rPr>
                <w:sz w:val="16"/>
                <w:szCs w:val="16"/>
                <w:color w:val="auto"/>
              </w:rPr>
            </w:pPr>
          </w:p>
        </w:tc>
        <w:tc>
          <w:tcPr>
            <w:tcW w:w="188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auto"/>
              </w:rPr>
              <w:t>Class A stock</w:t>
            </w:r>
          </w:p>
        </w:tc>
      </w:tr>
    </w:tbl>
    <w:p>
      <w:pPr>
        <w:spacing w:after="0" w:line="37" w:lineRule="exact"/>
        <w:rPr>
          <w:sz w:val="20"/>
          <w:szCs w:val="20"/>
          <w:color w:val="auto"/>
        </w:rPr>
      </w:pPr>
    </w:p>
    <w:p>
      <w:pPr>
        <w:jc w:val="both"/>
        <w:ind w:left="270" w:right="60" w:hanging="270"/>
        <w:spacing w:after="0" w:line="218" w:lineRule="auto"/>
        <w:tabs>
          <w:tab w:leader="none" w:pos="270" w:val="left"/>
        </w:tabs>
        <w:numPr>
          <w:ilvl w:val="0"/>
          <w:numId w:val="190"/>
        </w:numPr>
        <w:rPr>
          <w:rFonts w:ascii="Arial" w:cs="Arial" w:eastAsia="Arial" w:hAnsi="Arial"/>
          <w:sz w:val="19"/>
          <w:szCs w:val="19"/>
          <w:color w:val="auto"/>
          <w:vertAlign w:val="superscript"/>
        </w:rPr>
      </w:pPr>
      <w:r>
        <w:rPr>
          <w:rFonts w:ascii="Arial" w:cs="Arial" w:eastAsia="Arial" w:hAnsi="Arial"/>
          <w:sz w:val="11"/>
          <w:szCs w:val="11"/>
          <w:color w:val="auto"/>
        </w:rPr>
        <w:t>The equity compensation plans approved by the security holders are the Regeneron Pharmaceuticals, Inc. Second Amended and Restated 2000 Long-Term Incentive Plan; the Regeneron Pharmaceuticals, Inc. 2014 Long-Term Incentive Plan; the Amended and Restated Regeneron Pharmaceuticals, Inc. 2014 Long-Term Incentive Plan; and the Second Amended and Restated Regeneron Pharmaceuticals, Inc. 2014 Long-Term Incentive Plan. The Second Amended and Restated Regeneron Pharmaceuticals, Inc. 2014 Long-Term Incentive Plan is the only plan currently used by the Company to grant equity awards.</w:t>
      </w:r>
    </w:p>
    <w:p>
      <w:pPr>
        <w:spacing w:after="0" w:line="22" w:lineRule="exact"/>
        <w:rPr>
          <w:sz w:val="20"/>
          <w:szCs w:val="20"/>
          <w:color w:val="auto"/>
        </w:rPr>
      </w:pPr>
    </w:p>
    <w:p>
      <w:pPr>
        <w:ind w:left="270" w:right="160" w:hanging="270"/>
        <w:spacing w:after="0" w:line="214" w:lineRule="auto"/>
        <w:tabs>
          <w:tab w:leader="none" w:pos="270" w:val="left"/>
        </w:tabs>
        <w:numPr>
          <w:ilvl w:val="0"/>
          <w:numId w:val="191"/>
        </w:numPr>
        <w:rPr>
          <w:rFonts w:ascii="Arial" w:cs="Arial" w:eastAsia="Arial" w:hAnsi="Arial"/>
          <w:sz w:val="20"/>
          <w:szCs w:val="20"/>
          <w:color w:val="auto"/>
          <w:vertAlign w:val="superscript"/>
        </w:rPr>
      </w:pPr>
      <w:r>
        <w:rPr>
          <w:rFonts w:ascii="Arial" w:cs="Arial" w:eastAsia="Arial" w:hAnsi="Arial"/>
          <w:sz w:val="12"/>
          <w:szCs w:val="12"/>
          <w:color w:val="auto"/>
        </w:rPr>
        <w:t>The equity compensation plan not approved by the security holders is the Executive Stock Purchase Plan. It was adopted in 1989 and provides for the Compensation Committee of the board of directors to award employees, directors, consultants, and other individuals who render service to the Company the right to purchase Class A stock at a price set by the Compensation Committee. The Plan provides for the vesting of shares as determined by the Compensation Committee; should the Company’s relationship with a Plan participant terminate before all shares are vested, unvested shares will be repurchased by the Company at a price per share equal to the original amount paid by the Plan participant. As of December 31, 2023, there were no unvested shares and 44,246 shares of Class A stock available for future grants under the Plan.</w:t>
      </w:r>
    </w:p>
    <w:p>
      <w:pPr>
        <w:spacing w:after="0" w:line="23" w:lineRule="exact"/>
        <w:rPr>
          <w:sz w:val="20"/>
          <w:szCs w:val="20"/>
          <w:color w:val="auto"/>
        </w:rPr>
      </w:pPr>
    </w:p>
    <w:p>
      <w:pPr>
        <w:ind w:left="270" w:right="220" w:hanging="270"/>
        <w:spacing w:after="0" w:line="191" w:lineRule="auto"/>
        <w:tabs>
          <w:tab w:leader="none" w:pos="270" w:val="left"/>
        </w:tabs>
        <w:numPr>
          <w:ilvl w:val="0"/>
          <w:numId w:val="192"/>
        </w:numPr>
        <w:rPr>
          <w:rFonts w:ascii="Arial" w:cs="Arial" w:eastAsia="Arial" w:hAnsi="Arial"/>
          <w:sz w:val="20"/>
          <w:szCs w:val="20"/>
          <w:color w:val="auto"/>
          <w:vertAlign w:val="superscript"/>
        </w:rPr>
      </w:pPr>
      <w:r>
        <w:rPr>
          <w:rFonts w:ascii="Arial" w:cs="Arial" w:eastAsia="Arial" w:hAnsi="Arial"/>
          <w:sz w:val="12"/>
          <w:szCs w:val="12"/>
          <w:color w:val="auto"/>
        </w:rPr>
        <w:t>This amount consists of (i) 14,242,505 shares to be issued upon exercise of outstanding options, (ii) 258,101 shares to be issued upon vesting of outstanding RSUs, and (iii) 1,440,540 shares to be issued upon vesting of outstanding PSUs (assuming, in the case of PSUs, maximum payouts earned).</w:t>
      </w:r>
    </w:p>
    <w:p>
      <w:pPr>
        <w:spacing w:after="0" w:line="22" w:lineRule="exact"/>
        <w:rPr>
          <w:sz w:val="20"/>
          <w:szCs w:val="20"/>
          <w:color w:val="auto"/>
        </w:rPr>
      </w:pPr>
    </w:p>
    <w:p>
      <w:pPr>
        <w:ind w:left="270" w:right="140" w:hanging="270"/>
        <w:spacing w:after="0" w:line="191" w:lineRule="auto"/>
        <w:tabs>
          <w:tab w:leader="none" w:pos="270" w:val="left"/>
        </w:tabs>
        <w:numPr>
          <w:ilvl w:val="0"/>
          <w:numId w:val="193"/>
        </w:numPr>
        <w:rPr>
          <w:rFonts w:ascii="Arial" w:cs="Arial" w:eastAsia="Arial" w:hAnsi="Arial"/>
          <w:sz w:val="20"/>
          <w:szCs w:val="20"/>
          <w:color w:val="auto"/>
          <w:vertAlign w:val="superscript"/>
        </w:rPr>
      </w:pPr>
      <w:r>
        <w:rPr>
          <w:rFonts w:ascii="Arial" w:cs="Arial" w:eastAsia="Arial" w:hAnsi="Arial"/>
          <w:sz w:val="12"/>
          <w:szCs w:val="12"/>
          <w:color w:val="auto"/>
        </w:rPr>
        <w:t>The calculation of the weighted-average exercise price does not include the 258,101 shares to be issued upon vesting of RSUs or the 1,440,540 shares to be issued upon vesting of PSUs (assuming, in the case of PSUs, maximum payouts earned), as RSUs and PSUs do not have an exercise price.</w:t>
      </w:r>
    </w:p>
    <w:p>
      <w:pPr>
        <w:ind w:left="270" w:hanging="270"/>
        <w:spacing w:after="0" w:line="188" w:lineRule="auto"/>
        <w:tabs>
          <w:tab w:leader="none" w:pos="270" w:val="left"/>
        </w:tabs>
        <w:numPr>
          <w:ilvl w:val="0"/>
          <w:numId w:val="194"/>
        </w:numPr>
        <w:rPr>
          <w:rFonts w:ascii="Arial" w:cs="Arial" w:eastAsia="Arial" w:hAnsi="Arial"/>
          <w:sz w:val="20"/>
          <w:szCs w:val="20"/>
          <w:color w:val="auto"/>
          <w:vertAlign w:val="superscript"/>
        </w:rPr>
      </w:pPr>
      <w:r>
        <w:rPr>
          <w:rFonts w:ascii="Arial" w:cs="Arial" w:eastAsia="Arial" w:hAnsi="Arial"/>
          <w:sz w:val="12"/>
          <w:szCs w:val="12"/>
          <w:color w:val="auto"/>
        </w:rPr>
        <w:t>This amount is net of 2,174,498 outstanding RSAs. As these shares are considered issued and outstanding upon grant, they are not included in the amounts reported in column A.</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102</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6261735</wp:posOffset>
            </wp:positionH>
            <wp:positionV relativeFrom="paragraph">
              <wp:posOffset>-242570</wp:posOffset>
            </wp:positionV>
            <wp:extent cx="629285" cy="717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83"/>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215AA8"/>
                <w:w w:val="96"/>
              </w:rPr>
              <w:t>Compensation-</w:t>
            </w:r>
          </w:p>
        </w:tc>
        <w:tc>
          <w:tcPr>
            <w:tcW w:w="1980" w:type="dxa"/>
            <w:vAlign w:val="bottom"/>
          </w:tcPr>
          <w:p>
            <w:pPr>
              <w:spacing w:after="0"/>
              <w:rPr>
                <w:sz w:val="24"/>
                <w:szCs w:val="24"/>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6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1000" w:type="dxa"/>
            <w:vAlign w:val="bottom"/>
            <w:tcBorders>
              <w:bottom w:val="single" w:sz="8" w:color="D60058"/>
            </w:tcBorders>
          </w:tcPr>
          <w:p>
            <w:pPr>
              <w:spacing w:after="0"/>
              <w:rPr>
                <w:sz w:val="20"/>
                <w:szCs w:val="20"/>
                <w:color w:val="auto"/>
              </w:rPr>
            </w:pPr>
            <w:r>
              <w:rPr>
                <w:rFonts w:ascii="Arial" w:cs="Arial" w:eastAsia="Arial" w:hAnsi="Arial"/>
                <w:sz w:val="14"/>
                <w:szCs w:val="14"/>
                <w:b w:val="1"/>
                <w:bCs w:val="1"/>
                <w:color w:val="215AA8"/>
                <w:w w:val="93"/>
              </w:rPr>
              <w:t>Related Matters</w:t>
            </w:r>
          </w:p>
        </w:tc>
        <w:tc>
          <w:tcPr>
            <w:tcW w:w="1980" w:type="dxa"/>
            <w:vAlign w:val="bottom"/>
          </w:tcPr>
          <w:p>
            <w:pPr>
              <w:ind w:left="1140"/>
              <w:spacing w:after="0"/>
              <w:rPr>
                <w:sz w:val="20"/>
                <w:szCs w:val="20"/>
                <w:color w:val="auto"/>
              </w:rPr>
            </w:pPr>
            <w:r>
              <w:rPr>
                <w:rFonts w:ascii="Arial" w:cs="Arial" w:eastAsia="Arial" w:hAnsi="Arial"/>
                <w:sz w:val="14"/>
                <w:szCs w:val="14"/>
                <w:color w:val="949599"/>
                <w:w w:val="95"/>
              </w:rPr>
              <w:t>Other 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221615</wp:posOffset>
            </wp:positionV>
            <wp:extent cx="1429385" cy="2933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429385" cy="29337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FFFFFF"/>
        </w:rPr>
        <w:t>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67310</wp:posOffset>
            </wp:positionV>
            <wp:extent cx="7155180" cy="2432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5180" cy="243205"/>
                    </a:xfrm>
                    <a:prstGeom prst="rect">
                      <a:avLst/>
                    </a:prstGeom>
                    <a:noFill/>
                  </pic:spPr>
                </pic:pic>
              </a:graphicData>
            </a:graphic>
          </wp:anchor>
        </w:drawing>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215AA8"/>
        </w:rPr>
        <w:t>ADVISORY VOTE ON COMPENSATION OF NAMED EXECUTIVE OFFICERS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7155180" cy="2857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5180" cy="285750"/>
                    </a:xfrm>
                    <a:prstGeom prst="rect">
                      <a:avLst/>
                    </a:prstGeom>
                    <a:noFill/>
                  </pic:spPr>
                </pic:pic>
              </a:graphicData>
            </a:graphic>
          </wp:anchor>
        </w:drawing>
      </w:r>
    </w:p>
    <w:p>
      <w:pPr>
        <w:spacing w:after="0" w:line="132" w:lineRule="exact"/>
        <w:rPr>
          <w:sz w:val="20"/>
          <w:szCs w:val="20"/>
          <w:color w:val="auto"/>
        </w:rPr>
      </w:pPr>
    </w:p>
    <w:p>
      <w:pPr>
        <w:ind w:left="400" w:right="220"/>
        <w:spacing w:after="0" w:line="257" w:lineRule="auto"/>
        <w:rPr>
          <w:sz w:val="20"/>
          <w:szCs w:val="20"/>
          <w:color w:val="auto"/>
        </w:rPr>
      </w:pPr>
      <w:r>
        <w:rPr>
          <w:rFonts w:ascii="Arial" w:cs="Arial" w:eastAsia="Arial" w:hAnsi="Arial"/>
          <w:sz w:val="14"/>
          <w:szCs w:val="14"/>
          <w:color w:val="FFFFFF"/>
        </w:rPr>
        <w:t>The Board of Directors Unanimously Recommends a Vote, on an Advisory Basis, FOR Approval of the Compensation of Our Named Executive Officers as Disclosed in This Proxy Statement.</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color w:val="auto"/>
        </w:rPr>
        <w:t>As required by Section 14A of the Exchange Act, we are seeking, on an advisory basis, shareholder approval of the compensation of our NEOs as disclosed above (“say-on-pay” proposal).</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Specifically, shareholders are being asked to approve the following advisory resolution:</w:t>
      </w:r>
    </w:p>
    <w:p>
      <w:pPr>
        <w:spacing w:after="0" w:line="140" w:lineRule="exact"/>
        <w:rPr>
          <w:sz w:val="20"/>
          <w:szCs w:val="20"/>
          <w:color w:val="auto"/>
        </w:rPr>
      </w:pPr>
    </w:p>
    <w:p>
      <w:pPr>
        <w:jc w:val="both"/>
        <w:ind w:left="540" w:right="720"/>
        <w:spacing w:after="0" w:line="243" w:lineRule="auto"/>
        <w:rPr>
          <w:sz w:val="20"/>
          <w:szCs w:val="20"/>
          <w:color w:val="auto"/>
        </w:rPr>
      </w:pPr>
      <w:r>
        <w:rPr>
          <w:rFonts w:ascii="Arial" w:cs="Arial" w:eastAsia="Arial" w:hAnsi="Arial"/>
          <w:sz w:val="14"/>
          <w:szCs w:val="14"/>
          <w:b w:val="1"/>
          <w:bCs w:val="1"/>
          <w:color w:val="auto"/>
        </w:rPr>
        <w:t>RESOLVED</w:t>
      </w:r>
      <w:r>
        <w:rPr>
          <w:rFonts w:ascii="Arial" w:cs="Arial" w:eastAsia="Arial" w:hAnsi="Arial"/>
          <w:sz w:val="14"/>
          <w:szCs w:val="14"/>
          <w:color w:val="auto"/>
        </w:rPr>
        <w:t>, that the shareholders of Regeneron Pharmaceuticals, Inc. hereby approve the compensation of the Company’s Named Executive Officers, as disclosed in</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Company’s proxy statement relating to the Company’s 2024 Annual Meeting (the “Proxy Statement”) pursuant to the compensation disclosure rules of the Securities and Exchange Commission (which disclosure includes the Compensation Discussion and Analysis, the compensation tables, and the related compensation information contained in the Proxy Statement).</w:t>
      </w:r>
    </w:p>
    <w:p>
      <w:pPr>
        <w:spacing w:after="0" w:line="138"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In determining to recommend that shareholders approve the say-on-pay proposal, the board of directors considered, among other factors discussed under “Compensation Discussion and Analysis” above, that the Company had achieved its corporate goals in 2023. Information regarding compensation of the relevant NEOs for 2023 is provided in the Summary Compensation Table included in this proxy statement.</w:t>
      </w:r>
    </w:p>
    <w:p>
      <w:pPr>
        <w:spacing w:after="0" w:line="135" w:lineRule="exact"/>
        <w:rPr>
          <w:sz w:val="20"/>
          <w:szCs w:val="20"/>
          <w:color w:val="auto"/>
        </w:rPr>
      </w:pPr>
    </w:p>
    <w:p>
      <w:pPr>
        <w:jc w:val="both"/>
        <w:ind w:right="60"/>
        <w:spacing w:after="0" w:line="246" w:lineRule="auto"/>
        <w:rPr>
          <w:sz w:val="20"/>
          <w:szCs w:val="20"/>
          <w:color w:val="auto"/>
        </w:rPr>
      </w:pPr>
      <w:r>
        <w:rPr>
          <w:rFonts w:ascii="Arial" w:cs="Arial" w:eastAsia="Arial" w:hAnsi="Arial"/>
          <w:sz w:val="14"/>
          <w:szCs w:val="14"/>
          <w:color w:val="auto"/>
        </w:rPr>
        <w:t>The board of directors unanimously recommends a vote FOR approval of the compensation of our Named Executive Officers as disclosed in this proxy statement. As an advisory vote, this proposal is non-binding on the Company. However, the board of directors and the Compensation Committee value your opinion and will review and consider the voting results in connection with their ongoing evaluation of our compensation program.</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103</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-242570</wp:posOffset>
            </wp:positionV>
            <wp:extent cx="629285" cy="717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14" w:name="page115"/>
    <w:bookmarkEnd w:id="114"/>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6"/>
              </w:rPr>
              <w:t>Other Matters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68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900" w:type="dxa"/>
            <w:vAlign w:val="bottom"/>
            <w:tcBorders>
              <w:bottom w:val="single" w:sz="8" w:color="D60058"/>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221615</wp:posOffset>
            </wp:positionV>
            <wp:extent cx="1429385" cy="2933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429385" cy="29337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50"/>
        <w:spacing w:after="0"/>
        <w:rPr>
          <w:sz w:val="20"/>
          <w:szCs w:val="20"/>
          <w:color w:val="auto"/>
        </w:rPr>
      </w:pPr>
      <w:r>
        <w:rPr>
          <w:rFonts w:ascii="Arial" w:cs="Arial" w:eastAsia="Arial" w:hAnsi="Arial"/>
          <w:sz w:val="21"/>
          <w:szCs w:val="21"/>
          <w:b w:val="1"/>
          <w:bCs w:val="1"/>
          <w:color w:val="FFFFFF"/>
        </w:rPr>
        <w:t>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5180" cy="2432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5180" cy="243205"/>
                    </a:xfrm>
                    <a:prstGeom prst="rect">
                      <a:avLst/>
                    </a:prstGeom>
                    <a:noFill/>
                  </pic:spPr>
                </pic:pic>
              </a:graphicData>
            </a:graphic>
          </wp:anchor>
        </w:drawing>
      </w:r>
    </w:p>
    <w:p>
      <w:pPr>
        <w:spacing w:after="0" w:line="133" w:lineRule="exact"/>
        <w:rPr>
          <w:sz w:val="20"/>
          <w:szCs w:val="20"/>
          <w:color w:val="auto"/>
        </w:rPr>
      </w:pPr>
    </w:p>
    <w:p>
      <w:pPr>
        <w:ind w:left="130"/>
        <w:spacing w:after="0"/>
        <w:rPr>
          <w:sz w:val="20"/>
          <w:szCs w:val="20"/>
          <w:color w:val="auto"/>
        </w:rPr>
      </w:pPr>
      <w:r>
        <w:rPr>
          <w:rFonts w:ascii="Arial" w:cs="Arial" w:eastAsia="Arial" w:hAnsi="Arial"/>
          <w:sz w:val="21"/>
          <w:szCs w:val="21"/>
          <w:b w:val="1"/>
          <w:bCs w:val="1"/>
          <w:color w:val="215AA8"/>
        </w:rPr>
        <w:t>Non-Binding Shareholder Proposal Requesting Simple Majority 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55180" cy="2355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5180" cy="235585"/>
                    </a:xfrm>
                    <a:prstGeom prst="rect">
                      <a:avLst/>
                    </a:prstGeom>
                    <a:noFill/>
                  </pic:spPr>
                </pic:pic>
              </a:graphicData>
            </a:graphic>
          </wp:anchor>
        </w:drawing>
      </w:r>
    </w:p>
    <w:p>
      <w:pPr>
        <w:spacing w:after="0" w:line="163" w:lineRule="exact"/>
        <w:rPr>
          <w:sz w:val="20"/>
          <w:szCs w:val="20"/>
          <w:color w:val="auto"/>
        </w:rPr>
      </w:pPr>
    </w:p>
    <w:p>
      <w:pPr>
        <w:ind w:left="410"/>
        <w:spacing w:after="0"/>
        <w:rPr>
          <w:sz w:val="20"/>
          <w:szCs w:val="20"/>
          <w:color w:val="auto"/>
        </w:rPr>
      </w:pPr>
      <w:r>
        <w:rPr>
          <w:rFonts w:ascii="Arial" w:cs="Arial" w:eastAsia="Arial" w:hAnsi="Arial"/>
          <w:sz w:val="14"/>
          <w:szCs w:val="14"/>
          <w:color w:val="FFFFFF"/>
        </w:rPr>
        <w:t xml:space="preserve">The Board of Directors Unanimously Recommends a Vote </w:t>
      </w:r>
      <w:r>
        <w:rPr>
          <w:rFonts w:ascii="Arial" w:cs="Arial" w:eastAsia="Arial" w:hAnsi="Arial"/>
          <w:sz w:val="14"/>
          <w:szCs w:val="14"/>
          <w:b w:val="1"/>
          <w:bCs w:val="1"/>
          <w:color w:val="FFFFFF"/>
        </w:rPr>
        <w:t>AGAINST</w:t>
      </w:r>
      <w:r>
        <w:rPr>
          <w:rFonts w:ascii="Arial" w:cs="Arial" w:eastAsia="Arial" w:hAnsi="Arial"/>
          <w:sz w:val="14"/>
          <w:szCs w:val="14"/>
          <w:color w:val="FFFFFF"/>
        </w:rPr>
        <w:t xml:space="preserve"> the Shareholder Proposal.</w:t>
      </w:r>
    </w:p>
    <w:p>
      <w:pPr>
        <w:spacing w:after="0" w:line="269" w:lineRule="exact"/>
        <w:rPr>
          <w:sz w:val="20"/>
          <w:szCs w:val="20"/>
          <w:color w:val="auto"/>
        </w:rPr>
      </w:pPr>
    </w:p>
    <w:p>
      <w:pPr>
        <w:ind w:left="10" w:right="60"/>
        <w:spacing w:after="0" w:line="246" w:lineRule="auto"/>
        <w:rPr>
          <w:sz w:val="20"/>
          <w:szCs w:val="20"/>
          <w:color w:val="auto"/>
        </w:rPr>
      </w:pPr>
      <w:r>
        <w:rPr>
          <w:rFonts w:ascii="Arial" w:cs="Arial" w:eastAsia="Arial" w:hAnsi="Arial"/>
          <w:sz w:val="14"/>
          <w:szCs w:val="14"/>
          <w:color w:val="auto"/>
        </w:rPr>
        <w:t>The following shareholder proposal has been submitted to the Company for action at the 2024 Annual Meeting by John Chevedden, a shareholder representing that he beneficially owns 10 shares of the Company’s common stock. The Company is not responsible for any inaccuracies this shareholder proposal may contain. As explained below, the board of directors unanimously recommends a vote AGAINST this proposal. The text of the proposal follows:</w:t>
      </w:r>
    </w:p>
    <w:p>
      <w:pPr>
        <w:spacing w:after="0" w:line="133"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Proposal No. 4 —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106045</wp:posOffset>
            </wp:positionV>
            <wp:extent cx="1786890" cy="3644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786890" cy="36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0" w:right="680"/>
        <w:spacing w:after="0" w:line="242" w:lineRule="auto"/>
        <w:rPr>
          <w:sz w:val="20"/>
          <w:szCs w:val="20"/>
          <w:color w:val="auto"/>
        </w:rPr>
      </w:pPr>
      <w:r>
        <w:rPr>
          <w:rFonts w:ascii="Arial" w:cs="Arial" w:eastAsia="Arial" w:hAnsi="Arial"/>
          <w:sz w:val="14"/>
          <w:szCs w:val="14"/>
          <w:color w:val="auto"/>
        </w:rPr>
        <w:t>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This includes making the necessary changes in plain English.</w:t>
      </w:r>
    </w:p>
    <w:p>
      <w:pPr>
        <w:spacing w:after="0" w:line="139" w:lineRule="exact"/>
        <w:rPr>
          <w:sz w:val="20"/>
          <w:szCs w:val="20"/>
          <w:color w:val="auto"/>
        </w:rPr>
      </w:pPr>
    </w:p>
    <w:p>
      <w:pPr>
        <w:ind w:left="550" w:right="600"/>
        <w:spacing w:after="0" w:line="242" w:lineRule="auto"/>
        <w:rPr>
          <w:sz w:val="20"/>
          <w:szCs w:val="20"/>
          <w:color w:val="auto"/>
        </w:rPr>
      </w:pPr>
      <w:r>
        <w:rPr>
          <w:rFonts w:ascii="Arial" w:cs="Arial" w:eastAsia="Arial" w:hAnsi="Arial"/>
          <w:sz w:val="14"/>
          <w:szCs w:val="14"/>
          <w:color w:val="auto"/>
        </w:rPr>
        <w:t>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are used to block initiatives supported by most shareowners but opposed by a status quo management.</w:t>
      </w:r>
    </w:p>
    <w:p>
      <w:pPr>
        <w:spacing w:after="0" w:line="139" w:lineRule="exact"/>
        <w:rPr>
          <w:sz w:val="20"/>
          <w:szCs w:val="20"/>
          <w:color w:val="auto"/>
        </w:rPr>
      </w:pPr>
    </w:p>
    <w:p>
      <w:pPr>
        <w:jc w:val="both"/>
        <w:ind w:left="550" w:right="840"/>
        <w:spacing w:after="0" w:line="246" w:lineRule="auto"/>
        <w:rPr>
          <w:sz w:val="20"/>
          <w:szCs w:val="20"/>
          <w:color w:val="auto"/>
        </w:rPr>
      </w:pPr>
      <w:r>
        <w:rPr>
          <w:rFonts w:ascii="Arial" w:cs="Arial" w:eastAsia="Arial" w:hAnsi="Arial"/>
          <w:sz w:val="14"/>
          <w:szCs w:val="14"/>
          <w:color w:val="auto"/>
        </w:rPr>
        <w:t>This proposal topic won from 74% to 88% support at Weyerhaeuser, Alcoa, Waste Management, Goldman Sachs, FirstEnergy, McGraw-Hill and Macy’s. These votes would have been higher than 74% to 88% if more shareholders had access to independent proxy voting advice. This proposal topic also received overwhelming 98%-support each at the 2023 annual meetings of American Airlines (AAL) and The Carlyle Group (CG).</w:t>
      </w:r>
    </w:p>
    <w:p>
      <w:pPr>
        <w:spacing w:after="0" w:line="135" w:lineRule="exact"/>
        <w:rPr>
          <w:sz w:val="20"/>
          <w:szCs w:val="20"/>
          <w:color w:val="auto"/>
        </w:rPr>
      </w:pPr>
    </w:p>
    <w:p>
      <w:pPr>
        <w:ind w:left="550" w:right="760"/>
        <w:spacing w:after="0" w:line="257" w:lineRule="auto"/>
        <w:rPr>
          <w:sz w:val="20"/>
          <w:szCs w:val="20"/>
          <w:color w:val="auto"/>
        </w:rPr>
      </w:pPr>
      <w:r>
        <w:rPr>
          <w:rFonts w:ascii="Arial" w:cs="Arial" w:eastAsia="Arial" w:hAnsi="Arial"/>
          <w:sz w:val="14"/>
          <w:szCs w:val="14"/>
          <w:color w:val="auto"/>
        </w:rPr>
        <w:t>The overwhelming shareholder support for this proposal topic at hundreds of major companies raises the question of why Regeneron Pharmaceuticals had not initiated this proposal topic on its own.</w:t>
      </w:r>
    </w:p>
    <w:p>
      <w:pPr>
        <w:spacing w:after="0" w:line="128" w:lineRule="exact"/>
        <w:rPr>
          <w:sz w:val="20"/>
          <w:szCs w:val="20"/>
          <w:color w:val="auto"/>
        </w:rPr>
      </w:pPr>
    </w:p>
    <w:p>
      <w:pPr>
        <w:jc w:val="center"/>
        <w:ind w:right="-9"/>
        <w:spacing w:after="0"/>
        <w:rPr>
          <w:sz w:val="20"/>
          <w:szCs w:val="20"/>
          <w:color w:val="auto"/>
        </w:rPr>
      </w:pPr>
      <w:r>
        <w:rPr>
          <w:rFonts w:ascii="Arial" w:cs="Arial" w:eastAsia="Arial" w:hAnsi="Arial"/>
          <w:sz w:val="14"/>
          <w:szCs w:val="14"/>
          <w:color w:val="auto"/>
        </w:rPr>
        <w:t>Please vote yes:</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Simple Majority Vote — Proposal No. 4</w:t>
      </w:r>
    </w:p>
    <w:p>
      <w:pPr>
        <w:spacing w:after="0" w:line="142" w:lineRule="exact"/>
        <w:rPr>
          <w:sz w:val="20"/>
          <w:szCs w:val="20"/>
          <w:color w:val="auto"/>
        </w:rPr>
      </w:pPr>
    </w:p>
    <w:p>
      <w:pPr>
        <w:ind w:left="10"/>
        <w:spacing w:after="0"/>
        <w:rPr>
          <w:sz w:val="20"/>
          <w:szCs w:val="20"/>
          <w:color w:val="auto"/>
        </w:rPr>
      </w:pPr>
      <w:r>
        <w:rPr>
          <w:rFonts w:ascii="Arial" w:cs="Arial" w:eastAsia="Arial" w:hAnsi="Arial"/>
          <w:sz w:val="14"/>
          <w:szCs w:val="14"/>
          <w:b w:val="1"/>
          <w:bCs w:val="1"/>
          <w:i w:val="1"/>
          <w:iCs w:val="1"/>
          <w:color w:val="215AA8"/>
        </w:rPr>
        <w:t>Management’s Statement in Opposition</w:t>
      </w:r>
    </w:p>
    <w:p>
      <w:pPr>
        <w:spacing w:after="0" w:line="154" w:lineRule="exact"/>
        <w:rPr>
          <w:sz w:val="20"/>
          <w:szCs w:val="20"/>
          <w:color w:val="auto"/>
        </w:rPr>
      </w:pPr>
    </w:p>
    <w:p>
      <w:pPr>
        <w:ind w:left="10" w:right="260"/>
        <w:spacing w:after="0" w:line="340" w:lineRule="auto"/>
        <w:rPr>
          <w:sz w:val="20"/>
          <w:szCs w:val="20"/>
          <w:color w:val="auto"/>
        </w:rPr>
      </w:pPr>
      <w:r>
        <w:rPr>
          <w:rFonts w:ascii="Arial" w:cs="Arial" w:eastAsia="Arial" w:hAnsi="Arial"/>
          <w:sz w:val="12"/>
          <w:szCs w:val="12"/>
          <w:color w:val="auto"/>
        </w:rPr>
        <w:t>We believe that the change in voting requirements requested by the proposal is unnecessary and against the interests of our company and shareholders. After careful consideration, the board of directors unanimously recommends that shareholders vote AGAINST this shareholder proposal. The reasons for the board’s recommendation include the following:</w:t>
      </w:r>
    </w:p>
    <w:p>
      <w:pPr>
        <w:spacing w:after="0" w:line="82" w:lineRule="exact"/>
        <w:rPr>
          <w:sz w:val="20"/>
          <w:szCs w:val="20"/>
          <w:color w:val="auto"/>
        </w:rPr>
      </w:pPr>
    </w:p>
    <w:p>
      <w:pPr>
        <w:ind w:left="150" w:hanging="150"/>
        <w:spacing w:after="0"/>
        <w:tabs>
          <w:tab w:leader="none" w:pos="150" w:val="left"/>
        </w:tabs>
        <w:numPr>
          <w:ilvl w:val="0"/>
          <w:numId w:val="195"/>
        </w:numPr>
        <w:rPr>
          <w:rFonts w:ascii="Arial" w:cs="Arial" w:eastAsia="Arial" w:hAnsi="Arial"/>
          <w:sz w:val="14"/>
          <w:szCs w:val="14"/>
          <w:color w:val="215AA8"/>
        </w:rPr>
      </w:pPr>
      <w:r>
        <w:rPr>
          <w:rFonts w:ascii="Arial" w:cs="Arial" w:eastAsia="Arial" w:hAnsi="Arial"/>
          <w:sz w:val="14"/>
          <w:szCs w:val="14"/>
          <w:i w:val="1"/>
          <w:iCs w:val="1"/>
          <w:color w:val="auto"/>
        </w:rPr>
        <w:t>The Company has limited supermajority voting requirements, which are narrowly tailored to protect shareholder interests.</w:t>
      </w:r>
    </w:p>
    <w:p>
      <w:pPr>
        <w:spacing w:after="0" w:line="75" w:lineRule="exact"/>
        <w:rPr>
          <w:rFonts w:ascii="Arial" w:cs="Arial" w:eastAsia="Arial" w:hAnsi="Arial"/>
          <w:sz w:val="14"/>
          <w:szCs w:val="14"/>
          <w:color w:val="215AA8"/>
        </w:rPr>
      </w:pPr>
    </w:p>
    <w:p>
      <w:pPr>
        <w:ind w:left="290" w:right="260" w:hanging="144"/>
        <w:spacing w:after="0" w:line="257" w:lineRule="auto"/>
        <w:tabs>
          <w:tab w:leader="none" w:pos="290" w:val="left"/>
        </w:tabs>
        <w:numPr>
          <w:ilvl w:val="1"/>
          <w:numId w:val="195"/>
        </w:numPr>
        <w:rPr>
          <w:rFonts w:ascii="Arial" w:cs="Arial" w:eastAsia="Arial" w:hAnsi="Arial"/>
          <w:sz w:val="14"/>
          <w:szCs w:val="14"/>
          <w:color w:val="215AA8"/>
        </w:rPr>
      </w:pPr>
      <w:r>
        <w:rPr>
          <w:rFonts w:ascii="Arial" w:cs="Arial" w:eastAsia="Arial" w:hAnsi="Arial"/>
          <w:sz w:val="14"/>
          <w:szCs w:val="14"/>
          <w:color w:val="auto"/>
        </w:rPr>
        <w:t>Regeneron’s Certificate of Incorporation (the “Certificate”) includes only two limited provisions that require a supermajority vote of shareholders: (1) provisions relating to mandatory conversion of Class A stock to common stock upon a transfer may not be amended without the affirmative vote of holders of the majority of shares of Class</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104</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6261735</wp:posOffset>
            </wp:positionH>
            <wp:positionV relativeFrom="paragraph">
              <wp:posOffset>-242570</wp:posOffset>
            </wp:positionV>
            <wp:extent cx="629285" cy="717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15" w:name="page116"/>
    <w:bookmarkEnd w:id="115"/>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6"/>
              </w:rPr>
              <w:t>Other Matters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68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900" w:type="dxa"/>
            <w:vAlign w:val="bottom"/>
            <w:tcBorders>
              <w:bottom w:val="single" w:sz="8" w:color="D60058"/>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310" w:right="200"/>
        <w:spacing w:after="0" w:line="257" w:lineRule="auto"/>
        <w:rPr>
          <w:sz w:val="20"/>
          <w:szCs w:val="20"/>
          <w:color w:val="auto"/>
        </w:rPr>
      </w:pPr>
      <w:r>
        <w:rPr>
          <w:rFonts w:ascii="Arial" w:cs="Arial" w:eastAsia="Arial" w:hAnsi="Arial"/>
          <w:sz w:val="14"/>
          <w:szCs w:val="14"/>
          <w:color w:val="auto"/>
        </w:rPr>
        <w:t>A stock and holders of two-thirds of the shares of common stock, each voting separately as a class; and (2) directors may be removed only for cause and by an affirmative vote of at least 80% of the outstanding shares of all classes of capital stock entitled to vote in the election of directors.</w:t>
      </w:r>
    </w:p>
    <w:p>
      <w:pPr>
        <w:spacing w:after="0" w:line="49" w:lineRule="exact"/>
        <w:rPr>
          <w:sz w:val="20"/>
          <w:szCs w:val="20"/>
          <w:color w:val="auto"/>
        </w:rPr>
      </w:pPr>
    </w:p>
    <w:p>
      <w:pPr>
        <w:ind w:left="290" w:right="80" w:hanging="144"/>
        <w:spacing w:after="0" w:line="242" w:lineRule="auto"/>
        <w:tabs>
          <w:tab w:leader="none" w:pos="290" w:val="left"/>
        </w:tabs>
        <w:numPr>
          <w:ilvl w:val="1"/>
          <w:numId w:val="196"/>
        </w:numPr>
        <w:rPr>
          <w:rFonts w:ascii="Arial" w:cs="Arial" w:eastAsia="Arial" w:hAnsi="Arial"/>
          <w:sz w:val="14"/>
          <w:szCs w:val="14"/>
          <w:color w:val="215AA8"/>
        </w:rPr>
      </w:pPr>
      <w:r>
        <w:rPr>
          <w:rFonts w:ascii="Arial" w:cs="Arial" w:eastAsia="Arial" w:hAnsi="Arial"/>
          <w:sz w:val="14"/>
          <w:szCs w:val="14"/>
          <w:color w:val="auto"/>
        </w:rPr>
        <w:t>New York law permits companies to adopt supermajority voting requirements, and a number of publicly traded companies have adopted these provisions. These provisions of the Certificate are designed to preserve and maximize long-term value for all shareholders, as supermajority voting requirements on a narrow set of fundamental corporate matters help to protect shareholders against self-interested and potentially abusive actions proposed by one or a few large shareholders who may seek to advance their interests over the interests of the Company’s shareholders generally.</w:t>
      </w:r>
    </w:p>
    <w:p>
      <w:pPr>
        <w:spacing w:after="0" w:line="59" w:lineRule="exact"/>
        <w:rPr>
          <w:rFonts w:ascii="Arial" w:cs="Arial" w:eastAsia="Arial" w:hAnsi="Arial"/>
          <w:sz w:val="14"/>
          <w:szCs w:val="14"/>
          <w:color w:val="215AA8"/>
        </w:rPr>
      </w:pPr>
    </w:p>
    <w:p>
      <w:pPr>
        <w:ind w:left="150" w:hanging="150"/>
        <w:spacing w:after="0"/>
        <w:tabs>
          <w:tab w:leader="none" w:pos="150" w:val="left"/>
        </w:tabs>
        <w:numPr>
          <w:ilvl w:val="0"/>
          <w:numId w:val="196"/>
        </w:numPr>
        <w:rPr>
          <w:rFonts w:ascii="Arial" w:cs="Arial" w:eastAsia="Arial" w:hAnsi="Arial"/>
          <w:sz w:val="14"/>
          <w:szCs w:val="14"/>
          <w:color w:val="215AA8"/>
        </w:rPr>
      </w:pPr>
      <w:r>
        <w:rPr>
          <w:rFonts w:ascii="Arial" w:cs="Arial" w:eastAsia="Arial" w:hAnsi="Arial"/>
          <w:sz w:val="14"/>
          <w:szCs w:val="14"/>
          <w:i w:val="1"/>
          <w:iCs w:val="1"/>
          <w:color w:val="auto"/>
        </w:rPr>
        <w:t>Our current governance structure provides and promotes effective board oversight.</w:t>
      </w:r>
    </w:p>
    <w:p>
      <w:pPr>
        <w:spacing w:after="0" w:line="75" w:lineRule="exact"/>
        <w:rPr>
          <w:rFonts w:ascii="Arial" w:cs="Arial" w:eastAsia="Arial" w:hAnsi="Arial"/>
          <w:sz w:val="14"/>
          <w:szCs w:val="14"/>
          <w:color w:val="215AA8"/>
        </w:rPr>
      </w:pPr>
    </w:p>
    <w:p>
      <w:pPr>
        <w:ind w:left="290" w:hanging="144"/>
        <w:spacing w:after="0" w:line="257" w:lineRule="auto"/>
        <w:tabs>
          <w:tab w:leader="none" w:pos="290" w:val="left"/>
        </w:tabs>
        <w:numPr>
          <w:ilvl w:val="1"/>
          <w:numId w:val="196"/>
        </w:numPr>
        <w:rPr>
          <w:rFonts w:ascii="Arial" w:cs="Arial" w:eastAsia="Arial" w:hAnsi="Arial"/>
          <w:sz w:val="14"/>
          <w:szCs w:val="14"/>
          <w:color w:val="215AA8"/>
        </w:rPr>
      </w:pPr>
      <w:r>
        <w:rPr>
          <w:rFonts w:ascii="Arial" w:cs="Arial" w:eastAsia="Arial" w:hAnsi="Arial"/>
          <w:sz w:val="14"/>
          <w:szCs w:val="14"/>
          <w:color w:val="auto"/>
        </w:rPr>
        <w:t>Our board (which is comprised substantially of independent directors) is committed to effective corporate governance and accountability, and has adopted a wide range of practices that promote effective board oversight and address the proposal’s concerns regarding potential management and board entrenchment. These include:</w:t>
      </w:r>
    </w:p>
    <w:p>
      <w:pPr>
        <w:spacing w:after="0" w:line="49" w:lineRule="exact"/>
        <w:rPr>
          <w:rFonts w:ascii="Arial" w:cs="Arial" w:eastAsia="Arial" w:hAnsi="Arial"/>
          <w:sz w:val="14"/>
          <w:szCs w:val="14"/>
          <w:color w:val="215AA8"/>
        </w:rPr>
      </w:pPr>
    </w:p>
    <w:p>
      <w:pPr>
        <w:ind w:left="430" w:hanging="137"/>
        <w:spacing w:after="0"/>
        <w:tabs>
          <w:tab w:leader="none" w:pos="430" w:val="left"/>
        </w:tabs>
        <w:numPr>
          <w:ilvl w:val="2"/>
          <w:numId w:val="196"/>
        </w:numPr>
        <w:rPr>
          <w:rFonts w:ascii="Arial" w:cs="Arial" w:eastAsia="Arial" w:hAnsi="Arial"/>
          <w:sz w:val="14"/>
          <w:szCs w:val="14"/>
          <w:color w:val="215AA8"/>
        </w:rPr>
      </w:pPr>
      <w:r>
        <w:rPr>
          <w:rFonts w:ascii="Arial" w:cs="Arial" w:eastAsia="Arial" w:hAnsi="Arial"/>
          <w:sz w:val="14"/>
          <w:szCs w:val="14"/>
          <w:color w:val="auto"/>
        </w:rPr>
        <w:t>the board is comprised of highly qualified directors who have demonstrated business acumen and an ability to exercise sound judgment;</w:t>
      </w:r>
    </w:p>
    <w:p>
      <w:pPr>
        <w:spacing w:after="0" w:line="64" w:lineRule="exact"/>
        <w:rPr>
          <w:rFonts w:ascii="Arial" w:cs="Arial" w:eastAsia="Arial" w:hAnsi="Arial"/>
          <w:sz w:val="14"/>
          <w:szCs w:val="14"/>
          <w:color w:val="215AA8"/>
        </w:rPr>
      </w:pPr>
    </w:p>
    <w:p>
      <w:pPr>
        <w:ind w:left="430" w:right="540" w:hanging="137"/>
        <w:spacing w:after="0" w:line="246" w:lineRule="auto"/>
        <w:tabs>
          <w:tab w:leader="none" w:pos="430" w:val="left"/>
        </w:tabs>
        <w:numPr>
          <w:ilvl w:val="2"/>
          <w:numId w:val="196"/>
        </w:numPr>
        <w:rPr>
          <w:rFonts w:ascii="Arial" w:cs="Arial" w:eastAsia="Arial" w:hAnsi="Arial"/>
          <w:sz w:val="14"/>
          <w:szCs w:val="14"/>
          <w:color w:val="215AA8"/>
        </w:rPr>
      </w:pPr>
      <w:r>
        <w:rPr>
          <w:rFonts w:ascii="Arial" w:cs="Arial" w:eastAsia="Arial" w:hAnsi="Arial"/>
          <w:sz w:val="14"/>
          <w:szCs w:val="14"/>
          <w:color w:val="auto"/>
        </w:rPr>
        <w:t>the Corporate Governance and Compliance Committee’s (the “Committee”) board refreshment philosophy prioritizes skills that it considers important and desirable based on Regeneron’s current needs and business priorities, while recognizing that our directors must have predominantly science-based backgrounds to effectively provide robust, independent oversight of management;</w:t>
      </w:r>
    </w:p>
    <w:p>
      <w:pPr>
        <w:spacing w:after="0" w:line="45" w:lineRule="exact"/>
        <w:rPr>
          <w:rFonts w:ascii="Arial" w:cs="Arial" w:eastAsia="Arial" w:hAnsi="Arial"/>
          <w:sz w:val="14"/>
          <w:szCs w:val="14"/>
          <w:color w:val="215AA8"/>
        </w:rPr>
      </w:pPr>
    </w:p>
    <w:p>
      <w:pPr>
        <w:ind w:left="430" w:hanging="137"/>
        <w:spacing w:after="0"/>
        <w:tabs>
          <w:tab w:leader="none" w:pos="430" w:val="left"/>
        </w:tabs>
        <w:numPr>
          <w:ilvl w:val="2"/>
          <w:numId w:val="196"/>
        </w:numPr>
        <w:rPr>
          <w:rFonts w:ascii="Arial" w:cs="Arial" w:eastAsia="Arial" w:hAnsi="Arial"/>
          <w:sz w:val="14"/>
          <w:szCs w:val="14"/>
          <w:color w:val="215AA8"/>
        </w:rPr>
      </w:pPr>
      <w:r>
        <w:rPr>
          <w:rFonts w:ascii="Arial" w:cs="Arial" w:eastAsia="Arial" w:hAnsi="Arial"/>
          <w:sz w:val="14"/>
          <w:szCs w:val="14"/>
          <w:color w:val="auto"/>
        </w:rPr>
        <w:t>pursuant to this board refreshment philosophy, Regeneron has added three new directors over the past two years;</w:t>
      </w:r>
    </w:p>
    <w:p>
      <w:pPr>
        <w:spacing w:after="0" w:line="64" w:lineRule="exact"/>
        <w:rPr>
          <w:rFonts w:ascii="Arial" w:cs="Arial" w:eastAsia="Arial" w:hAnsi="Arial"/>
          <w:sz w:val="14"/>
          <w:szCs w:val="14"/>
          <w:color w:val="215AA8"/>
        </w:rPr>
      </w:pPr>
    </w:p>
    <w:p>
      <w:pPr>
        <w:ind w:left="430" w:hanging="137"/>
        <w:spacing w:after="0"/>
        <w:tabs>
          <w:tab w:leader="none" w:pos="430" w:val="left"/>
        </w:tabs>
        <w:numPr>
          <w:ilvl w:val="2"/>
          <w:numId w:val="196"/>
        </w:numPr>
        <w:rPr>
          <w:rFonts w:ascii="Arial" w:cs="Arial" w:eastAsia="Arial" w:hAnsi="Arial"/>
          <w:sz w:val="14"/>
          <w:szCs w:val="14"/>
          <w:color w:val="215AA8"/>
        </w:rPr>
      </w:pPr>
      <w:r>
        <w:rPr>
          <w:rFonts w:ascii="Arial" w:cs="Arial" w:eastAsia="Arial" w:hAnsi="Arial"/>
          <w:sz w:val="14"/>
          <w:szCs w:val="14"/>
          <w:color w:val="auto"/>
        </w:rPr>
        <w:t>the Committee oversees a formal annual board and committee self-evaluation, designed to ensure effective performance and to identify opportunities for improvement;</w:t>
      </w:r>
    </w:p>
    <w:p>
      <w:pPr>
        <w:spacing w:after="0" w:line="64" w:lineRule="exact"/>
        <w:rPr>
          <w:rFonts w:ascii="Arial" w:cs="Arial" w:eastAsia="Arial" w:hAnsi="Arial"/>
          <w:sz w:val="14"/>
          <w:szCs w:val="14"/>
          <w:color w:val="215AA8"/>
        </w:rPr>
      </w:pPr>
    </w:p>
    <w:p>
      <w:pPr>
        <w:ind w:left="430" w:right="180" w:hanging="137"/>
        <w:spacing w:after="0" w:line="257" w:lineRule="auto"/>
        <w:tabs>
          <w:tab w:leader="none" w:pos="430" w:val="left"/>
        </w:tabs>
        <w:numPr>
          <w:ilvl w:val="2"/>
          <w:numId w:val="196"/>
        </w:numPr>
        <w:rPr>
          <w:rFonts w:ascii="Arial" w:cs="Arial" w:eastAsia="Arial" w:hAnsi="Arial"/>
          <w:sz w:val="14"/>
          <w:szCs w:val="14"/>
          <w:color w:val="215AA8"/>
        </w:rPr>
      </w:pPr>
      <w:r>
        <w:rPr>
          <w:rFonts w:ascii="Arial" w:cs="Arial" w:eastAsia="Arial" w:hAnsi="Arial"/>
          <w:sz w:val="14"/>
          <w:szCs w:val="14"/>
          <w:color w:val="auto"/>
        </w:rPr>
        <w:t>the board and management annually seek to engage with shareholders in direct one-on-one discussions collectively representing in excess of 50% of the shares of common stock outstanding (excluding shares held by our directors and executive officers);</w:t>
      </w:r>
    </w:p>
    <w:p>
      <w:pPr>
        <w:spacing w:after="0" w:line="37" w:lineRule="exact"/>
        <w:rPr>
          <w:rFonts w:ascii="Arial" w:cs="Arial" w:eastAsia="Arial" w:hAnsi="Arial"/>
          <w:sz w:val="14"/>
          <w:szCs w:val="14"/>
          <w:color w:val="215AA8"/>
        </w:rPr>
      </w:pPr>
    </w:p>
    <w:p>
      <w:pPr>
        <w:ind w:left="430" w:hanging="137"/>
        <w:spacing w:after="0"/>
        <w:tabs>
          <w:tab w:leader="none" w:pos="430" w:val="left"/>
        </w:tabs>
        <w:numPr>
          <w:ilvl w:val="2"/>
          <w:numId w:val="196"/>
        </w:numPr>
        <w:rPr>
          <w:rFonts w:ascii="Arial" w:cs="Arial" w:eastAsia="Arial" w:hAnsi="Arial"/>
          <w:sz w:val="14"/>
          <w:szCs w:val="14"/>
          <w:color w:val="215AA8"/>
        </w:rPr>
      </w:pPr>
      <w:r>
        <w:rPr>
          <w:rFonts w:ascii="Arial" w:cs="Arial" w:eastAsia="Arial" w:hAnsi="Arial"/>
          <w:sz w:val="14"/>
          <w:szCs w:val="14"/>
          <w:color w:val="auto"/>
        </w:rPr>
        <w:t>directors are elected by a majority of the votes cast in uncontested elections; and</w:t>
      </w:r>
    </w:p>
    <w:p>
      <w:pPr>
        <w:spacing w:after="0" w:line="64" w:lineRule="exact"/>
        <w:rPr>
          <w:rFonts w:ascii="Arial" w:cs="Arial" w:eastAsia="Arial" w:hAnsi="Arial"/>
          <w:sz w:val="14"/>
          <w:szCs w:val="14"/>
          <w:color w:val="215AA8"/>
        </w:rPr>
      </w:pPr>
    </w:p>
    <w:p>
      <w:pPr>
        <w:ind w:left="430" w:right="800" w:hanging="137"/>
        <w:spacing w:after="0" w:line="257" w:lineRule="auto"/>
        <w:tabs>
          <w:tab w:leader="none" w:pos="430" w:val="left"/>
        </w:tabs>
        <w:numPr>
          <w:ilvl w:val="2"/>
          <w:numId w:val="196"/>
        </w:numPr>
        <w:rPr>
          <w:rFonts w:ascii="Arial" w:cs="Arial" w:eastAsia="Arial" w:hAnsi="Arial"/>
          <w:sz w:val="14"/>
          <w:szCs w:val="14"/>
          <w:color w:val="215AA8"/>
        </w:rPr>
      </w:pPr>
      <w:r>
        <w:rPr>
          <w:rFonts w:ascii="Arial" w:cs="Arial" w:eastAsia="Arial" w:hAnsi="Arial"/>
          <w:sz w:val="14"/>
          <w:szCs w:val="14"/>
          <w:color w:val="auto"/>
        </w:rPr>
        <w:t>Regeneron’s shareholders have the right to call a special shareholder meeting upon the written request of at least 25% of the total number of votes entitled to be cast by shareholders.</w:t>
      </w:r>
    </w:p>
    <w:p>
      <w:pPr>
        <w:spacing w:after="0" w:line="37" w:lineRule="exact"/>
        <w:rPr>
          <w:rFonts w:ascii="Arial" w:cs="Arial" w:eastAsia="Arial" w:hAnsi="Arial"/>
          <w:sz w:val="14"/>
          <w:szCs w:val="14"/>
          <w:color w:val="215AA8"/>
        </w:rPr>
      </w:pPr>
    </w:p>
    <w:p>
      <w:pPr>
        <w:ind w:left="290" w:right="280" w:hanging="144"/>
        <w:spacing w:after="0" w:line="257" w:lineRule="auto"/>
        <w:tabs>
          <w:tab w:leader="none" w:pos="290" w:val="left"/>
        </w:tabs>
        <w:numPr>
          <w:ilvl w:val="1"/>
          <w:numId w:val="196"/>
        </w:numPr>
        <w:rPr>
          <w:rFonts w:ascii="Arial" w:cs="Arial" w:eastAsia="Arial" w:hAnsi="Arial"/>
          <w:sz w:val="14"/>
          <w:szCs w:val="14"/>
          <w:color w:val="215AA8"/>
        </w:rPr>
      </w:pPr>
      <w:r>
        <w:rPr>
          <w:rFonts w:ascii="Arial" w:cs="Arial" w:eastAsia="Arial" w:hAnsi="Arial"/>
          <w:sz w:val="14"/>
          <w:szCs w:val="14"/>
          <w:color w:val="auto"/>
        </w:rPr>
        <w:t>Consistent with its current practice, the board will continue to evaluate the future implementation of appropriate corporate governance changes. However, for the reasons described above, the board does not believe it is in the best interests of Regeneron or our shareholders to implement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155180" cy="2857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5180" cy="285750"/>
                    </a:xfrm>
                    <a:prstGeom prst="rect">
                      <a:avLst/>
                    </a:prstGeom>
                    <a:noFill/>
                  </pic:spPr>
                </pic:pic>
              </a:graphicData>
            </a:graphic>
          </wp:anchor>
        </w:drawing>
      </w:r>
    </w:p>
    <w:p>
      <w:pPr>
        <w:spacing w:after="0" w:line="252" w:lineRule="exact"/>
        <w:rPr>
          <w:sz w:val="20"/>
          <w:szCs w:val="20"/>
          <w:color w:val="auto"/>
        </w:rPr>
      </w:pPr>
    </w:p>
    <w:p>
      <w:pPr>
        <w:ind w:left="490"/>
        <w:spacing w:after="0"/>
        <w:rPr>
          <w:sz w:val="20"/>
          <w:szCs w:val="20"/>
          <w:color w:val="auto"/>
        </w:rPr>
      </w:pPr>
      <w:r>
        <w:rPr>
          <w:rFonts w:ascii="Arial" w:cs="Arial" w:eastAsia="Arial" w:hAnsi="Arial"/>
          <w:sz w:val="14"/>
          <w:szCs w:val="14"/>
          <w:color w:val="FFFFFF"/>
        </w:rPr>
        <w:t xml:space="preserve">The board of directors unanimously recommends a vote </w:t>
      </w:r>
      <w:r>
        <w:rPr>
          <w:rFonts w:ascii="Arial" w:cs="Arial" w:eastAsia="Arial" w:hAnsi="Arial"/>
          <w:sz w:val="14"/>
          <w:szCs w:val="14"/>
          <w:b w:val="1"/>
          <w:bCs w:val="1"/>
          <w:color w:val="FFFFFF"/>
        </w:rPr>
        <w:t>AGAINST</w:t>
      </w:r>
      <w:r>
        <w:rPr>
          <w:rFonts w:ascii="Arial" w:cs="Arial" w:eastAsia="Arial" w:hAnsi="Arial"/>
          <w:sz w:val="14"/>
          <w:szCs w:val="14"/>
          <w:color w:val="FFFFFF"/>
        </w:rPr>
        <w:t xml:space="preserve"> this shareholder proposal.</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105</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6261735</wp:posOffset>
            </wp:positionH>
            <wp:positionV relativeFrom="paragraph">
              <wp:posOffset>-242570</wp:posOffset>
            </wp:positionV>
            <wp:extent cx="629285" cy="717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6"/>
              </w:rPr>
              <w:t>Other Matters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68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900" w:type="dxa"/>
            <w:vAlign w:val="bottom"/>
            <w:tcBorders>
              <w:bottom w:val="single" w:sz="8" w:color="D60058"/>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0" w:right="1460"/>
        <w:spacing w:after="0" w:line="286" w:lineRule="auto"/>
        <w:rPr>
          <w:sz w:val="20"/>
          <w:szCs w:val="20"/>
          <w:color w:val="auto"/>
        </w:rPr>
      </w:pPr>
      <w:r>
        <w:rPr>
          <w:rFonts w:ascii="Arial" w:cs="Arial" w:eastAsia="Arial" w:hAnsi="Arial"/>
          <w:sz w:val="42"/>
          <w:szCs w:val="42"/>
          <w:b w:val="1"/>
          <w:bCs w:val="1"/>
          <w:color w:val="215AA8"/>
        </w:rPr>
        <w:t>General Information about the Meeting and Other Matters</w:t>
      </w:r>
    </w:p>
    <w:p>
      <w:pPr>
        <w:spacing w:after="0" w:line="4"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When is the Annual Meeting?</w:t>
      </w:r>
    </w:p>
    <w:p>
      <w:pPr>
        <w:spacing w:after="0" w:line="156" w:lineRule="exact"/>
        <w:rPr>
          <w:sz w:val="20"/>
          <w:szCs w:val="20"/>
          <w:color w:val="auto"/>
        </w:rPr>
      </w:pPr>
    </w:p>
    <w:p>
      <w:pPr>
        <w:ind w:left="10"/>
        <w:spacing w:after="0"/>
        <w:rPr>
          <w:sz w:val="20"/>
          <w:szCs w:val="20"/>
          <w:color w:val="auto"/>
        </w:rPr>
      </w:pPr>
      <w:r>
        <w:rPr>
          <w:rFonts w:ascii="Arial" w:cs="Arial" w:eastAsia="Arial" w:hAnsi="Arial"/>
          <w:sz w:val="14"/>
          <w:szCs w:val="14"/>
          <w:color w:val="auto"/>
        </w:rPr>
        <w:t>June 14, 2024</w:t>
      </w:r>
    </w:p>
    <w:p>
      <w:pPr>
        <w:spacing w:after="0" w:line="152"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What time is the Annual Meeting?</w:t>
      </w:r>
    </w:p>
    <w:p>
      <w:pPr>
        <w:spacing w:after="0" w:line="156" w:lineRule="exact"/>
        <w:rPr>
          <w:sz w:val="20"/>
          <w:szCs w:val="20"/>
          <w:color w:val="auto"/>
        </w:rPr>
      </w:pPr>
    </w:p>
    <w:p>
      <w:pPr>
        <w:ind w:left="10"/>
        <w:spacing w:after="0"/>
        <w:rPr>
          <w:sz w:val="20"/>
          <w:szCs w:val="20"/>
          <w:color w:val="auto"/>
        </w:rPr>
      </w:pPr>
      <w:r>
        <w:rPr>
          <w:rFonts w:ascii="Arial" w:cs="Arial" w:eastAsia="Arial" w:hAnsi="Arial"/>
          <w:sz w:val="14"/>
          <w:szCs w:val="14"/>
          <w:color w:val="auto"/>
        </w:rPr>
        <w:t>10:30 a.m., ET</w:t>
      </w:r>
    </w:p>
    <w:p>
      <w:pPr>
        <w:spacing w:after="0" w:line="152"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Where is the Annual Meeting?</w:t>
      </w:r>
    </w:p>
    <w:p>
      <w:pPr>
        <w:spacing w:after="0" w:line="154" w:lineRule="exact"/>
        <w:rPr>
          <w:sz w:val="20"/>
          <w:szCs w:val="20"/>
          <w:color w:val="auto"/>
        </w:rPr>
      </w:pPr>
    </w:p>
    <w:p>
      <w:pPr>
        <w:ind w:left="10" w:right="600"/>
        <w:spacing w:after="0" w:line="260" w:lineRule="auto"/>
        <w:rPr>
          <w:sz w:val="20"/>
          <w:szCs w:val="20"/>
          <w:color w:val="auto"/>
        </w:rPr>
      </w:pPr>
      <w:r>
        <w:rPr>
          <w:rFonts w:ascii="Arial" w:cs="Arial" w:eastAsia="Arial" w:hAnsi="Arial"/>
          <w:sz w:val="14"/>
          <w:szCs w:val="14"/>
          <w:color w:val="auto"/>
        </w:rPr>
        <w:t xml:space="preserve">The Annual Meeting will be held virtually via the Internet at </w:t>
      </w:r>
      <w:r>
        <w:rPr>
          <w:rFonts w:ascii="Arial" w:cs="Arial" w:eastAsia="Arial" w:hAnsi="Arial"/>
          <w:sz w:val="14"/>
          <w:szCs w:val="14"/>
          <w:b w:val="1"/>
          <w:bCs w:val="1"/>
          <w:color w:val="215AA8"/>
        </w:rPr>
        <w:t>www.virtualshareholdermeeting.com/REGN2024</w:t>
      </w:r>
      <w:r>
        <w:rPr>
          <w:rFonts w:ascii="Arial" w:cs="Arial" w:eastAsia="Arial" w:hAnsi="Arial"/>
          <w:sz w:val="14"/>
          <w:szCs w:val="14"/>
          <w:color w:val="auto"/>
        </w:rPr>
        <w:t>. We have designed the format of the Annual Meeting to ensure that shareholders are afforded similar rights and opportunities to participate as they would at an in-person meeting.</w:t>
      </w:r>
    </w:p>
    <w:p>
      <w:pPr>
        <w:spacing w:after="0" w:line="124"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How can I attend the meeting?</w:t>
      </w:r>
    </w:p>
    <w:p>
      <w:pPr>
        <w:spacing w:after="0" w:line="154" w:lineRule="exact"/>
        <w:rPr>
          <w:sz w:val="20"/>
          <w:szCs w:val="20"/>
          <w:color w:val="auto"/>
        </w:rPr>
      </w:pPr>
    </w:p>
    <w:p>
      <w:pPr>
        <w:jc w:val="both"/>
        <w:ind w:left="10" w:right="300"/>
        <w:spacing w:after="0" w:line="247" w:lineRule="auto"/>
        <w:rPr>
          <w:sz w:val="20"/>
          <w:szCs w:val="20"/>
          <w:color w:val="auto"/>
        </w:rPr>
      </w:pPr>
      <w:r>
        <w:rPr>
          <w:rFonts w:ascii="Arial" w:cs="Arial" w:eastAsia="Arial" w:hAnsi="Arial"/>
          <w:sz w:val="14"/>
          <w:szCs w:val="14"/>
          <w:color w:val="auto"/>
        </w:rPr>
        <w:t xml:space="preserve">Instructions on how to attend and participate via the Internet are posted at </w:t>
      </w:r>
      <w:r>
        <w:rPr>
          <w:rFonts w:ascii="Arial" w:cs="Arial" w:eastAsia="Arial" w:hAnsi="Arial"/>
          <w:sz w:val="14"/>
          <w:szCs w:val="14"/>
          <w:b w:val="1"/>
          <w:bCs w:val="1"/>
          <w:color w:val="215AA8"/>
        </w:rPr>
        <w:t>www.virtualshareholdermeeting.com/ REGN2024</w:t>
      </w:r>
      <w:r>
        <w:rPr>
          <w:rFonts w:ascii="Arial" w:cs="Arial" w:eastAsia="Arial" w:hAnsi="Arial"/>
          <w:sz w:val="14"/>
          <w:szCs w:val="14"/>
          <w:color w:val="auto"/>
        </w:rPr>
        <w:t>. To vote or submit questions during the meeting, you will need the 16-digit control number included on the Notice of Internet Availability of Proxy Materials (the “Notice”) or, if you received a paper copy of the proxy materials, the proxy card or voting instruction form you received.</w:t>
      </w:r>
    </w:p>
    <w:p>
      <w:pPr>
        <w:spacing w:after="0" w:line="133"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Can I vote at the Annual Meeting?</w:t>
      </w:r>
    </w:p>
    <w:p>
      <w:pPr>
        <w:spacing w:after="0" w:line="156" w:lineRule="exact"/>
        <w:rPr>
          <w:sz w:val="20"/>
          <w:szCs w:val="20"/>
          <w:color w:val="auto"/>
        </w:rPr>
      </w:pPr>
    </w:p>
    <w:p>
      <w:pPr>
        <w:ind w:left="10" w:right="140"/>
        <w:spacing w:after="0" w:line="242" w:lineRule="auto"/>
        <w:rPr>
          <w:sz w:val="20"/>
          <w:szCs w:val="20"/>
          <w:color w:val="auto"/>
        </w:rPr>
      </w:pPr>
      <w:r>
        <w:rPr>
          <w:rFonts w:ascii="Arial" w:cs="Arial" w:eastAsia="Arial" w:hAnsi="Arial"/>
          <w:sz w:val="14"/>
          <w:szCs w:val="14"/>
          <w:color w:val="auto"/>
        </w:rPr>
        <w:t>Only shareholders of record at the close of business on the record date, April 16, 2024, are entitled to vote at the Annual Meeting. As of April 16, 2024, 108,367,357 shares of common stock and 1,818,146 shares of Class A stock were issued and outstanding. The common stock and the Class A stock vote together on all matters as a single class, with the common stock being entitled to one vote per share and the Class A stock being entitled to ten votes per share. To vote your shares, you will need the 16-digit control number included on the Notice or, if you received a paper copy of the proxy materials, the proxy card or voting instruction form you received.</w:t>
      </w:r>
    </w:p>
    <w:p>
      <w:pPr>
        <w:spacing w:after="0" w:line="137"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What is on the agenda for the meeting?</w:t>
      </w:r>
    </w:p>
    <w:p>
      <w:pPr>
        <w:spacing w:after="0" w:line="156" w:lineRule="exact"/>
        <w:rPr>
          <w:sz w:val="20"/>
          <w:szCs w:val="20"/>
          <w:color w:val="auto"/>
        </w:rPr>
      </w:pPr>
    </w:p>
    <w:p>
      <w:pPr>
        <w:ind w:left="150" w:hanging="150"/>
        <w:spacing w:after="0"/>
        <w:tabs>
          <w:tab w:leader="none" w:pos="150" w:val="left"/>
        </w:tabs>
        <w:numPr>
          <w:ilvl w:val="0"/>
          <w:numId w:val="197"/>
        </w:numPr>
        <w:rPr>
          <w:rFonts w:ascii="Arial" w:cs="Arial" w:eastAsia="Arial" w:hAnsi="Arial"/>
          <w:sz w:val="14"/>
          <w:szCs w:val="14"/>
          <w:b w:val="1"/>
          <w:bCs w:val="1"/>
          <w:color w:val="215AA8"/>
        </w:rPr>
      </w:pPr>
      <w:r>
        <w:rPr>
          <w:rFonts w:ascii="Arial" w:cs="Arial" w:eastAsia="Arial" w:hAnsi="Arial"/>
          <w:sz w:val="14"/>
          <w:szCs w:val="14"/>
          <w:color w:val="auto"/>
        </w:rPr>
        <w:t>Election of four Class III directors for a three-year term and one Class II director for a two-year term</w:t>
      </w:r>
    </w:p>
    <w:p>
      <w:pPr>
        <w:spacing w:after="0" w:line="154" w:lineRule="exact"/>
        <w:rPr>
          <w:sz w:val="20"/>
          <w:szCs w:val="20"/>
          <w:color w:val="auto"/>
        </w:rPr>
      </w:pPr>
    </w:p>
    <w:p>
      <w:pPr>
        <w:ind w:left="150" w:hanging="150"/>
        <w:spacing w:after="0"/>
        <w:tabs>
          <w:tab w:leader="none" w:pos="150" w:val="left"/>
        </w:tabs>
        <w:numPr>
          <w:ilvl w:val="0"/>
          <w:numId w:val="198"/>
        </w:numPr>
        <w:rPr>
          <w:rFonts w:ascii="Arial" w:cs="Arial" w:eastAsia="Arial" w:hAnsi="Arial"/>
          <w:sz w:val="14"/>
          <w:szCs w:val="14"/>
          <w:b w:val="1"/>
          <w:bCs w:val="1"/>
          <w:color w:val="215AA8"/>
        </w:rPr>
      </w:pPr>
      <w:r>
        <w:rPr>
          <w:rFonts w:ascii="Arial" w:cs="Arial" w:eastAsia="Arial" w:hAnsi="Arial"/>
          <w:sz w:val="14"/>
          <w:szCs w:val="14"/>
          <w:color w:val="auto"/>
        </w:rPr>
        <w:t>Ratification of the appointment of PricewaterhouseCoopers LLP as the Company’s independent registered public accounting firm for the fiscal year ending December 31, 2024</w:t>
      </w:r>
    </w:p>
    <w:p>
      <w:pPr>
        <w:spacing w:after="0" w:line="154" w:lineRule="exact"/>
        <w:rPr>
          <w:sz w:val="20"/>
          <w:szCs w:val="20"/>
          <w:color w:val="auto"/>
        </w:rPr>
      </w:pPr>
    </w:p>
    <w:p>
      <w:pPr>
        <w:ind w:left="150" w:hanging="150"/>
        <w:spacing w:after="0"/>
        <w:tabs>
          <w:tab w:leader="none" w:pos="150" w:val="left"/>
        </w:tabs>
        <w:numPr>
          <w:ilvl w:val="0"/>
          <w:numId w:val="199"/>
        </w:numPr>
        <w:rPr>
          <w:rFonts w:ascii="Arial" w:cs="Arial" w:eastAsia="Arial" w:hAnsi="Arial"/>
          <w:sz w:val="14"/>
          <w:szCs w:val="14"/>
          <w:b w:val="1"/>
          <w:bCs w:val="1"/>
          <w:color w:val="215AA8"/>
        </w:rPr>
      </w:pPr>
      <w:r>
        <w:rPr>
          <w:rFonts w:ascii="Arial" w:cs="Arial" w:eastAsia="Arial" w:hAnsi="Arial"/>
          <w:sz w:val="14"/>
          <w:szCs w:val="14"/>
          <w:color w:val="auto"/>
        </w:rPr>
        <w:t>Advisory vote to approve the compensation of the Company’s Named Executive Officers as disclosed in these proxy materials (say-on-pay)</w:t>
      </w:r>
    </w:p>
    <w:p>
      <w:pPr>
        <w:spacing w:after="0" w:line="154" w:lineRule="exact"/>
        <w:rPr>
          <w:sz w:val="20"/>
          <w:szCs w:val="20"/>
          <w:color w:val="auto"/>
        </w:rPr>
      </w:pPr>
    </w:p>
    <w:p>
      <w:pPr>
        <w:ind w:left="150" w:hanging="150"/>
        <w:spacing w:after="0"/>
        <w:tabs>
          <w:tab w:leader="none" w:pos="150" w:val="left"/>
        </w:tabs>
        <w:numPr>
          <w:ilvl w:val="0"/>
          <w:numId w:val="200"/>
        </w:numPr>
        <w:rPr>
          <w:rFonts w:ascii="Arial" w:cs="Arial" w:eastAsia="Arial" w:hAnsi="Arial"/>
          <w:sz w:val="14"/>
          <w:szCs w:val="14"/>
          <w:b w:val="1"/>
          <w:bCs w:val="1"/>
          <w:color w:val="215AA8"/>
        </w:rPr>
      </w:pPr>
      <w:r>
        <w:rPr>
          <w:rFonts w:ascii="Arial" w:cs="Arial" w:eastAsia="Arial" w:hAnsi="Arial"/>
          <w:sz w:val="14"/>
          <w:szCs w:val="14"/>
          <w:color w:val="auto"/>
        </w:rPr>
        <w:t>Non-binding shareholder proposal requesting simple majority voting requirements, if properly presented</w:t>
      </w:r>
    </w:p>
    <w:p>
      <w:pPr>
        <w:spacing w:after="0" w:line="152"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Can I ask a question at the Annual Meeting?</w:t>
      </w:r>
    </w:p>
    <w:p>
      <w:pPr>
        <w:spacing w:after="0" w:line="156" w:lineRule="exact"/>
        <w:rPr>
          <w:sz w:val="20"/>
          <w:szCs w:val="20"/>
          <w:color w:val="auto"/>
        </w:rPr>
      </w:pPr>
    </w:p>
    <w:p>
      <w:pPr>
        <w:ind w:left="10" w:right="20"/>
        <w:spacing w:after="0" w:line="243" w:lineRule="auto"/>
        <w:rPr>
          <w:sz w:val="20"/>
          <w:szCs w:val="20"/>
          <w:color w:val="auto"/>
        </w:rPr>
      </w:pPr>
      <w:r>
        <w:rPr>
          <w:rFonts w:ascii="Arial" w:cs="Arial" w:eastAsia="Arial" w:hAnsi="Arial"/>
          <w:sz w:val="14"/>
          <w:szCs w:val="14"/>
          <w:color w:val="auto"/>
        </w:rPr>
        <w:t xml:space="preserve">Shareholders who use the 16-digit control number that was furnished to them (either on the Notice or, if you received a paper copy of the proxy materials, the proxy card or voting instruction form you received) to log on to the meeting will be able to submit questions during the meeting, as time permits. If you wish to submit a question during the Annual Meeting, log on to the virtual meeting website using the 16-digit control number, type your question into the “Ask a Question” field, and click “Submit.” Questions and answers may be arranged by topic and substantially similar questions may be answered once. If we run out of time to answer all of the questions submitted, we will provide responses to the questions not addressed on our website at </w:t>
      </w:r>
      <w:r>
        <w:rPr>
          <w:rFonts w:ascii="Arial" w:cs="Arial" w:eastAsia="Arial" w:hAnsi="Arial"/>
          <w:sz w:val="14"/>
          <w:szCs w:val="14"/>
          <w:b w:val="1"/>
          <w:bCs w:val="1"/>
          <w:color w:val="215AA8"/>
        </w:rPr>
        <w:t>www.regeneron.com</w:t>
      </w:r>
      <w:r>
        <w:rPr>
          <w:rFonts w:ascii="Arial" w:cs="Arial" w:eastAsia="Arial" w:hAnsi="Arial"/>
          <w:sz w:val="14"/>
          <w:szCs w:val="14"/>
          <w:color w:val="auto"/>
        </w:rPr>
        <w:t xml:space="preserve"> on the “Investors &amp; Media” page.</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106</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6261735</wp:posOffset>
            </wp:positionH>
            <wp:positionV relativeFrom="paragraph">
              <wp:posOffset>-242570</wp:posOffset>
            </wp:positionV>
            <wp:extent cx="629285" cy="717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6"/>
              </w:rPr>
              <w:t>Other Matters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68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900" w:type="dxa"/>
            <w:vAlign w:val="bottom"/>
            <w:tcBorders>
              <w:bottom w:val="single" w:sz="8" w:color="D60058"/>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Will the Annual Meeting be available for replay?</w:t>
      </w:r>
    </w:p>
    <w:p>
      <w:pPr>
        <w:spacing w:after="0" w:line="154" w:lineRule="exact"/>
        <w:rPr>
          <w:sz w:val="20"/>
          <w:szCs w:val="20"/>
          <w:color w:val="auto"/>
        </w:rPr>
      </w:pPr>
    </w:p>
    <w:p>
      <w:pPr>
        <w:ind w:right="220"/>
        <w:spacing w:after="0" w:line="260" w:lineRule="auto"/>
        <w:rPr>
          <w:sz w:val="20"/>
          <w:szCs w:val="20"/>
          <w:color w:val="auto"/>
        </w:rPr>
      </w:pPr>
      <w:r>
        <w:rPr>
          <w:rFonts w:ascii="Arial" w:cs="Arial" w:eastAsia="Arial" w:hAnsi="Arial"/>
          <w:sz w:val="14"/>
          <w:szCs w:val="14"/>
          <w:color w:val="auto"/>
        </w:rPr>
        <w:t xml:space="preserve">A replay of the Annual Meeting will be made publicly available approximately 24 hours after the Annual Meeting at </w:t>
      </w:r>
      <w:r>
        <w:rPr>
          <w:rFonts w:ascii="Arial" w:cs="Arial" w:eastAsia="Arial" w:hAnsi="Arial"/>
          <w:sz w:val="14"/>
          <w:szCs w:val="14"/>
          <w:b w:val="1"/>
          <w:bCs w:val="1"/>
          <w:color w:val="215AA8"/>
        </w:rPr>
        <w:t>www.virtualshareholdermeeting.com/REGN2024</w:t>
      </w:r>
      <w:r>
        <w:rPr>
          <w:rFonts w:ascii="Arial" w:cs="Arial" w:eastAsia="Arial" w:hAnsi="Arial"/>
          <w:sz w:val="14"/>
          <w:szCs w:val="14"/>
          <w:color w:val="auto"/>
        </w:rPr>
        <w:t>. The replay will be available for one year.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Why did I receive a notice in the mail regarding the Internet availability of proxy materials instead of a paper copy of the proxy materials?</w:t>
      </w:r>
    </w:p>
    <w:p>
      <w:pPr>
        <w:spacing w:after="0" w:line="156"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The “Notice and Access” rules of the SEC permit us to furnish proxy materials, including this proxy statement and our 2023 Annual Report, to our shareholders by providing access to such documents on the Internet instead of mailing printed copies. Most shareholders received the Notice and will not receive printed copies of the proxy materials unless they request them. This method reduces the environmental impact of the Annual Meeting. The Notice will be mailed beginning on or about April 25, 2024. The Notice includes instructions on how you may access and review all of our proxy materials and the 2023 Annual Report via the Internet. The Notice also includes instructions on how you may vote your shares. If you would like to receive a paper or electronic copy of our proxy materials, you should follow the instructions in the Notice for requesting such materials. Any request to receive proxy materials by mail or e-mail will remain in effect until you revoke it.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Can I vote my shares by filling out and returning the Notice?</w:t>
      </w:r>
    </w:p>
    <w:p>
      <w:pPr>
        <w:spacing w:after="0" w:line="156" w:lineRule="exact"/>
        <w:rPr>
          <w:sz w:val="20"/>
          <w:szCs w:val="20"/>
          <w:color w:val="auto"/>
        </w:rPr>
      </w:pPr>
    </w:p>
    <w:p>
      <w:pPr>
        <w:ind w:right="340"/>
        <w:spacing w:after="0" w:line="257" w:lineRule="auto"/>
        <w:rPr>
          <w:sz w:val="20"/>
          <w:szCs w:val="20"/>
          <w:color w:val="auto"/>
        </w:rPr>
      </w:pPr>
      <w:r>
        <w:rPr>
          <w:rFonts w:ascii="Arial" w:cs="Arial" w:eastAsia="Arial" w:hAnsi="Arial"/>
          <w:sz w:val="14"/>
          <w:szCs w:val="14"/>
          <w:color w:val="auto"/>
        </w:rPr>
        <w:t>No. The Notice identifies the items to be voted on at the Annual Meeting, but you cannot vote by marking the Notice and returning it. The Notice provides instructions on how to vote by Internet, by requesting and returning a paper proxy card, or by voting at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Why did I receive the Notice?</w:t>
      </w:r>
    </w:p>
    <w:p>
      <w:pPr>
        <w:spacing w:after="0" w:line="156"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We sent you the Notice regarding this proxy statement because Regeneron’s board of directors is asking (technically called soliciting) holders of common stock and Class A stock to provide proxies to be voted at our 2024 Annual Meeting of Shareholders or at any adjournment(s) or postponement(s) of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How are proxies voted?</w:t>
      </w:r>
    </w:p>
    <w:p>
      <w:pPr>
        <w:spacing w:after="0" w:line="156" w:lineRule="exact"/>
        <w:rPr>
          <w:sz w:val="20"/>
          <w:szCs w:val="20"/>
          <w:color w:val="auto"/>
        </w:rPr>
      </w:pPr>
    </w:p>
    <w:p>
      <w:pPr>
        <w:ind w:right="360"/>
        <w:spacing w:after="0" w:line="242" w:lineRule="auto"/>
        <w:rPr>
          <w:sz w:val="20"/>
          <w:szCs w:val="20"/>
          <w:color w:val="auto"/>
        </w:rPr>
      </w:pPr>
      <w:r>
        <w:rPr>
          <w:rFonts w:ascii="Arial" w:cs="Arial" w:eastAsia="Arial" w:hAnsi="Arial"/>
          <w:sz w:val="14"/>
          <w:szCs w:val="14"/>
          <w:color w:val="auto"/>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is on the agenda for the meeting?”, to be presented at the Annual Meeting. If any other matter properly comes before the Annual Meeting, the persons named and designated as proxies will vote your shares in their discretion.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Why didn’t I receive a notice in the mail about the Internet availability of the proxy materials?</w:t>
      </w:r>
    </w:p>
    <w:p>
      <w:pPr>
        <w:spacing w:after="0" w:line="156" w:lineRule="exact"/>
        <w:rPr>
          <w:sz w:val="20"/>
          <w:szCs w:val="20"/>
          <w:color w:val="auto"/>
        </w:rPr>
      </w:pPr>
    </w:p>
    <w:p>
      <w:pPr>
        <w:jc w:val="both"/>
        <w:ind w:right="60"/>
        <w:spacing w:after="0" w:line="307" w:lineRule="auto"/>
        <w:rPr>
          <w:sz w:val="20"/>
          <w:szCs w:val="20"/>
          <w:color w:val="auto"/>
        </w:rPr>
      </w:pPr>
      <w:r>
        <w:rPr>
          <w:rFonts w:ascii="Arial" w:cs="Arial" w:eastAsia="Arial" w:hAnsi="Arial"/>
          <w:sz w:val="12"/>
          <w:szCs w:val="12"/>
          <w:color w:val="auto"/>
        </w:rPr>
        <w:t>Shareholders who previously elected to receive proxy materials by e-mail will not receive the Notice in the mail. Instead, these shareholders should have received an e-mail with links to the proxy materials and the proxy voting website. Shareholders who have previously asked to receive paper copies of the proxy materials and shareholders who participate and hold shares of common stock in the Regeneron Pharmaceuticals, Inc. 401(k) Savings Plan or the Regeneron Ireland Share Participation Plan will receive paper copies of the proxy materials.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What constitutes a quorum?</w:t>
      </w:r>
    </w:p>
    <w:p>
      <w:pPr>
        <w:spacing w:after="0" w:line="156"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107</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-242570</wp:posOffset>
            </wp:positionV>
            <wp:extent cx="629285" cy="717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6"/>
              </w:rPr>
              <w:t>Other Matters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68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900" w:type="dxa"/>
            <w:vAlign w:val="bottom"/>
            <w:tcBorders>
              <w:bottom w:val="single" w:sz="8" w:color="D60058"/>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How can I vote my shares without attending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We recommend that shareholders vote by proxy even if they plan to attend the Annual Meeting via the Internet. If you are a shareholder of record, there are three ways to vote by proxy:</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color w:val="auto"/>
        </w:rPr>
        <w:t xml:space="preserve">Via the Internet. </w:t>
      </w:r>
      <w:r>
        <w:rPr>
          <w:rFonts w:ascii="Arial" w:cs="Arial" w:eastAsia="Arial" w:hAnsi="Arial"/>
          <w:sz w:val="14"/>
          <w:szCs w:val="14"/>
          <w:color w:val="auto"/>
        </w:rPr>
        <w:t>You may vote by proxy via the Internet by visiting</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215AA8"/>
        </w:rPr>
        <w:t>www.proxyvote.com</w:t>
      </w:r>
      <w:r>
        <w:rPr>
          <w:rFonts w:ascii="Arial" w:cs="Arial" w:eastAsia="Arial" w:hAnsi="Arial"/>
          <w:sz w:val="14"/>
          <w:szCs w:val="14"/>
          <w:color w:val="auto"/>
        </w:rPr>
        <w:t>. You will need the 16-digit control number included on the Notice or, if you received a paper copy of</w:t>
      </w:r>
      <w:r>
        <w:rPr>
          <w:rFonts w:ascii="Arial" w:cs="Arial" w:eastAsia="Arial" w:hAnsi="Arial"/>
          <w:sz w:val="14"/>
          <w:szCs w:val="14"/>
          <w:b w:val="1"/>
          <w:bCs w:val="1"/>
          <w:color w:val="auto"/>
        </w:rPr>
        <w:t xml:space="preserve"> </w:t>
      </w:r>
      <w:r>
        <w:rPr>
          <w:rFonts w:ascii="Arial" w:cs="Arial" w:eastAsia="Arial" w:hAnsi="Arial"/>
          <w:sz w:val="14"/>
          <w:szCs w:val="14"/>
          <w:color w:val="auto"/>
        </w:rPr>
        <w:t>the proxy materials, the proxy card or voting instruction form you received. You may vote via the Internet through 11:59 p.m., Eastern Time, on June 13, 2024.</w:t>
      </w:r>
    </w:p>
    <w:p>
      <w:pPr>
        <w:spacing w:after="0" w:line="12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b w:val="1"/>
          <w:bCs w:val="1"/>
          <w:color w:val="auto"/>
        </w:rPr>
        <w:t xml:space="preserve">Via telephone. </w:t>
      </w:r>
      <w:r>
        <w:rPr>
          <w:rFonts w:ascii="Arial" w:cs="Arial" w:eastAsia="Arial" w:hAnsi="Arial"/>
          <w:sz w:val="14"/>
          <w:szCs w:val="14"/>
          <w:color w:val="auto"/>
        </w:rPr>
        <w:t>You may vote by proxy via telephone by calling the toll-free number found on the proxy card or the voting instruction form. You will need the 16-digit control number included</w:t>
      </w:r>
      <w:r>
        <w:rPr>
          <w:rFonts w:ascii="Arial" w:cs="Arial" w:eastAsia="Arial" w:hAnsi="Arial"/>
          <w:sz w:val="14"/>
          <w:szCs w:val="14"/>
          <w:b w:val="1"/>
          <w:bCs w:val="1"/>
          <w:color w:val="auto"/>
        </w:rPr>
        <w:t xml:space="preserve"> </w:t>
      </w:r>
      <w:r>
        <w:rPr>
          <w:rFonts w:ascii="Arial" w:cs="Arial" w:eastAsia="Arial" w:hAnsi="Arial"/>
          <w:sz w:val="14"/>
          <w:szCs w:val="14"/>
          <w:color w:val="auto"/>
        </w:rPr>
        <w:t>on the proxy card or voting instruction form. You may vote via telephone through 11:59 p.m., Eastern Time, on June 13, 2024.</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By mail. </w:t>
      </w:r>
      <w:r>
        <w:rPr>
          <w:rFonts w:ascii="Arial" w:cs="Arial" w:eastAsia="Arial" w:hAnsi="Arial"/>
          <w:sz w:val="14"/>
          <w:szCs w:val="14"/>
          <w:color w:val="auto"/>
        </w:rPr>
        <w:t>If you received printed copies of the proxy materials, you may vote by proxy by completing the proxy card or voting instruction form and returning it in the envelope provided.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How can I attend and vote at the Annual Meeting?</w:t>
      </w:r>
    </w:p>
    <w:p>
      <w:pPr>
        <w:spacing w:after="0" w:line="154" w:lineRule="exact"/>
        <w:rPr>
          <w:sz w:val="20"/>
          <w:szCs w:val="20"/>
          <w:color w:val="auto"/>
        </w:rPr>
      </w:pPr>
    </w:p>
    <w:p>
      <w:pPr>
        <w:jc w:val="both"/>
        <w:ind w:right="240"/>
        <w:spacing w:after="0" w:line="247" w:lineRule="auto"/>
        <w:rPr>
          <w:sz w:val="20"/>
          <w:szCs w:val="20"/>
          <w:color w:val="auto"/>
        </w:rPr>
      </w:pPr>
      <w:r>
        <w:rPr>
          <w:rFonts w:ascii="Arial" w:cs="Arial" w:eastAsia="Arial" w:hAnsi="Arial"/>
          <w:sz w:val="14"/>
          <w:szCs w:val="14"/>
          <w:color w:val="auto"/>
        </w:rPr>
        <w:t xml:space="preserve">You may attend the Annual Meeting via the Internet at </w:t>
      </w:r>
      <w:r>
        <w:rPr>
          <w:rFonts w:ascii="Arial" w:cs="Arial" w:eastAsia="Arial" w:hAnsi="Arial"/>
          <w:sz w:val="14"/>
          <w:szCs w:val="14"/>
          <w:b w:val="1"/>
          <w:bCs w:val="1"/>
          <w:color w:val="215AA8"/>
        </w:rPr>
        <w:t>www.virtualshareholdermeeting.com/REGN2024</w:t>
      </w:r>
      <w:r>
        <w:rPr>
          <w:rFonts w:ascii="Arial" w:cs="Arial" w:eastAsia="Arial" w:hAnsi="Arial"/>
          <w:sz w:val="14"/>
          <w:szCs w:val="14"/>
          <w:color w:val="auto"/>
        </w:rPr>
        <w:t>. Shareholders who use the 16-digit control number that was furnished to them (either on the Notice or, if you received a paper copy of the proxy materials, the proxy card or voting instruction form you received) to log on to the meeting will be able to vote during the meeting.</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What if during the Annual Meeting I have technical difficulties or trouble accessing the virtual meeting website?</w:t>
      </w:r>
    </w:p>
    <w:p>
      <w:pPr>
        <w:spacing w:after="0" w:line="156"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 xml:space="preserve">We will have technicians ready to assist you with any technical difficulties you may have accessing the virtual meeting website. If you encounter any difficulties accessing the virtual meeting website during the meeting time, please call the technical support number that will be posted at </w:t>
      </w:r>
      <w:r>
        <w:rPr>
          <w:rFonts w:ascii="Arial" w:cs="Arial" w:eastAsia="Arial" w:hAnsi="Arial"/>
          <w:sz w:val="14"/>
          <w:szCs w:val="14"/>
          <w:b w:val="1"/>
          <w:bCs w:val="1"/>
          <w:color w:val="215AA8"/>
        </w:rPr>
        <w:t>www.virtualshareholdermeeting.com/REGN2024</w:t>
      </w:r>
      <w:r>
        <w:rPr>
          <w:rFonts w:ascii="Arial" w:cs="Arial" w:eastAsia="Arial" w:hAnsi="Arial"/>
          <w:sz w:val="14"/>
          <w:szCs w:val="14"/>
          <w:color w:val="auto"/>
        </w:rPr>
        <w:t>.</w:t>
      </w:r>
    </w:p>
    <w:p>
      <w:pPr>
        <w:spacing w:after="0" w:line="110" w:lineRule="exact"/>
        <w:rPr>
          <w:sz w:val="20"/>
          <w:szCs w:val="20"/>
          <w:color w:val="auto"/>
        </w:rPr>
      </w:pPr>
    </w:p>
    <w:p>
      <w:pPr>
        <w:ind w:right="400"/>
        <w:spacing w:after="0" w:line="272" w:lineRule="auto"/>
        <w:rPr>
          <w:sz w:val="20"/>
          <w:szCs w:val="20"/>
          <w:color w:val="auto"/>
        </w:rPr>
      </w:pPr>
      <w:r>
        <w:rPr>
          <w:rFonts w:ascii="Arial" w:cs="Arial" w:eastAsia="Arial" w:hAnsi="Arial"/>
          <w:sz w:val="14"/>
          <w:szCs w:val="14"/>
          <w:b w:val="1"/>
          <w:bCs w:val="1"/>
          <w:color w:val="215AA8"/>
        </w:rPr>
        <w:t>If I am a Regeneron employee or former employee, how do I vote shares in the Company Stock Fund in my 401(k) account or in the Regeneron Ireland Share Participation Plan?</w:t>
      </w:r>
    </w:p>
    <w:p>
      <w:pPr>
        <w:spacing w:after="0" w:line="110"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 xml:space="preserve">If you participate and hold shares of common stock in the Regeneron Pharmaceuticals, Inc. 401(k) Savings Plan, you may provide voting instructions to Fidelity Management Trust Company, the plan’s trustee, (1) through the Internet at </w:t>
      </w:r>
      <w:r>
        <w:rPr>
          <w:rFonts w:ascii="Arial" w:cs="Arial" w:eastAsia="Arial" w:hAnsi="Arial"/>
          <w:sz w:val="12"/>
          <w:szCs w:val="12"/>
          <w:b w:val="1"/>
          <w:bCs w:val="1"/>
          <w:color w:val="215AA8"/>
        </w:rPr>
        <w:t>www.proxyvote.com</w:t>
      </w:r>
      <w:r>
        <w:rPr>
          <w:rFonts w:ascii="Arial" w:cs="Arial" w:eastAsia="Arial" w:hAnsi="Arial"/>
          <w:sz w:val="12"/>
          <w:szCs w:val="12"/>
          <w:color w:val="auto"/>
        </w:rPr>
        <w:t xml:space="preserve"> by 11:59 p.m., Eastern Time, on June 11, 2024, (2) by calling 1-800-690-6903 by 11:59 p.m., Eastern Time, on June 11, 2024,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spacing w:after="0" w:line="107" w:lineRule="exact"/>
        <w:rPr>
          <w:sz w:val="20"/>
          <w:szCs w:val="20"/>
          <w:color w:val="auto"/>
        </w:rPr>
      </w:pPr>
    </w:p>
    <w:p>
      <w:pPr>
        <w:ind w:right="220"/>
        <w:spacing w:after="0" w:line="246" w:lineRule="auto"/>
        <w:rPr>
          <w:sz w:val="20"/>
          <w:szCs w:val="20"/>
          <w:color w:val="auto"/>
        </w:rPr>
      </w:pPr>
      <w:r>
        <w:rPr>
          <w:rFonts w:ascii="Arial" w:cs="Arial" w:eastAsia="Arial" w:hAnsi="Arial"/>
          <w:sz w:val="14"/>
          <w:szCs w:val="14"/>
          <w:color w:val="auto"/>
        </w:rPr>
        <w:t>If you participate and hold shares of common stock in the Regeneron Ireland Share Participation Plan, you may provide voting instructions to Mercer Ireland Limited, who administers the Plan on behalf of Irish Pensions Trust Limited, the trustees of the Plan. You will receive a voting instruction form by mail sent directly to your home address, which you should complete, sign, and return to Mercer by mail using the enclosed pre-paid envelope or as an e-mail attachment in accordance with the instructions provided by Mercer.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Can I change my vote or revoke my proxy?</w:t>
      </w:r>
    </w:p>
    <w:p>
      <w:pPr>
        <w:spacing w:after="0" w:line="156"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Yes. You may change your vote or revoke your proxy at any time before the proxy is exercised by voting again electronically through the Internet or by telephone, by mailing a new proxy card or voting instruction form, or by attending the Annual Meeting (via the Internet) and voting. If you are a record holder, you may also revoke your proxy by filing with the Secretary of the Company, at or before the taking of the vote at the Annual Meeting, a written notice of revocation bearing a later date than the proxy you previously submitted. Attendance at the Annual Meeting will not have the effect of revoking a proxy unless you vote at the Annual Meeting. If you hold your shares through a broker, bank, or other nominee in “street name,” you will need to contact them or follow the instructions in the voting instruction form used by the firm that holds your shares to revoke your proxy. Only your latest dated proxy we receive at or prior to the Annual Meeting will be counted.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108</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-242570</wp:posOffset>
            </wp:positionV>
            <wp:extent cx="629285" cy="717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19" w:name="page120"/>
    <w:bookmarkEnd w:id="119"/>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6"/>
              </w:rPr>
              <w:t>Other Matters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68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900" w:type="dxa"/>
            <w:vAlign w:val="bottom"/>
            <w:tcBorders>
              <w:bottom w:val="single" w:sz="8" w:color="D60058"/>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Who solicits proxies and bears the cost of solicitation?</w:t>
      </w:r>
    </w:p>
    <w:p>
      <w:pPr>
        <w:spacing w:after="0" w:line="156" w:lineRule="exact"/>
        <w:rPr>
          <w:sz w:val="20"/>
          <w:szCs w:val="20"/>
          <w:color w:val="auto"/>
        </w:rPr>
      </w:pPr>
    </w:p>
    <w:p>
      <w:pPr>
        <w:ind w:left="10" w:right="40"/>
        <w:spacing w:after="0"/>
        <w:rPr>
          <w:sz w:val="20"/>
          <w:szCs w:val="20"/>
          <w:color w:val="auto"/>
        </w:rPr>
      </w:pPr>
      <w:r>
        <w:rPr>
          <w:rFonts w:ascii="Arial" w:cs="Arial" w:eastAsia="Arial" w:hAnsi="Arial"/>
          <w:sz w:val="14"/>
          <w:szCs w:val="14"/>
          <w:color w:val="auto"/>
        </w:rPr>
        <w:t>Solicitation of proxies may be made by mail, in person, or by telephone by officers, directors, and other employees of the Company and by employees of the Company’s transfer agent, Equiniti Trust Company, LLC (“Equiniti”), and employees of Broadridge Financial Solutions, Inc. (“Broadridge”). We will reimburse Equiniti, Broadridge, and our banks, brokers, and other custodians, nominees, and fiduciaries for their respective reasonable costs in the preparation and mailing of proxy materials to shareholders. In addition, we have engaged Innisfree M&amp;A Incorporated to assist in the solicitation of proxies and provide related advice and informational support for a service fee of $25,000 and the reimbursement of customary disbursements and expenses. We will bear all costs of the solicitation of proxies.</w:t>
      </w:r>
    </w:p>
    <w:p>
      <w:pPr>
        <w:spacing w:after="0" w:line="139"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What are the board’s recommendations?</w:t>
      </w:r>
    </w:p>
    <w:p>
      <w:pPr>
        <w:spacing w:after="0" w:line="156"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The board of directors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55180" cy="2070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5180" cy="207010"/>
                    </a:xfrm>
                    <a:prstGeom prst="rect">
                      <a:avLst/>
                    </a:prstGeom>
                    <a:noFill/>
                  </pic:spPr>
                </pic:pic>
              </a:graphicData>
            </a:graphic>
          </wp:anchor>
        </w:drawing>
      </w:r>
    </w:p>
    <w:p>
      <w:pPr>
        <w:spacing w:after="0" w:line="234" w:lineRule="exact"/>
        <w:rPr>
          <w:sz w:val="20"/>
          <w:szCs w:val="20"/>
          <w:color w:val="auto"/>
        </w:rPr>
      </w:pPr>
    </w:p>
    <w:p>
      <w:pPr>
        <w:ind w:left="430"/>
        <w:spacing w:after="0"/>
        <w:rPr>
          <w:sz w:val="20"/>
          <w:szCs w:val="20"/>
          <w:color w:val="auto"/>
        </w:rPr>
      </w:pPr>
      <w:r>
        <w:rPr>
          <w:rFonts w:ascii="Arial" w:cs="Arial" w:eastAsia="Arial" w:hAnsi="Arial"/>
          <w:sz w:val="14"/>
          <w:szCs w:val="14"/>
          <w:b w:val="1"/>
          <w:bCs w:val="1"/>
          <w:color w:val="215AA8"/>
        </w:rPr>
        <w:t xml:space="preserve">FOR </w:t>
      </w:r>
      <w:r>
        <w:rPr>
          <w:rFonts w:ascii="Arial" w:cs="Arial" w:eastAsia="Arial" w:hAnsi="Arial"/>
          <w:sz w:val="14"/>
          <w:szCs w:val="14"/>
          <w:color w:val="000000"/>
        </w:rPr>
        <w:t>election of each of the four nominated Class III directors and one nominated Class II director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55180" cy="20002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5180" cy="200025"/>
                    </a:xfrm>
                    <a:prstGeom prst="rect">
                      <a:avLst/>
                    </a:prstGeom>
                    <a:noFill/>
                  </pic:spPr>
                </pic:pic>
              </a:graphicData>
            </a:graphic>
          </wp:anchor>
        </w:drawing>
      </w:r>
    </w:p>
    <w:p>
      <w:pPr>
        <w:spacing w:after="0" w:line="157" w:lineRule="exact"/>
        <w:rPr>
          <w:sz w:val="20"/>
          <w:szCs w:val="20"/>
          <w:color w:val="auto"/>
        </w:rPr>
      </w:pPr>
    </w:p>
    <w:p>
      <w:pPr>
        <w:ind w:left="430"/>
        <w:spacing w:after="0"/>
        <w:rPr>
          <w:sz w:val="20"/>
          <w:szCs w:val="20"/>
          <w:color w:val="auto"/>
        </w:rPr>
      </w:pPr>
      <w:r>
        <w:rPr>
          <w:rFonts w:ascii="Arial" w:cs="Arial" w:eastAsia="Arial" w:hAnsi="Arial"/>
          <w:sz w:val="14"/>
          <w:szCs w:val="14"/>
          <w:b w:val="1"/>
          <w:bCs w:val="1"/>
          <w:color w:val="215AA8"/>
        </w:rPr>
        <w:t xml:space="preserve">FOR </w:t>
      </w:r>
      <w:r>
        <w:rPr>
          <w:rFonts w:ascii="Arial" w:cs="Arial" w:eastAsia="Arial" w:hAnsi="Arial"/>
          <w:sz w:val="14"/>
          <w:szCs w:val="14"/>
          <w:color w:val="000000"/>
        </w:rPr>
        <w:t>ratification of the appointment of PricewaterhouseCoopers LLP as the Company’s independent registered public accounting firm for 2024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55180" cy="20002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5180" cy="200025"/>
                    </a:xfrm>
                    <a:prstGeom prst="rect">
                      <a:avLst/>
                    </a:prstGeom>
                    <a:noFill/>
                  </pic:spPr>
                </pic:pic>
              </a:graphicData>
            </a:graphic>
          </wp:anchor>
        </w:drawing>
      </w:r>
    </w:p>
    <w:p>
      <w:pPr>
        <w:spacing w:after="0" w:line="157" w:lineRule="exact"/>
        <w:rPr>
          <w:sz w:val="20"/>
          <w:szCs w:val="20"/>
          <w:color w:val="auto"/>
        </w:rPr>
      </w:pPr>
    </w:p>
    <w:p>
      <w:pPr>
        <w:ind w:left="430"/>
        <w:spacing w:after="0"/>
        <w:rPr>
          <w:sz w:val="20"/>
          <w:szCs w:val="20"/>
          <w:color w:val="auto"/>
        </w:rPr>
      </w:pPr>
      <w:r>
        <w:rPr>
          <w:rFonts w:ascii="Arial" w:cs="Arial" w:eastAsia="Arial" w:hAnsi="Arial"/>
          <w:sz w:val="14"/>
          <w:szCs w:val="14"/>
          <w:b w:val="1"/>
          <w:bCs w:val="1"/>
          <w:color w:val="215AA8"/>
        </w:rPr>
        <w:t xml:space="preserve">FOR </w:t>
      </w:r>
      <w:r>
        <w:rPr>
          <w:rFonts w:ascii="Arial" w:cs="Arial" w:eastAsia="Arial" w:hAnsi="Arial"/>
          <w:sz w:val="14"/>
          <w:szCs w:val="14"/>
          <w:color w:val="000000"/>
        </w:rPr>
        <w:t>approval of the compensation of the Company’s Named Executive Officers as disclosed in these proxy materials (say-on-pay) (Proposal No. 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55180" cy="20002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5180" cy="200025"/>
                    </a:xfrm>
                    <a:prstGeom prst="rect">
                      <a:avLst/>
                    </a:prstGeom>
                    <a:noFill/>
                  </pic:spPr>
                </pic:pic>
              </a:graphicData>
            </a:graphic>
          </wp:anchor>
        </w:drawing>
      </w:r>
    </w:p>
    <w:p>
      <w:pPr>
        <w:spacing w:after="0" w:line="157" w:lineRule="exact"/>
        <w:rPr>
          <w:sz w:val="20"/>
          <w:szCs w:val="20"/>
          <w:color w:val="auto"/>
        </w:rPr>
      </w:pPr>
    </w:p>
    <w:p>
      <w:pPr>
        <w:ind w:left="430"/>
        <w:spacing w:after="0"/>
        <w:rPr>
          <w:sz w:val="20"/>
          <w:szCs w:val="20"/>
          <w:color w:val="auto"/>
        </w:rPr>
      </w:pPr>
      <w:r>
        <w:rPr>
          <w:rFonts w:ascii="Arial" w:cs="Arial" w:eastAsia="Arial" w:hAnsi="Arial"/>
          <w:sz w:val="14"/>
          <w:szCs w:val="14"/>
          <w:b w:val="1"/>
          <w:bCs w:val="1"/>
          <w:color w:val="D60058"/>
        </w:rPr>
        <w:t xml:space="preserve">AGAINST </w:t>
      </w:r>
      <w:r>
        <w:rPr>
          <w:rFonts w:ascii="Arial" w:cs="Arial" w:eastAsia="Arial" w:hAnsi="Arial"/>
          <w:sz w:val="14"/>
          <w:szCs w:val="14"/>
          <w:color w:val="000000"/>
        </w:rPr>
        <w:t>approval of a non-binding shareholder proposal (Proposal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55180" cy="146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47"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215AA8"/>
        </w:rPr>
        <w:t>What vote is required to approve each proposal?</w:t>
      </w:r>
    </w:p>
    <w:p>
      <w:pPr>
        <w:spacing w:after="0" w:line="156"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The following table summarizes the voting requirements applicable to the proposals to be voted on at the Annual Meeting:</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80" w:type="dxa"/>
            <w:vAlign w:val="bottom"/>
          </w:tcPr>
          <w:p>
            <w:pPr>
              <w:ind w:left="160"/>
              <w:spacing w:after="0"/>
              <w:rPr>
                <w:sz w:val="20"/>
                <w:szCs w:val="20"/>
                <w:color w:val="auto"/>
              </w:rPr>
            </w:pPr>
            <w:r>
              <w:rPr>
                <w:rFonts w:ascii="Arial" w:cs="Arial" w:eastAsia="Arial" w:hAnsi="Arial"/>
                <w:sz w:val="14"/>
                <w:szCs w:val="14"/>
                <w:b w:val="1"/>
                <w:bCs w:val="1"/>
                <w:color w:val="215AA8"/>
              </w:rPr>
              <w:t>Effect of Abstentions</w:t>
            </w:r>
          </w:p>
        </w:tc>
        <w:tc>
          <w:tcPr>
            <w:tcW w:w="2500" w:type="dxa"/>
            <w:vAlign w:val="bottom"/>
          </w:tcPr>
          <w:p>
            <w:pPr>
              <w:ind w:left="240"/>
              <w:spacing w:after="0"/>
              <w:rPr>
                <w:sz w:val="20"/>
                <w:szCs w:val="20"/>
                <w:color w:val="auto"/>
              </w:rPr>
            </w:pPr>
            <w:r>
              <w:rPr>
                <w:rFonts w:ascii="Arial" w:cs="Arial" w:eastAsia="Arial" w:hAnsi="Arial"/>
                <w:sz w:val="14"/>
                <w:szCs w:val="14"/>
                <w:b w:val="1"/>
                <w:bCs w:val="1"/>
                <w:color w:val="215AA8"/>
              </w:rPr>
              <w:t>Broker Discretionary</w:t>
            </w:r>
          </w:p>
        </w:tc>
      </w:tr>
      <w:tr>
        <w:trPr>
          <w:trHeight w:val="227"/>
        </w:trPr>
        <w:tc>
          <w:tcPr>
            <w:tcW w:w="2880" w:type="dxa"/>
            <w:vAlign w:val="bottom"/>
            <w:tcBorders>
              <w:bottom w:val="single" w:sz="8" w:color="215AA8"/>
            </w:tcBorders>
          </w:tcPr>
          <w:p>
            <w:pPr>
              <w:ind w:left="40"/>
              <w:spacing w:after="0"/>
              <w:rPr>
                <w:sz w:val="20"/>
                <w:szCs w:val="20"/>
                <w:color w:val="auto"/>
              </w:rPr>
            </w:pPr>
            <w:r>
              <w:rPr>
                <w:rFonts w:ascii="Arial" w:cs="Arial" w:eastAsia="Arial" w:hAnsi="Arial"/>
                <w:sz w:val="14"/>
                <w:szCs w:val="14"/>
                <w:b w:val="1"/>
                <w:bCs w:val="1"/>
                <w:color w:val="215AA8"/>
              </w:rPr>
              <w:t>Proposal</w:t>
            </w:r>
          </w:p>
        </w:tc>
        <w:tc>
          <w:tcPr>
            <w:tcW w:w="3500" w:type="dxa"/>
            <w:vAlign w:val="bottom"/>
            <w:tcBorders>
              <w:bottom w:val="single" w:sz="8" w:color="215AA8"/>
            </w:tcBorders>
          </w:tcPr>
          <w:p>
            <w:pPr>
              <w:ind w:left="160"/>
              <w:spacing w:after="0"/>
              <w:rPr>
                <w:sz w:val="20"/>
                <w:szCs w:val="20"/>
                <w:color w:val="auto"/>
              </w:rPr>
            </w:pPr>
            <w:r>
              <w:rPr>
                <w:rFonts w:ascii="Arial" w:cs="Arial" w:eastAsia="Arial" w:hAnsi="Arial"/>
                <w:sz w:val="14"/>
                <w:szCs w:val="14"/>
                <w:b w:val="1"/>
                <w:bCs w:val="1"/>
                <w:color w:val="215AA8"/>
              </w:rPr>
              <w:t>Vote Required</w:t>
            </w:r>
          </w:p>
        </w:tc>
        <w:tc>
          <w:tcPr>
            <w:tcW w:w="2380" w:type="dxa"/>
            <w:vAlign w:val="bottom"/>
            <w:tcBorders>
              <w:bottom w:val="single" w:sz="8" w:color="215AA8"/>
            </w:tcBorders>
          </w:tcPr>
          <w:p>
            <w:pPr>
              <w:ind w:left="160"/>
              <w:spacing w:after="0" w:line="224" w:lineRule="exact"/>
              <w:rPr>
                <w:sz w:val="20"/>
                <w:szCs w:val="20"/>
                <w:color w:val="auto"/>
              </w:rPr>
            </w:pPr>
            <w:r>
              <w:rPr>
                <w:rFonts w:ascii="Arial" w:cs="Arial" w:eastAsia="Arial" w:hAnsi="Arial"/>
                <w:sz w:val="14"/>
                <w:szCs w:val="14"/>
                <w:b w:val="1"/>
                <w:bCs w:val="1"/>
                <w:color w:val="215AA8"/>
              </w:rPr>
              <w:t>and Broker Non-Votes</w:t>
            </w:r>
            <w:r>
              <w:rPr>
                <w:rFonts w:ascii="Arial" w:cs="Arial" w:eastAsia="Arial" w:hAnsi="Arial"/>
                <w:sz w:val="22"/>
                <w:szCs w:val="22"/>
                <w:b w:val="1"/>
                <w:bCs w:val="1"/>
                <w:color w:val="215AA8"/>
                <w:vertAlign w:val="superscript"/>
              </w:rPr>
              <w:t>*</w:t>
            </w:r>
          </w:p>
        </w:tc>
        <w:tc>
          <w:tcPr>
            <w:tcW w:w="2500" w:type="dxa"/>
            <w:vAlign w:val="bottom"/>
            <w:tcBorders>
              <w:bottom w:val="single" w:sz="8" w:color="215AA8"/>
            </w:tcBorders>
          </w:tcPr>
          <w:p>
            <w:pPr>
              <w:ind w:left="240"/>
              <w:spacing w:after="0" w:line="224" w:lineRule="exact"/>
              <w:rPr>
                <w:sz w:val="20"/>
                <w:szCs w:val="20"/>
                <w:color w:val="auto"/>
              </w:rPr>
            </w:pPr>
            <w:r>
              <w:rPr>
                <w:rFonts w:ascii="Arial" w:cs="Arial" w:eastAsia="Arial" w:hAnsi="Arial"/>
                <w:sz w:val="14"/>
                <w:szCs w:val="14"/>
                <w:b w:val="1"/>
                <w:bCs w:val="1"/>
                <w:color w:val="215AA8"/>
              </w:rPr>
              <w:t>Voting Allowed?</w:t>
            </w:r>
            <w:r>
              <w:rPr>
                <w:rFonts w:ascii="Arial" w:cs="Arial" w:eastAsia="Arial" w:hAnsi="Arial"/>
                <w:sz w:val="22"/>
                <w:szCs w:val="22"/>
                <w:b w:val="1"/>
                <w:bCs w:val="1"/>
                <w:color w:val="215AA8"/>
                <w:vertAlign w:val="superscript"/>
              </w:rPr>
              <w:t>+</w:t>
            </w:r>
          </w:p>
        </w:tc>
      </w:tr>
      <w:tr>
        <w:trPr>
          <w:trHeight w:val="170"/>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Proposal No. 1: Election of Directors</w:t>
            </w:r>
          </w:p>
        </w:tc>
        <w:tc>
          <w:tcPr>
            <w:tcW w:w="3500" w:type="dxa"/>
            <w:vAlign w:val="bottom"/>
          </w:tcPr>
          <w:p>
            <w:pPr>
              <w:ind w:left="160"/>
              <w:spacing w:after="0"/>
              <w:rPr>
                <w:sz w:val="20"/>
                <w:szCs w:val="20"/>
                <w:color w:val="auto"/>
              </w:rPr>
            </w:pPr>
            <w:r>
              <w:rPr>
                <w:rFonts w:ascii="Arial" w:cs="Arial" w:eastAsia="Arial" w:hAnsi="Arial"/>
                <w:sz w:val="14"/>
                <w:szCs w:val="14"/>
                <w:color w:val="auto"/>
              </w:rPr>
              <w:t>Majority of the votes cast. In accordance with our</w:t>
            </w:r>
          </w:p>
        </w:tc>
        <w:tc>
          <w:tcPr>
            <w:tcW w:w="2380" w:type="dxa"/>
            <w:vAlign w:val="bottom"/>
          </w:tcPr>
          <w:p>
            <w:pPr>
              <w:ind w:left="160"/>
              <w:spacing w:after="0"/>
              <w:rPr>
                <w:sz w:val="20"/>
                <w:szCs w:val="20"/>
                <w:color w:val="auto"/>
              </w:rPr>
            </w:pPr>
            <w:r>
              <w:rPr>
                <w:rFonts w:ascii="Arial" w:cs="Arial" w:eastAsia="Arial" w:hAnsi="Arial"/>
                <w:sz w:val="14"/>
                <w:szCs w:val="14"/>
                <w:color w:val="auto"/>
              </w:rPr>
              <w:t>No effect –</w:t>
            </w:r>
          </w:p>
        </w:tc>
        <w:tc>
          <w:tcPr>
            <w:tcW w:w="2500" w:type="dxa"/>
            <w:vAlign w:val="bottom"/>
          </w:tcPr>
          <w:p>
            <w:pPr>
              <w:ind w:left="240"/>
              <w:spacing w:after="0"/>
              <w:rPr>
                <w:sz w:val="20"/>
                <w:szCs w:val="20"/>
                <w:color w:val="auto"/>
              </w:rPr>
            </w:pPr>
            <w:r>
              <w:rPr>
                <w:rFonts w:ascii="Arial" w:cs="Arial" w:eastAsia="Arial" w:hAnsi="Arial"/>
                <w:sz w:val="14"/>
                <w:szCs w:val="14"/>
                <w:color w:val="auto"/>
              </w:rPr>
              <w:t>No –</w:t>
            </w:r>
          </w:p>
        </w:tc>
      </w:tr>
      <w:tr>
        <w:trPr>
          <w:trHeight w:val="158"/>
        </w:trPr>
        <w:tc>
          <w:tcPr>
            <w:tcW w:w="2880" w:type="dxa"/>
            <w:vAlign w:val="bottom"/>
          </w:tcPr>
          <w:p>
            <w:pPr>
              <w:spacing w:after="0"/>
              <w:rPr>
                <w:sz w:val="13"/>
                <w:szCs w:val="13"/>
                <w:color w:val="auto"/>
              </w:rPr>
            </w:pPr>
          </w:p>
        </w:tc>
        <w:tc>
          <w:tcPr>
            <w:tcW w:w="3500" w:type="dxa"/>
            <w:vAlign w:val="bottom"/>
          </w:tcPr>
          <w:p>
            <w:pPr>
              <w:ind w:left="160"/>
              <w:spacing w:after="0" w:line="157" w:lineRule="exact"/>
              <w:rPr>
                <w:sz w:val="20"/>
                <w:szCs w:val="20"/>
                <w:color w:val="auto"/>
              </w:rPr>
            </w:pPr>
            <w:r>
              <w:rPr>
                <w:rFonts w:ascii="Arial" w:cs="Arial" w:eastAsia="Arial" w:hAnsi="Arial"/>
                <w:sz w:val="14"/>
                <w:szCs w:val="14"/>
                <w:color w:val="auto"/>
              </w:rPr>
              <w:t>director resignation policy, an incumbent director who</w:t>
            </w:r>
          </w:p>
        </w:tc>
        <w:tc>
          <w:tcPr>
            <w:tcW w:w="2380" w:type="dxa"/>
            <w:vAlign w:val="bottom"/>
          </w:tcPr>
          <w:p>
            <w:pPr>
              <w:ind w:left="160"/>
              <w:spacing w:after="0" w:line="157" w:lineRule="exact"/>
              <w:rPr>
                <w:sz w:val="20"/>
                <w:szCs w:val="20"/>
                <w:color w:val="auto"/>
              </w:rPr>
            </w:pPr>
            <w:r>
              <w:rPr>
                <w:rFonts w:ascii="Arial" w:cs="Arial" w:eastAsia="Arial" w:hAnsi="Arial"/>
                <w:sz w:val="14"/>
                <w:szCs w:val="14"/>
                <w:color w:val="auto"/>
              </w:rPr>
              <w:t>not considered votes cast on this</w:t>
            </w:r>
          </w:p>
        </w:tc>
        <w:tc>
          <w:tcPr>
            <w:tcW w:w="2500" w:type="dxa"/>
            <w:vAlign w:val="bottom"/>
          </w:tcPr>
          <w:p>
            <w:pPr>
              <w:ind w:left="240"/>
              <w:spacing w:after="0" w:line="157" w:lineRule="exact"/>
              <w:rPr>
                <w:sz w:val="20"/>
                <w:szCs w:val="20"/>
                <w:color w:val="auto"/>
              </w:rPr>
            </w:pPr>
            <w:r>
              <w:rPr>
                <w:rFonts w:ascii="Arial" w:cs="Arial" w:eastAsia="Arial" w:hAnsi="Arial"/>
                <w:sz w:val="14"/>
                <w:szCs w:val="14"/>
                <w:color w:val="auto"/>
              </w:rPr>
              <w:t>brokers without voting instructions</w:t>
            </w:r>
          </w:p>
        </w:tc>
      </w:tr>
      <w:tr>
        <w:trPr>
          <w:trHeight w:val="158"/>
        </w:trPr>
        <w:tc>
          <w:tcPr>
            <w:tcW w:w="2880" w:type="dxa"/>
            <w:vAlign w:val="bottom"/>
          </w:tcPr>
          <w:p>
            <w:pPr>
              <w:spacing w:after="0"/>
              <w:rPr>
                <w:sz w:val="13"/>
                <w:szCs w:val="13"/>
                <w:color w:val="auto"/>
              </w:rPr>
            </w:pPr>
          </w:p>
        </w:tc>
        <w:tc>
          <w:tcPr>
            <w:tcW w:w="3500" w:type="dxa"/>
            <w:vAlign w:val="bottom"/>
          </w:tcPr>
          <w:p>
            <w:pPr>
              <w:ind w:left="160"/>
              <w:spacing w:after="0" w:line="157" w:lineRule="exact"/>
              <w:rPr>
                <w:sz w:val="20"/>
                <w:szCs w:val="20"/>
                <w:color w:val="auto"/>
              </w:rPr>
            </w:pPr>
            <w:r>
              <w:rPr>
                <w:rFonts w:ascii="Arial" w:cs="Arial" w:eastAsia="Arial" w:hAnsi="Arial"/>
                <w:sz w:val="14"/>
                <w:szCs w:val="14"/>
                <w:color w:val="auto"/>
              </w:rPr>
              <w:t>fails to receive the required number of votes in an</w:t>
            </w:r>
          </w:p>
        </w:tc>
        <w:tc>
          <w:tcPr>
            <w:tcW w:w="2380" w:type="dxa"/>
            <w:vAlign w:val="bottom"/>
          </w:tcPr>
          <w:p>
            <w:pPr>
              <w:ind w:left="160"/>
              <w:spacing w:after="0" w:line="157" w:lineRule="exact"/>
              <w:rPr>
                <w:sz w:val="20"/>
                <w:szCs w:val="20"/>
                <w:color w:val="auto"/>
              </w:rPr>
            </w:pPr>
            <w:r>
              <w:rPr>
                <w:rFonts w:ascii="Arial" w:cs="Arial" w:eastAsia="Arial" w:hAnsi="Arial"/>
                <w:sz w:val="14"/>
                <w:szCs w:val="14"/>
                <w:color w:val="auto"/>
              </w:rPr>
              <w:t>proposal</w:t>
            </w:r>
          </w:p>
        </w:tc>
        <w:tc>
          <w:tcPr>
            <w:tcW w:w="2500" w:type="dxa"/>
            <w:vAlign w:val="bottom"/>
          </w:tcPr>
          <w:p>
            <w:pPr>
              <w:ind w:left="240"/>
              <w:spacing w:after="0" w:line="157" w:lineRule="exact"/>
              <w:rPr>
                <w:sz w:val="20"/>
                <w:szCs w:val="20"/>
                <w:color w:val="auto"/>
              </w:rPr>
            </w:pPr>
            <w:r>
              <w:rPr>
                <w:rFonts w:ascii="Arial" w:cs="Arial" w:eastAsia="Arial" w:hAnsi="Arial"/>
                <w:sz w:val="14"/>
                <w:szCs w:val="14"/>
                <w:color w:val="auto"/>
              </w:rPr>
              <w:t>will not be able to vote on this</w:t>
            </w:r>
          </w:p>
        </w:tc>
      </w:tr>
      <w:tr>
        <w:trPr>
          <w:trHeight w:val="158"/>
        </w:trPr>
        <w:tc>
          <w:tcPr>
            <w:tcW w:w="2880" w:type="dxa"/>
            <w:vAlign w:val="bottom"/>
          </w:tcPr>
          <w:p>
            <w:pPr>
              <w:spacing w:after="0"/>
              <w:rPr>
                <w:sz w:val="13"/>
                <w:szCs w:val="13"/>
                <w:color w:val="auto"/>
              </w:rPr>
            </w:pPr>
          </w:p>
        </w:tc>
        <w:tc>
          <w:tcPr>
            <w:tcW w:w="3500" w:type="dxa"/>
            <w:vAlign w:val="bottom"/>
          </w:tcPr>
          <w:p>
            <w:pPr>
              <w:ind w:left="160"/>
              <w:spacing w:after="0" w:line="157" w:lineRule="exact"/>
              <w:rPr>
                <w:sz w:val="20"/>
                <w:szCs w:val="20"/>
                <w:color w:val="auto"/>
              </w:rPr>
            </w:pPr>
            <w:r>
              <w:rPr>
                <w:rFonts w:ascii="Arial" w:cs="Arial" w:eastAsia="Arial" w:hAnsi="Arial"/>
                <w:sz w:val="14"/>
                <w:szCs w:val="14"/>
                <w:color w:val="auto"/>
              </w:rPr>
              <w:t>uncontested election will be required to tender his or</w:t>
            </w:r>
          </w:p>
        </w:tc>
        <w:tc>
          <w:tcPr>
            <w:tcW w:w="2380" w:type="dxa"/>
            <w:vAlign w:val="bottom"/>
          </w:tcPr>
          <w:p>
            <w:pPr>
              <w:spacing w:after="0"/>
              <w:rPr>
                <w:sz w:val="13"/>
                <w:szCs w:val="13"/>
                <w:color w:val="auto"/>
              </w:rPr>
            </w:pPr>
          </w:p>
        </w:tc>
        <w:tc>
          <w:tcPr>
            <w:tcW w:w="2500" w:type="dxa"/>
            <w:vAlign w:val="bottom"/>
          </w:tcPr>
          <w:p>
            <w:pPr>
              <w:ind w:left="240"/>
              <w:spacing w:after="0" w:line="157" w:lineRule="exact"/>
              <w:rPr>
                <w:sz w:val="20"/>
                <w:szCs w:val="20"/>
                <w:color w:val="auto"/>
              </w:rPr>
            </w:pPr>
            <w:r>
              <w:rPr>
                <w:rFonts w:ascii="Arial" w:cs="Arial" w:eastAsia="Arial" w:hAnsi="Arial"/>
                <w:sz w:val="14"/>
                <w:szCs w:val="14"/>
                <w:color w:val="auto"/>
              </w:rPr>
              <w:t>proposal</w:t>
            </w:r>
          </w:p>
        </w:tc>
      </w:tr>
      <w:tr>
        <w:trPr>
          <w:trHeight w:val="158"/>
        </w:trPr>
        <w:tc>
          <w:tcPr>
            <w:tcW w:w="2880" w:type="dxa"/>
            <w:vAlign w:val="bottom"/>
          </w:tcPr>
          <w:p>
            <w:pPr>
              <w:spacing w:after="0"/>
              <w:rPr>
                <w:sz w:val="13"/>
                <w:szCs w:val="13"/>
                <w:color w:val="auto"/>
              </w:rPr>
            </w:pPr>
          </w:p>
        </w:tc>
        <w:tc>
          <w:tcPr>
            <w:tcW w:w="3500" w:type="dxa"/>
            <w:vAlign w:val="bottom"/>
          </w:tcPr>
          <w:p>
            <w:pPr>
              <w:ind w:left="160"/>
              <w:spacing w:after="0" w:line="157" w:lineRule="exact"/>
              <w:rPr>
                <w:sz w:val="20"/>
                <w:szCs w:val="20"/>
                <w:color w:val="auto"/>
              </w:rPr>
            </w:pPr>
            <w:r>
              <w:rPr>
                <w:rFonts w:ascii="Arial" w:cs="Arial" w:eastAsia="Arial" w:hAnsi="Arial"/>
                <w:sz w:val="14"/>
                <w:szCs w:val="14"/>
                <w:color w:val="auto"/>
              </w:rPr>
              <w:t>her resignation to either co-Chair of the board of</w:t>
            </w:r>
          </w:p>
        </w:tc>
        <w:tc>
          <w:tcPr>
            <w:tcW w:w="238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8"/>
        </w:trPr>
        <w:tc>
          <w:tcPr>
            <w:tcW w:w="2880" w:type="dxa"/>
            <w:vAlign w:val="bottom"/>
          </w:tcPr>
          <w:p>
            <w:pPr>
              <w:spacing w:after="0"/>
              <w:rPr>
                <w:sz w:val="13"/>
                <w:szCs w:val="13"/>
                <w:color w:val="auto"/>
              </w:rPr>
            </w:pPr>
          </w:p>
        </w:tc>
        <w:tc>
          <w:tcPr>
            <w:tcW w:w="3500" w:type="dxa"/>
            <w:vAlign w:val="bottom"/>
          </w:tcPr>
          <w:p>
            <w:pPr>
              <w:ind w:left="160"/>
              <w:spacing w:after="0" w:line="157" w:lineRule="exact"/>
              <w:rPr>
                <w:sz w:val="20"/>
                <w:szCs w:val="20"/>
                <w:color w:val="auto"/>
              </w:rPr>
            </w:pPr>
            <w:r>
              <w:rPr>
                <w:rFonts w:ascii="Arial" w:cs="Arial" w:eastAsia="Arial" w:hAnsi="Arial"/>
                <w:sz w:val="14"/>
                <w:szCs w:val="14"/>
                <w:color w:val="auto"/>
              </w:rPr>
              <w:t>directors for consideration by the Corporate</w:t>
            </w:r>
          </w:p>
        </w:tc>
        <w:tc>
          <w:tcPr>
            <w:tcW w:w="238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83"/>
        </w:trPr>
        <w:tc>
          <w:tcPr>
            <w:tcW w:w="2880" w:type="dxa"/>
            <w:vAlign w:val="bottom"/>
            <w:tcBorders>
              <w:bottom w:val="single" w:sz="8" w:color="BDBEC0"/>
            </w:tcBorders>
          </w:tcPr>
          <w:p>
            <w:pPr>
              <w:spacing w:after="0"/>
              <w:rPr>
                <w:sz w:val="15"/>
                <w:szCs w:val="15"/>
                <w:color w:val="auto"/>
              </w:rPr>
            </w:pPr>
          </w:p>
        </w:tc>
        <w:tc>
          <w:tcPr>
            <w:tcW w:w="3500" w:type="dxa"/>
            <w:vAlign w:val="bottom"/>
            <w:tcBorders>
              <w:bottom w:val="single" w:sz="8" w:color="BDBEC0"/>
            </w:tcBorders>
          </w:tcPr>
          <w:p>
            <w:pPr>
              <w:ind w:left="160"/>
              <w:spacing w:after="0"/>
              <w:rPr>
                <w:sz w:val="20"/>
                <w:szCs w:val="20"/>
                <w:color w:val="auto"/>
              </w:rPr>
            </w:pPr>
            <w:r>
              <w:rPr>
                <w:rFonts w:ascii="Arial" w:cs="Arial" w:eastAsia="Arial" w:hAnsi="Arial"/>
                <w:sz w:val="14"/>
                <w:szCs w:val="14"/>
                <w:color w:val="auto"/>
              </w:rPr>
              <w:t>Governance and Compliance Committee.</w:t>
            </w:r>
          </w:p>
        </w:tc>
        <w:tc>
          <w:tcPr>
            <w:tcW w:w="2380" w:type="dxa"/>
            <w:vAlign w:val="bottom"/>
            <w:tcBorders>
              <w:bottom w:val="single" w:sz="8" w:color="BDBEC0"/>
            </w:tcBorders>
          </w:tcPr>
          <w:p>
            <w:pPr>
              <w:spacing w:after="0"/>
              <w:rPr>
                <w:sz w:val="15"/>
                <w:szCs w:val="15"/>
                <w:color w:val="auto"/>
              </w:rPr>
            </w:pPr>
          </w:p>
        </w:tc>
        <w:tc>
          <w:tcPr>
            <w:tcW w:w="2500" w:type="dxa"/>
            <w:vAlign w:val="bottom"/>
            <w:tcBorders>
              <w:bottom w:val="single" w:sz="8" w:color="BDBEC0"/>
            </w:tcBorders>
          </w:tcPr>
          <w:p>
            <w:pPr>
              <w:spacing w:after="0"/>
              <w:rPr>
                <w:sz w:val="15"/>
                <w:szCs w:val="15"/>
                <w:color w:val="auto"/>
              </w:rPr>
            </w:pPr>
          </w:p>
        </w:tc>
      </w:tr>
      <w:tr>
        <w:trPr>
          <w:trHeight w:val="166"/>
        </w:trPr>
        <w:tc>
          <w:tcPr>
            <w:tcW w:w="2880" w:type="dxa"/>
            <w:vAlign w:val="bottom"/>
            <w:shd w:val="clear" w:color="auto" w:fill="ECECED"/>
          </w:tcPr>
          <w:p>
            <w:pPr>
              <w:ind w:left="40"/>
              <w:spacing w:after="0"/>
              <w:rPr>
                <w:sz w:val="20"/>
                <w:szCs w:val="20"/>
                <w:color w:val="auto"/>
              </w:rPr>
            </w:pPr>
            <w:r>
              <w:rPr>
                <w:rFonts w:ascii="Arial" w:cs="Arial" w:eastAsia="Arial" w:hAnsi="Arial"/>
                <w:sz w:val="14"/>
                <w:szCs w:val="14"/>
                <w:b w:val="1"/>
                <w:bCs w:val="1"/>
                <w:color w:val="auto"/>
              </w:rPr>
              <w:t>Proposal No. 2: Ratification of the</w:t>
            </w:r>
          </w:p>
        </w:tc>
        <w:tc>
          <w:tcPr>
            <w:tcW w:w="3500" w:type="dxa"/>
            <w:vAlign w:val="bottom"/>
            <w:shd w:val="clear" w:color="auto" w:fill="ECECED"/>
          </w:tcPr>
          <w:p>
            <w:pPr>
              <w:ind w:left="160"/>
              <w:spacing w:after="0"/>
              <w:rPr>
                <w:sz w:val="20"/>
                <w:szCs w:val="20"/>
                <w:color w:val="auto"/>
              </w:rPr>
            </w:pPr>
            <w:r>
              <w:rPr>
                <w:rFonts w:ascii="Arial" w:cs="Arial" w:eastAsia="Arial" w:hAnsi="Arial"/>
                <w:sz w:val="14"/>
                <w:szCs w:val="14"/>
                <w:color w:val="auto"/>
              </w:rPr>
              <w:t>Majority of the votes cast</w:t>
            </w:r>
          </w:p>
        </w:tc>
        <w:tc>
          <w:tcPr>
            <w:tcW w:w="2380" w:type="dxa"/>
            <w:vAlign w:val="bottom"/>
            <w:shd w:val="clear" w:color="auto" w:fill="ECECED"/>
          </w:tcPr>
          <w:p>
            <w:pPr>
              <w:ind w:left="160"/>
              <w:spacing w:after="0"/>
              <w:rPr>
                <w:sz w:val="20"/>
                <w:szCs w:val="20"/>
                <w:color w:val="auto"/>
              </w:rPr>
            </w:pPr>
            <w:r>
              <w:rPr>
                <w:rFonts w:ascii="Arial" w:cs="Arial" w:eastAsia="Arial" w:hAnsi="Arial"/>
                <w:sz w:val="14"/>
                <w:szCs w:val="14"/>
                <w:color w:val="auto"/>
              </w:rPr>
              <w:t>No effect –</w:t>
            </w:r>
          </w:p>
        </w:tc>
        <w:tc>
          <w:tcPr>
            <w:tcW w:w="2500" w:type="dxa"/>
            <w:vAlign w:val="bottom"/>
            <w:shd w:val="clear" w:color="auto" w:fill="ECECED"/>
          </w:tcPr>
          <w:p>
            <w:pPr>
              <w:ind w:left="240"/>
              <w:spacing w:after="0"/>
              <w:rPr>
                <w:sz w:val="20"/>
                <w:szCs w:val="20"/>
                <w:color w:val="auto"/>
              </w:rPr>
            </w:pPr>
            <w:r>
              <w:rPr>
                <w:rFonts w:ascii="Arial" w:cs="Arial" w:eastAsia="Arial" w:hAnsi="Arial"/>
                <w:sz w:val="14"/>
                <w:szCs w:val="14"/>
                <w:color w:val="auto"/>
              </w:rPr>
              <w:t>Yes –</w:t>
            </w:r>
          </w:p>
        </w:tc>
      </w:tr>
      <w:tr>
        <w:trPr>
          <w:trHeight w:val="158"/>
        </w:trPr>
        <w:tc>
          <w:tcPr>
            <w:tcW w:w="2880" w:type="dxa"/>
            <w:vAlign w:val="bottom"/>
            <w:shd w:val="clear" w:color="auto" w:fill="ECECED"/>
          </w:tcPr>
          <w:p>
            <w:pPr>
              <w:ind w:left="40"/>
              <w:spacing w:after="0" w:line="157" w:lineRule="exact"/>
              <w:rPr>
                <w:sz w:val="20"/>
                <w:szCs w:val="20"/>
                <w:color w:val="auto"/>
              </w:rPr>
            </w:pPr>
            <w:r>
              <w:rPr>
                <w:rFonts w:ascii="Arial" w:cs="Arial" w:eastAsia="Arial" w:hAnsi="Arial"/>
                <w:sz w:val="14"/>
                <w:szCs w:val="14"/>
                <w:b w:val="1"/>
                <w:bCs w:val="1"/>
                <w:color w:val="auto"/>
              </w:rPr>
              <w:t>Appointment of PricewaterhouseCoopers</w:t>
            </w:r>
          </w:p>
        </w:tc>
        <w:tc>
          <w:tcPr>
            <w:tcW w:w="3500" w:type="dxa"/>
            <w:vAlign w:val="bottom"/>
            <w:shd w:val="clear" w:color="auto" w:fill="ECECED"/>
          </w:tcPr>
          <w:p>
            <w:pPr>
              <w:spacing w:after="0"/>
              <w:rPr>
                <w:sz w:val="13"/>
                <w:szCs w:val="13"/>
                <w:color w:val="auto"/>
              </w:rPr>
            </w:pPr>
          </w:p>
        </w:tc>
        <w:tc>
          <w:tcPr>
            <w:tcW w:w="2380" w:type="dxa"/>
            <w:vAlign w:val="bottom"/>
            <w:shd w:val="clear" w:color="auto" w:fill="ECECED"/>
          </w:tcPr>
          <w:p>
            <w:pPr>
              <w:ind w:left="160"/>
              <w:spacing w:after="0" w:line="157" w:lineRule="exact"/>
              <w:rPr>
                <w:sz w:val="20"/>
                <w:szCs w:val="20"/>
                <w:color w:val="auto"/>
              </w:rPr>
            </w:pPr>
            <w:r>
              <w:rPr>
                <w:rFonts w:ascii="Arial" w:cs="Arial" w:eastAsia="Arial" w:hAnsi="Arial"/>
                <w:sz w:val="14"/>
                <w:szCs w:val="14"/>
                <w:color w:val="auto"/>
              </w:rPr>
              <w:t>not considered votes cast on this</w:t>
            </w:r>
          </w:p>
        </w:tc>
        <w:tc>
          <w:tcPr>
            <w:tcW w:w="2500" w:type="dxa"/>
            <w:vAlign w:val="bottom"/>
            <w:shd w:val="clear" w:color="auto" w:fill="ECECED"/>
          </w:tcPr>
          <w:p>
            <w:pPr>
              <w:ind w:left="240"/>
              <w:spacing w:after="0" w:line="157" w:lineRule="exact"/>
              <w:rPr>
                <w:sz w:val="20"/>
                <w:szCs w:val="20"/>
                <w:color w:val="auto"/>
              </w:rPr>
            </w:pPr>
            <w:r>
              <w:rPr>
                <w:rFonts w:ascii="Arial" w:cs="Arial" w:eastAsia="Arial" w:hAnsi="Arial"/>
                <w:sz w:val="14"/>
                <w:szCs w:val="14"/>
                <w:color w:val="auto"/>
              </w:rPr>
              <w:t>brokers without voting instructions</w:t>
            </w:r>
          </w:p>
        </w:tc>
      </w:tr>
      <w:tr>
        <w:trPr>
          <w:trHeight w:val="160"/>
        </w:trPr>
        <w:tc>
          <w:tcPr>
            <w:tcW w:w="2880" w:type="dxa"/>
            <w:vAlign w:val="bottom"/>
            <w:shd w:val="clear" w:color="auto" w:fill="ECECED"/>
          </w:tcPr>
          <w:p>
            <w:pPr>
              <w:ind w:left="40"/>
              <w:spacing w:after="0" w:line="159" w:lineRule="exact"/>
              <w:rPr>
                <w:sz w:val="20"/>
                <w:szCs w:val="20"/>
                <w:color w:val="auto"/>
              </w:rPr>
            </w:pPr>
            <w:r>
              <w:rPr>
                <w:rFonts w:ascii="Arial" w:cs="Arial" w:eastAsia="Arial" w:hAnsi="Arial"/>
                <w:sz w:val="14"/>
                <w:szCs w:val="14"/>
                <w:b w:val="1"/>
                <w:bCs w:val="1"/>
                <w:color w:val="auto"/>
              </w:rPr>
              <w:t>LLP</w:t>
            </w:r>
          </w:p>
        </w:tc>
        <w:tc>
          <w:tcPr>
            <w:tcW w:w="3500" w:type="dxa"/>
            <w:vAlign w:val="bottom"/>
            <w:shd w:val="clear" w:color="auto" w:fill="ECECED"/>
          </w:tcPr>
          <w:p>
            <w:pPr>
              <w:spacing w:after="0"/>
              <w:rPr>
                <w:sz w:val="13"/>
                <w:szCs w:val="13"/>
                <w:color w:val="auto"/>
              </w:rPr>
            </w:pPr>
          </w:p>
        </w:tc>
        <w:tc>
          <w:tcPr>
            <w:tcW w:w="2380" w:type="dxa"/>
            <w:vAlign w:val="bottom"/>
            <w:shd w:val="clear" w:color="auto" w:fill="ECECED"/>
          </w:tcPr>
          <w:p>
            <w:pPr>
              <w:ind w:left="160"/>
              <w:spacing w:after="0" w:line="159" w:lineRule="exact"/>
              <w:rPr>
                <w:sz w:val="20"/>
                <w:szCs w:val="20"/>
                <w:color w:val="auto"/>
              </w:rPr>
            </w:pPr>
            <w:r>
              <w:rPr>
                <w:rFonts w:ascii="Arial" w:cs="Arial" w:eastAsia="Arial" w:hAnsi="Arial"/>
                <w:sz w:val="14"/>
                <w:szCs w:val="14"/>
                <w:color w:val="auto"/>
              </w:rPr>
              <w:t>proposal</w:t>
            </w:r>
          </w:p>
        </w:tc>
        <w:tc>
          <w:tcPr>
            <w:tcW w:w="2500" w:type="dxa"/>
            <w:vAlign w:val="bottom"/>
            <w:shd w:val="clear" w:color="auto" w:fill="ECECED"/>
          </w:tcPr>
          <w:p>
            <w:pPr>
              <w:ind w:left="240"/>
              <w:spacing w:after="0" w:line="159" w:lineRule="exact"/>
              <w:rPr>
                <w:sz w:val="20"/>
                <w:szCs w:val="20"/>
                <w:color w:val="auto"/>
              </w:rPr>
            </w:pPr>
            <w:r>
              <w:rPr>
                <w:rFonts w:ascii="Arial" w:cs="Arial" w:eastAsia="Arial" w:hAnsi="Arial"/>
                <w:sz w:val="14"/>
                <w:szCs w:val="14"/>
                <w:color w:val="auto"/>
              </w:rPr>
              <w:t>will have discretionary authority to</w:t>
            </w:r>
          </w:p>
        </w:tc>
      </w:tr>
      <w:tr>
        <w:trPr>
          <w:trHeight w:val="183"/>
        </w:trPr>
        <w:tc>
          <w:tcPr>
            <w:tcW w:w="2880" w:type="dxa"/>
            <w:vAlign w:val="bottom"/>
            <w:tcBorders>
              <w:bottom w:val="single" w:sz="8" w:color="BDBEC0"/>
            </w:tcBorders>
            <w:shd w:val="clear" w:color="auto" w:fill="ECECED"/>
          </w:tcPr>
          <w:p>
            <w:pPr>
              <w:spacing w:after="0"/>
              <w:rPr>
                <w:sz w:val="15"/>
                <w:szCs w:val="15"/>
                <w:color w:val="auto"/>
              </w:rPr>
            </w:pPr>
          </w:p>
        </w:tc>
        <w:tc>
          <w:tcPr>
            <w:tcW w:w="3500" w:type="dxa"/>
            <w:vAlign w:val="bottom"/>
            <w:tcBorders>
              <w:bottom w:val="single" w:sz="8" w:color="BDBEC0"/>
            </w:tcBorders>
            <w:shd w:val="clear" w:color="auto" w:fill="ECECED"/>
          </w:tcPr>
          <w:p>
            <w:pPr>
              <w:spacing w:after="0"/>
              <w:rPr>
                <w:sz w:val="15"/>
                <w:szCs w:val="15"/>
                <w:color w:val="auto"/>
              </w:rPr>
            </w:pPr>
          </w:p>
        </w:tc>
        <w:tc>
          <w:tcPr>
            <w:tcW w:w="2380" w:type="dxa"/>
            <w:vAlign w:val="bottom"/>
            <w:tcBorders>
              <w:bottom w:val="single" w:sz="8" w:color="BDBEC0"/>
            </w:tcBorders>
            <w:shd w:val="clear" w:color="auto" w:fill="ECECED"/>
          </w:tcPr>
          <w:p>
            <w:pPr>
              <w:spacing w:after="0"/>
              <w:rPr>
                <w:sz w:val="15"/>
                <w:szCs w:val="15"/>
                <w:color w:val="auto"/>
              </w:rPr>
            </w:pPr>
          </w:p>
        </w:tc>
        <w:tc>
          <w:tcPr>
            <w:tcW w:w="2500" w:type="dxa"/>
            <w:vAlign w:val="bottom"/>
            <w:tcBorders>
              <w:bottom w:val="single" w:sz="8" w:color="BDBEC0"/>
            </w:tcBorders>
            <w:shd w:val="clear" w:color="auto" w:fill="ECECED"/>
          </w:tcPr>
          <w:p>
            <w:pPr>
              <w:ind w:left="240"/>
              <w:spacing w:after="0"/>
              <w:rPr>
                <w:sz w:val="20"/>
                <w:szCs w:val="20"/>
                <w:color w:val="auto"/>
              </w:rPr>
            </w:pPr>
            <w:r>
              <w:rPr>
                <w:rFonts w:ascii="Arial" w:cs="Arial" w:eastAsia="Arial" w:hAnsi="Arial"/>
                <w:sz w:val="14"/>
                <w:szCs w:val="14"/>
                <w:color w:val="auto"/>
              </w:rPr>
              <w:t>vote</w:t>
            </w:r>
          </w:p>
        </w:tc>
      </w:tr>
    </w:tbl>
    <w:p>
      <w:pPr>
        <w:spacing w:after="0" w:line="10" w:lineRule="exact"/>
        <w:rPr>
          <w:sz w:val="20"/>
          <w:szCs w:val="20"/>
          <w:color w:val="auto"/>
        </w:rPr>
      </w:pPr>
    </w:p>
    <w:p>
      <w:pPr>
        <w:sectPr>
          <w:pgSz w:w="11900" w:h="16838" w:orient="portrait"/>
          <w:cols w:equalWidth="0" w:num="1">
            <w:col w:w="11270"/>
          </w:cols>
          <w:pgMar w:left="310" w:top="215" w:right="319" w:bottom="1440" w:gutter="0" w:footer="0" w:header="0"/>
        </w:sectPr>
      </w:pPr>
    </w:p>
    <w:p>
      <w:pPr>
        <w:ind w:left="50"/>
        <w:spacing w:after="0"/>
        <w:tabs>
          <w:tab w:leader="none" w:pos="3030" w:val="left"/>
        </w:tabs>
        <w:rPr>
          <w:sz w:val="20"/>
          <w:szCs w:val="20"/>
          <w:color w:val="auto"/>
        </w:rPr>
      </w:pPr>
      <w:r>
        <w:rPr>
          <w:rFonts w:ascii="Arial" w:cs="Arial" w:eastAsia="Arial" w:hAnsi="Arial"/>
          <w:sz w:val="14"/>
          <w:szCs w:val="14"/>
          <w:b w:val="1"/>
          <w:bCs w:val="1"/>
          <w:color w:val="auto"/>
        </w:rPr>
        <w:t>Proposal No. 3: Say-on-Pay</w:t>
      </w:r>
      <w:r>
        <w:rPr>
          <w:sz w:val="20"/>
          <w:szCs w:val="20"/>
          <w:color w:val="auto"/>
        </w:rPr>
        <w:tab/>
      </w:r>
      <w:r>
        <w:rPr>
          <w:rFonts w:ascii="Arial" w:cs="Arial" w:eastAsia="Arial" w:hAnsi="Arial"/>
          <w:sz w:val="12"/>
          <w:szCs w:val="12"/>
          <w:color w:val="auto"/>
        </w:rPr>
        <w:t>Non-binding, advisory proposal. We will consider the</w:t>
      </w:r>
    </w:p>
    <w:p>
      <w:pPr>
        <w:spacing w:after="0" w:line="11" w:lineRule="exact"/>
        <w:rPr>
          <w:sz w:val="20"/>
          <w:szCs w:val="20"/>
          <w:color w:val="auto"/>
        </w:rPr>
      </w:pPr>
    </w:p>
    <w:p>
      <w:pPr>
        <w:ind w:left="3050"/>
        <w:spacing w:after="0"/>
        <w:rPr>
          <w:sz w:val="20"/>
          <w:szCs w:val="20"/>
          <w:color w:val="auto"/>
        </w:rPr>
      </w:pPr>
      <w:r>
        <w:rPr>
          <w:rFonts w:ascii="Arial" w:cs="Arial" w:eastAsia="Arial" w:hAnsi="Arial"/>
          <w:sz w:val="12"/>
          <w:szCs w:val="12"/>
          <w:color w:val="auto"/>
        </w:rPr>
        <w:t>matter approved if it receives the affirmative vote of a</w:t>
      </w:r>
    </w:p>
    <w:p>
      <w:pPr>
        <w:spacing w:after="0" w:line="20" w:lineRule="exact"/>
        <w:rPr>
          <w:sz w:val="20"/>
          <w:szCs w:val="20"/>
          <w:color w:val="auto"/>
        </w:rPr>
      </w:pPr>
    </w:p>
    <w:p>
      <w:pPr>
        <w:ind w:left="3050"/>
        <w:spacing w:after="0"/>
        <w:rPr>
          <w:sz w:val="20"/>
          <w:szCs w:val="20"/>
          <w:color w:val="auto"/>
        </w:rPr>
      </w:pPr>
      <w:r>
        <w:rPr>
          <w:rFonts w:ascii="Arial" w:cs="Arial" w:eastAsia="Arial" w:hAnsi="Arial"/>
          <w:sz w:val="14"/>
          <w:szCs w:val="14"/>
          <w:color w:val="auto"/>
        </w:rPr>
        <w:t>majority of the votes cast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No effect –</w:t>
      </w:r>
    </w:p>
    <w:p>
      <w:pPr>
        <w:spacing w:after="0" w:line="9"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not considered votes cast on this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No –</w:t>
      </w:r>
    </w:p>
    <w:p>
      <w:pPr>
        <w:spacing w:after="0" w:line="9" w:lineRule="exact"/>
        <w:rPr>
          <w:sz w:val="20"/>
          <w:szCs w:val="20"/>
          <w:color w:val="auto"/>
        </w:rPr>
      </w:pPr>
    </w:p>
    <w:p>
      <w:pPr>
        <w:ind w:right="220"/>
        <w:spacing w:after="0" w:line="238" w:lineRule="auto"/>
        <w:rPr>
          <w:sz w:val="20"/>
          <w:szCs w:val="20"/>
          <w:color w:val="auto"/>
        </w:rPr>
      </w:pPr>
      <w:r>
        <w:rPr>
          <w:rFonts w:ascii="Arial" w:cs="Arial" w:eastAsia="Arial" w:hAnsi="Arial"/>
          <w:sz w:val="14"/>
          <w:szCs w:val="14"/>
          <w:color w:val="auto"/>
        </w:rPr>
        <w:t>brokers without voting instructions will not be able to vote on this proposal</w:t>
      </w:r>
    </w:p>
    <w:p>
      <w:pPr>
        <w:spacing w:after="0" w:line="1" w:lineRule="exact"/>
        <w:rPr>
          <w:sz w:val="20"/>
          <w:szCs w:val="20"/>
          <w:color w:val="auto"/>
        </w:rPr>
      </w:pPr>
    </w:p>
    <w:p>
      <w:pPr>
        <w:sectPr>
          <w:pgSz w:w="11900" w:h="16838" w:orient="portrait"/>
          <w:cols w:equalWidth="0" w:num="3">
            <w:col w:w="6230" w:space="320"/>
            <w:col w:w="1960" w:space="500"/>
            <w:col w:w="2260"/>
          </w:cols>
          <w:pgMar w:left="310" w:top="215" w:right="319" w:bottom="1440" w:gutter="0" w:footer="0" w:header="0"/>
          <w:type w:val="continuous"/>
        </w:sectPr>
      </w:pPr>
    </w:p>
    <w:tbl>
      <w:tblPr>
        <w:tblLayout w:type="fixed"/>
        <w:tblInd w:w="10" w:type="dxa"/>
        <w:tblCellMar>
          <w:top w:w="0" w:type="dxa"/>
          <w:left w:w="0" w:type="dxa"/>
          <w:bottom w:w="0" w:type="dxa"/>
          <w:right w:w="0" w:type="dxa"/>
        </w:tblCellMar>
      </w:tblPr>
      <w:tr>
        <w:trPr>
          <w:trHeight w:val="173"/>
        </w:trPr>
        <w:tc>
          <w:tcPr>
            <w:tcW w:w="2880" w:type="dxa"/>
            <w:vAlign w:val="bottom"/>
            <w:tcBorders>
              <w:top w:val="single" w:sz="8" w:color="BDBEC0"/>
            </w:tcBorders>
            <w:shd w:val="clear" w:color="auto" w:fill="ECECED"/>
          </w:tcPr>
          <w:p>
            <w:pPr>
              <w:ind w:left="40"/>
              <w:spacing w:after="0"/>
              <w:rPr>
                <w:sz w:val="20"/>
                <w:szCs w:val="20"/>
                <w:color w:val="auto"/>
              </w:rPr>
            </w:pPr>
            <w:r>
              <w:rPr>
                <w:rFonts w:ascii="Arial" w:cs="Arial" w:eastAsia="Arial" w:hAnsi="Arial"/>
                <w:sz w:val="14"/>
                <w:szCs w:val="14"/>
                <w:b w:val="1"/>
                <w:bCs w:val="1"/>
                <w:color w:val="auto"/>
              </w:rPr>
              <w:t>Proposal No. 4: Non-Binding Shareholder</w:t>
            </w:r>
          </w:p>
        </w:tc>
        <w:tc>
          <w:tcPr>
            <w:tcW w:w="3540" w:type="dxa"/>
            <w:vAlign w:val="bottom"/>
            <w:tcBorders>
              <w:top w:val="single" w:sz="8" w:color="BDBEC0"/>
            </w:tcBorders>
            <w:shd w:val="clear" w:color="auto" w:fill="ECECED"/>
          </w:tcPr>
          <w:p>
            <w:pPr>
              <w:ind w:left="160"/>
              <w:spacing w:after="0"/>
              <w:rPr>
                <w:sz w:val="20"/>
                <w:szCs w:val="20"/>
                <w:color w:val="auto"/>
              </w:rPr>
            </w:pPr>
            <w:r>
              <w:rPr>
                <w:rFonts w:ascii="Arial" w:cs="Arial" w:eastAsia="Arial" w:hAnsi="Arial"/>
                <w:sz w:val="14"/>
                <w:szCs w:val="14"/>
                <w:color w:val="auto"/>
              </w:rPr>
              <w:t>Non-binding proposal. We will consider the matter</w:t>
            </w:r>
          </w:p>
        </w:tc>
        <w:tc>
          <w:tcPr>
            <w:tcW w:w="2340" w:type="dxa"/>
            <w:vAlign w:val="bottom"/>
            <w:tcBorders>
              <w:top w:val="single" w:sz="8" w:color="BDBEC0"/>
            </w:tcBorders>
            <w:shd w:val="clear" w:color="auto" w:fill="ECECED"/>
          </w:tcPr>
          <w:p>
            <w:pPr>
              <w:ind w:left="120"/>
              <w:spacing w:after="0"/>
              <w:rPr>
                <w:sz w:val="20"/>
                <w:szCs w:val="20"/>
                <w:color w:val="auto"/>
              </w:rPr>
            </w:pPr>
            <w:r>
              <w:rPr>
                <w:rFonts w:ascii="Arial" w:cs="Arial" w:eastAsia="Arial" w:hAnsi="Arial"/>
                <w:sz w:val="14"/>
                <w:szCs w:val="14"/>
                <w:color w:val="auto"/>
              </w:rPr>
              <w:t>No effect –</w:t>
            </w:r>
          </w:p>
        </w:tc>
        <w:tc>
          <w:tcPr>
            <w:tcW w:w="2500" w:type="dxa"/>
            <w:vAlign w:val="bottom"/>
            <w:tcBorders>
              <w:top w:val="single" w:sz="8" w:color="BDBEC0"/>
            </w:tcBorders>
            <w:shd w:val="clear" w:color="auto" w:fill="ECECED"/>
          </w:tcPr>
          <w:p>
            <w:pPr>
              <w:ind w:left="240"/>
              <w:spacing w:after="0"/>
              <w:rPr>
                <w:sz w:val="20"/>
                <w:szCs w:val="20"/>
                <w:color w:val="auto"/>
              </w:rPr>
            </w:pPr>
            <w:r>
              <w:rPr>
                <w:rFonts w:ascii="Arial" w:cs="Arial" w:eastAsia="Arial" w:hAnsi="Arial"/>
                <w:sz w:val="14"/>
                <w:szCs w:val="14"/>
                <w:color w:val="auto"/>
              </w:rPr>
              <w:t>No –</w:t>
            </w:r>
          </w:p>
        </w:tc>
      </w:tr>
      <w:tr>
        <w:trPr>
          <w:trHeight w:val="160"/>
        </w:trPr>
        <w:tc>
          <w:tcPr>
            <w:tcW w:w="2880" w:type="dxa"/>
            <w:vAlign w:val="bottom"/>
            <w:shd w:val="clear" w:color="auto" w:fill="ECECED"/>
          </w:tcPr>
          <w:p>
            <w:pPr>
              <w:ind w:left="40"/>
              <w:spacing w:after="0" w:line="159" w:lineRule="exact"/>
              <w:rPr>
                <w:sz w:val="20"/>
                <w:szCs w:val="20"/>
                <w:color w:val="auto"/>
              </w:rPr>
            </w:pPr>
            <w:r>
              <w:rPr>
                <w:rFonts w:ascii="Arial" w:cs="Arial" w:eastAsia="Arial" w:hAnsi="Arial"/>
                <w:sz w:val="14"/>
                <w:szCs w:val="14"/>
                <w:b w:val="1"/>
                <w:bCs w:val="1"/>
                <w:color w:val="auto"/>
              </w:rPr>
              <w:t>Proposal</w:t>
            </w:r>
          </w:p>
        </w:tc>
        <w:tc>
          <w:tcPr>
            <w:tcW w:w="3540" w:type="dxa"/>
            <w:vAlign w:val="bottom"/>
            <w:shd w:val="clear" w:color="auto" w:fill="ECECED"/>
          </w:tcPr>
          <w:p>
            <w:pPr>
              <w:ind w:left="160"/>
              <w:spacing w:after="0" w:line="159" w:lineRule="exact"/>
              <w:rPr>
                <w:sz w:val="20"/>
                <w:szCs w:val="20"/>
                <w:color w:val="auto"/>
              </w:rPr>
            </w:pPr>
            <w:r>
              <w:rPr>
                <w:rFonts w:ascii="Arial" w:cs="Arial" w:eastAsia="Arial" w:hAnsi="Arial"/>
                <w:sz w:val="14"/>
                <w:szCs w:val="14"/>
                <w:color w:val="auto"/>
                <w:w w:val="99"/>
              </w:rPr>
              <w:t>approved if it receives the affirmative vote of a majority</w:t>
            </w:r>
          </w:p>
        </w:tc>
        <w:tc>
          <w:tcPr>
            <w:tcW w:w="2340" w:type="dxa"/>
            <w:vAlign w:val="bottom"/>
            <w:shd w:val="clear" w:color="auto" w:fill="ECECED"/>
          </w:tcPr>
          <w:p>
            <w:pPr>
              <w:ind w:left="120"/>
              <w:spacing w:after="0" w:line="159" w:lineRule="exact"/>
              <w:rPr>
                <w:sz w:val="20"/>
                <w:szCs w:val="20"/>
                <w:color w:val="auto"/>
              </w:rPr>
            </w:pPr>
            <w:r>
              <w:rPr>
                <w:rFonts w:ascii="Arial" w:cs="Arial" w:eastAsia="Arial" w:hAnsi="Arial"/>
                <w:sz w:val="14"/>
                <w:szCs w:val="14"/>
                <w:color w:val="auto"/>
              </w:rPr>
              <w:t>not considered votes cast on this</w:t>
            </w:r>
          </w:p>
        </w:tc>
        <w:tc>
          <w:tcPr>
            <w:tcW w:w="2500" w:type="dxa"/>
            <w:vAlign w:val="bottom"/>
            <w:shd w:val="clear" w:color="auto" w:fill="ECECED"/>
          </w:tcPr>
          <w:p>
            <w:pPr>
              <w:ind w:left="240"/>
              <w:spacing w:after="0" w:line="159" w:lineRule="exact"/>
              <w:rPr>
                <w:sz w:val="20"/>
                <w:szCs w:val="20"/>
                <w:color w:val="auto"/>
              </w:rPr>
            </w:pPr>
            <w:r>
              <w:rPr>
                <w:rFonts w:ascii="Arial" w:cs="Arial" w:eastAsia="Arial" w:hAnsi="Arial"/>
                <w:sz w:val="14"/>
                <w:szCs w:val="14"/>
                <w:color w:val="auto"/>
              </w:rPr>
              <w:t>brokers without voting instructions</w:t>
            </w:r>
          </w:p>
        </w:tc>
      </w:tr>
      <w:tr>
        <w:trPr>
          <w:trHeight w:val="158"/>
        </w:trPr>
        <w:tc>
          <w:tcPr>
            <w:tcW w:w="2880" w:type="dxa"/>
            <w:vAlign w:val="bottom"/>
            <w:shd w:val="clear" w:color="auto" w:fill="ECECED"/>
          </w:tcPr>
          <w:p>
            <w:pPr>
              <w:spacing w:after="0"/>
              <w:rPr>
                <w:sz w:val="13"/>
                <w:szCs w:val="13"/>
                <w:color w:val="auto"/>
              </w:rPr>
            </w:pPr>
          </w:p>
        </w:tc>
        <w:tc>
          <w:tcPr>
            <w:tcW w:w="3540" w:type="dxa"/>
            <w:vAlign w:val="bottom"/>
            <w:shd w:val="clear" w:color="auto" w:fill="ECECED"/>
          </w:tcPr>
          <w:p>
            <w:pPr>
              <w:ind w:left="160"/>
              <w:spacing w:after="0" w:line="157" w:lineRule="exact"/>
              <w:rPr>
                <w:sz w:val="20"/>
                <w:szCs w:val="20"/>
                <w:color w:val="auto"/>
              </w:rPr>
            </w:pPr>
            <w:r>
              <w:rPr>
                <w:rFonts w:ascii="Arial" w:cs="Arial" w:eastAsia="Arial" w:hAnsi="Arial"/>
                <w:sz w:val="14"/>
                <w:szCs w:val="14"/>
                <w:color w:val="auto"/>
              </w:rPr>
              <w:t>of the votes cast</w:t>
            </w:r>
          </w:p>
        </w:tc>
        <w:tc>
          <w:tcPr>
            <w:tcW w:w="2340" w:type="dxa"/>
            <w:vAlign w:val="bottom"/>
            <w:shd w:val="clear" w:color="auto" w:fill="ECECED"/>
          </w:tcPr>
          <w:p>
            <w:pPr>
              <w:ind w:left="120"/>
              <w:spacing w:after="0" w:line="157" w:lineRule="exact"/>
              <w:rPr>
                <w:sz w:val="20"/>
                <w:szCs w:val="20"/>
                <w:color w:val="auto"/>
              </w:rPr>
            </w:pPr>
            <w:r>
              <w:rPr>
                <w:rFonts w:ascii="Arial" w:cs="Arial" w:eastAsia="Arial" w:hAnsi="Arial"/>
                <w:sz w:val="14"/>
                <w:szCs w:val="14"/>
                <w:color w:val="auto"/>
              </w:rPr>
              <w:t>proposal</w:t>
            </w:r>
          </w:p>
        </w:tc>
        <w:tc>
          <w:tcPr>
            <w:tcW w:w="2500" w:type="dxa"/>
            <w:vAlign w:val="bottom"/>
            <w:shd w:val="clear" w:color="auto" w:fill="ECECED"/>
          </w:tcPr>
          <w:p>
            <w:pPr>
              <w:ind w:left="240"/>
              <w:spacing w:after="0" w:line="157" w:lineRule="exact"/>
              <w:rPr>
                <w:sz w:val="20"/>
                <w:szCs w:val="20"/>
                <w:color w:val="auto"/>
              </w:rPr>
            </w:pPr>
            <w:r>
              <w:rPr>
                <w:rFonts w:ascii="Arial" w:cs="Arial" w:eastAsia="Arial" w:hAnsi="Arial"/>
                <w:sz w:val="14"/>
                <w:szCs w:val="14"/>
                <w:color w:val="auto"/>
              </w:rPr>
              <w:t>will not be able to vote on this</w:t>
            </w:r>
          </w:p>
        </w:tc>
      </w:tr>
      <w:tr>
        <w:trPr>
          <w:trHeight w:val="193"/>
        </w:trPr>
        <w:tc>
          <w:tcPr>
            <w:tcW w:w="2880" w:type="dxa"/>
            <w:vAlign w:val="bottom"/>
            <w:tcBorders>
              <w:bottom w:val="single" w:sz="8" w:color="215AA8"/>
            </w:tcBorders>
            <w:shd w:val="clear" w:color="auto" w:fill="ECECED"/>
          </w:tcPr>
          <w:p>
            <w:pPr>
              <w:spacing w:after="0"/>
              <w:rPr>
                <w:sz w:val="16"/>
                <w:szCs w:val="16"/>
                <w:color w:val="auto"/>
              </w:rPr>
            </w:pPr>
          </w:p>
        </w:tc>
        <w:tc>
          <w:tcPr>
            <w:tcW w:w="3540" w:type="dxa"/>
            <w:vAlign w:val="bottom"/>
            <w:tcBorders>
              <w:bottom w:val="single" w:sz="8" w:color="215AA8"/>
            </w:tcBorders>
            <w:shd w:val="clear" w:color="auto" w:fill="ECECED"/>
          </w:tcPr>
          <w:p>
            <w:pPr>
              <w:spacing w:after="0"/>
              <w:rPr>
                <w:sz w:val="16"/>
                <w:szCs w:val="16"/>
                <w:color w:val="auto"/>
              </w:rPr>
            </w:pPr>
          </w:p>
        </w:tc>
        <w:tc>
          <w:tcPr>
            <w:tcW w:w="2340" w:type="dxa"/>
            <w:vAlign w:val="bottom"/>
            <w:tcBorders>
              <w:bottom w:val="single" w:sz="8" w:color="215AA8"/>
            </w:tcBorders>
            <w:shd w:val="clear" w:color="auto" w:fill="ECECED"/>
          </w:tcPr>
          <w:p>
            <w:pPr>
              <w:spacing w:after="0"/>
              <w:rPr>
                <w:sz w:val="16"/>
                <w:szCs w:val="16"/>
                <w:color w:val="auto"/>
              </w:rPr>
            </w:pPr>
          </w:p>
        </w:tc>
        <w:tc>
          <w:tcPr>
            <w:tcW w:w="2500" w:type="dxa"/>
            <w:vAlign w:val="bottom"/>
            <w:tcBorders>
              <w:bottom w:val="single" w:sz="8" w:color="215AA8"/>
            </w:tcBorders>
            <w:shd w:val="clear" w:color="auto" w:fill="ECECED"/>
          </w:tcPr>
          <w:p>
            <w:pPr>
              <w:ind w:left="240"/>
              <w:spacing w:after="0"/>
              <w:rPr>
                <w:sz w:val="20"/>
                <w:szCs w:val="20"/>
                <w:color w:val="auto"/>
              </w:rPr>
            </w:pPr>
            <w:r>
              <w:rPr>
                <w:rFonts w:ascii="Arial" w:cs="Arial" w:eastAsia="Arial" w:hAnsi="Arial"/>
                <w:sz w:val="14"/>
                <w:szCs w:val="14"/>
                <w:color w:val="auto"/>
              </w:rPr>
              <w:t>proposal</w:t>
            </w:r>
          </w:p>
        </w:tc>
      </w:tr>
    </w:tbl>
    <w:p>
      <w:pPr>
        <w:spacing w:after="0" w:line="37" w:lineRule="exact"/>
        <w:rPr>
          <w:sz w:val="20"/>
          <w:szCs w:val="20"/>
          <w:color w:val="auto"/>
        </w:rPr>
      </w:pPr>
    </w:p>
    <w:p>
      <w:pPr>
        <w:ind w:left="270" w:hanging="270"/>
        <w:spacing w:after="0"/>
        <w:tabs>
          <w:tab w:leader="none" w:pos="27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As noted above, abstentions will be counted as present for purposes of establishing a quorum at the Annual Meeting.</w:t>
      </w:r>
    </w:p>
    <w:p>
      <w:pPr>
        <w:spacing w:after="0" w:line="42" w:lineRule="exact"/>
        <w:rPr>
          <w:sz w:val="20"/>
          <w:szCs w:val="20"/>
          <w:color w:val="auto"/>
        </w:rPr>
      </w:pPr>
    </w:p>
    <w:p>
      <w:pPr>
        <w:ind w:left="270" w:right="440" w:hanging="270"/>
        <w:spacing w:after="0" w:line="191" w:lineRule="auto"/>
        <w:tabs>
          <w:tab w:leader="none" w:pos="270" w:val="left"/>
        </w:tabs>
        <w:numPr>
          <w:ilvl w:val="0"/>
          <w:numId w:val="202"/>
        </w:numPr>
        <w:rPr>
          <w:rFonts w:ascii="Arial" w:cs="Arial" w:eastAsia="Arial" w:hAnsi="Arial"/>
          <w:sz w:val="20"/>
          <w:szCs w:val="20"/>
          <w:color w:val="auto"/>
          <w:vertAlign w:val="superscript"/>
        </w:rPr>
      </w:pPr>
      <w:r>
        <w:rPr>
          <w:rFonts w:ascii="Arial" w:cs="Arial" w:eastAsia="Arial" w:hAnsi="Arial"/>
          <w:sz w:val="12"/>
          <w:szCs w:val="12"/>
          <w:color w:val="auto"/>
        </w:rPr>
        <w:t>Only relevant if you are the beneficial owner of shares held in “street name.” If you are a shareholder of record and you do not cast your vote, no votes will be cast on your behalf on any of the items of business at the Annual Meeting.</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109</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6261735</wp:posOffset>
            </wp:positionH>
            <wp:positionV relativeFrom="paragraph">
              <wp:posOffset>-242570</wp:posOffset>
            </wp:positionV>
            <wp:extent cx="629285" cy="717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6"/>
              </w:rPr>
              <w:t>Other Matters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68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900" w:type="dxa"/>
            <w:vAlign w:val="bottom"/>
            <w:tcBorders>
              <w:bottom w:val="single" w:sz="8" w:color="D60058"/>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If any other matter is properly brought before the Annual Meeting, such matter also will be determined by the affirmative vote of a majority of the votes cast at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When are shareholder proposals and nominations due for the 2025 Annual Meeting of Shareholders?</w:t>
      </w:r>
    </w:p>
    <w:p>
      <w:pPr>
        <w:spacing w:after="0" w:line="156" w:lineRule="exact"/>
        <w:rPr>
          <w:sz w:val="20"/>
          <w:szCs w:val="20"/>
          <w:color w:val="auto"/>
        </w:rPr>
      </w:pPr>
    </w:p>
    <w:p>
      <w:pPr>
        <w:ind w:right="180"/>
        <w:spacing w:after="0" w:line="246" w:lineRule="auto"/>
        <w:rPr>
          <w:sz w:val="20"/>
          <w:szCs w:val="20"/>
          <w:color w:val="auto"/>
        </w:rPr>
      </w:pPr>
      <w:r>
        <w:rPr>
          <w:rFonts w:ascii="Arial" w:cs="Arial" w:eastAsia="Arial" w:hAnsi="Arial"/>
          <w:sz w:val="14"/>
          <w:szCs w:val="14"/>
          <w:color w:val="auto"/>
        </w:rPr>
        <w:t>A shareholder wishing to present a proposal at the 2025 Annual Meeting of Shareholders and have the proposal included in our proxy statement must submit the proposal in writing and it must be received by the Company at its principal executive offices at 777 Old Saw Mill River Road, Tarrytown, New York 10591-6707 by December 26, 2024, and must satisfy the other conditions established by the SEC.</w:t>
      </w:r>
    </w:p>
    <w:p>
      <w:pPr>
        <w:spacing w:after="0" w:line="135"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Under our By-Laws, proposals of shareholders (other than proposals to be included in our proxy statement) and nominations of directors for election at the 2025 Annual Meeting may be made only by a shareholder of record who has given notice of the proposal or nomination to the Secretary of the Company at our principal executive offices no earlier than 90 days and no later than 60 days prior to the meeting; provided that if less than 70 days’ notice or public disclosure of the date of the 2025 Annual Meeting is given or made to shareholders, notice by the shareholder in order to be timely must be received no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2025 Annual Meeting is held on June 13, 2025 in accordance with the Company’s past practice, and at least 70 days’ notice or prior public disclosure of the date of the 2025 Annual Meeting is given or made to shareholders, notice of such proposals or nominations would need to be given no earlier than March 15, 2025 and no later than April 14, 2025. In addition to satisfying the requirements under our By-Laws relating to nominations of directors, including the deadline for written notice, to comply with the SEC’s “universal proxy rules,” shareholders who intend to solicit proxies in support of director nominees other than the Company’s nominees at the 2025 Annual Meeting in compliance with Rule 14a-19 under the Exchange Act must provide written notice containing the information required by Rule 14a-19 to our Corporate Secretary at 777 Old Saw Mill River Road, Tarrytown, New York 10591-6707 no later than April 15, 2025.</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What happens if multiple shareholders share an address?</w:t>
      </w:r>
    </w:p>
    <w:p>
      <w:pPr>
        <w:spacing w:after="0" w:line="156" w:lineRule="exact"/>
        <w:rPr>
          <w:sz w:val="20"/>
          <w:szCs w:val="20"/>
          <w:color w:val="auto"/>
        </w:rPr>
      </w:pPr>
    </w:p>
    <w:p>
      <w:pPr>
        <w:ind w:right="40"/>
        <w:spacing w:after="0" w:line="237" w:lineRule="auto"/>
        <w:rPr>
          <w:sz w:val="20"/>
          <w:szCs w:val="20"/>
          <w:color w:val="auto"/>
        </w:rPr>
      </w:pPr>
      <w:r>
        <w:rPr>
          <w:rFonts w:ascii="Arial" w:cs="Arial" w:eastAsia="Arial" w:hAnsi="Arial"/>
          <w:sz w:val="14"/>
          <w:szCs w:val="14"/>
          <w:color w:val="auto"/>
        </w:rPr>
        <w:t>Applicable rules permit brokerage firms and the Company to send one Notice (or one annual report, proxy statement, and Notice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 multiple shareholders sharing the same address. If you wish to receive separate copies of the proxy statement for the 2024 Annual Meeting, the 2023 Annual Report, or the Notice, you may find these materials at our internet website (</w:t>
      </w:r>
      <w:r>
        <w:rPr>
          <w:rFonts w:ascii="Arial" w:cs="Arial" w:eastAsia="Arial" w:hAnsi="Arial"/>
          <w:sz w:val="14"/>
          <w:szCs w:val="14"/>
          <w:b w:val="1"/>
          <w:bCs w:val="1"/>
          <w:color w:val="215AA8"/>
        </w:rPr>
        <w:t>www.regeneron.com</w:t>
      </w:r>
      <w:r>
        <w:rPr>
          <w:rFonts w:ascii="Arial" w:cs="Arial" w:eastAsia="Arial" w:hAnsi="Arial"/>
          <w:sz w:val="14"/>
          <w:szCs w:val="14"/>
          <w:color w:val="auto"/>
        </w:rPr>
        <w:t>) or you may stop householding for your account and receive separate printed copies of these materials by contacting our Investor Relations Department, at Regeneron Pharmaceuticals, Inc., 777 Old Saw Mill River Road, Tarrytown, New York 10591-6707,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Are there any other matters to be addressed at the Annual Meeting?</w:t>
      </w:r>
    </w:p>
    <w:p>
      <w:pPr>
        <w:spacing w:after="0" w:line="156" w:lineRule="exact"/>
        <w:rPr>
          <w:sz w:val="20"/>
          <w:szCs w:val="20"/>
          <w:color w:val="auto"/>
        </w:rPr>
      </w:pPr>
    </w:p>
    <w:p>
      <w:pPr>
        <w:ind w:right="280"/>
        <w:spacing w:after="0" w:line="246" w:lineRule="auto"/>
        <w:rPr>
          <w:sz w:val="20"/>
          <w:szCs w:val="20"/>
          <w:color w:val="auto"/>
        </w:rPr>
      </w:pPr>
      <w:r>
        <w:rPr>
          <w:rFonts w:ascii="Arial" w:cs="Arial" w:eastAsia="Arial" w:hAnsi="Arial"/>
          <w:sz w:val="14"/>
          <w:szCs w:val="14"/>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110</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-242570</wp:posOffset>
            </wp:positionV>
            <wp:extent cx="629285" cy="717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6"/>
              </w:rPr>
              <w:t>Other Matters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68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900" w:type="dxa"/>
            <w:vAlign w:val="bottom"/>
            <w:tcBorders>
              <w:bottom w:val="single" w:sz="8" w:color="D60058"/>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How can you receive a printed copy of the Company’s 2023 Annual Report?</w:t>
      </w:r>
    </w:p>
    <w:p>
      <w:pPr>
        <w:spacing w:after="0" w:line="154" w:lineRule="exact"/>
        <w:rPr>
          <w:sz w:val="20"/>
          <w:szCs w:val="20"/>
          <w:color w:val="auto"/>
        </w:rPr>
      </w:pPr>
    </w:p>
    <w:p>
      <w:pPr>
        <w:jc w:val="both"/>
        <w:ind w:right="320"/>
        <w:spacing w:after="0" w:line="253" w:lineRule="auto"/>
        <w:rPr>
          <w:sz w:val="20"/>
          <w:szCs w:val="20"/>
          <w:color w:val="auto"/>
        </w:rPr>
      </w:pPr>
      <w:r>
        <w:rPr>
          <w:rFonts w:ascii="Arial" w:cs="Arial" w:eastAsia="Arial" w:hAnsi="Arial"/>
          <w:sz w:val="14"/>
          <w:szCs w:val="14"/>
          <w:b w:val="1"/>
          <w:bCs w:val="1"/>
          <w:color w:val="auto"/>
        </w:rPr>
        <w:t>Interested shareholders may obtain without charge a copy of our 2023 Annual Report (without exhibits), which includes our audited financial statements for the fiscal year ended December 31, 2023, required to be filed with the SEC, by making a written request to Regeneron Pharmaceuticals, Inc., 777 Old Saw Mill River Road, Tarrytown, New York 10591-6707, Attention: Investor Relations, or by calling our Investor Relations Department at (914) 847-7000.</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215AA8"/>
        </w:rPr>
        <w:t>How do you elect to receive future proxy materials electronically?</w:t>
      </w:r>
    </w:p>
    <w:p>
      <w:pPr>
        <w:spacing w:after="0" w:line="156"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13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4"/>
          <w:szCs w:val="14"/>
          <w:b w:val="1"/>
          <w:bCs w:val="1"/>
          <w:color w:val="215AA8"/>
        </w:rPr>
        <w:t>www.proxyvote.com</w:t>
      </w:r>
      <w:r>
        <w:rPr>
          <w:rFonts w:ascii="Arial" w:cs="Arial" w:eastAsia="Arial" w:hAnsi="Arial"/>
          <w:sz w:val="14"/>
          <w:szCs w:val="14"/>
          <w:color w:val="auto"/>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B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111</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6262370</wp:posOffset>
            </wp:positionH>
            <wp:positionV relativeFrom="paragraph">
              <wp:posOffset>-242570</wp:posOffset>
            </wp:positionV>
            <wp:extent cx="629285" cy="717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22" w:name="page123"/>
    <w:bookmarkEnd w:id="122"/>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6"/>
              </w:rPr>
              <w:t>Other Matters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68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900" w:type="dxa"/>
            <w:vAlign w:val="bottom"/>
            <w:tcBorders>
              <w:bottom w:val="single" w:sz="8" w:color="D60058"/>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0"/>
        <w:spacing w:after="0"/>
        <w:rPr>
          <w:sz w:val="20"/>
          <w:szCs w:val="20"/>
          <w:color w:val="auto"/>
        </w:rPr>
      </w:pPr>
      <w:r>
        <w:rPr>
          <w:rFonts w:ascii="Arial" w:cs="Arial" w:eastAsia="Arial" w:hAnsi="Arial"/>
          <w:sz w:val="42"/>
          <w:szCs w:val="42"/>
          <w:b w:val="1"/>
          <w:bCs w:val="1"/>
          <w:color w:val="215AA8"/>
        </w:rPr>
        <w:t>Appendix A</w:t>
      </w:r>
    </w:p>
    <w:p>
      <w:pPr>
        <w:spacing w:after="0" w:line="36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Note Regarding Forward-Looking Statements and Non-GAAP Financial Measures</w:t>
      </w:r>
    </w:p>
    <w:p>
      <w:pPr>
        <w:spacing w:after="0" w:line="166" w:lineRule="exact"/>
        <w:rPr>
          <w:sz w:val="20"/>
          <w:szCs w:val="20"/>
          <w:color w:val="auto"/>
        </w:rPr>
      </w:pPr>
    </w:p>
    <w:p>
      <w:pPr>
        <w:ind w:left="10" w:right="160"/>
        <w:spacing w:after="0" w:line="242" w:lineRule="auto"/>
        <w:rPr>
          <w:sz w:val="20"/>
          <w:szCs w:val="20"/>
          <w:color w:val="auto"/>
        </w:rPr>
      </w:pPr>
      <w:r>
        <w:rPr>
          <w:rFonts w:ascii="Arial" w:cs="Arial" w:eastAsia="Arial" w:hAnsi="Arial"/>
          <w:sz w:val="14"/>
          <w:szCs w:val="14"/>
          <w:color w:val="auto"/>
        </w:rPr>
        <w:t>This proxy statement includes forward-looking statements that involve risks and uncertainties relating to future events and the future performance of Regeneron Pharmaceuticals, Inc. (where applicable, together with its subsidiaries,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139" w:lineRule="exact"/>
        <w:rPr>
          <w:sz w:val="20"/>
          <w:szCs w:val="20"/>
          <w:color w:val="auto"/>
        </w:rPr>
      </w:pPr>
    </w:p>
    <w:p>
      <w:pPr>
        <w:jc w:val="both"/>
        <w:ind w:left="150" w:right="100" w:hanging="150"/>
        <w:spacing w:after="0" w:line="242" w:lineRule="auto"/>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those discussed or referenced in this proxy statement, Regeneron’s and its collaborators’ earlier-stage programs, and the use of human genetics in Regeneron’s research programs;</w:t>
      </w:r>
    </w:p>
    <w:p>
      <w:pPr>
        <w:spacing w:after="0" w:line="48" w:lineRule="exact"/>
        <w:rPr>
          <w:rFonts w:ascii="Arial" w:cs="Arial" w:eastAsia="Arial" w:hAnsi="Arial"/>
          <w:sz w:val="14"/>
          <w:szCs w:val="14"/>
          <w:color w:val="215AA8"/>
        </w:rPr>
      </w:pPr>
    </w:p>
    <w:p>
      <w:pPr>
        <w:ind w:left="150" w:hanging="150"/>
        <w:spacing w:after="0"/>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the likelihood and timing of achieving any of Regeneron’s anticipated development and production milestones;</w:t>
      </w:r>
    </w:p>
    <w:p>
      <w:pPr>
        <w:spacing w:after="0" w:line="64" w:lineRule="exact"/>
        <w:rPr>
          <w:rFonts w:ascii="Arial" w:cs="Arial" w:eastAsia="Arial" w:hAnsi="Arial"/>
          <w:sz w:val="14"/>
          <w:szCs w:val="14"/>
          <w:color w:val="215AA8"/>
        </w:rPr>
      </w:pPr>
    </w:p>
    <w:p>
      <w:pPr>
        <w:ind w:left="150" w:right="280" w:hanging="150"/>
        <w:spacing w:after="0" w:line="257" w:lineRule="auto"/>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37" w:lineRule="exact"/>
        <w:rPr>
          <w:rFonts w:ascii="Arial" w:cs="Arial" w:eastAsia="Arial" w:hAnsi="Arial"/>
          <w:sz w:val="14"/>
          <w:szCs w:val="14"/>
          <w:color w:val="215AA8"/>
        </w:rPr>
      </w:pPr>
    </w:p>
    <w:p>
      <w:pPr>
        <w:ind w:left="150" w:right="320" w:hanging="150"/>
        <w:spacing w:after="0" w:line="257" w:lineRule="auto"/>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the likelihood, timing, and scope of possible regulatory approval and commercial launch of Regeneron’s Product Candidates and new indications for Regeneron’s Products, including without limitation those discussed or referenced in this proxy statement;</w:t>
      </w:r>
    </w:p>
    <w:p>
      <w:pPr>
        <w:spacing w:after="0" w:line="37" w:lineRule="exact"/>
        <w:rPr>
          <w:rFonts w:ascii="Arial" w:cs="Arial" w:eastAsia="Arial" w:hAnsi="Arial"/>
          <w:sz w:val="14"/>
          <w:szCs w:val="14"/>
          <w:color w:val="215AA8"/>
        </w:rPr>
      </w:pPr>
    </w:p>
    <w:p>
      <w:pPr>
        <w:ind w:left="150" w:right="680" w:hanging="150"/>
        <w:spacing w:after="0" w:line="257" w:lineRule="auto"/>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the extent to which the results from the research and development programs conducted by Regeneron and/or its collaborators may be replicated in other studies and/or lead to advancement of product candidates to clinical trials, therapeutic applications, or regulatory approval;</w:t>
      </w:r>
    </w:p>
    <w:p>
      <w:pPr>
        <w:spacing w:after="0" w:line="37" w:lineRule="exact"/>
        <w:rPr>
          <w:rFonts w:ascii="Arial" w:cs="Arial" w:eastAsia="Arial" w:hAnsi="Arial"/>
          <w:sz w:val="14"/>
          <w:szCs w:val="14"/>
          <w:color w:val="215AA8"/>
        </w:rPr>
      </w:pPr>
    </w:p>
    <w:p>
      <w:pPr>
        <w:ind w:left="150" w:hanging="150"/>
        <w:spacing w:after="0"/>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ongoing regulatory obligations and oversight impacting Regeneron’s Products, research and clinical programs, and business, including those relating to patient privacy;</w:t>
      </w:r>
    </w:p>
    <w:p>
      <w:pPr>
        <w:spacing w:after="0" w:line="64" w:lineRule="exact"/>
        <w:rPr>
          <w:rFonts w:ascii="Arial" w:cs="Arial" w:eastAsia="Arial" w:hAnsi="Arial"/>
          <w:sz w:val="14"/>
          <w:szCs w:val="14"/>
          <w:color w:val="215AA8"/>
        </w:rPr>
      </w:pPr>
    </w:p>
    <w:p>
      <w:pPr>
        <w:ind w:left="150" w:right="160" w:hanging="150"/>
        <w:spacing w:after="0" w:line="257" w:lineRule="auto"/>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determinations by regulatory and administrative governmental authorities which may delay or restrict Regeneron’s ability to continue to develop or commercialize Regeneron’s Products and Regeneron’s Product Candidates;</w:t>
      </w:r>
    </w:p>
    <w:p>
      <w:pPr>
        <w:spacing w:after="0" w:line="37" w:lineRule="exact"/>
        <w:rPr>
          <w:rFonts w:ascii="Arial" w:cs="Arial" w:eastAsia="Arial" w:hAnsi="Arial"/>
          <w:sz w:val="14"/>
          <w:szCs w:val="14"/>
          <w:color w:val="215AA8"/>
        </w:rPr>
      </w:pPr>
    </w:p>
    <w:p>
      <w:pPr>
        <w:ind w:left="150" w:hanging="150"/>
        <w:spacing w:after="0"/>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competing drugs and product candidates that may be superior to, or more effective than, Regeneron’s Products and Regeneron’s Product Candidates;</w:t>
      </w:r>
    </w:p>
    <w:p>
      <w:pPr>
        <w:spacing w:after="0" w:line="64" w:lineRule="exact"/>
        <w:rPr>
          <w:rFonts w:ascii="Arial" w:cs="Arial" w:eastAsia="Arial" w:hAnsi="Arial"/>
          <w:sz w:val="14"/>
          <w:szCs w:val="14"/>
          <w:color w:val="215AA8"/>
        </w:rPr>
      </w:pPr>
    </w:p>
    <w:p>
      <w:pPr>
        <w:ind w:left="150" w:right="140" w:hanging="150"/>
        <w:spacing w:after="0" w:line="246" w:lineRule="auto"/>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w:t>
      </w:r>
    </w:p>
    <w:p>
      <w:pPr>
        <w:spacing w:after="0" w:line="45" w:lineRule="exact"/>
        <w:rPr>
          <w:rFonts w:ascii="Arial" w:cs="Arial" w:eastAsia="Arial" w:hAnsi="Arial"/>
          <w:sz w:val="14"/>
          <w:szCs w:val="14"/>
          <w:color w:val="215AA8"/>
        </w:rPr>
      </w:pPr>
    </w:p>
    <w:p>
      <w:pPr>
        <w:ind w:left="150" w:hanging="150"/>
        <w:spacing w:after="0"/>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the ability of Regeneron to manufacture and manage supply chains for multiple products and product candidates;</w:t>
      </w:r>
    </w:p>
    <w:p>
      <w:pPr>
        <w:spacing w:after="0" w:line="64" w:lineRule="exact"/>
        <w:rPr>
          <w:rFonts w:ascii="Arial" w:cs="Arial" w:eastAsia="Arial" w:hAnsi="Arial"/>
          <w:sz w:val="14"/>
          <w:szCs w:val="14"/>
          <w:color w:val="215AA8"/>
        </w:rPr>
      </w:pPr>
    </w:p>
    <w:p>
      <w:pPr>
        <w:ind w:left="150" w:right="240" w:hanging="150"/>
        <w:spacing w:after="0" w:line="257" w:lineRule="auto"/>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the ability of Regeneron’s collaborators, licensees, suppliers, or other third parties (as applicable) to perform manufacturing, filling, finishing, packaging, labeling, distribution, and other steps related to Regeneron’s Products and Regeneron’s Product Candidates;</w:t>
      </w:r>
    </w:p>
    <w:p>
      <w:pPr>
        <w:spacing w:after="0" w:line="37" w:lineRule="exact"/>
        <w:rPr>
          <w:rFonts w:ascii="Arial" w:cs="Arial" w:eastAsia="Arial" w:hAnsi="Arial"/>
          <w:sz w:val="14"/>
          <w:szCs w:val="14"/>
          <w:color w:val="215AA8"/>
        </w:rPr>
      </w:pPr>
    </w:p>
    <w:p>
      <w:pPr>
        <w:ind w:left="150" w:right="760" w:hanging="150"/>
        <w:spacing w:after="0" w:line="257" w:lineRule="auto"/>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the availability and extent of reimbursement of Regeneron’s Products from third-party payors, including private payor healthcare and insurance programs, health maintenance organizations, pharmacy benefit management companies, and government programs such as Medicare and Medicaid;</w:t>
      </w:r>
    </w:p>
    <w:p>
      <w:pPr>
        <w:spacing w:after="0" w:line="37" w:lineRule="exact"/>
        <w:rPr>
          <w:rFonts w:ascii="Arial" w:cs="Arial" w:eastAsia="Arial" w:hAnsi="Arial"/>
          <w:sz w:val="14"/>
          <w:szCs w:val="14"/>
          <w:color w:val="215AA8"/>
        </w:rPr>
      </w:pPr>
    </w:p>
    <w:p>
      <w:pPr>
        <w:ind w:left="150" w:hanging="150"/>
        <w:spacing w:after="0"/>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coverage and reimbursement determinations by such payors and new policies and procedures adopted by such payors;</w:t>
      </w:r>
    </w:p>
    <w:p>
      <w:pPr>
        <w:spacing w:after="0" w:line="64" w:lineRule="exact"/>
        <w:rPr>
          <w:rFonts w:ascii="Arial" w:cs="Arial" w:eastAsia="Arial" w:hAnsi="Arial"/>
          <w:sz w:val="14"/>
          <w:szCs w:val="14"/>
          <w:color w:val="215AA8"/>
        </w:rPr>
      </w:pPr>
    </w:p>
    <w:p>
      <w:pPr>
        <w:ind w:left="150" w:hanging="150"/>
        <w:spacing w:after="0"/>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unanticipated expenses;</w:t>
      </w:r>
    </w:p>
    <w:p>
      <w:pPr>
        <w:spacing w:after="0" w:line="64" w:lineRule="exact"/>
        <w:rPr>
          <w:rFonts w:ascii="Arial" w:cs="Arial" w:eastAsia="Arial" w:hAnsi="Arial"/>
          <w:sz w:val="14"/>
          <w:szCs w:val="14"/>
          <w:color w:val="215AA8"/>
        </w:rPr>
      </w:pPr>
    </w:p>
    <w:p>
      <w:pPr>
        <w:ind w:left="150" w:hanging="150"/>
        <w:spacing w:after="0"/>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the costs of developing, producing, and selling products;</w:t>
      </w:r>
    </w:p>
    <w:p>
      <w:pPr>
        <w:spacing w:after="0" w:line="64" w:lineRule="exact"/>
        <w:rPr>
          <w:rFonts w:ascii="Arial" w:cs="Arial" w:eastAsia="Arial" w:hAnsi="Arial"/>
          <w:sz w:val="14"/>
          <w:szCs w:val="14"/>
          <w:color w:val="215AA8"/>
        </w:rPr>
      </w:pPr>
    </w:p>
    <w:p>
      <w:pPr>
        <w:ind w:left="150" w:hanging="150"/>
        <w:spacing w:after="0"/>
        <w:tabs>
          <w:tab w:leader="none" w:pos="150" w:val="left"/>
        </w:tabs>
        <w:numPr>
          <w:ilvl w:val="0"/>
          <w:numId w:val="203"/>
        </w:numPr>
        <w:rPr>
          <w:rFonts w:ascii="Arial" w:cs="Arial" w:eastAsia="Arial" w:hAnsi="Arial"/>
          <w:sz w:val="14"/>
          <w:szCs w:val="14"/>
          <w:color w:val="215AA8"/>
        </w:rPr>
      </w:pPr>
      <w:r>
        <w:rPr>
          <w:rFonts w:ascii="Arial" w:cs="Arial" w:eastAsia="Arial" w:hAnsi="Arial"/>
          <w:sz w:val="14"/>
          <w:szCs w:val="14"/>
          <w:color w:val="auto"/>
        </w:rPr>
        <w:t>the ability of Regeneron to meet any of its financial projections or guidance, and changes to the assumptions underlying those projections or guidance;</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112</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6261735</wp:posOffset>
            </wp:positionH>
            <wp:positionV relativeFrom="paragraph">
              <wp:posOffset>-242570</wp:posOffset>
            </wp:positionV>
            <wp:extent cx="629285" cy="717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23" w:name="page124"/>
    <w:bookmarkEnd w:id="123"/>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6"/>
              </w:rPr>
              <w:t>Other Matters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68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900" w:type="dxa"/>
            <w:vAlign w:val="bottom"/>
            <w:tcBorders>
              <w:bottom w:val="single" w:sz="8" w:color="D60058"/>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150" w:right="80" w:hanging="150"/>
        <w:spacing w:after="0" w:line="257" w:lineRule="auto"/>
        <w:tabs>
          <w:tab w:leader="none" w:pos="150" w:val="left"/>
        </w:tabs>
        <w:numPr>
          <w:ilvl w:val="0"/>
          <w:numId w:val="204"/>
        </w:numPr>
        <w:rPr>
          <w:rFonts w:ascii="Arial" w:cs="Arial" w:eastAsia="Arial" w:hAnsi="Arial"/>
          <w:sz w:val="14"/>
          <w:szCs w:val="14"/>
          <w:color w:val="215AA8"/>
        </w:rPr>
      </w:pPr>
      <w:r>
        <w:rPr>
          <w:rFonts w:ascii="Arial" w:cs="Arial" w:eastAsia="Arial" w:hAnsi="Arial"/>
          <w:sz w:val="14"/>
          <w:szCs w:val="14"/>
          <w:color w:val="auto"/>
        </w:rPr>
        <w:t>the potential for any license or collaboration agreement, including Regeneron’s agreements with Sanofi and Bayer (or their respective affiliated companies, as applicable) to be cancelled or terminated;</w:t>
      </w:r>
    </w:p>
    <w:p>
      <w:pPr>
        <w:spacing w:after="0" w:line="37" w:lineRule="exact"/>
        <w:rPr>
          <w:rFonts w:ascii="Arial" w:cs="Arial" w:eastAsia="Arial" w:hAnsi="Arial"/>
          <w:sz w:val="14"/>
          <w:szCs w:val="14"/>
          <w:color w:val="215AA8"/>
        </w:rPr>
      </w:pPr>
    </w:p>
    <w:p>
      <w:pPr>
        <w:ind w:left="150" w:hanging="150"/>
        <w:spacing w:after="0"/>
        <w:tabs>
          <w:tab w:leader="none" w:pos="150" w:val="left"/>
        </w:tabs>
        <w:numPr>
          <w:ilvl w:val="0"/>
          <w:numId w:val="204"/>
        </w:numPr>
        <w:rPr>
          <w:rFonts w:ascii="Arial" w:cs="Arial" w:eastAsia="Arial" w:hAnsi="Arial"/>
          <w:sz w:val="14"/>
          <w:szCs w:val="14"/>
          <w:color w:val="215AA8"/>
        </w:rPr>
      </w:pPr>
      <w:r>
        <w:rPr>
          <w:rFonts w:ascii="Arial" w:cs="Arial" w:eastAsia="Arial" w:hAnsi="Arial"/>
          <w:sz w:val="14"/>
          <w:szCs w:val="14"/>
          <w:color w:val="auto"/>
        </w:rPr>
        <w:t>the impact of public health outbreaks, epidemics, or pandemics (such as the COVID-19 pandemic) on Regeneron’s business; and</w:t>
      </w:r>
    </w:p>
    <w:p>
      <w:pPr>
        <w:spacing w:after="0" w:line="64" w:lineRule="exact"/>
        <w:rPr>
          <w:rFonts w:ascii="Arial" w:cs="Arial" w:eastAsia="Arial" w:hAnsi="Arial"/>
          <w:sz w:val="14"/>
          <w:szCs w:val="14"/>
          <w:color w:val="215AA8"/>
        </w:rPr>
      </w:pPr>
    </w:p>
    <w:p>
      <w:pPr>
        <w:ind w:left="150" w:right="20" w:hanging="150"/>
        <w:spacing w:after="0" w:line="246" w:lineRule="auto"/>
        <w:tabs>
          <w:tab w:leader="none" w:pos="15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risks associated with intellectual property of other parties and pending or future litigation relating thereto (including without limitation the patent litigation and other related proceedings relating to EYLEA), other litigation and other proceedings and government investigations relating to the Company and/or its operations, the ultimate outcome of any such proceedings and investigations, and the impact any of the foregoing may have on Regeneron’s business, prospects, operating results, and financial condition.</w:t>
      </w:r>
    </w:p>
    <w:p>
      <w:pPr>
        <w:spacing w:after="0" w:line="135" w:lineRule="exact"/>
        <w:rPr>
          <w:sz w:val="20"/>
          <w:szCs w:val="20"/>
          <w:color w:val="auto"/>
        </w:rPr>
      </w:pPr>
    </w:p>
    <w:p>
      <w:pPr>
        <w:ind w:left="10" w:right="120"/>
        <w:spacing w:after="0" w:line="242" w:lineRule="auto"/>
        <w:rPr>
          <w:sz w:val="20"/>
          <w:szCs w:val="20"/>
          <w:color w:val="auto"/>
        </w:rPr>
      </w:pPr>
      <w:r>
        <w:rPr>
          <w:rFonts w:ascii="Arial" w:cs="Arial" w:eastAsia="Arial" w:hAnsi="Arial"/>
          <w:sz w:val="14"/>
          <w:szCs w:val="14"/>
          <w:color w:val="auto"/>
        </w:rPr>
        <w:t>A more complete description of these and other material risks can be found in Regeneron’s filings with the U.S. Securities and Exchange Commission, including its Form 10-K for the fiscal year ended December 31, 2023, including in the section thereof captioned “Item 1A. Risk Factors.”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whether as a result of new information, future events, or otherwise.</w:t>
      </w:r>
    </w:p>
    <w:p>
      <w:pPr>
        <w:spacing w:after="0" w:line="138" w:lineRule="exact"/>
        <w:rPr>
          <w:sz w:val="20"/>
          <w:szCs w:val="20"/>
          <w:color w:val="auto"/>
        </w:rPr>
      </w:pPr>
    </w:p>
    <w:p>
      <w:pPr>
        <w:ind w:left="10" w:right="60"/>
        <w:spacing w:after="0" w:line="230" w:lineRule="auto"/>
        <w:rPr>
          <w:sz w:val="20"/>
          <w:szCs w:val="20"/>
          <w:color w:val="auto"/>
        </w:rPr>
      </w:pPr>
      <w:r>
        <w:rPr>
          <w:rFonts w:ascii="Arial" w:cs="Arial" w:eastAsia="Arial" w:hAnsi="Arial"/>
          <w:sz w:val="14"/>
          <w:szCs w:val="14"/>
          <w:color w:val="auto"/>
        </w:rPr>
        <w:t>This proxy statement uses non-GAAP net income, non-GAAP net income per share, and total revenues excluding Ronapreve</w:t>
      </w:r>
      <w:r>
        <w:rPr>
          <w:rFonts w:ascii="Arial" w:cs="Arial" w:eastAsia="Arial" w:hAnsi="Arial"/>
          <w:sz w:val="22"/>
          <w:szCs w:val="22"/>
          <w:color w:val="auto"/>
          <w:vertAlign w:val="superscript"/>
        </w:rPr>
        <w:t>TM</w:t>
      </w:r>
      <w:r>
        <w:rPr>
          <w:rFonts w:ascii="Arial" w:cs="Arial" w:eastAsia="Arial" w:hAnsi="Arial"/>
          <w:sz w:val="14"/>
          <w:szCs w:val="14"/>
          <w:color w:val="auto"/>
        </w:rPr>
        <w:t>,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 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below.</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113</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6261735</wp:posOffset>
            </wp:positionH>
            <wp:positionV relativeFrom="paragraph">
              <wp:posOffset>-242570</wp:posOffset>
            </wp:positionV>
            <wp:extent cx="629285" cy="717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6"/>
              </w:rPr>
              <w:t>Other Matters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68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900" w:type="dxa"/>
            <w:vAlign w:val="bottom"/>
            <w:tcBorders>
              <w:bottom w:val="single" w:sz="8" w:color="D60058"/>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215AA8"/>
        </w:rPr>
        <w:t>Reconciliation of GAAP to Non-GAAP Financial Information (Unaudited)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215AA8"/>
        </w:rPr>
        <w:t>(In millions,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215AA8"/>
                <w:w w:val="94"/>
              </w:rPr>
              <w:t>Year Ended</w:t>
            </w:r>
          </w:p>
        </w:tc>
      </w:tr>
      <w:tr>
        <w:trPr>
          <w:trHeight w:val="183"/>
        </w:trPr>
        <w:tc>
          <w:tcPr>
            <w:tcW w:w="8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215AA8"/>
                <w:w w:val="97"/>
              </w:rPr>
              <w:t>December 31,</w:t>
            </w:r>
          </w:p>
        </w:tc>
      </w:tr>
      <w:tr>
        <w:trPr>
          <w:trHeight w:val="228"/>
        </w:trPr>
        <w:tc>
          <w:tcPr>
            <w:tcW w:w="8440" w:type="dxa"/>
            <w:vAlign w:val="bottom"/>
            <w:tcBorders>
              <w:bottom w:val="single" w:sz="8" w:color="215AA8"/>
            </w:tcBorders>
          </w:tcPr>
          <w:p>
            <w:pPr>
              <w:spacing w:after="0"/>
              <w:rPr>
                <w:sz w:val="19"/>
                <w:szCs w:val="19"/>
                <w:color w:val="auto"/>
              </w:rPr>
            </w:pPr>
          </w:p>
        </w:tc>
        <w:tc>
          <w:tcPr>
            <w:tcW w:w="280" w:type="dxa"/>
            <w:vAlign w:val="bottom"/>
            <w:tcBorders>
              <w:bottom w:val="single" w:sz="8" w:color="215AA8"/>
            </w:tcBorders>
          </w:tcPr>
          <w:p>
            <w:pPr>
              <w:spacing w:after="0"/>
              <w:rPr>
                <w:sz w:val="19"/>
                <w:szCs w:val="19"/>
                <w:color w:val="auto"/>
              </w:rPr>
            </w:pPr>
          </w:p>
        </w:tc>
        <w:tc>
          <w:tcPr>
            <w:tcW w:w="960" w:type="dxa"/>
            <w:vAlign w:val="bottom"/>
            <w:tcBorders>
              <w:bottom w:val="single" w:sz="8" w:color="215AA8"/>
            </w:tcBorders>
          </w:tcPr>
          <w:p>
            <w:pPr>
              <w:spacing w:after="0"/>
              <w:rPr>
                <w:sz w:val="19"/>
                <w:szCs w:val="19"/>
                <w:color w:val="auto"/>
              </w:rPr>
            </w:pPr>
          </w:p>
        </w:tc>
        <w:tc>
          <w:tcPr>
            <w:tcW w:w="220" w:type="dxa"/>
            <w:vAlign w:val="bottom"/>
            <w:tcBorders>
              <w:bottom w:val="single" w:sz="8" w:color="215AA8"/>
            </w:tcBorders>
          </w:tcPr>
          <w:p>
            <w:pPr>
              <w:spacing w:after="0"/>
              <w:rPr>
                <w:sz w:val="19"/>
                <w:szCs w:val="19"/>
                <w:color w:val="auto"/>
              </w:rPr>
            </w:pPr>
          </w:p>
        </w:tc>
        <w:tc>
          <w:tcPr>
            <w:tcW w:w="140" w:type="dxa"/>
            <w:vAlign w:val="bottom"/>
            <w:tcBorders>
              <w:top w:val="single" w:sz="8" w:color="215AA8"/>
              <w:bottom w:val="single" w:sz="8" w:color="215AA8"/>
            </w:tcBorders>
          </w:tcPr>
          <w:p>
            <w:pPr>
              <w:spacing w:after="0"/>
              <w:rPr>
                <w:sz w:val="19"/>
                <w:szCs w:val="19"/>
                <w:color w:val="auto"/>
              </w:rPr>
            </w:pPr>
          </w:p>
        </w:tc>
        <w:tc>
          <w:tcPr>
            <w:tcW w:w="1100" w:type="dxa"/>
            <w:vAlign w:val="bottom"/>
            <w:tcBorders>
              <w:top w:val="single" w:sz="8" w:color="215AA8"/>
              <w:bottom w:val="single" w:sz="8" w:color="215AA8"/>
            </w:tcBorders>
          </w:tcPr>
          <w:p>
            <w:pPr>
              <w:jc w:val="center"/>
              <w:ind w:right="52"/>
              <w:spacing w:after="0"/>
              <w:rPr>
                <w:sz w:val="20"/>
                <w:szCs w:val="20"/>
                <w:color w:val="auto"/>
              </w:rPr>
            </w:pPr>
            <w:r>
              <w:rPr>
                <w:rFonts w:ascii="Arial" w:cs="Arial" w:eastAsia="Arial" w:hAnsi="Arial"/>
                <w:sz w:val="14"/>
                <w:szCs w:val="14"/>
                <w:color w:val="215AA8"/>
                <w:w w:val="96"/>
              </w:rPr>
              <w:t>2023</w:t>
            </w:r>
          </w:p>
        </w:tc>
        <w:tc>
          <w:tcPr>
            <w:tcW w:w="120" w:type="dxa"/>
            <w:vAlign w:val="bottom"/>
          </w:tcPr>
          <w:p>
            <w:pPr>
              <w:spacing w:after="0"/>
              <w:rPr>
                <w:sz w:val="19"/>
                <w:szCs w:val="19"/>
                <w:color w:val="auto"/>
              </w:rPr>
            </w:pPr>
          </w:p>
        </w:tc>
      </w:tr>
      <w:tr>
        <w:trPr>
          <w:trHeight w:val="194"/>
        </w:trPr>
        <w:tc>
          <w:tcPr>
            <w:tcW w:w="8440" w:type="dxa"/>
            <w:vAlign w:val="bottom"/>
          </w:tcPr>
          <w:p>
            <w:pPr>
              <w:spacing w:after="0"/>
              <w:rPr>
                <w:sz w:val="20"/>
                <w:szCs w:val="20"/>
                <w:color w:val="auto"/>
              </w:rPr>
            </w:pPr>
            <w:r>
              <w:rPr>
                <w:rFonts w:ascii="Arial" w:cs="Arial" w:eastAsia="Arial" w:hAnsi="Arial"/>
                <w:sz w:val="14"/>
                <w:szCs w:val="14"/>
                <w:color w:val="auto"/>
              </w:rPr>
              <w:t>GAAP R&amp;D</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4,439.0</w:t>
            </w:r>
          </w:p>
        </w:tc>
      </w:tr>
      <w:tr>
        <w:trPr>
          <w:trHeight w:val="210"/>
        </w:trPr>
        <w:tc>
          <w:tcPr>
            <w:tcW w:w="8440" w:type="dxa"/>
            <w:vAlign w:val="bottom"/>
            <w:shd w:val="clear" w:color="auto" w:fill="ECECED"/>
          </w:tcPr>
          <w:p>
            <w:pPr>
              <w:ind w:left="140"/>
              <w:spacing w:after="0"/>
              <w:rPr>
                <w:sz w:val="20"/>
                <w:szCs w:val="20"/>
                <w:color w:val="auto"/>
              </w:rPr>
            </w:pPr>
            <w:r>
              <w:rPr>
                <w:rFonts w:ascii="Arial" w:cs="Arial" w:eastAsia="Arial" w:hAnsi="Arial"/>
                <w:sz w:val="14"/>
                <w:szCs w:val="14"/>
                <w:color w:val="auto"/>
              </w:rPr>
              <w:t>Stock-based compensation expense</w:t>
            </w:r>
          </w:p>
        </w:tc>
        <w:tc>
          <w:tcPr>
            <w:tcW w:w="280" w:type="dxa"/>
            <w:vAlign w:val="bottom"/>
            <w:shd w:val="clear" w:color="auto" w:fill="ECECED"/>
          </w:tcPr>
          <w:p>
            <w:pPr>
              <w:spacing w:after="0"/>
              <w:rPr>
                <w:sz w:val="18"/>
                <w:szCs w:val="18"/>
                <w:color w:val="auto"/>
              </w:rPr>
            </w:pPr>
          </w:p>
        </w:tc>
        <w:tc>
          <w:tcPr>
            <w:tcW w:w="960" w:type="dxa"/>
            <w:vAlign w:val="bottom"/>
            <w:shd w:val="clear" w:color="auto" w:fill="ECECED"/>
          </w:tcPr>
          <w:p>
            <w:pPr>
              <w:spacing w:after="0"/>
              <w:rPr>
                <w:sz w:val="18"/>
                <w:szCs w:val="18"/>
                <w:color w:val="auto"/>
              </w:rPr>
            </w:pPr>
          </w:p>
        </w:tc>
        <w:tc>
          <w:tcPr>
            <w:tcW w:w="220" w:type="dxa"/>
            <w:vAlign w:val="bottom"/>
            <w:shd w:val="clear" w:color="auto" w:fill="ECECED"/>
          </w:tcPr>
          <w:p>
            <w:pPr>
              <w:spacing w:after="0"/>
              <w:rPr>
                <w:sz w:val="18"/>
                <w:szCs w:val="18"/>
                <w:color w:val="auto"/>
              </w:rPr>
            </w:pPr>
          </w:p>
        </w:tc>
        <w:tc>
          <w:tcPr>
            <w:tcW w:w="140" w:type="dxa"/>
            <w:vAlign w:val="bottom"/>
            <w:shd w:val="clear" w:color="auto" w:fill="ECECED"/>
          </w:tcPr>
          <w:p>
            <w:pPr>
              <w:spacing w:after="0"/>
              <w:rPr>
                <w:sz w:val="18"/>
                <w:szCs w:val="18"/>
                <w:color w:val="auto"/>
              </w:rPr>
            </w:pPr>
          </w:p>
        </w:tc>
        <w:tc>
          <w:tcPr>
            <w:tcW w:w="1220" w:type="dxa"/>
            <w:vAlign w:val="bottom"/>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488.7</w:t>
            </w:r>
          </w:p>
        </w:tc>
      </w:tr>
      <w:tr>
        <w:trPr>
          <w:trHeight w:val="195"/>
        </w:trPr>
        <w:tc>
          <w:tcPr>
            <w:tcW w:w="8440" w:type="dxa"/>
            <w:vAlign w:val="bottom"/>
            <w:tcBorders>
              <w:bottom w:val="single" w:sz="8" w:color="ECECED"/>
            </w:tcBorders>
          </w:tcPr>
          <w:p>
            <w:pPr>
              <w:ind w:left="140"/>
              <w:spacing w:after="0"/>
              <w:rPr>
                <w:sz w:val="20"/>
                <w:szCs w:val="20"/>
                <w:color w:val="auto"/>
              </w:rPr>
            </w:pPr>
            <w:r>
              <w:rPr>
                <w:rFonts w:ascii="Arial" w:cs="Arial" w:eastAsia="Arial" w:hAnsi="Arial"/>
                <w:sz w:val="14"/>
                <w:szCs w:val="14"/>
                <w:color w:val="auto"/>
              </w:rPr>
              <w:t>Acquisition and integration costs</w:t>
            </w:r>
          </w:p>
        </w:tc>
        <w:tc>
          <w:tcPr>
            <w:tcW w:w="280" w:type="dxa"/>
            <w:vAlign w:val="bottom"/>
            <w:tcBorders>
              <w:bottom w:val="single" w:sz="8" w:color="ECECED"/>
            </w:tcBorders>
          </w:tcPr>
          <w:p>
            <w:pPr>
              <w:spacing w:after="0"/>
              <w:rPr>
                <w:sz w:val="16"/>
                <w:szCs w:val="16"/>
                <w:color w:val="auto"/>
              </w:rPr>
            </w:pPr>
          </w:p>
        </w:tc>
        <w:tc>
          <w:tcPr>
            <w:tcW w:w="960" w:type="dxa"/>
            <w:vAlign w:val="bottom"/>
            <w:tcBorders>
              <w:bottom w:val="single" w:sz="8" w:color="ECECED"/>
            </w:tcBorders>
          </w:tcPr>
          <w:p>
            <w:pPr>
              <w:spacing w:after="0"/>
              <w:rPr>
                <w:sz w:val="16"/>
                <w:szCs w:val="16"/>
                <w:color w:val="auto"/>
              </w:rPr>
            </w:pPr>
          </w:p>
        </w:tc>
        <w:tc>
          <w:tcPr>
            <w:tcW w:w="220" w:type="dxa"/>
            <w:vAlign w:val="bottom"/>
            <w:tcBorders>
              <w:bottom w:val="single" w:sz="8" w:color="ECECED"/>
            </w:tcBorders>
          </w:tcPr>
          <w:p>
            <w:pPr>
              <w:spacing w:after="0"/>
              <w:rPr>
                <w:sz w:val="16"/>
                <w:szCs w:val="16"/>
                <w:color w:val="auto"/>
              </w:rPr>
            </w:pPr>
          </w:p>
        </w:tc>
        <w:tc>
          <w:tcPr>
            <w:tcW w:w="140" w:type="dxa"/>
            <w:vAlign w:val="bottom"/>
            <w:tcBorders>
              <w:bottom w:val="single" w:sz="8" w:color="BDBEC0"/>
            </w:tcBorders>
          </w:tcPr>
          <w:p>
            <w:pPr>
              <w:spacing w:after="0"/>
              <w:rPr>
                <w:sz w:val="16"/>
                <w:szCs w:val="16"/>
                <w:color w:val="auto"/>
              </w:rPr>
            </w:pPr>
          </w:p>
        </w:tc>
        <w:tc>
          <w:tcPr>
            <w:tcW w:w="1220" w:type="dxa"/>
            <w:vAlign w:val="bottom"/>
            <w:tcBorders>
              <w:bottom w:val="single" w:sz="8" w:color="BDBEC0"/>
            </w:tcBorders>
            <w:gridSpan w:val="2"/>
          </w:tcPr>
          <w:p>
            <w:pPr>
              <w:jc w:val="right"/>
              <w:ind w:right="120"/>
              <w:spacing w:after="0"/>
              <w:rPr>
                <w:sz w:val="20"/>
                <w:szCs w:val="20"/>
                <w:color w:val="auto"/>
              </w:rPr>
            </w:pPr>
            <w:r>
              <w:rPr>
                <w:rFonts w:ascii="Arial" w:cs="Arial" w:eastAsia="Arial" w:hAnsi="Arial"/>
                <w:sz w:val="14"/>
                <w:szCs w:val="14"/>
                <w:color w:val="auto"/>
              </w:rPr>
              <w:t>31.3</w:t>
            </w:r>
          </w:p>
        </w:tc>
      </w:tr>
      <w:tr>
        <w:trPr>
          <w:trHeight w:val="200"/>
        </w:trPr>
        <w:tc>
          <w:tcPr>
            <w:tcW w:w="8440" w:type="dxa"/>
            <w:vAlign w:val="bottom"/>
            <w:tcBorders>
              <w:bottom w:val="single" w:sz="8" w:color="ECECED"/>
            </w:tcBorders>
            <w:shd w:val="clear" w:color="auto" w:fill="ECECED"/>
          </w:tcPr>
          <w:p>
            <w:pPr>
              <w:spacing w:after="0"/>
              <w:rPr>
                <w:sz w:val="20"/>
                <w:szCs w:val="20"/>
                <w:color w:val="auto"/>
              </w:rPr>
            </w:pPr>
            <w:r>
              <w:rPr>
                <w:rFonts w:ascii="Arial" w:cs="Arial" w:eastAsia="Arial" w:hAnsi="Arial"/>
                <w:sz w:val="14"/>
                <w:szCs w:val="14"/>
                <w:color w:val="auto"/>
              </w:rPr>
              <w:t>Non-GAAP R&amp;D</w:t>
            </w:r>
          </w:p>
        </w:tc>
        <w:tc>
          <w:tcPr>
            <w:tcW w:w="280" w:type="dxa"/>
            <w:vAlign w:val="bottom"/>
            <w:tcBorders>
              <w:bottom w:val="single" w:sz="8" w:color="ECECED"/>
            </w:tcBorders>
            <w:shd w:val="clear" w:color="auto" w:fill="ECECED"/>
          </w:tcPr>
          <w:p>
            <w:pPr>
              <w:spacing w:after="0"/>
              <w:rPr>
                <w:sz w:val="17"/>
                <w:szCs w:val="17"/>
                <w:color w:val="auto"/>
              </w:rPr>
            </w:pPr>
          </w:p>
        </w:tc>
        <w:tc>
          <w:tcPr>
            <w:tcW w:w="960" w:type="dxa"/>
            <w:vAlign w:val="bottom"/>
            <w:tcBorders>
              <w:bottom w:val="single" w:sz="8" w:color="ECECED"/>
            </w:tcBorders>
            <w:shd w:val="clear" w:color="auto" w:fill="ECECED"/>
          </w:tcPr>
          <w:p>
            <w:pPr>
              <w:spacing w:after="0"/>
              <w:rPr>
                <w:sz w:val="17"/>
                <w:szCs w:val="17"/>
                <w:color w:val="auto"/>
              </w:rPr>
            </w:pPr>
          </w:p>
        </w:tc>
        <w:tc>
          <w:tcPr>
            <w:tcW w:w="220" w:type="dxa"/>
            <w:vAlign w:val="bottom"/>
            <w:tcBorders>
              <w:bottom w:val="single" w:sz="8" w:color="ECECED"/>
            </w:tcBorders>
            <w:shd w:val="clear" w:color="auto" w:fill="ECECED"/>
          </w:tcPr>
          <w:p>
            <w:pPr>
              <w:spacing w:after="0"/>
              <w:rPr>
                <w:sz w:val="17"/>
                <w:szCs w:val="17"/>
                <w:color w:val="auto"/>
              </w:rPr>
            </w:pPr>
          </w:p>
        </w:tc>
        <w:tc>
          <w:tcPr>
            <w:tcW w:w="140" w:type="dxa"/>
            <w:vAlign w:val="bottom"/>
            <w:tcBorders>
              <w:bottom w:val="single" w:sz="8" w:color="BDBEC0"/>
            </w:tcBorders>
            <w:shd w:val="clear" w:color="auto" w:fill="ECECED"/>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BDBEC0"/>
            </w:tcBorders>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3,919.0</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BDBEC0"/>
            </w:tcBorders>
          </w:tcPr>
          <w:p>
            <w:pPr>
              <w:spacing w:after="0" w:line="20" w:lineRule="exact"/>
              <w:rPr>
                <w:sz w:val="1"/>
                <w:szCs w:val="1"/>
                <w:color w:val="auto"/>
              </w:rPr>
            </w:pPr>
          </w:p>
        </w:tc>
        <w:tc>
          <w:tcPr>
            <w:tcW w:w="1100" w:type="dxa"/>
            <w:vAlign w:val="bottom"/>
            <w:tcBorders>
              <w:bottom w:val="single" w:sz="8" w:color="BDBEC0"/>
            </w:tcBorders>
          </w:tcPr>
          <w:p>
            <w:pPr>
              <w:spacing w:after="0" w:line="20" w:lineRule="exact"/>
              <w:rPr>
                <w:sz w:val="1"/>
                <w:szCs w:val="1"/>
                <w:color w:val="auto"/>
              </w:rPr>
            </w:pPr>
          </w:p>
        </w:tc>
        <w:tc>
          <w:tcPr>
            <w:tcW w:w="120" w:type="dxa"/>
            <w:vAlign w:val="bottom"/>
            <w:tcBorders>
              <w:bottom w:val="single" w:sz="8" w:color="BDBEC0"/>
            </w:tcBorders>
          </w:tcPr>
          <w:p>
            <w:pPr>
              <w:spacing w:after="0" w:line="20" w:lineRule="exact"/>
              <w:rPr>
                <w:sz w:val="1"/>
                <w:szCs w:val="1"/>
                <w:color w:val="auto"/>
              </w:rPr>
            </w:pPr>
          </w:p>
        </w:tc>
      </w:tr>
      <w:tr>
        <w:trPr>
          <w:trHeight w:val="171"/>
        </w:trPr>
        <w:tc>
          <w:tcPr>
            <w:tcW w:w="8440" w:type="dxa"/>
            <w:vAlign w:val="bottom"/>
          </w:tcPr>
          <w:p>
            <w:pPr>
              <w:spacing w:after="0"/>
              <w:rPr>
                <w:sz w:val="20"/>
                <w:szCs w:val="20"/>
                <w:color w:val="auto"/>
              </w:rPr>
            </w:pPr>
            <w:r>
              <w:rPr>
                <w:rFonts w:ascii="Arial" w:cs="Arial" w:eastAsia="Arial" w:hAnsi="Arial"/>
                <w:sz w:val="14"/>
                <w:szCs w:val="14"/>
                <w:color w:val="auto"/>
              </w:rPr>
              <w:t>GAAP SG&amp;A</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2,631.3</w:t>
            </w:r>
          </w:p>
        </w:tc>
      </w:tr>
      <w:tr>
        <w:trPr>
          <w:trHeight w:val="210"/>
        </w:trPr>
        <w:tc>
          <w:tcPr>
            <w:tcW w:w="8440" w:type="dxa"/>
            <w:vAlign w:val="bottom"/>
            <w:shd w:val="clear" w:color="auto" w:fill="ECECED"/>
          </w:tcPr>
          <w:p>
            <w:pPr>
              <w:ind w:left="140"/>
              <w:spacing w:after="0"/>
              <w:rPr>
                <w:sz w:val="20"/>
                <w:szCs w:val="20"/>
                <w:color w:val="auto"/>
              </w:rPr>
            </w:pPr>
            <w:r>
              <w:rPr>
                <w:rFonts w:ascii="Arial" w:cs="Arial" w:eastAsia="Arial" w:hAnsi="Arial"/>
                <w:sz w:val="14"/>
                <w:szCs w:val="14"/>
                <w:color w:val="auto"/>
              </w:rPr>
              <w:t>Stock-based compensation expense</w:t>
            </w:r>
          </w:p>
        </w:tc>
        <w:tc>
          <w:tcPr>
            <w:tcW w:w="280" w:type="dxa"/>
            <w:vAlign w:val="bottom"/>
            <w:shd w:val="clear" w:color="auto" w:fill="ECECED"/>
          </w:tcPr>
          <w:p>
            <w:pPr>
              <w:spacing w:after="0"/>
              <w:rPr>
                <w:sz w:val="18"/>
                <w:szCs w:val="18"/>
                <w:color w:val="auto"/>
              </w:rPr>
            </w:pPr>
          </w:p>
        </w:tc>
        <w:tc>
          <w:tcPr>
            <w:tcW w:w="960" w:type="dxa"/>
            <w:vAlign w:val="bottom"/>
            <w:shd w:val="clear" w:color="auto" w:fill="ECECED"/>
          </w:tcPr>
          <w:p>
            <w:pPr>
              <w:spacing w:after="0"/>
              <w:rPr>
                <w:sz w:val="18"/>
                <w:szCs w:val="18"/>
                <w:color w:val="auto"/>
              </w:rPr>
            </w:pPr>
          </w:p>
        </w:tc>
        <w:tc>
          <w:tcPr>
            <w:tcW w:w="220" w:type="dxa"/>
            <w:vAlign w:val="bottom"/>
            <w:shd w:val="clear" w:color="auto" w:fill="ECECED"/>
          </w:tcPr>
          <w:p>
            <w:pPr>
              <w:spacing w:after="0"/>
              <w:rPr>
                <w:sz w:val="18"/>
                <w:szCs w:val="18"/>
                <w:color w:val="auto"/>
              </w:rPr>
            </w:pPr>
          </w:p>
        </w:tc>
        <w:tc>
          <w:tcPr>
            <w:tcW w:w="140" w:type="dxa"/>
            <w:vAlign w:val="bottom"/>
            <w:shd w:val="clear" w:color="auto" w:fill="ECECED"/>
          </w:tcPr>
          <w:p>
            <w:pPr>
              <w:spacing w:after="0"/>
              <w:rPr>
                <w:sz w:val="18"/>
                <w:szCs w:val="18"/>
                <w:color w:val="auto"/>
              </w:rPr>
            </w:pPr>
          </w:p>
        </w:tc>
        <w:tc>
          <w:tcPr>
            <w:tcW w:w="1220" w:type="dxa"/>
            <w:vAlign w:val="bottom"/>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307.1</w:t>
            </w:r>
          </w:p>
        </w:tc>
      </w:tr>
      <w:tr>
        <w:trPr>
          <w:trHeight w:val="195"/>
        </w:trPr>
        <w:tc>
          <w:tcPr>
            <w:tcW w:w="8440" w:type="dxa"/>
            <w:vAlign w:val="bottom"/>
            <w:tcBorders>
              <w:bottom w:val="single" w:sz="8" w:color="ECECED"/>
            </w:tcBorders>
          </w:tcPr>
          <w:p>
            <w:pPr>
              <w:ind w:left="140"/>
              <w:spacing w:after="0"/>
              <w:rPr>
                <w:sz w:val="20"/>
                <w:szCs w:val="20"/>
                <w:color w:val="auto"/>
              </w:rPr>
            </w:pPr>
            <w:r>
              <w:rPr>
                <w:rFonts w:ascii="Arial" w:cs="Arial" w:eastAsia="Arial" w:hAnsi="Arial"/>
                <w:sz w:val="14"/>
                <w:szCs w:val="14"/>
                <w:color w:val="auto"/>
              </w:rPr>
              <w:t>Acquisition and integration costs</w:t>
            </w:r>
          </w:p>
        </w:tc>
        <w:tc>
          <w:tcPr>
            <w:tcW w:w="280" w:type="dxa"/>
            <w:vAlign w:val="bottom"/>
            <w:tcBorders>
              <w:bottom w:val="single" w:sz="8" w:color="ECECED"/>
            </w:tcBorders>
          </w:tcPr>
          <w:p>
            <w:pPr>
              <w:spacing w:after="0"/>
              <w:rPr>
                <w:sz w:val="16"/>
                <w:szCs w:val="16"/>
                <w:color w:val="auto"/>
              </w:rPr>
            </w:pPr>
          </w:p>
        </w:tc>
        <w:tc>
          <w:tcPr>
            <w:tcW w:w="960" w:type="dxa"/>
            <w:vAlign w:val="bottom"/>
            <w:tcBorders>
              <w:bottom w:val="single" w:sz="8" w:color="ECECED"/>
            </w:tcBorders>
          </w:tcPr>
          <w:p>
            <w:pPr>
              <w:spacing w:after="0"/>
              <w:rPr>
                <w:sz w:val="16"/>
                <w:szCs w:val="16"/>
                <w:color w:val="auto"/>
              </w:rPr>
            </w:pPr>
          </w:p>
        </w:tc>
        <w:tc>
          <w:tcPr>
            <w:tcW w:w="220" w:type="dxa"/>
            <w:vAlign w:val="bottom"/>
            <w:tcBorders>
              <w:bottom w:val="single" w:sz="8" w:color="ECECED"/>
            </w:tcBorders>
          </w:tcPr>
          <w:p>
            <w:pPr>
              <w:spacing w:after="0"/>
              <w:rPr>
                <w:sz w:val="16"/>
                <w:szCs w:val="16"/>
                <w:color w:val="auto"/>
              </w:rPr>
            </w:pPr>
          </w:p>
        </w:tc>
        <w:tc>
          <w:tcPr>
            <w:tcW w:w="140" w:type="dxa"/>
            <w:vAlign w:val="bottom"/>
            <w:tcBorders>
              <w:bottom w:val="single" w:sz="8" w:color="BDBEC0"/>
            </w:tcBorders>
          </w:tcPr>
          <w:p>
            <w:pPr>
              <w:spacing w:after="0"/>
              <w:rPr>
                <w:sz w:val="16"/>
                <w:szCs w:val="16"/>
                <w:color w:val="auto"/>
              </w:rPr>
            </w:pPr>
          </w:p>
        </w:tc>
        <w:tc>
          <w:tcPr>
            <w:tcW w:w="1220" w:type="dxa"/>
            <w:vAlign w:val="bottom"/>
            <w:tcBorders>
              <w:bottom w:val="single" w:sz="8" w:color="BDBEC0"/>
            </w:tcBorders>
            <w:gridSpan w:val="2"/>
          </w:tcPr>
          <w:p>
            <w:pPr>
              <w:jc w:val="right"/>
              <w:ind w:right="120"/>
              <w:spacing w:after="0"/>
              <w:rPr>
                <w:sz w:val="20"/>
                <w:szCs w:val="20"/>
                <w:color w:val="auto"/>
              </w:rPr>
            </w:pPr>
            <w:r>
              <w:rPr>
                <w:rFonts w:ascii="Arial" w:cs="Arial" w:eastAsia="Arial" w:hAnsi="Arial"/>
                <w:sz w:val="14"/>
                <w:szCs w:val="14"/>
                <w:color w:val="auto"/>
              </w:rPr>
              <w:t>91.8</w:t>
            </w:r>
          </w:p>
        </w:tc>
      </w:tr>
      <w:tr>
        <w:trPr>
          <w:trHeight w:val="200"/>
        </w:trPr>
        <w:tc>
          <w:tcPr>
            <w:tcW w:w="8440" w:type="dxa"/>
            <w:vAlign w:val="bottom"/>
            <w:tcBorders>
              <w:bottom w:val="single" w:sz="8" w:color="ECECED"/>
            </w:tcBorders>
            <w:shd w:val="clear" w:color="auto" w:fill="ECECED"/>
          </w:tcPr>
          <w:p>
            <w:pPr>
              <w:spacing w:after="0"/>
              <w:rPr>
                <w:sz w:val="20"/>
                <w:szCs w:val="20"/>
                <w:color w:val="auto"/>
              </w:rPr>
            </w:pPr>
            <w:r>
              <w:rPr>
                <w:rFonts w:ascii="Arial" w:cs="Arial" w:eastAsia="Arial" w:hAnsi="Arial"/>
                <w:sz w:val="14"/>
                <w:szCs w:val="14"/>
                <w:color w:val="auto"/>
              </w:rPr>
              <w:t>Non-GAAP SG&amp;A</w:t>
            </w:r>
          </w:p>
        </w:tc>
        <w:tc>
          <w:tcPr>
            <w:tcW w:w="280" w:type="dxa"/>
            <w:vAlign w:val="bottom"/>
            <w:tcBorders>
              <w:bottom w:val="single" w:sz="8" w:color="ECECED"/>
            </w:tcBorders>
            <w:shd w:val="clear" w:color="auto" w:fill="ECECED"/>
          </w:tcPr>
          <w:p>
            <w:pPr>
              <w:spacing w:after="0"/>
              <w:rPr>
                <w:sz w:val="17"/>
                <w:szCs w:val="17"/>
                <w:color w:val="auto"/>
              </w:rPr>
            </w:pPr>
          </w:p>
        </w:tc>
        <w:tc>
          <w:tcPr>
            <w:tcW w:w="960" w:type="dxa"/>
            <w:vAlign w:val="bottom"/>
            <w:tcBorders>
              <w:bottom w:val="single" w:sz="8" w:color="ECECED"/>
            </w:tcBorders>
            <w:shd w:val="clear" w:color="auto" w:fill="ECECED"/>
          </w:tcPr>
          <w:p>
            <w:pPr>
              <w:spacing w:after="0"/>
              <w:rPr>
                <w:sz w:val="17"/>
                <w:szCs w:val="17"/>
                <w:color w:val="auto"/>
              </w:rPr>
            </w:pPr>
          </w:p>
        </w:tc>
        <w:tc>
          <w:tcPr>
            <w:tcW w:w="220" w:type="dxa"/>
            <w:vAlign w:val="bottom"/>
            <w:tcBorders>
              <w:bottom w:val="single" w:sz="8" w:color="ECECED"/>
            </w:tcBorders>
            <w:shd w:val="clear" w:color="auto" w:fill="ECECED"/>
          </w:tcPr>
          <w:p>
            <w:pPr>
              <w:spacing w:after="0"/>
              <w:rPr>
                <w:sz w:val="17"/>
                <w:szCs w:val="17"/>
                <w:color w:val="auto"/>
              </w:rPr>
            </w:pPr>
          </w:p>
        </w:tc>
        <w:tc>
          <w:tcPr>
            <w:tcW w:w="140" w:type="dxa"/>
            <w:vAlign w:val="bottom"/>
            <w:tcBorders>
              <w:bottom w:val="single" w:sz="8" w:color="BDBEC0"/>
            </w:tcBorders>
            <w:shd w:val="clear" w:color="auto" w:fill="ECECED"/>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BDBEC0"/>
            </w:tcBorders>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2,232.4</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BDBEC0"/>
            </w:tcBorders>
          </w:tcPr>
          <w:p>
            <w:pPr>
              <w:spacing w:after="0" w:line="20" w:lineRule="exact"/>
              <w:rPr>
                <w:sz w:val="1"/>
                <w:szCs w:val="1"/>
                <w:color w:val="auto"/>
              </w:rPr>
            </w:pPr>
          </w:p>
        </w:tc>
        <w:tc>
          <w:tcPr>
            <w:tcW w:w="1100" w:type="dxa"/>
            <w:vAlign w:val="bottom"/>
            <w:tcBorders>
              <w:bottom w:val="single" w:sz="8" w:color="BDBEC0"/>
            </w:tcBorders>
          </w:tcPr>
          <w:p>
            <w:pPr>
              <w:spacing w:after="0" w:line="20" w:lineRule="exact"/>
              <w:rPr>
                <w:sz w:val="1"/>
                <w:szCs w:val="1"/>
                <w:color w:val="auto"/>
              </w:rPr>
            </w:pPr>
          </w:p>
        </w:tc>
        <w:tc>
          <w:tcPr>
            <w:tcW w:w="120" w:type="dxa"/>
            <w:vAlign w:val="bottom"/>
            <w:tcBorders>
              <w:bottom w:val="single" w:sz="8" w:color="BDBEC0"/>
            </w:tcBorders>
          </w:tcPr>
          <w:p>
            <w:pPr>
              <w:spacing w:after="0" w:line="20" w:lineRule="exact"/>
              <w:rPr>
                <w:sz w:val="1"/>
                <w:szCs w:val="1"/>
                <w:color w:val="auto"/>
              </w:rPr>
            </w:pPr>
          </w:p>
        </w:tc>
      </w:tr>
      <w:tr>
        <w:trPr>
          <w:trHeight w:val="171"/>
        </w:trPr>
        <w:tc>
          <w:tcPr>
            <w:tcW w:w="8440" w:type="dxa"/>
            <w:vAlign w:val="bottom"/>
          </w:tcPr>
          <w:p>
            <w:pPr>
              <w:spacing w:after="0"/>
              <w:rPr>
                <w:sz w:val="20"/>
                <w:szCs w:val="20"/>
                <w:color w:val="auto"/>
              </w:rPr>
            </w:pPr>
            <w:r>
              <w:rPr>
                <w:rFonts w:ascii="Arial" w:cs="Arial" w:eastAsia="Arial" w:hAnsi="Arial"/>
                <w:sz w:val="14"/>
                <w:szCs w:val="14"/>
                <w:color w:val="auto"/>
              </w:rPr>
              <w:t>GAAP COGS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932.1</w:t>
            </w:r>
          </w:p>
        </w:tc>
      </w:tr>
      <w:tr>
        <w:trPr>
          <w:trHeight w:val="210"/>
        </w:trPr>
        <w:tc>
          <w:tcPr>
            <w:tcW w:w="8440" w:type="dxa"/>
            <w:vAlign w:val="bottom"/>
            <w:shd w:val="clear" w:color="auto" w:fill="ECECED"/>
          </w:tcPr>
          <w:p>
            <w:pPr>
              <w:ind w:left="140"/>
              <w:spacing w:after="0"/>
              <w:rPr>
                <w:sz w:val="20"/>
                <w:szCs w:val="20"/>
                <w:color w:val="auto"/>
              </w:rPr>
            </w:pPr>
            <w:r>
              <w:rPr>
                <w:rFonts w:ascii="Arial" w:cs="Arial" w:eastAsia="Arial" w:hAnsi="Arial"/>
                <w:sz w:val="14"/>
                <w:szCs w:val="14"/>
                <w:color w:val="auto"/>
              </w:rPr>
              <w:t>Stock-based compensation expense</w:t>
            </w:r>
          </w:p>
        </w:tc>
        <w:tc>
          <w:tcPr>
            <w:tcW w:w="280" w:type="dxa"/>
            <w:vAlign w:val="bottom"/>
            <w:shd w:val="clear" w:color="auto" w:fill="ECECED"/>
          </w:tcPr>
          <w:p>
            <w:pPr>
              <w:spacing w:after="0"/>
              <w:rPr>
                <w:sz w:val="18"/>
                <w:szCs w:val="18"/>
                <w:color w:val="auto"/>
              </w:rPr>
            </w:pPr>
          </w:p>
        </w:tc>
        <w:tc>
          <w:tcPr>
            <w:tcW w:w="960" w:type="dxa"/>
            <w:vAlign w:val="bottom"/>
            <w:shd w:val="clear" w:color="auto" w:fill="ECECED"/>
          </w:tcPr>
          <w:p>
            <w:pPr>
              <w:spacing w:after="0"/>
              <w:rPr>
                <w:sz w:val="18"/>
                <w:szCs w:val="18"/>
                <w:color w:val="auto"/>
              </w:rPr>
            </w:pPr>
          </w:p>
        </w:tc>
        <w:tc>
          <w:tcPr>
            <w:tcW w:w="220" w:type="dxa"/>
            <w:vAlign w:val="bottom"/>
            <w:shd w:val="clear" w:color="auto" w:fill="ECECED"/>
          </w:tcPr>
          <w:p>
            <w:pPr>
              <w:spacing w:after="0"/>
              <w:rPr>
                <w:sz w:val="18"/>
                <w:szCs w:val="18"/>
                <w:color w:val="auto"/>
              </w:rPr>
            </w:pPr>
          </w:p>
        </w:tc>
        <w:tc>
          <w:tcPr>
            <w:tcW w:w="140" w:type="dxa"/>
            <w:vAlign w:val="bottom"/>
            <w:shd w:val="clear" w:color="auto" w:fill="ECECED"/>
          </w:tcPr>
          <w:p>
            <w:pPr>
              <w:spacing w:after="0"/>
              <w:rPr>
                <w:sz w:val="18"/>
                <w:szCs w:val="18"/>
                <w:color w:val="auto"/>
              </w:rPr>
            </w:pPr>
          </w:p>
        </w:tc>
        <w:tc>
          <w:tcPr>
            <w:tcW w:w="1220" w:type="dxa"/>
            <w:vAlign w:val="bottom"/>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89.2</w:t>
            </w:r>
          </w:p>
        </w:tc>
      </w:tr>
      <w:tr>
        <w:trPr>
          <w:trHeight w:val="195"/>
        </w:trPr>
        <w:tc>
          <w:tcPr>
            <w:tcW w:w="8440" w:type="dxa"/>
            <w:vAlign w:val="bottom"/>
          </w:tcPr>
          <w:p>
            <w:pPr>
              <w:ind w:left="140"/>
              <w:spacing w:after="0"/>
              <w:rPr>
                <w:sz w:val="20"/>
                <w:szCs w:val="20"/>
                <w:color w:val="auto"/>
              </w:rPr>
            </w:pPr>
            <w:r>
              <w:rPr>
                <w:rFonts w:ascii="Arial" w:cs="Arial" w:eastAsia="Arial" w:hAnsi="Arial"/>
                <w:sz w:val="14"/>
                <w:szCs w:val="14"/>
                <w:color w:val="auto"/>
              </w:rPr>
              <w:t>Acquisition and integration costs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2.3</w:t>
            </w:r>
          </w:p>
        </w:tc>
      </w:tr>
      <w:tr>
        <w:trPr>
          <w:trHeight w:val="210"/>
        </w:trPr>
        <w:tc>
          <w:tcPr>
            <w:tcW w:w="8440" w:type="dxa"/>
            <w:vAlign w:val="bottom"/>
            <w:shd w:val="clear" w:color="auto" w:fill="ECECED"/>
          </w:tcPr>
          <w:p>
            <w:pPr>
              <w:ind w:left="140"/>
              <w:spacing w:after="0"/>
              <w:rPr>
                <w:sz w:val="20"/>
                <w:szCs w:val="20"/>
                <w:color w:val="auto"/>
              </w:rPr>
            </w:pPr>
            <w:r>
              <w:rPr>
                <w:rFonts w:ascii="Arial" w:cs="Arial" w:eastAsia="Arial" w:hAnsi="Arial"/>
                <w:sz w:val="14"/>
                <w:szCs w:val="14"/>
                <w:color w:val="auto"/>
              </w:rPr>
              <w:t>Intangible asset amortization expense</w:t>
            </w:r>
          </w:p>
        </w:tc>
        <w:tc>
          <w:tcPr>
            <w:tcW w:w="280" w:type="dxa"/>
            <w:vAlign w:val="bottom"/>
            <w:shd w:val="clear" w:color="auto" w:fill="ECECED"/>
          </w:tcPr>
          <w:p>
            <w:pPr>
              <w:spacing w:after="0"/>
              <w:rPr>
                <w:sz w:val="18"/>
                <w:szCs w:val="18"/>
                <w:color w:val="auto"/>
              </w:rPr>
            </w:pPr>
          </w:p>
        </w:tc>
        <w:tc>
          <w:tcPr>
            <w:tcW w:w="960" w:type="dxa"/>
            <w:vAlign w:val="bottom"/>
            <w:shd w:val="clear" w:color="auto" w:fill="ECECED"/>
          </w:tcPr>
          <w:p>
            <w:pPr>
              <w:spacing w:after="0"/>
              <w:rPr>
                <w:sz w:val="18"/>
                <w:szCs w:val="18"/>
                <w:color w:val="auto"/>
              </w:rPr>
            </w:pPr>
          </w:p>
        </w:tc>
        <w:tc>
          <w:tcPr>
            <w:tcW w:w="220" w:type="dxa"/>
            <w:vAlign w:val="bottom"/>
            <w:shd w:val="clear" w:color="auto" w:fill="ECECED"/>
          </w:tcPr>
          <w:p>
            <w:pPr>
              <w:spacing w:after="0"/>
              <w:rPr>
                <w:sz w:val="18"/>
                <w:szCs w:val="18"/>
                <w:color w:val="auto"/>
              </w:rPr>
            </w:pPr>
          </w:p>
        </w:tc>
        <w:tc>
          <w:tcPr>
            <w:tcW w:w="140" w:type="dxa"/>
            <w:vAlign w:val="bottom"/>
            <w:shd w:val="clear" w:color="auto" w:fill="ECECED"/>
          </w:tcPr>
          <w:p>
            <w:pPr>
              <w:spacing w:after="0"/>
              <w:rPr>
                <w:sz w:val="18"/>
                <w:szCs w:val="18"/>
                <w:color w:val="auto"/>
              </w:rPr>
            </w:pPr>
          </w:p>
        </w:tc>
        <w:tc>
          <w:tcPr>
            <w:tcW w:w="1220" w:type="dxa"/>
            <w:vAlign w:val="bottom"/>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80.9</w:t>
            </w:r>
          </w:p>
        </w:tc>
      </w:tr>
      <w:tr>
        <w:trPr>
          <w:trHeight w:val="195"/>
        </w:trPr>
        <w:tc>
          <w:tcPr>
            <w:tcW w:w="8440" w:type="dxa"/>
            <w:vAlign w:val="bottom"/>
            <w:tcBorders>
              <w:bottom w:val="single" w:sz="8" w:color="ECECED"/>
            </w:tcBorders>
          </w:tcPr>
          <w:p>
            <w:pPr>
              <w:ind w:left="140"/>
              <w:spacing w:after="0"/>
              <w:rPr>
                <w:sz w:val="20"/>
                <w:szCs w:val="20"/>
                <w:color w:val="auto"/>
              </w:rPr>
            </w:pPr>
            <w:r>
              <w:rPr>
                <w:rFonts w:ascii="Arial" w:cs="Arial" w:eastAsia="Arial" w:hAnsi="Arial"/>
                <w:sz w:val="14"/>
                <w:szCs w:val="14"/>
                <w:color w:val="auto"/>
              </w:rPr>
              <w:t>Charges related to REGEN-COV</w:t>
            </w:r>
          </w:p>
        </w:tc>
        <w:tc>
          <w:tcPr>
            <w:tcW w:w="280" w:type="dxa"/>
            <w:vAlign w:val="bottom"/>
            <w:tcBorders>
              <w:bottom w:val="single" w:sz="8" w:color="ECECED"/>
            </w:tcBorders>
          </w:tcPr>
          <w:p>
            <w:pPr>
              <w:spacing w:after="0"/>
              <w:rPr>
                <w:sz w:val="16"/>
                <w:szCs w:val="16"/>
                <w:color w:val="auto"/>
              </w:rPr>
            </w:pPr>
          </w:p>
        </w:tc>
        <w:tc>
          <w:tcPr>
            <w:tcW w:w="960" w:type="dxa"/>
            <w:vAlign w:val="bottom"/>
            <w:tcBorders>
              <w:bottom w:val="single" w:sz="8" w:color="ECECED"/>
            </w:tcBorders>
          </w:tcPr>
          <w:p>
            <w:pPr>
              <w:spacing w:after="0"/>
              <w:rPr>
                <w:sz w:val="16"/>
                <w:szCs w:val="16"/>
                <w:color w:val="auto"/>
              </w:rPr>
            </w:pPr>
          </w:p>
        </w:tc>
        <w:tc>
          <w:tcPr>
            <w:tcW w:w="220" w:type="dxa"/>
            <w:vAlign w:val="bottom"/>
            <w:tcBorders>
              <w:bottom w:val="single" w:sz="8" w:color="ECECED"/>
            </w:tcBorders>
          </w:tcPr>
          <w:p>
            <w:pPr>
              <w:spacing w:after="0"/>
              <w:rPr>
                <w:sz w:val="16"/>
                <w:szCs w:val="16"/>
                <w:color w:val="auto"/>
              </w:rPr>
            </w:pPr>
          </w:p>
        </w:tc>
        <w:tc>
          <w:tcPr>
            <w:tcW w:w="140" w:type="dxa"/>
            <w:vAlign w:val="bottom"/>
            <w:tcBorders>
              <w:bottom w:val="single" w:sz="8" w:color="BDBEC0"/>
            </w:tcBorders>
          </w:tcPr>
          <w:p>
            <w:pPr>
              <w:spacing w:after="0"/>
              <w:rPr>
                <w:sz w:val="16"/>
                <w:szCs w:val="16"/>
                <w:color w:val="auto"/>
              </w:rPr>
            </w:pPr>
          </w:p>
        </w:tc>
        <w:tc>
          <w:tcPr>
            <w:tcW w:w="1220" w:type="dxa"/>
            <w:vAlign w:val="bottom"/>
            <w:tcBorders>
              <w:bottom w:val="single" w:sz="8" w:color="BDBEC0"/>
            </w:tcBorders>
            <w:gridSpan w:val="2"/>
          </w:tcPr>
          <w:p>
            <w:pPr>
              <w:jc w:val="right"/>
              <w:ind w:right="60"/>
              <w:spacing w:after="0"/>
              <w:rPr>
                <w:sz w:val="20"/>
                <w:szCs w:val="20"/>
                <w:color w:val="auto"/>
              </w:rPr>
            </w:pPr>
            <w:r>
              <w:rPr>
                <w:rFonts w:ascii="Arial" w:cs="Arial" w:eastAsia="Arial" w:hAnsi="Arial"/>
                <w:sz w:val="14"/>
                <w:szCs w:val="14"/>
                <w:color w:val="auto"/>
              </w:rPr>
              <w:t>(10.0)</w:t>
            </w:r>
          </w:p>
        </w:tc>
      </w:tr>
      <w:tr>
        <w:trPr>
          <w:trHeight w:val="200"/>
        </w:trPr>
        <w:tc>
          <w:tcPr>
            <w:tcW w:w="8440" w:type="dxa"/>
            <w:vAlign w:val="bottom"/>
            <w:tcBorders>
              <w:bottom w:val="single" w:sz="8" w:color="ECECED"/>
            </w:tcBorders>
            <w:shd w:val="clear" w:color="auto" w:fill="ECECED"/>
          </w:tcPr>
          <w:p>
            <w:pPr>
              <w:spacing w:after="0"/>
              <w:rPr>
                <w:sz w:val="20"/>
                <w:szCs w:val="20"/>
                <w:color w:val="auto"/>
              </w:rPr>
            </w:pPr>
            <w:r>
              <w:rPr>
                <w:rFonts w:ascii="Arial" w:cs="Arial" w:eastAsia="Arial" w:hAnsi="Arial"/>
                <w:sz w:val="14"/>
                <w:szCs w:val="14"/>
                <w:color w:val="auto"/>
              </w:rPr>
              <w:t>Non-GAAP COGS</w:t>
            </w:r>
          </w:p>
        </w:tc>
        <w:tc>
          <w:tcPr>
            <w:tcW w:w="280" w:type="dxa"/>
            <w:vAlign w:val="bottom"/>
            <w:tcBorders>
              <w:bottom w:val="single" w:sz="8" w:color="ECECED"/>
            </w:tcBorders>
            <w:shd w:val="clear" w:color="auto" w:fill="ECECED"/>
          </w:tcPr>
          <w:p>
            <w:pPr>
              <w:spacing w:after="0"/>
              <w:rPr>
                <w:sz w:val="17"/>
                <w:szCs w:val="17"/>
                <w:color w:val="auto"/>
              </w:rPr>
            </w:pPr>
          </w:p>
        </w:tc>
        <w:tc>
          <w:tcPr>
            <w:tcW w:w="960" w:type="dxa"/>
            <w:vAlign w:val="bottom"/>
            <w:tcBorders>
              <w:bottom w:val="single" w:sz="8" w:color="ECECED"/>
            </w:tcBorders>
            <w:shd w:val="clear" w:color="auto" w:fill="ECECED"/>
          </w:tcPr>
          <w:p>
            <w:pPr>
              <w:spacing w:after="0"/>
              <w:rPr>
                <w:sz w:val="17"/>
                <w:szCs w:val="17"/>
                <w:color w:val="auto"/>
              </w:rPr>
            </w:pPr>
          </w:p>
        </w:tc>
        <w:tc>
          <w:tcPr>
            <w:tcW w:w="220" w:type="dxa"/>
            <w:vAlign w:val="bottom"/>
            <w:tcBorders>
              <w:bottom w:val="single" w:sz="8" w:color="ECECED"/>
            </w:tcBorders>
            <w:shd w:val="clear" w:color="auto" w:fill="ECECED"/>
          </w:tcPr>
          <w:p>
            <w:pPr>
              <w:spacing w:after="0"/>
              <w:rPr>
                <w:sz w:val="17"/>
                <w:szCs w:val="17"/>
                <w:color w:val="auto"/>
              </w:rPr>
            </w:pPr>
          </w:p>
        </w:tc>
        <w:tc>
          <w:tcPr>
            <w:tcW w:w="140" w:type="dxa"/>
            <w:vAlign w:val="bottom"/>
            <w:tcBorders>
              <w:bottom w:val="single" w:sz="8" w:color="BDBEC0"/>
            </w:tcBorders>
            <w:shd w:val="clear" w:color="auto" w:fill="ECECED"/>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BDBEC0"/>
            </w:tcBorders>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769.7</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BDBEC0"/>
            </w:tcBorders>
          </w:tcPr>
          <w:p>
            <w:pPr>
              <w:spacing w:after="0" w:line="20" w:lineRule="exact"/>
              <w:rPr>
                <w:sz w:val="1"/>
                <w:szCs w:val="1"/>
                <w:color w:val="auto"/>
              </w:rPr>
            </w:pPr>
          </w:p>
        </w:tc>
        <w:tc>
          <w:tcPr>
            <w:tcW w:w="1100" w:type="dxa"/>
            <w:vAlign w:val="bottom"/>
            <w:tcBorders>
              <w:bottom w:val="single" w:sz="8" w:color="BDBEC0"/>
            </w:tcBorders>
          </w:tcPr>
          <w:p>
            <w:pPr>
              <w:spacing w:after="0" w:line="20" w:lineRule="exact"/>
              <w:rPr>
                <w:sz w:val="1"/>
                <w:szCs w:val="1"/>
                <w:color w:val="auto"/>
              </w:rPr>
            </w:pPr>
          </w:p>
        </w:tc>
        <w:tc>
          <w:tcPr>
            <w:tcW w:w="120" w:type="dxa"/>
            <w:vAlign w:val="bottom"/>
            <w:tcBorders>
              <w:bottom w:val="single" w:sz="8" w:color="BDBEC0"/>
            </w:tcBorders>
          </w:tcPr>
          <w:p>
            <w:pPr>
              <w:spacing w:after="0" w:line="20" w:lineRule="exact"/>
              <w:rPr>
                <w:sz w:val="1"/>
                <w:szCs w:val="1"/>
                <w:color w:val="auto"/>
              </w:rPr>
            </w:pPr>
          </w:p>
        </w:tc>
      </w:tr>
      <w:tr>
        <w:trPr>
          <w:trHeight w:val="171"/>
        </w:trPr>
        <w:tc>
          <w:tcPr>
            <w:tcW w:w="8440" w:type="dxa"/>
            <w:vAlign w:val="bottom"/>
          </w:tcPr>
          <w:p>
            <w:pPr>
              <w:spacing w:after="0"/>
              <w:rPr>
                <w:sz w:val="20"/>
                <w:szCs w:val="20"/>
                <w:color w:val="auto"/>
              </w:rPr>
            </w:pPr>
            <w:r>
              <w:rPr>
                <w:rFonts w:ascii="Arial" w:cs="Arial" w:eastAsia="Arial" w:hAnsi="Arial"/>
                <w:sz w:val="14"/>
                <w:szCs w:val="14"/>
                <w:color w:val="auto"/>
              </w:rPr>
              <w:t>GAAP other income (expense), net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152.2</w:t>
            </w:r>
          </w:p>
        </w:tc>
      </w:tr>
      <w:tr>
        <w:trPr>
          <w:trHeight w:val="203"/>
        </w:trPr>
        <w:tc>
          <w:tcPr>
            <w:tcW w:w="8440" w:type="dxa"/>
            <w:vAlign w:val="bottom"/>
            <w:shd w:val="clear" w:color="auto" w:fill="ECECED"/>
          </w:tcPr>
          <w:p>
            <w:pPr>
              <w:ind w:left="140"/>
              <w:spacing w:after="0"/>
              <w:rPr>
                <w:sz w:val="20"/>
                <w:szCs w:val="20"/>
                <w:color w:val="auto"/>
              </w:rPr>
            </w:pPr>
            <w:r>
              <w:rPr>
                <w:rFonts w:ascii="Arial" w:cs="Arial" w:eastAsia="Arial" w:hAnsi="Arial"/>
                <w:sz w:val="14"/>
                <w:szCs w:val="14"/>
                <w:color w:val="auto"/>
              </w:rPr>
              <w:t>(Gains) losses on investments, net</w:t>
            </w:r>
          </w:p>
        </w:tc>
        <w:tc>
          <w:tcPr>
            <w:tcW w:w="280" w:type="dxa"/>
            <w:vAlign w:val="bottom"/>
            <w:shd w:val="clear" w:color="auto" w:fill="ECECED"/>
          </w:tcPr>
          <w:p>
            <w:pPr>
              <w:spacing w:after="0"/>
              <w:rPr>
                <w:sz w:val="17"/>
                <w:szCs w:val="17"/>
                <w:color w:val="auto"/>
              </w:rPr>
            </w:pPr>
          </w:p>
        </w:tc>
        <w:tc>
          <w:tcPr>
            <w:tcW w:w="960" w:type="dxa"/>
            <w:vAlign w:val="bottom"/>
            <w:shd w:val="clear" w:color="auto" w:fill="ECECED"/>
          </w:tcPr>
          <w:p>
            <w:pPr>
              <w:spacing w:after="0"/>
              <w:rPr>
                <w:sz w:val="17"/>
                <w:szCs w:val="17"/>
                <w:color w:val="auto"/>
              </w:rPr>
            </w:pPr>
          </w:p>
        </w:tc>
        <w:tc>
          <w:tcPr>
            <w:tcW w:w="220" w:type="dxa"/>
            <w:vAlign w:val="bottom"/>
            <w:shd w:val="clear" w:color="auto" w:fill="ECECED"/>
          </w:tcPr>
          <w:p>
            <w:pPr>
              <w:spacing w:after="0"/>
              <w:rPr>
                <w:sz w:val="17"/>
                <w:szCs w:val="17"/>
                <w:color w:val="auto"/>
              </w:rPr>
            </w:pPr>
          </w:p>
        </w:tc>
        <w:tc>
          <w:tcPr>
            <w:tcW w:w="140" w:type="dxa"/>
            <w:vAlign w:val="bottom"/>
            <w:tcBorders>
              <w:bottom w:val="single" w:sz="8" w:color="BDBEC0"/>
            </w:tcBorders>
            <w:shd w:val="clear" w:color="auto" w:fill="ECECED"/>
          </w:tcPr>
          <w:p>
            <w:pPr>
              <w:spacing w:after="0"/>
              <w:rPr>
                <w:sz w:val="17"/>
                <w:szCs w:val="17"/>
                <w:color w:val="auto"/>
              </w:rPr>
            </w:pPr>
          </w:p>
        </w:tc>
        <w:tc>
          <w:tcPr>
            <w:tcW w:w="1220" w:type="dxa"/>
            <w:vAlign w:val="bottom"/>
            <w:tcBorders>
              <w:bottom w:val="single" w:sz="8" w:color="BDBEC0"/>
            </w:tcBorders>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266.4</w:t>
            </w:r>
          </w:p>
        </w:tc>
      </w:tr>
      <w:tr>
        <w:trPr>
          <w:trHeight w:val="240"/>
        </w:trPr>
        <w:tc>
          <w:tcPr>
            <w:tcW w:w="8440" w:type="dxa"/>
            <w:vAlign w:val="bottom"/>
            <w:tcBorders>
              <w:bottom w:val="single" w:sz="8" w:color="ECECED"/>
            </w:tcBorders>
          </w:tcPr>
          <w:p>
            <w:pPr>
              <w:spacing w:after="0"/>
              <w:rPr>
                <w:sz w:val="20"/>
                <w:szCs w:val="20"/>
                <w:color w:val="auto"/>
              </w:rPr>
            </w:pPr>
            <w:r>
              <w:rPr>
                <w:rFonts w:ascii="Arial" w:cs="Arial" w:eastAsia="Arial" w:hAnsi="Arial"/>
                <w:sz w:val="14"/>
                <w:szCs w:val="14"/>
                <w:color w:val="auto"/>
              </w:rPr>
              <w:t>Non-GAAP other income (expense), net</w:t>
            </w:r>
          </w:p>
        </w:tc>
        <w:tc>
          <w:tcPr>
            <w:tcW w:w="280" w:type="dxa"/>
            <w:vAlign w:val="bottom"/>
            <w:tcBorders>
              <w:bottom w:val="single" w:sz="8" w:color="ECECED"/>
            </w:tcBorders>
          </w:tcPr>
          <w:p>
            <w:pPr>
              <w:spacing w:after="0"/>
              <w:rPr>
                <w:sz w:val="20"/>
                <w:szCs w:val="20"/>
                <w:color w:val="auto"/>
              </w:rPr>
            </w:pPr>
          </w:p>
        </w:tc>
        <w:tc>
          <w:tcPr>
            <w:tcW w:w="960" w:type="dxa"/>
            <w:vAlign w:val="bottom"/>
            <w:tcBorders>
              <w:bottom w:val="single" w:sz="8" w:color="ECECED"/>
            </w:tcBorders>
          </w:tcPr>
          <w:p>
            <w:pPr>
              <w:spacing w:after="0"/>
              <w:rPr>
                <w:sz w:val="20"/>
                <w:szCs w:val="20"/>
                <w:color w:val="auto"/>
              </w:rPr>
            </w:pPr>
          </w:p>
        </w:tc>
        <w:tc>
          <w:tcPr>
            <w:tcW w:w="220" w:type="dxa"/>
            <w:vAlign w:val="bottom"/>
            <w:tcBorders>
              <w:bottom w:val="single" w:sz="8" w:color="ECECED"/>
            </w:tcBorders>
          </w:tcPr>
          <w:p>
            <w:pPr>
              <w:spacing w:after="0"/>
              <w:rPr>
                <w:sz w:val="20"/>
                <w:szCs w:val="20"/>
                <w:color w:val="auto"/>
              </w:rPr>
            </w:pPr>
          </w:p>
        </w:tc>
        <w:tc>
          <w:tcPr>
            <w:tcW w:w="140" w:type="dxa"/>
            <w:vAlign w:val="bottom"/>
            <w:tcBorders>
              <w:bottom w:val="single" w:sz="8" w:color="BDBEC0"/>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BDBEC0"/>
            </w:tcBorders>
            <w:gridSpan w:val="2"/>
          </w:tcPr>
          <w:p>
            <w:pPr>
              <w:jc w:val="right"/>
              <w:ind w:right="120"/>
              <w:spacing w:after="0"/>
              <w:rPr>
                <w:sz w:val="20"/>
                <w:szCs w:val="20"/>
                <w:color w:val="auto"/>
              </w:rPr>
            </w:pPr>
            <w:r>
              <w:rPr>
                <w:rFonts w:ascii="Arial" w:cs="Arial" w:eastAsia="Arial" w:hAnsi="Arial"/>
                <w:sz w:val="14"/>
                <w:szCs w:val="14"/>
                <w:color w:val="auto"/>
              </w:rPr>
              <w:t>418.6</w:t>
            </w:r>
          </w:p>
        </w:tc>
      </w:tr>
      <w:tr>
        <w:trPr>
          <w:trHeight w:val="178"/>
        </w:trPr>
        <w:tc>
          <w:tcPr>
            <w:tcW w:w="8440" w:type="dxa"/>
            <w:vAlign w:val="bottom"/>
            <w:shd w:val="clear" w:color="auto" w:fill="ECECED"/>
          </w:tcPr>
          <w:p>
            <w:pPr>
              <w:spacing w:after="0"/>
              <w:rPr>
                <w:sz w:val="20"/>
                <w:szCs w:val="20"/>
                <w:color w:val="auto"/>
              </w:rPr>
            </w:pPr>
            <w:r>
              <w:rPr>
                <w:rFonts w:ascii="Arial" w:cs="Arial" w:eastAsia="Arial" w:hAnsi="Arial"/>
                <w:sz w:val="14"/>
                <w:szCs w:val="14"/>
                <w:color w:val="auto"/>
              </w:rPr>
              <w:t>GAAP net income</w:t>
            </w:r>
          </w:p>
        </w:tc>
        <w:tc>
          <w:tcPr>
            <w:tcW w:w="280" w:type="dxa"/>
            <w:vAlign w:val="bottom"/>
            <w:shd w:val="clear" w:color="auto" w:fill="ECECED"/>
          </w:tcPr>
          <w:p>
            <w:pPr>
              <w:spacing w:after="0"/>
              <w:rPr>
                <w:sz w:val="15"/>
                <w:szCs w:val="15"/>
                <w:color w:val="auto"/>
              </w:rPr>
            </w:pPr>
          </w:p>
        </w:tc>
        <w:tc>
          <w:tcPr>
            <w:tcW w:w="960" w:type="dxa"/>
            <w:vAlign w:val="bottom"/>
            <w:shd w:val="clear" w:color="auto" w:fill="ECECED"/>
          </w:tcPr>
          <w:p>
            <w:pPr>
              <w:spacing w:after="0"/>
              <w:rPr>
                <w:sz w:val="15"/>
                <w:szCs w:val="15"/>
                <w:color w:val="auto"/>
              </w:rPr>
            </w:pPr>
          </w:p>
        </w:tc>
        <w:tc>
          <w:tcPr>
            <w:tcW w:w="220" w:type="dxa"/>
            <w:vAlign w:val="bottom"/>
            <w:shd w:val="clear" w:color="auto" w:fill="ECECED"/>
          </w:tcPr>
          <w:p>
            <w:pPr>
              <w:spacing w:after="0"/>
              <w:rPr>
                <w:sz w:val="15"/>
                <w:szCs w:val="15"/>
                <w:color w:val="auto"/>
              </w:rPr>
            </w:pPr>
          </w:p>
        </w:tc>
        <w:tc>
          <w:tcPr>
            <w:tcW w:w="140" w:type="dxa"/>
            <w:vAlign w:val="bottom"/>
            <w:shd w:val="clear" w:color="auto" w:fill="ECECED"/>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3,953.6</w:t>
            </w:r>
          </w:p>
        </w:tc>
      </w:tr>
      <w:tr>
        <w:trPr>
          <w:trHeight w:val="195"/>
        </w:trPr>
        <w:tc>
          <w:tcPr>
            <w:tcW w:w="8440" w:type="dxa"/>
            <w:vAlign w:val="bottom"/>
          </w:tcPr>
          <w:p>
            <w:pPr>
              <w:ind w:left="140"/>
              <w:spacing w:after="0"/>
              <w:rPr>
                <w:sz w:val="20"/>
                <w:szCs w:val="20"/>
                <w:color w:val="auto"/>
              </w:rPr>
            </w:pPr>
            <w:r>
              <w:rPr>
                <w:rFonts w:ascii="Arial" w:cs="Arial" w:eastAsia="Arial" w:hAnsi="Arial"/>
                <w:sz w:val="14"/>
                <w:szCs w:val="14"/>
                <w:color w:val="auto"/>
              </w:rPr>
              <w:t>Total of GAAP to non-GAAP reconciling items above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1,347.7</w:t>
            </w:r>
          </w:p>
        </w:tc>
      </w:tr>
      <w:tr>
        <w:trPr>
          <w:trHeight w:val="203"/>
        </w:trPr>
        <w:tc>
          <w:tcPr>
            <w:tcW w:w="8440" w:type="dxa"/>
            <w:vAlign w:val="bottom"/>
            <w:shd w:val="clear" w:color="auto" w:fill="ECECED"/>
          </w:tcPr>
          <w:p>
            <w:pPr>
              <w:ind w:left="140"/>
              <w:spacing w:after="0"/>
              <w:rPr>
                <w:sz w:val="20"/>
                <w:szCs w:val="20"/>
                <w:color w:val="auto"/>
              </w:rPr>
            </w:pPr>
            <w:r>
              <w:rPr>
                <w:rFonts w:ascii="Arial" w:cs="Arial" w:eastAsia="Arial" w:hAnsi="Arial"/>
                <w:sz w:val="14"/>
                <w:szCs w:val="14"/>
                <w:color w:val="auto"/>
              </w:rPr>
              <w:t>Income tax effect of GAAP to non-GAAP reconciling items</w:t>
            </w:r>
          </w:p>
        </w:tc>
        <w:tc>
          <w:tcPr>
            <w:tcW w:w="280" w:type="dxa"/>
            <w:vAlign w:val="bottom"/>
            <w:shd w:val="clear" w:color="auto" w:fill="ECECED"/>
          </w:tcPr>
          <w:p>
            <w:pPr>
              <w:spacing w:after="0"/>
              <w:rPr>
                <w:sz w:val="17"/>
                <w:szCs w:val="17"/>
                <w:color w:val="auto"/>
              </w:rPr>
            </w:pPr>
          </w:p>
        </w:tc>
        <w:tc>
          <w:tcPr>
            <w:tcW w:w="960" w:type="dxa"/>
            <w:vAlign w:val="bottom"/>
            <w:shd w:val="clear" w:color="auto" w:fill="ECECED"/>
          </w:tcPr>
          <w:p>
            <w:pPr>
              <w:spacing w:after="0"/>
              <w:rPr>
                <w:sz w:val="17"/>
                <w:szCs w:val="17"/>
                <w:color w:val="auto"/>
              </w:rPr>
            </w:pPr>
          </w:p>
        </w:tc>
        <w:tc>
          <w:tcPr>
            <w:tcW w:w="220" w:type="dxa"/>
            <w:vAlign w:val="bottom"/>
            <w:shd w:val="clear" w:color="auto" w:fill="ECECED"/>
          </w:tcPr>
          <w:p>
            <w:pPr>
              <w:spacing w:after="0"/>
              <w:rPr>
                <w:sz w:val="17"/>
                <w:szCs w:val="17"/>
                <w:color w:val="auto"/>
              </w:rPr>
            </w:pPr>
          </w:p>
        </w:tc>
        <w:tc>
          <w:tcPr>
            <w:tcW w:w="140" w:type="dxa"/>
            <w:vAlign w:val="bottom"/>
            <w:tcBorders>
              <w:bottom w:val="single" w:sz="8" w:color="BDBEC0"/>
            </w:tcBorders>
            <w:shd w:val="clear" w:color="auto" w:fill="ECECED"/>
          </w:tcPr>
          <w:p>
            <w:pPr>
              <w:spacing w:after="0"/>
              <w:rPr>
                <w:sz w:val="17"/>
                <w:szCs w:val="17"/>
                <w:color w:val="auto"/>
              </w:rPr>
            </w:pPr>
          </w:p>
        </w:tc>
        <w:tc>
          <w:tcPr>
            <w:tcW w:w="1220" w:type="dxa"/>
            <w:vAlign w:val="bottom"/>
            <w:tcBorders>
              <w:bottom w:val="single" w:sz="8" w:color="BDBEC0"/>
            </w:tcBorders>
            <w:gridSpan w:val="2"/>
            <w:shd w:val="clear" w:color="auto" w:fill="ECECED"/>
          </w:tcPr>
          <w:p>
            <w:pPr>
              <w:jc w:val="right"/>
              <w:ind w:right="60"/>
              <w:spacing w:after="0"/>
              <w:rPr>
                <w:sz w:val="20"/>
                <w:szCs w:val="20"/>
                <w:color w:val="auto"/>
              </w:rPr>
            </w:pPr>
            <w:r>
              <w:rPr>
                <w:rFonts w:ascii="Arial" w:cs="Arial" w:eastAsia="Arial" w:hAnsi="Arial"/>
                <w:sz w:val="14"/>
                <w:szCs w:val="14"/>
                <w:color w:val="auto"/>
              </w:rPr>
              <w:t>(256.8)</w:t>
            </w:r>
          </w:p>
        </w:tc>
      </w:tr>
      <w:tr>
        <w:trPr>
          <w:trHeight w:val="240"/>
        </w:trPr>
        <w:tc>
          <w:tcPr>
            <w:tcW w:w="8440" w:type="dxa"/>
            <w:vAlign w:val="bottom"/>
            <w:tcBorders>
              <w:bottom w:val="single" w:sz="8" w:color="ECECED"/>
            </w:tcBorders>
          </w:tcPr>
          <w:p>
            <w:pPr>
              <w:spacing w:after="0"/>
              <w:rPr>
                <w:sz w:val="20"/>
                <w:szCs w:val="20"/>
                <w:color w:val="auto"/>
              </w:rPr>
            </w:pPr>
            <w:r>
              <w:rPr>
                <w:rFonts w:ascii="Arial" w:cs="Arial" w:eastAsia="Arial" w:hAnsi="Arial"/>
                <w:sz w:val="14"/>
                <w:szCs w:val="14"/>
                <w:color w:val="auto"/>
              </w:rPr>
              <w:t>Non-GAAP net income</w:t>
            </w:r>
          </w:p>
        </w:tc>
        <w:tc>
          <w:tcPr>
            <w:tcW w:w="280" w:type="dxa"/>
            <w:vAlign w:val="bottom"/>
            <w:tcBorders>
              <w:bottom w:val="single" w:sz="8" w:color="ECECED"/>
            </w:tcBorders>
          </w:tcPr>
          <w:p>
            <w:pPr>
              <w:spacing w:after="0"/>
              <w:rPr>
                <w:sz w:val="20"/>
                <w:szCs w:val="20"/>
                <w:color w:val="auto"/>
              </w:rPr>
            </w:pPr>
          </w:p>
        </w:tc>
        <w:tc>
          <w:tcPr>
            <w:tcW w:w="960" w:type="dxa"/>
            <w:vAlign w:val="bottom"/>
            <w:tcBorders>
              <w:bottom w:val="single" w:sz="8" w:color="ECECED"/>
            </w:tcBorders>
          </w:tcPr>
          <w:p>
            <w:pPr>
              <w:spacing w:after="0"/>
              <w:rPr>
                <w:sz w:val="20"/>
                <w:szCs w:val="20"/>
                <w:color w:val="auto"/>
              </w:rPr>
            </w:pPr>
          </w:p>
        </w:tc>
        <w:tc>
          <w:tcPr>
            <w:tcW w:w="220" w:type="dxa"/>
            <w:vAlign w:val="bottom"/>
            <w:tcBorders>
              <w:bottom w:val="single" w:sz="8" w:color="ECECED"/>
            </w:tcBorders>
          </w:tcPr>
          <w:p>
            <w:pPr>
              <w:spacing w:after="0"/>
              <w:rPr>
                <w:sz w:val="20"/>
                <w:szCs w:val="20"/>
                <w:color w:val="auto"/>
              </w:rPr>
            </w:pPr>
          </w:p>
        </w:tc>
        <w:tc>
          <w:tcPr>
            <w:tcW w:w="140" w:type="dxa"/>
            <w:vAlign w:val="bottom"/>
            <w:tcBorders>
              <w:bottom w:val="single" w:sz="8" w:color="BDBEC0"/>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BDBEC0"/>
            </w:tcBorders>
            <w:gridSpan w:val="2"/>
          </w:tcPr>
          <w:p>
            <w:pPr>
              <w:jc w:val="right"/>
              <w:ind w:right="120"/>
              <w:spacing w:after="0"/>
              <w:rPr>
                <w:sz w:val="20"/>
                <w:szCs w:val="20"/>
                <w:color w:val="auto"/>
              </w:rPr>
            </w:pPr>
            <w:r>
              <w:rPr>
                <w:rFonts w:ascii="Arial" w:cs="Arial" w:eastAsia="Arial" w:hAnsi="Arial"/>
                <w:sz w:val="14"/>
                <w:szCs w:val="14"/>
                <w:color w:val="auto"/>
              </w:rPr>
              <w:t>5,044.5</w:t>
            </w:r>
          </w:p>
        </w:tc>
      </w:tr>
      <w:tr>
        <w:trPr>
          <w:trHeight w:val="178"/>
        </w:trPr>
        <w:tc>
          <w:tcPr>
            <w:tcW w:w="8440" w:type="dxa"/>
            <w:vAlign w:val="bottom"/>
            <w:shd w:val="clear" w:color="auto" w:fill="ECECED"/>
          </w:tcPr>
          <w:p>
            <w:pPr>
              <w:spacing w:after="0"/>
              <w:rPr>
                <w:sz w:val="20"/>
                <w:szCs w:val="20"/>
                <w:color w:val="auto"/>
              </w:rPr>
            </w:pPr>
            <w:r>
              <w:rPr>
                <w:rFonts w:ascii="Arial" w:cs="Arial" w:eastAsia="Arial" w:hAnsi="Arial"/>
                <w:sz w:val="14"/>
                <w:szCs w:val="14"/>
                <w:color w:val="auto"/>
              </w:rPr>
              <w:t>Non-GAAP net income per share - basic</w:t>
            </w:r>
          </w:p>
        </w:tc>
        <w:tc>
          <w:tcPr>
            <w:tcW w:w="280" w:type="dxa"/>
            <w:vAlign w:val="bottom"/>
            <w:shd w:val="clear" w:color="auto" w:fill="ECECED"/>
          </w:tcPr>
          <w:p>
            <w:pPr>
              <w:spacing w:after="0"/>
              <w:rPr>
                <w:sz w:val="15"/>
                <w:szCs w:val="15"/>
                <w:color w:val="auto"/>
              </w:rPr>
            </w:pPr>
          </w:p>
        </w:tc>
        <w:tc>
          <w:tcPr>
            <w:tcW w:w="960" w:type="dxa"/>
            <w:vAlign w:val="bottom"/>
            <w:shd w:val="clear" w:color="auto" w:fill="ECECED"/>
          </w:tcPr>
          <w:p>
            <w:pPr>
              <w:spacing w:after="0"/>
              <w:rPr>
                <w:sz w:val="15"/>
                <w:szCs w:val="15"/>
                <w:color w:val="auto"/>
              </w:rPr>
            </w:pPr>
          </w:p>
        </w:tc>
        <w:tc>
          <w:tcPr>
            <w:tcW w:w="220" w:type="dxa"/>
            <w:vAlign w:val="bottom"/>
            <w:shd w:val="clear" w:color="auto" w:fill="ECECED"/>
          </w:tcPr>
          <w:p>
            <w:pPr>
              <w:spacing w:after="0"/>
              <w:rPr>
                <w:sz w:val="15"/>
                <w:szCs w:val="15"/>
                <w:color w:val="auto"/>
              </w:rPr>
            </w:pPr>
          </w:p>
        </w:tc>
        <w:tc>
          <w:tcPr>
            <w:tcW w:w="140" w:type="dxa"/>
            <w:vAlign w:val="bottom"/>
            <w:shd w:val="clear" w:color="auto" w:fill="ECECED"/>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47.28</w:t>
            </w:r>
          </w:p>
        </w:tc>
      </w:tr>
      <w:tr>
        <w:trPr>
          <w:trHeight w:val="195"/>
        </w:trPr>
        <w:tc>
          <w:tcPr>
            <w:tcW w:w="8440" w:type="dxa"/>
            <w:vAlign w:val="bottom"/>
          </w:tcPr>
          <w:p>
            <w:pPr>
              <w:spacing w:after="0"/>
              <w:rPr>
                <w:sz w:val="20"/>
                <w:szCs w:val="20"/>
                <w:color w:val="auto"/>
              </w:rPr>
            </w:pPr>
            <w:r>
              <w:rPr>
                <w:rFonts w:ascii="Arial" w:cs="Arial" w:eastAsia="Arial" w:hAnsi="Arial"/>
                <w:sz w:val="14"/>
                <w:szCs w:val="14"/>
                <w:color w:val="auto"/>
              </w:rPr>
              <w:t>Non-GAAP net income per share - diluted</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43.79</w:t>
            </w:r>
          </w:p>
        </w:tc>
      </w:tr>
      <w:tr>
        <w:trPr>
          <w:trHeight w:val="210"/>
        </w:trPr>
        <w:tc>
          <w:tcPr>
            <w:tcW w:w="8440" w:type="dxa"/>
            <w:vAlign w:val="bottom"/>
            <w:shd w:val="clear" w:color="auto" w:fill="ECECED"/>
          </w:tcPr>
          <w:p>
            <w:pPr>
              <w:spacing w:after="0"/>
              <w:rPr>
                <w:sz w:val="20"/>
                <w:szCs w:val="20"/>
                <w:color w:val="auto"/>
              </w:rPr>
            </w:pPr>
            <w:r>
              <w:rPr>
                <w:rFonts w:ascii="Arial" w:cs="Arial" w:eastAsia="Arial" w:hAnsi="Arial"/>
                <w:sz w:val="14"/>
                <w:szCs w:val="14"/>
                <w:i w:val="1"/>
                <w:iCs w:val="1"/>
                <w:color w:val="auto"/>
              </w:rPr>
              <w:t>Shares used in calculating:</w:t>
            </w:r>
          </w:p>
        </w:tc>
        <w:tc>
          <w:tcPr>
            <w:tcW w:w="280" w:type="dxa"/>
            <w:vAlign w:val="bottom"/>
            <w:shd w:val="clear" w:color="auto" w:fill="ECECED"/>
          </w:tcPr>
          <w:p>
            <w:pPr>
              <w:spacing w:after="0"/>
              <w:rPr>
                <w:sz w:val="18"/>
                <w:szCs w:val="18"/>
                <w:color w:val="auto"/>
              </w:rPr>
            </w:pPr>
          </w:p>
        </w:tc>
        <w:tc>
          <w:tcPr>
            <w:tcW w:w="960" w:type="dxa"/>
            <w:vAlign w:val="bottom"/>
            <w:shd w:val="clear" w:color="auto" w:fill="ECECED"/>
          </w:tcPr>
          <w:p>
            <w:pPr>
              <w:spacing w:after="0"/>
              <w:rPr>
                <w:sz w:val="18"/>
                <w:szCs w:val="18"/>
                <w:color w:val="auto"/>
              </w:rPr>
            </w:pPr>
          </w:p>
        </w:tc>
        <w:tc>
          <w:tcPr>
            <w:tcW w:w="220" w:type="dxa"/>
            <w:vAlign w:val="bottom"/>
            <w:shd w:val="clear" w:color="auto" w:fill="ECECED"/>
          </w:tcPr>
          <w:p>
            <w:pPr>
              <w:spacing w:after="0"/>
              <w:rPr>
                <w:sz w:val="18"/>
                <w:szCs w:val="18"/>
                <w:color w:val="auto"/>
              </w:rPr>
            </w:pPr>
          </w:p>
        </w:tc>
        <w:tc>
          <w:tcPr>
            <w:tcW w:w="140" w:type="dxa"/>
            <w:vAlign w:val="bottom"/>
            <w:shd w:val="clear" w:color="auto" w:fill="ECECED"/>
          </w:tcPr>
          <w:p>
            <w:pPr>
              <w:spacing w:after="0"/>
              <w:rPr>
                <w:sz w:val="18"/>
                <w:szCs w:val="18"/>
                <w:color w:val="auto"/>
              </w:rPr>
            </w:pPr>
          </w:p>
        </w:tc>
        <w:tc>
          <w:tcPr>
            <w:tcW w:w="1100" w:type="dxa"/>
            <w:vAlign w:val="bottom"/>
            <w:shd w:val="clear" w:color="auto" w:fill="ECECED"/>
          </w:tcPr>
          <w:p>
            <w:pPr>
              <w:spacing w:after="0"/>
              <w:rPr>
                <w:sz w:val="18"/>
                <w:szCs w:val="18"/>
                <w:color w:val="auto"/>
              </w:rPr>
            </w:pPr>
          </w:p>
        </w:tc>
        <w:tc>
          <w:tcPr>
            <w:tcW w:w="120" w:type="dxa"/>
            <w:vAlign w:val="bottom"/>
            <w:shd w:val="clear" w:color="auto" w:fill="ECECED"/>
          </w:tcPr>
          <w:p>
            <w:pPr>
              <w:spacing w:after="0"/>
              <w:rPr>
                <w:sz w:val="18"/>
                <w:szCs w:val="18"/>
                <w:color w:val="auto"/>
              </w:rPr>
            </w:pPr>
          </w:p>
        </w:tc>
      </w:tr>
      <w:tr>
        <w:trPr>
          <w:trHeight w:val="195"/>
        </w:trPr>
        <w:tc>
          <w:tcPr>
            <w:tcW w:w="8440" w:type="dxa"/>
            <w:vAlign w:val="bottom"/>
          </w:tcPr>
          <w:p>
            <w:pPr>
              <w:spacing w:after="0"/>
              <w:rPr>
                <w:sz w:val="20"/>
                <w:szCs w:val="20"/>
                <w:color w:val="auto"/>
              </w:rPr>
            </w:pPr>
            <w:r>
              <w:rPr>
                <w:rFonts w:ascii="Arial" w:cs="Arial" w:eastAsia="Arial" w:hAnsi="Arial"/>
                <w:sz w:val="14"/>
                <w:szCs w:val="14"/>
                <w:color w:val="auto"/>
              </w:rPr>
              <w:t>GAAP net income per share - basic</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106.7</w:t>
            </w:r>
          </w:p>
        </w:tc>
      </w:tr>
      <w:tr>
        <w:trPr>
          <w:trHeight w:val="210"/>
        </w:trPr>
        <w:tc>
          <w:tcPr>
            <w:tcW w:w="8440" w:type="dxa"/>
            <w:vAlign w:val="bottom"/>
            <w:shd w:val="clear" w:color="auto" w:fill="ECECED"/>
          </w:tcPr>
          <w:p>
            <w:pPr>
              <w:spacing w:after="0"/>
              <w:rPr>
                <w:sz w:val="20"/>
                <w:szCs w:val="20"/>
                <w:color w:val="auto"/>
              </w:rPr>
            </w:pPr>
            <w:r>
              <w:rPr>
                <w:rFonts w:ascii="Arial" w:cs="Arial" w:eastAsia="Arial" w:hAnsi="Arial"/>
                <w:sz w:val="14"/>
                <w:szCs w:val="14"/>
                <w:color w:val="auto"/>
              </w:rPr>
              <w:t>GAAP net income per share - diluted</w:t>
            </w:r>
          </w:p>
        </w:tc>
        <w:tc>
          <w:tcPr>
            <w:tcW w:w="280" w:type="dxa"/>
            <w:vAlign w:val="bottom"/>
            <w:shd w:val="clear" w:color="auto" w:fill="ECECED"/>
          </w:tcPr>
          <w:p>
            <w:pPr>
              <w:spacing w:after="0"/>
              <w:rPr>
                <w:sz w:val="18"/>
                <w:szCs w:val="18"/>
                <w:color w:val="auto"/>
              </w:rPr>
            </w:pPr>
          </w:p>
        </w:tc>
        <w:tc>
          <w:tcPr>
            <w:tcW w:w="960" w:type="dxa"/>
            <w:vAlign w:val="bottom"/>
            <w:shd w:val="clear" w:color="auto" w:fill="ECECED"/>
          </w:tcPr>
          <w:p>
            <w:pPr>
              <w:spacing w:after="0"/>
              <w:rPr>
                <w:sz w:val="18"/>
                <w:szCs w:val="18"/>
                <w:color w:val="auto"/>
              </w:rPr>
            </w:pPr>
          </w:p>
        </w:tc>
        <w:tc>
          <w:tcPr>
            <w:tcW w:w="220" w:type="dxa"/>
            <w:vAlign w:val="bottom"/>
            <w:shd w:val="clear" w:color="auto" w:fill="ECECED"/>
          </w:tcPr>
          <w:p>
            <w:pPr>
              <w:spacing w:after="0"/>
              <w:rPr>
                <w:sz w:val="18"/>
                <w:szCs w:val="18"/>
                <w:color w:val="auto"/>
              </w:rPr>
            </w:pPr>
          </w:p>
        </w:tc>
        <w:tc>
          <w:tcPr>
            <w:tcW w:w="140" w:type="dxa"/>
            <w:vAlign w:val="bottom"/>
            <w:shd w:val="clear" w:color="auto" w:fill="ECECED"/>
          </w:tcPr>
          <w:p>
            <w:pPr>
              <w:spacing w:after="0"/>
              <w:rPr>
                <w:sz w:val="18"/>
                <w:szCs w:val="18"/>
                <w:color w:val="auto"/>
              </w:rPr>
            </w:pPr>
          </w:p>
        </w:tc>
        <w:tc>
          <w:tcPr>
            <w:tcW w:w="1220" w:type="dxa"/>
            <w:vAlign w:val="bottom"/>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113.7</w:t>
            </w:r>
          </w:p>
        </w:tc>
      </w:tr>
      <w:tr>
        <w:trPr>
          <w:trHeight w:val="195"/>
        </w:trPr>
        <w:tc>
          <w:tcPr>
            <w:tcW w:w="8440" w:type="dxa"/>
            <w:vAlign w:val="bottom"/>
          </w:tcPr>
          <w:p>
            <w:pPr>
              <w:spacing w:after="0"/>
              <w:rPr>
                <w:sz w:val="20"/>
                <w:szCs w:val="20"/>
                <w:color w:val="auto"/>
              </w:rPr>
            </w:pPr>
            <w:r>
              <w:rPr>
                <w:rFonts w:ascii="Arial" w:cs="Arial" w:eastAsia="Arial" w:hAnsi="Arial"/>
                <w:sz w:val="14"/>
                <w:szCs w:val="14"/>
                <w:color w:val="auto"/>
              </w:rPr>
              <w:t>Non-GAAP net income per share - basic</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106.7</w:t>
            </w:r>
          </w:p>
        </w:tc>
      </w:tr>
      <w:tr>
        <w:trPr>
          <w:trHeight w:val="210"/>
        </w:trPr>
        <w:tc>
          <w:tcPr>
            <w:tcW w:w="8440" w:type="dxa"/>
            <w:vAlign w:val="bottom"/>
            <w:shd w:val="clear" w:color="auto" w:fill="ECECED"/>
          </w:tcPr>
          <w:p>
            <w:pPr>
              <w:spacing w:after="0"/>
              <w:rPr>
                <w:sz w:val="20"/>
                <w:szCs w:val="20"/>
                <w:color w:val="auto"/>
              </w:rPr>
            </w:pPr>
            <w:r>
              <w:rPr>
                <w:rFonts w:ascii="Arial" w:cs="Arial" w:eastAsia="Arial" w:hAnsi="Arial"/>
                <w:sz w:val="14"/>
                <w:szCs w:val="14"/>
                <w:color w:val="auto"/>
              </w:rPr>
              <w:t>Non-GAAP net income per share - diluted</w:t>
            </w:r>
          </w:p>
        </w:tc>
        <w:tc>
          <w:tcPr>
            <w:tcW w:w="280" w:type="dxa"/>
            <w:vAlign w:val="bottom"/>
            <w:shd w:val="clear" w:color="auto" w:fill="ECECED"/>
          </w:tcPr>
          <w:p>
            <w:pPr>
              <w:spacing w:after="0"/>
              <w:rPr>
                <w:sz w:val="18"/>
                <w:szCs w:val="18"/>
                <w:color w:val="auto"/>
              </w:rPr>
            </w:pPr>
          </w:p>
        </w:tc>
        <w:tc>
          <w:tcPr>
            <w:tcW w:w="960" w:type="dxa"/>
            <w:vAlign w:val="bottom"/>
            <w:shd w:val="clear" w:color="auto" w:fill="ECECED"/>
          </w:tcPr>
          <w:p>
            <w:pPr>
              <w:spacing w:after="0"/>
              <w:rPr>
                <w:sz w:val="18"/>
                <w:szCs w:val="18"/>
                <w:color w:val="auto"/>
              </w:rPr>
            </w:pPr>
          </w:p>
        </w:tc>
        <w:tc>
          <w:tcPr>
            <w:tcW w:w="220" w:type="dxa"/>
            <w:vAlign w:val="bottom"/>
            <w:shd w:val="clear" w:color="auto" w:fill="ECECED"/>
          </w:tcPr>
          <w:p>
            <w:pPr>
              <w:spacing w:after="0"/>
              <w:rPr>
                <w:sz w:val="18"/>
                <w:szCs w:val="18"/>
                <w:color w:val="auto"/>
              </w:rPr>
            </w:pPr>
          </w:p>
        </w:tc>
        <w:tc>
          <w:tcPr>
            <w:tcW w:w="140" w:type="dxa"/>
            <w:vAlign w:val="bottom"/>
            <w:shd w:val="clear" w:color="auto" w:fill="ECECED"/>
          </w:tcPr>
          <w:p>
            <w:pPr>
              <w:spacing w:after="0"/>
              <w:rPr>
                <w:sz w:val="18"/>
                <w:szCs w:val="18"/>
                <w:color w:val="auto"/>
              </w:rPr>
            </w:pPr>
          </w:p>
        </w:tc>
        <w:tc>
          <w:tcPr>
            <w:tcW w:w="1220" w:type="dxa"/>
            <w:vAlign w:val="bottom"/>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115.2</w:t>
            </w:r>
          </w:p>
        </w:tc>
      </w:tr>
      <w:tr>
        <w:trPr>
          <w:trHeight w:val="371"/>
        </w:trPr>
        <w:tc>
          <w:tcPr>
            <w:tcW w:w="8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jc w:val="right"/>
              <w:ind w:right="680"/>
              <w:spacing w:after="0"/>
              <w:rPr>
                <w:sz w:val="20"/>
                <w:szCs w:val="20"/>
                <w:color w:val="auto"/>
              </w:rPr>
            </w:pPr>
            <w:r>
              <w:rPr>
                <w:rFonts w:ascii="Arial" w:cs="Arial" w:eastAsia="Arial" w:hAnsi="Arial"/>
                <w:sz w:val="14"/>
                <w:szCs w:val="14"/>
                <w:color w:val="215AA8"/>
              </w:rPr>
              <w:t>Year Ended December 31,</w:t>
            </w:r>
          </w:p>
        </w:tc>
      </w:tr>
      <w:tr>
        <w:trPr>
          <w:trHeight w:val="183"/>
        </w:trPr>
        <w:tc>
          <w:tcPr>
            <w:tcW w:w="8440" w:type="dxa"/>
            <w:vAlign w:val="bottom"/>
            <w:tcBorders>
              <w:bottom w:val="single" w:sz="8" w:color="215AA8"/>
            </w:tcBorders>
          </w:tcPr>
          <w:p>
            <w:pPr>
              <w:spacing w:after="0"/>
              <w:rPr>
                <w:sz w:val="15"/>
                <w:szCs w:val="15"/>
                <w:color w:val="auto"/>
              </w:rPr>
            </w:pPr>
          </w:p>
        </w:tc>
        <w:tc>
          <w:tcPr>
            <w:tcW w:w="280" w:type="dxa"/>
            <w:vAlign w:val="bottom"/>
            <w:tcBorders>
              <w:top w:val="single" w:sz="8" w:color="215AA8"/>
              <w:bottom w:val="single" w:sz="8" w:color="215AA8"/>
            </w:tcBorders>
          </w:tcPr>
          <w:p>
            <w:pPr>
              <w:spacing w:after="0"/>
              <w:rPr>
                <w:sz w:val="15"/>
                <w:szCs w:val="15"/>
                <w:color w:val="auto"/>
              </w:rPr>
            </w:pPr>
          </w:p>
        </w:tc>
        <w:tc>
          <w:tcPr>
            <w:tcW w:w="960" w:type="dxa"/>
            <w:vAlign w:val="bottom"/>
            <w:tcBorders>
              <w:top w:val="single" w:sz="8" w:color="215AA8"/>
              <w:bottom w:val="single" w:sz="8" w:color="215AA8"/>
            </w:tcBorders>
          </w:tcPr>
          <w:p>
            <w:pPr>
              <w:jc w:val="right"/>
              <w:ind w:right="392"/>
              <w:spacing w:after="0"/>
              <w:rPr>
                <w:sz w:val="20"/>
                <w:szCs w:val="20"/>
                <w:color w:val="auto"/>
              </w:rPr>
            </w:pPr>
            <w:r>
              <w:rPr>
                <w:rFonts w:ascii="Arial" w:cs="Arial" w:eastAsia="Arial" w:hAnsi="Arial"/>
                <w:sz w:val="14"/>
                <w:szCs w:val="14"/>
                <w:color w:val="215AA8"/>
              </w:rPr>
              <w:t>2023</w:t>
            </w:r>
          </w:p>
        </w:tc>
        <w:tc>
          <w:tcPr>
            <w:tcW w:w="220" w:type="dxa"/>
            <w:vAlign w:val="bottom"/>
            <w:tcBorders>
              <w:top w:val="single" w:sz="8" w:color="215AA8"/>
              <w:bottom w:val="single" w:sz="8" w:color="215AA8"/>
            </w:tcBorders>
          </w:tcPr>
          <w:p>
            <w:pPr>
              <w:spacing w:after="0"/>
              <w:rPr>
                <w:sz w:val="15"/>
                <w:szCs w:val="15"/>
                <w:color w:val="auto"/>
              </w:rPr>
            </w:pPr>
          </w:p>
        </w:tc>
        <w:tc>
          <w:tcPr>
            <w:tcW w:w="140" w:type="dxa"/>
            <w:vAlign w:val="bottom"/>
            <w:tcBorders>
              <w:top w:val="single" w:sz="8" w:color="215AA8"/>
              <w:bottom w:val="single" w:sz="8" w:color="215AA8"/>
            </w:tcBorders>
          </w:tcPr>
          <w:p>
            <w:pPr>
              <w:spacing w:after="0"/>
              <w:rPr>
                <w:sz w:val="15"/>
                <w:szCs w:val="15"/>
                <w:color w:val="auto"/>
              </w:rPr>
            </w:pPr>
          </w:p>
        </w:tc>
        <w:tc>
          <w:tcPr>
            <w:tcW w:w="1100" w:type="dxa"/>
            <w:vAlign w:val="bottom"/>
            <w:tcBorders>
              <w:top w:val="single" w:sz="8" w:color="215AA8"/>
              <w:bottom w:val="single" w:sz="8" w:color="215AA8"/>
            </w:tcBorders>
          </w:tcPr>
          <w:p>
            <w:pPr>
              <w:jc w:val="center"/>
              <w:ind w:right="52"/>
              <w:spacing w:after="0"/>
              <w:rPr>
                <w:sz w:val="20"/>
                <w:szCs w:val="20"/>
                <w:color w:val="auto"/>
              </w:rPr>
            </w:pPr>
            <w:r>
              <w:rPr>
                <w:rFonts w:ascii="Arial" w:cs="Arial" w:eastAsia="Arial" w:hAnsi="Arial"/>
                <w:sz w:val="14"/>
                <w:szCs w:val="14"/>
                <w:color w:val="215AA8"/>
                <w:w w:val="96"/>
              </w:rPr>
              <w:t>2022</w:t>
            </w:r>
          </w:p>
        </w:tc>
        <w:tc>
          <w:tcPr>
            <w:tcW w:w="120" w:type="dxa"/>
            <w:vAlign w:val="bottom"/>
          </w:tcPr>
          <w:p>
            <w:pPr>
              <w:spacing w:after="0"/>
              <w:rPr>
                <w:sz w:val="15"/>
                <w:szCs w:val="15"/>
                <w:color w:val="auto"/>
              </w:rPr>
            </w:pPr>
          </w:p>
        </w:tc>
      </w:tr>
      <w:tr>
        <w:trPr>
          <w:trHeight w:val="194"/>
        </w:trPr>
        <w:tc>
          <w:tcPr>
            <w:tcW w:w="8440" w:type="dxa"/>
            <w:vAlign w:val="bottom"/>
          </w:tcPr>
          <w:p>
            <w:pPr>
              <w:spacing w:after="0"/>
              <w:rPr>
                <w:sz w:val="20"/>
                <w:szCs w:val="20"/>
                <w:color w:val="auto"/>
              </w:rPr>
            </w:pPr>
            <w:r>
              <w:rPr>
                <w:rFonts w:ascii="Arial" w:cs="Arial" w:eastAsia="Arial" w:hAnsi="Arial"/>
                <w:sz w:val="14"/>
                <w:szCs w:val="14"/>
                <w:i w:val="1"/>
                <w:iCs w:val="1"/>
                <w:color w:val="auto"/>
              </w:rPr>
              <w:t>Revenue reconciliation: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58"/>
        </w:trPr>
        <w:tc>
          <w:tcPr>
            <w:tcW w:w="8440" w:type="dxa"/>
            <w:vAlign w:val="bottom"/>
            <w:shd w:val="clear" w:color="auto" w:fill="ECECED"/>
          </w:tcPr>
          <w:p>
            <w:pPr>
              <w:spacing w:after="0" w:line="157" w:lineRule="exact"/>
              <w:rPr>
                <w:sz w:val="20"/>
                <w:szCs w:val="20"/>
                <w:color w:val="auto"/>
              </w:rPr>
            </w:pPr>
            <w:r>
              <w:rPr>
                <w:rFonts w:ascii="Arial" w:cs="Arial" w:eastAsia="Arial" w:hAnsi="Arial"/>
                <w:sz w:val="14"/>
                <w:szCs w:val="14"/>
                <w:color w:val="auto"/>
              </w:rPr>
              <w:t>Total revenues</w:t>
            </w:r>
          </w:p>
        </w:tc>
        <w:tc>
          <w:tcPr>
            <w:tcW w:w="280" w:type="dxa"/>
            <w:vAlign w:val="bottom"/>
            <w:shd w:val="clear" w:color="auto" w:fill="ECECED"/>
          </w:tcPr>
          <w:p>
            <w:pPr>
              <w:jc w:val="right"/>
              <w:ind w:right="132"/>
              <w:spacing w:after="0" w:line="157"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ECECED"/>
          </w:tcPr>
          <w:p>
            <w:pPr>
              <w:jc w:val="right"/>
              <w:spacing w:after="0" w:line="157" w:lineRule="exact"/>
              <w:rPr>
                <w:sz w:val="20"/>
                <w:szCs w:val="20"/>
                <w:color w:val="auto"/>
              </w:rPr>
            </w:pPr>
            <w:r>
              <w:rPr>
                <w:rFonts w:ascii="Arial" w:cs="Arial" w:eastAsia="Arial" w:hAnsi="Arial"/>
                <w:sz w:val="14"/>
                <w:szCs w:val="14"/>
                <w:color w:val="auto"/>
              </w:rPr>
              <w:t>13,117.2</w:t>
            </w:r>
          </w:p>
        </w:tc>
        <w:tc>
          <w:tcPr>
            <w:tcW w:w="220" w:type="dxa"/>
            <w:vAlign w:val="bottom"/>
            <w:shd w:val="clear" w:color="auto" w:fill="ECECED"/>
          </w:tcPr>
          <w:p>
            <w:pPr>
              <w:spacing w:after="0"/>
              <w:rPr>
                <w:sz w:val="13"/>
                <w:szCs w:val="13"/>
                <w:color w:val="auto"/>
              </w:rPr>
            </w:pPr>
          </w:p>
        </w:tc>
        <w:tc>
          <w:tcPr>
            <w:tcW w:w="140" w:type="dxa"/>
            <w:vAlign w:val="bottom"/>
            <w:shd w:val="clear" w:color="auto" w:fill="ECECED"/>
          </w:tcPr>
          <w:p>
            <w:pPr>
              <w:jc w:val="right"/>
              <w:spacing w:after="0" w:line="157"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ECECED"/>
          </w:tcPr>
          <w:p>
            <w:pPr>
              <w:jc w:val="right"/>
              <w:ind w:right="120"/>
              <w:spacing w:after="0" w:line="157" w:lineRule="exact"/>
              <w:rPr>
                <w:sz w:val="20"/>
                <w:szCs w:val="20"/>
                <w:color w:val="auto"/>
              </w:rPr>
            </w:pPr>
            <w:r>
              <w:rPr>
                <w:rFonts w:ascii="Arial" w:cs="Arial" w:eastAsia="Arial" w:hAnsi="Arial"/>
                <w:sz w:val="14"/>
                <w:szCs w:val="14"/>
                <w:color w:val="auto"/>
              </w:rPr>
              <w:t>12,172.9</w:t>
            </w:r>
          </w:p>
        </w:tc>
      </w:tr>
      <w:tr>
        <w:trPr>
          <w:trHeight w:val="158"/>
        </w:trPr>
        <w:tc>
          <w:tcPr>
            <w:tcW w:w="8440" w:type="dxa"/>
            <w:vAlign w:val="bottom"/>
          </w:tcPr>
          <w:p>
            <w:pPr>
              <w:ind w:left="140"/>
              <w:spacing w:after="0" w:line="157" w:lineRule="exact"/>
              <w:rPr>
                <w:sz w:val="20"/>
                <w:szCs w:val="20"/>
                <w:color w:val="auto"/>
              </w:rPr>
            </w:pPr>
            <w:r>
              <w:rPr>
                <w:rFonts w:ascii="Arial" w:cs="Arial" w:eastAsia="Arial" w:hAnsi="Arial"/>
                <w:sz w:val="14"/>
                <w:szCs w:val="14"/>
                <w:color w:val="auto"/>
              </w:rPr>
              <w:t>Global gross profit payment from Roche in connection with sales of Ronapreve</w:t>
            </w:r>
          </w:p>
        </w:tc>
        <w:tc>
          <w:tcPr>
            <w:tcW w:w="280" w:type="dxa"/>
            <w:vAlign w:val="bottom"/>
          </w:tcPr>
          <w:p>
            <w:pPr>
              <w:spacing w:after="0"/>
              <w:rPr>
                <w:sz w:val="13"/>
                <w:szCs w:val="13"/>
                <w:color w:val="auto"/>
              </w:rPr>
            </w:pPr>
          </w:p>
        </w:tc>
        <w:tc>
          <w:tcPr>
            <w:tcW w:w="11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224.3</w:t>
            </w:r>
          </w:p>
        </w:tc>
        <w:tc>
          <w:tcPr>
            <w:tcW w:w="140" w:type="dxa"/>
            <w:vAlign w:val="bottom"/>
          </w:tcPr>
          <w:p>
            <w:pPr>
              <w:spacing w:after="0"/>
              <w:rPr>
                <w:sz w:val="13"/>
                <w:szCs w:val="13"/>
                <w:color w:val="auto"/>
              </w:rPr>
            </w:pPr>
          </w:p>
        </w:tc>
        <w:tc>
          <w:tcPr>
            <w:tcW w:w="12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627.3</w:t>
            </w:r>
          </w:p>
        </w:tc>
      </w:tr>
      <w:tr>
        <w:trPr>
          <w:trHeight w:val="169"/>
        </w:trPr>
        <w:tc>
          <w:tcPr>
            <w:tcW w:w="8440" w:type="dxa"/>
            <w:vAlign w:val="bottom"/>
            <w:shd w:val="clear" w:color="auto" w:fill="ECECED"/>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ECECED"/>
          </w:tcPr>
          <w:p>
            <w:pPr>
              <w:spacing w:after="0"/>
              <w:rPr>
                <w:sz w:val="14"/>
                <w:szCs w:val="14"/>
                <w:color w:val="auto"/>
              </w:rPr>
            </w:pPr>
          </w:p>
        </w:tc>
        <w:tc>
          <w:tcPr>
            <w:tcW w:w="1180" w:type="dxa"/>
            <w:vAlign w:val="bottom"/>
            <w:gridSpan w:val="2"/>
            <w:shd w:val="clear" w:color="auto" w:fill="ECECED"/>
          </w:tcPr>
          <w:p>
            <w:pPr>
              <w:jc w:val="right"/>
              <w:ind w:right="180"/>
              <w:spacing w:after="0"/>
              <w:rPr>
                <w:sz w:val="20"/>
                <w:szCs w:val="20"/>
                <w:color w:val="auto"/>
              </w:rPr>
            </w:pPr>
            <w:r>
              <w:rPr>
                <w:rFonts w:ascii="Arial" w:cs="Arial" w:eastAsia="Arial" w:hAnsi="Arial"/>
                <w:sz w:val="14"/>
                <w:szCs w:val="14"/>
                <w:color w:val="auto"/>
              </w:rPr>
              <w:t>(13.3)</w:t>
            </w:r>
          </w:p>
        </w:tc>
        <w:tc>
          <w:tcPr>
            <w:tcW w:w="140" w:type="dxa"/>
            <w:vAlign w:val="bottom"/>
            <w:shd w:val="clear" w:color="auto" w:fill="ECECED"/>
          </w:tcPr>
          <w:p>
            <w:pPr>
              <w:spacing w:after="0"/>
              <w:rPr>
                <w:sz w:val="14"/>
                <w:szCs w:val="14"/>
                <w:color w:val="auto"/>
              </w:rPr>
            </w:pPr>
          </w:p>
        </w:tc>
        <w:tc>
          <w:tcPr>
            <w:tcW w:w="1220" w:type="dxa"/>
            <w:vAlign w:val="bottom"/>
            <w:gridSpan w:val="2"/>
            <w:shd w:val="clear" w:color="auto" w:fill="ECECED"/>
          </w:tcPr>
          <w:p>
            <w:pPr>
              <w:jc w:val="right"/>
              <w:ind w:right="120"/>
              <w:spacing w:after="0"/>
              <w:rPr>
                <w:sz w:val="20"/>
                <w:szCs w:val="20"/>
                <w:color w:val="auto"/>
              </w:rPr>
            </w:pPr>
            <w:r>
              <w:rPr>
                <w:rFonts w:ascii="Arial" w:cs="Arial" w:eastAsia="Arial" w:hAnsi="Arial"/>
                <w:sz w:val="14"/>
                <w:szCs w:val="14"/>
                <w:color w:val="auto"/>
              </w:rPr>
              <w:t>—</w:t>
            </w:r>
          </w:p>
        </w:tc>
      </w:tr>
      <w:tr>
        <w:trPr>
          <w:trHeight w:val="183"/>
        </w:trPr>
        <w:tc>
          <w:tcPr>
            <w:tcW w:w="8440" w:type="dxa"/>
            <w:vAlign w:val="bottom"/>
          </w:tcPr>
          <w:p>
            <w:pPr>
              <w:spacing w:after="0"/>
              <w:rPr>
                <w:sz w:val="20"/>
                <w:szCs w:val="20"/>
                <w:color w:val="auto"/>
              </w:rPr>
            </w:pPr>
            <w:r>
              <w:rPr>
                <w:rFonts w:ascii="Arial" w:cs="Arial" w:eastAsia="Arial" w:hAnsi="Arial"/>
                <w:sz w:val="14"/>
                <w:szCs w:val="14"/>
                <w:color w:val="auto"/>
              </w:rPr>
              <w:t>Total revenues excluding Ronapreve</w:t>
            </w:r>
          </w:p>
        </w:tc>
        <w:tc>
          <w:tcPr>
            <w:tcW w:w="280" w:type="dxa"/>
            <w:vAlign w:val="bottom"/>
            <w:tcBorders>
              <w:top w:val="single" w:sz="8" w:color="BDBEC0"/>
              <w:bottom w:val="single" w:sz="8" w:color="BDBEC0"/>
            </w:tcBorders>
          </w:tcPr>
          <w:p>
            <w:pPr>
              <w:jc w:val="right"/>
              <w:ind w:right="13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BDBEC0"/>
              <w:bottom w:val="single" w:sz="8" w:color="BDBEC0"/>
            </w:tcBorders>
          </w:tcPr>
          <w:p>
            <w:pPr>
              <w:jc w:val="right"/>
              <w:spacing w:after="0"/>
              <w:rPr>
                <w:sz w:val="20"/>
                <w:szCs w:val="20"/>
                <w:color w:val="auto"/>
              </w:rPr>
            </w:pPr>
            <w:r>
              <w:rPr>
                <w:rFonts w:ascii="Arial" w:cs="Arial" w:eastAsia="Arial" w:hAnsi="Arial"/>
                <w:sz w:val="14"/>
                <w:szCs w:val="14"/>
                <w:color w:val="auto"/>
              </w:rPr>
              <w:t>12,906.2</w:t>
            </w:r>
          </w:p>
        </w:tc>
        <w:tc>
          <w:tcPr>
            <w:tcW w:w="220" w:type="dxa"/>
            <w:vAlign w:val="bottom"/>
          </w:tcPr>
          <w:p>
            <w:pPr>
              <w:spacing w:after="0"/>
              <w:rPr>
                <w:sz w:val="15"/>
                <w:szCs w:val="15"/>
                <w:color w:val="auto"/>
              </w:rPr>
            </w:pPr>
          </w:p>
        </w:tc>
        <w:tc>
          <w:tcPr>
            <w:tcW w:w="140" w:type="dxa"/>
            <w:vAlign w:val="bottom"/>
            <w:tcBorders>
              <w:top w:val="single" w:sz="8" w:color="BDBEC0"/>
              <w:bottom w:val="single" w:sz="8" w:color="BDBEC0"/>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BDBEC0"/>
              <w:bottom w:val="single" w:sz="8" w:color="BDBEC0"/>
            </w:tcBorders>
            <w:gridSpan w:val="2"/>
          </w:tcPr>
          <w:p>
            <w:pPr>
              <w:jc w:val="right"/>
              <w:ind w:right="120"/>
              <w:spacing w:after="0"/>
              <w:rPr>
                <w:sz w:val="20"/>
                <w:szCs w:val="20"/>
                <w:color w:val="auto"/>
              </w:rPr>
            </w:pPr>
            <w:r>
              <w:rPr>
                <w:rFonts w:ascii="Arial" w:cs="Arial" w:eastAsia="Arial" w:hAnsi="Arial"/>
                <w:sz w:val="14"/>
                <w:szCs w:val="14"/>
                <w:color w:val="auto"/>
              </w:rPr>
              <w:t>11,545.6</w:t>
            </w: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BDBEC0"/>
            </w:tcBorders>
          </w:tcPr>
          <w:p>
            <w:pPr>
              <w:spacing w:after="0" w:line="20" w:lineRule="exact"/>
              <w:rPr>
                <w:sz w:val="1"/>
                <w:szCs w:val="1"/>
                <w:color w:val="auto"/>
              </w:rPr>
            </w:pPr>
          </w:p>
        </w:tc>
        <w:tc>
          <w:tcPr>
            <w:tcW w:w="960" w:type="dxa"/>
            <w:vAlign w:val="bottom"/>
            <w:tcBorders>
              <w:bottom w:val="single" w:sz="8" w:color="BDBEC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BDBEC0"/>
            </w:tcBorders>
          </w:tcPr>
          <w:p>
            <w:pPr>
              <w:spacing w:after="0" w:line="20" w:lineRule="exact"/>
              <w:rPr>
                <w:sz w:val="1"/>
                <w:szCs w:val="1"/>
                <w:color w:val="auto"/>
              </w:rPr>
            </w:pPr>
          </w:p>
        </w:tc>
        <w:tc>
          <w:tcPr>
            <w:tcW w:w="1220" w:type="dxa"/>
            <w:vAlign w:val="bottom"/>
            <w:tcBorders>
              <w:bottom w:val="single" w:sz="8" w:color="BDBEC0"/>
            </w:tcBorders>
            <w:gridSpan w:val="2"/>
          </w:tcPr>
          <w:p>
            <w:pPr>
              <w:spacing w:after="0" w:line="20" w:lineRule="exact"/>
              <w:rPr>
                <w:sz w:val="1"/>
                <w:szCs w:val="1"/>
                <w:color w:val="auto"/>
              </w:rPr>
            </w:pPr>
          </w:p>
        </w:tc>
      </w:tr>
      <w:tr>
        <w:trPr>
          <w:trHeight w:val="305"/>
        </w:trPr>
        <w:tc>
          <w:tcPr>
            <w:tcW w:w="844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114</w:t>
            </w:r>
          </w:p>
        </w:tc>
      </w:tr>
      <w:tr>
        <w:trPr>
          <w:trHeight w:val="211"/>
        </w:trPr>
        <w:tc>
          <w:tcPr>
            <w:tcW w:w="8440" w:type="dxa"/>
            <w:vAlign w:val="bottom"/>
            <w:tcBorders>
              <w:bottom w:val="single" w:sz="8" w:color="C0C0C0"/>
            </w:tcBorders>
          </w:tcPr>
          <w:p>
            <w:pPr>
              <w:spacing w:after="0"/>
              <w:rPr>
                <w:sz w:val="18"/>
                <w:szCs w:val="18"/>
                <w:color w:val="auto"/>
              </w:rPr>
            </w:pPr>
          </w:p>
        </w:tc>
        <w:tc>
          <w:tcPr>
            <w:tcW w:w="280" w:type="dxa"/>
            <w:vAlign w:val="bottom"/>
            <w:tcBorders>
              <w:bottom w:val="single" w:sz="8" w:color="C0C0C0"/>
            </w:tcBorders>
          </w:tcPr>
          <w:p>
            <w:pPr>
              <w:spacing w:after="0"/>
              <w:rPr>
                <w:sz w:val="18"/>
                <w:szCs w:val="18"/>
                <w:color w:val="auto"/>
              </w:rPr>
            </w:pPr>
          </w:p>
        </w:tc>
        <w:tc>
          <w:tcPr>
            <w:tcW w:w="960" w:type="dxa"/>
            <w:vAlign w:val="bottom"/>
            <w:tcBorders>
              <w:bottom w:val="single" w:sz="8" w:color="C0C0C0"/>
            </w:tcBorders>
          </w:tcPr>
          <w:p>
            <w:pPr>
              <w:spacing w:after="0"/>
              <w:rPr>
                <w:sz w:val="18"/>
                <w:szCs w:val="18"/>
                <w:color w:val="auto"/>
              </w:rPr>
            </w:pPr>
          </w:p>
        </w:tc>
        <w:tc>
          <w:tcPr>
            <w:tcW w:w="220" w:type="dxa"/>
            <w:vAlign w:val="bottom"/>
            <w:tcBorders>
              <w:bottom w:val="single" w:sz="8" w:color="C0C0C0"/>
            </w:tcBorders>
          </w:tcPr>
          <w:p>
            <w:pPr>
              <w:spacing w:after="0"/>
              <w:rPr>
                <w:sz w:val="18"/>
                <w:szCs w:val="18"/>
                <w:color w:val="auto"/>
              </w:rPr>
            </w:pPr>
          </w:p>
        </w:tc>
        <w:tc>
          <w:tcPr>
            <w:tcW w:w="140" w:type="dxa"/>
            <w:vAlign w:val="bottom"/>
            <w:tcBorders>
              <w:bottom w:val="single" w:sz="8" w:color="C0C0C0"/>
            </w:tcBorders>
          </w:tcPr>
          <w:p>
            <w:pPr>
              <w:spacing w:after="0"/>
              <w:rPr>
                <w:sz w:val="18"/>
                <w:szCs w:val="18"/>
                <w:color w:val="auto"/>
              </w:rPr>
            </w:pPr>
          </w:p>
        </w:tc>
        <w:tc>
          <w:tcPr>
            <w:tcW w:w="1100" w:type="dxa"/>
            <w:vAlign w:val="bottom"/>
            <w:tcBorders>
              <w:bottom w:val="single" w:sz="8" w:color="C0C0C0"/>
            </w:tcBorders>
          </w:tcPr>
          <w:p>
            <w:pPr>
              <w:spacing w:after="0"/>
              <w:rPr>
                <w:sz w:val="18"/>
                <w:szCs w:val="18"/>
                <w:color w:val="auto"/>
              </w:rPr>
            </w:pPr>
          </w:p>
        </w:tc>
        <w:tc>
          <w:tcPr>
            <w:tcW w:w="1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-242570</wp:posOffset>
            </wp:positionV>
            <wp:extent cx="629285" cy="717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25" w:name="page126"/>
    <w:bookmarkEnd w:id="125"/>
    <w:tbl>
      <w:tblPr>
        <w:tblLayout w:type="fixed"/>
        <w:tblInd w:w="10" w:type="dxa"/>
        <w:tblCellMar>
          <w:top w:w="0" w:type="dxa"/>
          <w:left w:w="0" w:type="dxa"/>
          <w:bottom w:w="0" w:type="dxa"/>
          <w:right w:w="0" w:type="dxa"/>
        </w:tblCellMar>
      </w:tblPr>
      <w:tr>
        <w:trPr>
          <w:trHeight w:val="138"/>
        </w:trPr>
        <w:tc>
          <w:tcPr>
            <w:tcW w:w="98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w w:val="97"/>
              </w:rPr>
              <w:t>Back to Contents</w:t>
            </w: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4"/>
                <w:szCs w:val="14"/>
                <w:color w:val="949599"/>
              </w:rPr>
              <w:t>Compensation-</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215AA8"/>
                <w:w w:val="96"/>
              </w:rPr>
              <w:t>Other Matters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4"/>
                <w:szCs w:val="14"/>
                <w:color w:val="949599"/>
              </w:rPr>
              <w:t>Users’ Guide</w:t>
            </w:r>
          </w:p>
        </w:tc>
        <w:tc>
          <w:tcPr>
            <w:tcW w:w="2660" w:type="dxa"/>
            <w:vAlign w:val="bottom"/>
          </w:tcPr>
          <w:p>
            <w:pPr>
              <w:ind w:left="980"/>
              <w:spacing w:after="0"/>
              <w:rPr>
                <w:sz w:val="20"/>
                <w:szCs w:val="20"/>
                <w:color w:val="auto"/>
              </w:rPr>
            </w:pPr>
            <w:r>
              <w:rPr>
                <w:rFonts w:ascii="Arial" w:cs="Arial" w:eastAsia="Arial" w:hAnsi="Arial"/>
                <w:sz w:val="14"/>
                <w:szCs w:val="14"/>
                <w:color w:val="949599"/>
              </w:rPr>
              <w:t>Board of Directors</w:t>
            </w:r>
          </w:p>
        </w:tc>
        <w:tc>
          <w:tcPr>
            <w:tcW w:w="2040" w:type="dxa"/>
            <w:vAlign w:val="bottom"/>
          </w:tcPr>
          <w:p>
            <w:pPr>
              <w:ind w:left="600"/>
              <w:spacing w:after="0"/>
              <w:rPr>
                <w:sz w:val="20"/>
                <w:szCs w:val="20"/>
                <w:color w:val="auto"/>
              </w:rPr>
            </w:pPr>
            <w:r>
              <w:rPr>
                <w:rFonts w:ascii="Arial" w:cs="Arial" w:eastAsia="Arial" w:hAnsi="Arial"/>
                <w:sz w:val="14"/>
                <w:szCs w:val="14"/>
                <w:color w:val="949599"/>
              </w:rPr>
              <w:t>The Company</w:t>
            </w:r>
          </w:p>
        </w:tc>
        <w:tc>
          <w:tcPr>
            <w:tcW w:w="2000" w:type="dxa"/>
            <w:vAlign w:val="bottom"/>
          </w:tcPr>
          <w:p>
            <w:pPr>
              <w:ind w:left="600"/>
              <w:spacing w:after="0"/>
              <w:rPr>
                <w:sz w:val="20"/>
                <w:szCs w:val="20"/>
                <w:color w:val="auto"/>
              </w:rPr>
            </w:pPr>
            <w:r>
              <w:rPr>
                <w:rFonts w:ascii="Arial" w:cs="Arial" w:eastAsia="Arial" w:hAnsi="Arial"/>
                <w:sz w:val="14"/>
                <w:szCs w:val="14"/>
                <w:color w:val="949599"/>
              </w:rPr>
              <w:t>Shareholders</w:t>
            </w:r>
          </w:p>
        </w:tc>
        <w:tc>
          <w:tcPr>
            <w:tcW w:w="2680" w:type="dxa"/>
            <w:vAlign w:val="bottom"/>
          </w:tcPr>
          <w:p>
            <w:pPr>
              <w:ind w:left="600"/>
              <w:spacing w:after="0"/>
              <w:rPr>
                <w:sz w:val="20"/>
                <w:szCs w:val="20"/>
                <w:color w:val="auto"/>
              </w:rPr>
            </w:pPr>
            <w:r>
              <w:rPr>
                <w:rFonts w:ascii="Arial" w:cs="Arial" w:eastAsia="Arial" w:hAnsi="Arial"/>
                <w:sz w:val="14"/>
                <w:szCs w:val="14"/>
                <w:color w:val="949599"/>
              </w:rPr>
              <w:t>Related Matters</w:t>
            </w:r>
          </w:p>
        </w:tc>
        <w:tc>
          <w:tcPr>
            <w:tcW w:w="900" w:type="dxa"/>
            <w:vAlign w:val="bottom"/>
            <w:tcBorders>
              <w:bottom w:val="single" w:sz="8" w:color="D60058"/>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0"/>
        <w:spacing w:after="0"/>
        <w:rPr>
          <w:sz w:val="20"/>
          <w:szCs w:val="20"/>
          <w:color w:val="auto"/>
        </w:rPr>
      </w:pPr>
      <w:r>
        <w:rPr>
          <w:rFonts w:ascii="Arial" w:cs="Arial" w:eastAsia="Arial" w:hAnsi="Arial"/>
          <w:sz w:val="42"/>
          <w:szCs w:val="42"/>
          <w:b w:val="1"/>
          <w:bCs w:val="1"/>
          <w:color w:val="215AA8"/>
        </w:rPr>
        <w:t>Appendix B</w:t>
      </w:r>
    </w:p>
    <w:p>
      <w:pPr>
        <w:spacing w:after="0" w:line="36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215AA8"/>
        </w:rPr>
        <w:t>Supplemental Information Regarding Outstanding Performance Restricted Stock Unit Awards</w:t>
      </w:r>
    </w:p>
    <w:p>
      <w:pPr>
        <w:spacing w:after="0" w:line="166" w:lineRule="exact"/>
        <w:rPr>
          <w:sz w:val="20"/>
          <w:szCs w:val="20"/>
          <w:color w:val="auto"/>
        </w:rPr>
      </w:pPr>
    </w:p>
    <w:p>
      <w:pPr>
        <w:ind w:left="10" w:right="60"/>
        <w:spacing w:after="0" w:line="242" w:lineRule="auto"/>
        <w:rPr>
          <w:sz w:val="20"/>
          <w:szCs w:val="20"/>
          <w:color w:val="auto"/>
        </w:rPr>
      </w:pPr>
      <w:r>
        <w:rPr>
          <w:rFonts w:ascii="Arial" w:cs="Arial" w:eastAsia="Arial" w:hAnsi="Arial"/>
          <w:sz w:val="14"/>
          <w:szCs w:val="14"/>
          <w:color w:val="auto"/>
        </w:rPr>
        <w:t>This Appendix B provides an update on the performance restricted stock units (“PSUs”) granted to our CEO and CSO in December 2020. Consistent with the board’s commitment to grant no additional equity awards to our CEO or CSO until the Company’s regular year-end grant cycle in December 2025, the Compensation Committee granted no equity awards to our CEO or CSO in 2023 or the prior two years. As a number of investors expressed an interest in receiving an update on performance as it relates to these PSUs, we are supplementally providing the information below.</w:t>
      </w:r>
    </w:p>
    <w:p>
      <w:pPr>
        <w:spacing w:after="0" w:line="139" w:lineRule="exact"/>
        <w:rPr>
          <w:sz w:val="20"/>
          <w:szCs w:val="20"/>
          <w:color w:val="auto"/>
        </w:rPr>
      </w:pPr>
    </w:p>
    <w:p>
      <w:pPr>
        <w:ind w:left="10" w:right="140"/>
        <w:spacing w:after="0" w:line="242" w:lineRule="auto"/>
        <w:rPr>
          <w:sz w:val="20"/>
          <w:szCs w:val="20"/>
          <w:color w:val="auto"/>
        </w:rPr>
      </w:pPr>
      <w:r>
        <w:rPr>
          <w:rFonts w:ascii="Arial" w:cs="Arial" w:eastAsia="Arial" w:hAnsi="Arial"/>
          <w:sz w:val="14"/>
          <w:szCs w:val="14"/>
          <w:color w:val="auto"/>
        </w:rPr>
        <w:t>The PSUs have a primary performance period of five years from the December 2020 grant date. Between 50% and 250% of the target number of PSUs granted to each recipient (248,108 PSUs) may be earned and become eligible to vest in December 2025 (subject to continued service) upon achievement of absolute total shareholder return (“TSR”) goals that were derived from compound five-year annual growth rates (“CAGR”) of 5.6% (threshold) to 19.2% (maximum), as set forth in the schedule below. To the extent any earned PSUs vest in December 2025, they will remain (on an after-tax basis) subject to an additional three-year deferral and holding period until December 2028.</w:t>
      </w:r>
    </w:p>
    <w:p>
      <w:pPr>
        <w:sectPr>
          <w:pgSz w:w="11900" w:h="16838" w:orient="portrait"/>
          <w:cols w:equalWidth="0" w:num="1">
            <w:col w:w="11270"/>
          </w:cols>
          <w:pgMar w:left="310" w:top="215" w:right="319" w:bottom="1440" w:gutter="0" w:footer="0" w:header="0"/>
        </w:sectPr>
      </w:pP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080" w:type="dxa"/>
            <w:vAlign w:val="bottom"/>
          </w:tcPr>
          <w:p>
            <w:pPr>
              <w:jc w:val="right"/>
              <w:ind w:right="252"/>
              <w:spacing w:after="0"/>
              <w:rPr>
                <w:sz w:val="20"/>
                <w:szCs w:val="20"/>
                <w:color w:val="auto"/>
              </w:rPr>
            </w:pPr>
            <w:r>
              <w:rPr>
                <w:rFonts w:ascii="Arial" w:cs="Arial" w:eastAsia="Arial" w:hAnsi="Arial"/>
                <w:sz w:val="14"/>
                <w:szCs w:val="14"/>
                <w:color w:val="215AA8"/>
              </w:rPr>
              <w:t>Absolute</w:t>
            </w: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4"/>
        </w:trPr>
        <w:tc>
          <w:tcPr>
            <w:tcW w:w="2280" w:type="dxa"/>
            <w:vAlign w:val="bottom"/>
            <w:tcBorders>
              <w:bottom w:val="single" w:sz="8" w:color="215AA8"/>
            </w:tcBorders>
          </w:tcPr>
          <w:p>
            <w:pPr>
              <w:ind w:left="40"/>
              <w:spacing w:after="0"/>
              <w:rPr>
                <w:sz w:val="20"/>
                <w:szCs w:val="20"/>
                <w:color w:val="auto"/>
              </w:rPr>
            </w:pPr>
            <w:r>
              <w:rPr>
                <w:rFonts w:ascii="Arial" w:cs="Arial" w:eastAsia="Arial" w:hAnsi="Arial"/>
                <w:sz w:val="14"/>
                <w:szCs w:val="14"/>
                <w:color w:val="215AA8"/>
              </w:rPr>
              <w:t>Performance Level</w:t>
            </w:r>
          </w:p>
        </w:tc>
        <w:tc>
          <w:tcPr>
            <w:tcW w:w="2080" w:type="dxa"/>
            <w:vAlign w:val="bottom"/>
            <w:tcBorders>
              <w:bottom w:val="single" w:sz="8" w:color="215AA8"/>
            </w:tcBorders>
          </w:tcPr>
          <w:p>
            <w:pPr>
              <w:jc w:val="right"/>
              <w:ind w:right="252"/>
              <w:spacing w:after="0" w:line="202" w:lineRule="exact"/>
              <w:rPr>
                <w:sz w:val="20"/>
                <w:szCs w:val="20"/>
                <w:color w:val="auto"/>
              </w:rPr>
            </w:pPr>
            <w:r>
              <w:rPr>
                <w:rFonts w:ascii="Arial" w:cs="Arial" w:eastAsia="Arial" w:hAnsi="Arial"/>
                <w:sz w:val="14"/>
                <w:szCs w:val="14"/>
                <w:color w:val="215AA8"/>
              </w:rPr>
              <w:t>TSR Goal</w:t>
            </w:r>
            <w:r>
              <w:rPr>
                <w:rFonts w:ascii="Arial" w:cs="Arial" w:eastAsia="Arial" w:hAnsi="Arial"/>
                <w:sz w:val="22"/>
                <w:szCs w:val="22"/>
                <w:color w:val="215AA8"/>
                <w:vertAlign w:val="superscript"/>
              </w:rPr>
              <w:t>1</w:t>
            </w:r>
          </w:p>
        </w:tc>
        <w:tc>
          <w:tcPr>
            <w:tcW w:w="1280" w:type="dxa"/>
            <w:vAlign w:val="bottom"/>
            <w:tcBorders>
              <w:bottom w:val="single" w:sz="8" w:color="215AA8"/>
            </w:tcBorders>
          </w:tcPr>
          <w:p>
            <w:pPr>
              <w:jc w:val="right"/>
              <w:ind w:right="192"/>
              <w:spacing w:after="0"/>
              <w:rPr>
                <w:sz w:val="20"/>
                <w:szCs w:val="20"/>
                <w:color w:val="auto"/>
              </w:rPr>
            </w:pPr>
            <w:r>
              <w:rPr>
                <w:rFonts w:ascii="Arial" w:cs="Arial" w:eastAsia="Arial" w:hAnsi="Arial"/>
                <w:sz w:val="14"/>
                <w:szCs w:val="14"/>
                <w:color w:val="215AA8"/>
              </w:rPr>
              <w:t>TSR CAGR</w:t>
            </w:r>
          </w:p>
        </w:tc>
        <w:tc>
          <w:tcPr>
            <w:tcW w:w="1360" w:type="dxa"/>
            <w:vAlign w:val="bottom"/>
            <w:tcBorders>
              <w:bottom w:val="single" w:sz="8" w:color="215AA8"/>
            </w:tcBorders>
          </w:tcPr>
          <w:p>
            <w:pPr>
              <w:jc w:val="right"/>
              <w:ind w:right="212"/>
              <w:spacing w:after="0" w:line="202" w:lineRule="exact"/>
              <w:rPr>
                <w:sz w:val="20"/>
                <w:szCs w:val="20"/>
                <w:color w:val="auto"/>
              </w:rPr>
            </w:pPr>
            <w:r>
              <w:rPr>
                <w:rFonts w:ascii="Arial" w:cs="Arial" w:eastAsia="Arial" w:hAnsi="Arial"/>
                <w:sz w:val="14"/>
                <w:szCs w:val="14"/>
                <w:color w:val="215AA8"/>
              </w:rPr>
              <w:t>Price Target</w:t>
            </w:r>
            <w:r>
              <w:rPr>
                <w:rFonts w:ascii="Arial" w:cs="Arial" w:eastAsia="Arial" w:hAnsi="Arial"/>
                <w:sz w:val="22"/>
                <w:szCs w:val="22"/>
                <w:color w:val="215AA8"/>
                <w:vertAlign w:val="superscript"/>
              </w:rPr>
              <w:t>2</w:t>
            </w:r>
          </w:p>
        </w:tc>
        <w:tc>
          <w:tcPr>
            <w:tcW w:w="820" w:type="dxa"/>
            <w:vAlign w:val="bottom"/>
            <w:tcBorders>
              <w:bottom w:val="single" w:sz="8" w:color="215AA8"/>
            </w:tcBorders>
          </w:tcPr>
          <w:p>
            <w:pPr>
              <w:jc w:val="right"/>
              <w:spacing w:after="0" w:line="202" w:lineRule="exact"/>
              <w:rPr>
                <w:sz w:val="20"/>
                <w:szCs w:val="20"/>
                <w:color w:val="auto"/>
              </w:rPr>
            </w:pPr>
            <w:r>
              <w:rPr>
                <w:rFonts w:ascii="Arial" w:cs="Arial" w:eastAsia="Arial" w:hAnsi="Arial"/>
                <w:sz w:val="14"/>
                <w:szCs w:val="14"/>
                <w:color w:val="215AA8"/>
              </w:rPr>
              <w:t>Payout</w:t>
            </w:r>
            <w:r>
              <w:rPr>
                <w:rFonts w:ascii="Arial" w:cs="Arial" w:eastAsia="Arial" w:hAnsi="Arial"/>
                <w:sz w:val="22"/>
                <w:szCs w:val="22"/>
                <w:color w:val="215AA8"/>
                <w:vertAlign w:val="superscript"/>
              </w:rPr>
              <w:t>3</w:t>
            </w:r>
          </w:p>
        </w:tc>
      </w:tr>
      <w:tr>
        <w:trPr>
          <w:trHeight w:val="253"/>
        </w:trPr>
        <w:tc>
          <w:tcPr>
            <w:tcW w:w="2280" w:type="dxa"/>
            <w:vAlign w:val="bottom"/>
            <w:tcBorders>
              <w:bottom w:val="single" w:sz="8" w:color="8398CC"/>
            </w:tcBorders>
            <w:shd w:val="clear" w:color="auto" w:fill="8398CC"/>
          </w:tcPr>
          <w:p>
            <w:pPr>
              <w:ind w:left="40"/>
              <w:spacing w:after="0"/>
              <w:rPr>
                <w:sz w:val="20"/>
                <w:szCs w:val="20"/>
                <w:color w:val="auto"/>
              </w:rPr>
            </w:pPr>
            <w:r>
              <w:rPr>
                <w:rFonts w:ascii="Arial" w:cs="Arial" w:eastAsia="Arial" w:hAnsi="Arial"/>
                <w:sz w:val="14"/>
                <w:szCs w:val="14"/>
                <w:b w:val="1"/>
                <w:bCs w:val="1"/>
                <w:color w:val="FFFFFF"/>
              </w:rPr>
              <w:t>Maximum</w:t>
            </w:r>
          </w:p>
        </w:tc>
        <w:tc>
          <w:tcPr>
            <w:tcW w:w="2080" w:type="dxa"/>
            <w:vAlign w:val="bottom"/>
            <w:tcBorders>
              <w:bottom w:val="single" w:sz="8" w:color="8398CC"/>
            </w:tcBorders>
            <w:shd w:val="clear" w:color="auto" w:fill="8398CC"/>
          </w:tcPr>
          <w:p>
            <w:pPr>
              <w:jc w:val="right"/>
              <w:ind w:right="252"/>
              <w:spacing w:after="0"/>
              <w:rPr>
                <w:sz w:val="20"/>
                <w:szCs w:val="20"/>
                <w:color w:val="auto"/>
              </w:rPr>
            </w:pPr>
            <w:r>
              <w:rPr>
                <w:rFonts w:ascii="Arial" w:cs="Arial" w:eastAsia="Arial" w:hAnsi="Arial"/>
                <w:sz w:val="14"/>
                <w:szCs w:val="14"/>
                <w:b w:val="1"/>
                <w:bCs w:val="1"/>
                <w:color w:val="FFFFFF"/>
              </w:rPr>
              <w:t>+140.4%</w:t>
            </w:r>
          </w:p>
        </w:tc>
        <w:tc>
          <w:tcPr>
            <w:tcW w:w="1280" w:type="dxa"/>
            <w:vAlign w:val="bottom"/>
            <w:tcBorders>
              <w:bottom w:val="single" w:sz="8" w:color="8398CC"/>
            </w:tcBorders>
            <w:shd w:val="clear" w:color="auto" w:fill="8398CC"/>
          </w:tcPr>
          <w:p>
            <w:pPr>
              <w:jc w:val="right"/>
              <w:ind w:right="192"/>
              <w:spacing w:after="0"/>
              <w:rPr>
                <w:sz w:val="20"/>
                <w:szCs w:val="20"/>
                <w:color w:val="auto"/>
              </w:rPr>
            </w:pPr>
            <w:r>
              <w:rPr>
                <w:rFonts w:ascii="Arial" w:cs="Arial" w:eastAsia="Arial" w:hAnsi="Arial"/>
                <w:sz w:val="14"/>
                <w:szCs w:val="14"/>
                <w:b w:val="1"/>
                <w:bCs w:val="1"/>
                <w:color w:val="FFFFFF"/>
              </w:rPr>
              <w:t>+19.2%</w:t>
            </w:r>
          </w:p>
        </w:tc>
        <w:tc>
          <w:tcPr>
            <w:tcW w:w="1360" w:type="dxa"/>
            <w:vAlign w:val="bottom"/>
            <w:tcBorders>
              <w:bottom w:val="single" w:sz="8" w:color="8398CC"/>
            </w:tcBorders>
            <w:shd w:val="clear" w:color="auto" w:fill="8398CC"/>
          </w:tcPr>
          <w:p>
            <w:pPr>
              <w:jc w:val="right"/>
              <w:ind w:right="212"/>
              <w:spacing w:after="0"/>
              <w:rPr>
                <w:sz w:val="20"/>
                <w:szCs w:val="20"/>
                <w:color w:val="auto"/>
              </w:rPr>
            </w:pPr>
            <w:r>
              <w:rPr>
                <w:rFonts w:ascii="Arial" w:cs="Arial" w:eastAsia="Arial" w:hAnsi="Arial"/>
                <w:sz w:val="14"/>
                <w:szCs w:val="14"/>
                <w:b w:val="1"/>
                <w:bCs w:val="1"/>
                <w:color w:val="FFFFFF"/>
              </w:rPr>
              <w:t>$1,150</w:t>
            </w:r>
          </w:p>
        </w:tc>
        <w:tc>
          <w:tcPr>
            <w:tcW w:w="820" w:type="dxa"/>
            <w:vAlign w:val="bottom"/>
            <w:tcBorders>
              <w:bottom w:val="single" w:sz="8" w:color="8398CC"/>
            </w:tcBorders>
            <w:shd w:val="clear" w:color="auto" w:fill="8398CC"/>
          </w:tcPr>
          <w:p>
            <w:pPr>
              <w:jc w:val="right"/>
              <w:spacing w:after="0"/>
              <w:rPr>
                <w:sz w:val="20"/>
                <w:szCs w:val="20"/>
                <w:color w:val="auto"/>
              </w:rPr>
            </w:pPr>
            <w:r>
              <w:rPr>
                <w:rFonts w:ascii="Arial" w:cs="Arial" w:eastAsia="Arial" w:hAnsi="Arial"/>
                <w:sz w:val="14"/>
                <w:szCs w:val="14"/>
                <w:b w:val="1"/>
                <w:bCs w:val="1"/>
                <w:color w:val="FFFFFF"/>
              </w:rPr>
              <w:t>250%</w:t>
            </w:r>
          </w:p>
        </w:tc>
      </w:tr>
      <w:tr>
        <w:trPr>
          <w:trHeight w:val="202"/>
        </w:trPr>
        <w:tc>
          <w:tcPr>
            <w:tcW w:w="2280" w:type="dxa"/>
            <w:vAlign w:val="bottom"/>
            <w:tcBorders>
              <w:top w:val="single" w:sz="8" w:color="949599"/>
            </w:tcBorders>
          </w:tcPr>
          <w:p>
            <w:pPr>
              <w:spacing w:after="0"/>
              <w:rPr>
                <w:sz w:val="17"/>
                <w:szCs w:val="17"/>
                <w:color w:val="auto"/>
              </w:rPr>
            </w:pPr>
          </w:p>
        </w:tc>
        <w:tc>
          <w:tcPr>
            <w:tcW w:w="2080" w:type="dxa"/>
            <w:vAlign w:val="bottom"/>
            <w:tcBorders>
              <w:top w:val="single" w:sz="8" w:color="949599"/>
            </w:tcBorders>
          </w:tcPr>
          <w:p>
            <w:pPr>
              <w:jc w:val="right"/>
              <w:ind w:right="252"/>
              <w:spacing w:after="0"/>
              <w:rPr>
                <w:sz w:val="20"/>
                <w:szCs w:val="20"/>
                <w:color w:val="auto"/>
              </w:rPr>
            </w:pPr>
            <w:r>
              <w:rPr>
                <w:rFonts w:ascii="Arial" w:cs="Arial" w:eastAsia="Arial" w:hAnsi="Arial"/>
                <w:sz w:val="14"/>
                <w:szCs w:val="14"/>
                <w:color w:val="auto"/>
              </w:rPr>
              <w:t>+125.6%</w:t>
            </w:r>
          </w:p>
        </w:tc>
        <w:tc>
          <w:tcPr>
            <w:tcW w:w="1280" w:type="dxa"/>
            <w:vAlign w:val="bottom"/>
            <w:tcBorders>
              <w:top w:val="single" w:sz="8" w:color="949599"/>
            </w:tcBorders>
          </w:tcPr>
          <w:p>
            <w:pPr>
              <w:jc w:val="right"/>
              <w:ind w:right="192"/>
              <w:spacing w:after="0"/>
              <w:rPr>
                <w:sz w:val="20"/>
                <w:szCs w:val="20"/>
                <w:color w:val="auto"/>
              </w:rPr>
            </w:pPr>
            <w:r>
              <w:rPr>
                <w:rFonts w:ascii="Arial" w:cs="Arial" w:eastAsia="Arial" w:hAnsi="Arial"/>
                <w:sz w:val="14"/>
                <w:szCs w:val="14"/>
                <w:color w:val="auto"/>
              </w:rPr>
              <w:t>+17.7%</w:t>
            </w:r>
          </w:p>
        </w:tc>
        <w:tc>
          <w:tcPr>
            <w:tcW w:w="1360" w:type="dxa"/>
            <w:vAlign w:val="bottom"/>
            <w:tcBorders>
              <w:top w:val="single" w:sz="8" w:color="949599"/>
            </w:tcBorders>
          </w:tcPr>
          <w:p>
            <w:pPr>
              <w:jc w:val="right"/>
              <w:ind w:right="212"/>
              <w:spacing w:after="0"/>
              <w:rPr>
                <w:sz w:val="20"/>
                <w:szCs w:val="20"/>
                <w:color w:val="auto"/>
              </w:rPr>
            </w:pPr>
            <w:r>
              <w:rPr>
                <w:rFonts w:ascii="Arial" w:cs="Arial" w:eastAsia="Arial" w:hAnsi="Arial"/>
                <w:sz w:val="14"/>
                <w:szCs w:val="14"/>
                <w:color w:val="auto"/>
              </w:rPr>
              <w:t>$1,079</w:t>
            </w:r>
          </w:p>
        </w:tc>
        <w:tc>
          <w:tcPr>
            <w:tcW w:w="820" w:type="dxa"/>
            <w:vAlign w:val="bottom"/>
            <w:tcBorders>
              <w:top w:val="single" w:sz="8" w:color="949599"/>
            </w:tcBorders>
          </w:tcPr>
          <w:p>
            <w:pPr>
              <w:jc w:val="right"/>
              <w:spacing w:after="0"/>
              <w:rPr>
                <w:sz w:val="20"/>
                <w:szCs w:val="20"/>
                <w:color w:val="auto"/>
              </w:rPr>
            </w:pPr>
            <w:r>
              <w:rPr>
                <w:rFonts w:ascii="Arial" w:cs="Arial" w:eastAsia="Arial" w:hAnsi="Arial"/>
                <w:sz w:val="14"/>
                <w:szCs w:val="14"/>
                <w:color w:val="auto"/>
              </w:rPr>
              <w:t>225%</w:t>
            </w:r>
          </w:p>
        </w:tc>
      </w:tr>
      <w:tr>
        <w:trPr>
          <w:trHeight w:val="37"/>
        </w:trPr>
        <w:tc>
          <w:tcPr>
            <w:tcW w:w="2280" w:type="dxa"/>
            <w:vAlign w:val="bottom"/>
            <w:tcBorders>
              <w:bottom w:val="single" w:sz="8" w:color="949599"/>
            </w:tcBorders>
          </w:tcPr>
          <w:p>
            <w:pPr>
              <w:spacing w:after="0"/>
              <w:rPr>
                <w:sz w:val="3"/>
                <w:szCs w:val="3"/>
                <w:color w:val="auto"/>
              </w:rPr>
            </w:pPr>
          </w:p>
        </w:tc>
        <w:tc>
          <w:tcPr>
            <w:tcW w:w="2080" w:type="dxa"/>
            <w:vAlign w:val="bottom"/>
            <w:tcBorders>
              <w:bottom w:val="single" w:sz="8" w:color="949599"/>
            </w:tcBorders>
          </w:tcPr>
          <w:p>
            <w:pPr>
              <w:spacing w:after="0"/>
              <w:rPr>
                <w:sz w:val="3"/>
                <w:szCs w:val="3"/>
                <w:color w:val="auto"/>
              </w:rPr>
            </w:pPr>
          </w:p>
        </w:tc>
        <w:tc>
          <w:tcPr>
            <w:tcW w:w="1280" w:type="dxa"/>
            <w:vAlign w:val="bottom"/>
            <w:tcBorders>
              <w:bottom w:val="single" w:sz="8" w:color="949599"/>
            </w:tcBorders>
          </w:tcPr>
          <w:p>
            <w:pPr>
              <w:spacing w:after="0"/>
              <w:rPr>
                <w:sz w:val="3"/>
                <w:szCs w:val="3"/>
                <w:color w:val="auto"/>
              </w:rPr>
            </w:pPr>
          </w:p>
        </w:tc>
        <w:tc>
          <w:tcPr>
            <w:tcW w:w="1360" w:type="dxa"/>
            <w:vAlign w:val="bottom"/>
            <w:tcBorders>
              <w:bottom w:val="single" w:sz="8" w:color="949599"/>
            </w:tcBorders>
          </w:tcPr>
          <w:p>
            <w:pPr>
              <w:spacing w:after="0"/>
              <w:rPr>
                <w:sz w:val="3"/>
                <w:szCs w:val="3"/>
                <w:color w:val="auto"/>
              </w:rPr>
            </w:pPr>
          </w:p>
        </w:tc>
        <w:tc>
          <w:tcPr>
            <w:tcW w:w="820" w:type="dxa"/>
            <w:vAlign w:val="bottom"/>
            <w:tcBorders>
              <w:bottom w:val="single" w:sz="8" w:color="949599"/>
            </w:tcBorders>
          </w:tcPr>
          <w:p>
            <w:pPr>
              <w:spacing w:after="0"/>
              <w:rPr>
                <w:sz w:val="3"/>
                <w:szCs w:val="3"/>
                <w:color w:val="auto"/>
              </w:rPr>
            </w:pPr>
          </w:p>
        </w:tc>
      </w:tr>
      <w:tr>
        <w:trPr>
          <w:trHeight w:val="255"/>
        </w:trPr>
        <w:tc>
          <w:tcPr>
            <w:tcW w:w="2280" w:type="dxa"/>
            <w:vAlign w:val="bottom"/>
            <w:tcBorders>
              <w:bottom w:val="single" w:sz="8" w:color="ECECED"/>
            </w:tcBorders>
            <w:shd w:val="clear" w:color="auto" w:fill="ECECED"/>
          </w:tcPr>
          <w:p>
            <w:pPr>
              <w:spacing w:after="0"/>
              <w:rPr>
                <w:sz w:val="21"/>
                <w:szCs w:val="21"/>
                <w:color w:val="auto"/>
              </w:rPr>
            </w:pPr>
          </w:p>
        </w:tc>
        <w:tc>
          <w:tcPr>
            <w:tcW w:w="2080" w:type="dxa"/>
            <w:vAlign w:val="bottom"/>
            <w:tcBorders>
              <w:bottom w:val="single" w:sz="8" w:color="ECECED"/>
            </w:tcBorders>
            <w:shd w:val="clear" w:color="auto" w:fill="ECECED"/>
          </w:tcPr>
          <w:p>
            <w:pPr>
              <w:jc w:val="right"/>
              <w:ind w:right="252"/>
              <w:spacing w:after="0"/>
              <w:rPr>
                <w:sz w:val="20"/>
                <w:szCs w:val="20"/>
                <w:color w:val="auto"/>
              </w:rPr>
            </w:pPr>
            <w:r>
              <w:rPr>
                <w:rFonts w:ascii="Arial" w:cs="Arial" w:eastAsia="Arial" w:hAnsi="Arial"/>
                <w:sz w:val="14"/>
                <w:szCs w:val="14"/>
                <w:color w:val="auto"/>
              </w:rPr>
              <w:t>+112.4%</w:t>
            </w:r>
          </w:p>
        </w:tc>
        <w:tc>
          <w:tcPr>
            <w:tcW w:w="1280" w:type="dxa"/>
            <w:vAlign w:val="bottom"/>
            <w:tcBorders>
              <w:bottom w:val="single" w:sz="8" w:color="ECECED"/>
            </w:tcBorders>
            <w:shd w:val="clear" w:color="auto" w:fill="ECECED"/>
          </w:tcPr>
          <w:p>
            <w:pPr>
              <w:jc w:val="right"/>
              <w:ind w:right="192"/>
              <w:spacing w:after="0"/>
              <w:rPr>
                <w:sz w:val="20"/>
                <w:szCs w:val="20"/>
                <w:color w:val="auto"/>
              </w:rPr>
            </w:pPr>
            <w:r>
              <w:rPr>
                <w:rFonts w:ascii="Arial" w:cs="Arial" w:eastAsia="Arial" w:hAnsi="Arial"/>
                <w:sz w:val="14"/>
                <w:szCs w:val="14"/>
                <w:color w:val="auto"/>
              </w:rPr>
              <w:t>+16.3%</w:t>
            </w:r>
          </w:p>
        </w:tc>
        <w:tc>
          <w:tcPr>
            <w:tcW w:w="1360" w:type="dxa"/>
            <w:vAlign w:val="bottom"/>
            <w:tcBorders>
              <w:bottom w:val="single" w:sz="8" w:color="ECECED"/>
            </w:tcBorders>
            <w:shd w:val="clear" w:color="auto" w:fill="ECECED"/>
          </w:tcPr>
          <w:p>
            <w:pPr>
              <w:jc w:val="right"/>
              <w:ind w:right="212"/>
              <w:spacing w:after="0"/>
              <w:rPr>
                <w:sz w:val="20"/>
                <w:szCs w:val="20"/>
                <w:color w:val="auto"/>
              </w:rPr>
            </w:pPr>
            <w:r>
              <w:rPr>
                <w:rFonts w:ascii="Arial" w:cs="Arial" w:eastAsia="Arial" w:hAnsi="Arial"/>
                <w:sz w:val="14"/>
                <w:szCs w:val="14"/>
                <w:color w:val="auto"/>
              </w:rPr>
              <w:t>$1,016</w:t>
            </w:r>
          </w:p>
        </w:tc>
        <w:tc>
          <w:tcPr>
            <w:tcW w:w="820" w:type="dxa"/>
            <w:vAlign w:val="bottom"/>
            <w:tcBorders>
              <w:bottom w:val="single" w:sz="8" w:color="ECECED"/>
            </w:tcBorders>
            <w:shd w:val="clear" w:color="auto" w:fill="ECECED"/>
          </w:tcPr>
          <w:p>
            <w:pPr>
              <w:jc w:val="right"/>
              <w:spacing w:after="0"/>
              <w:rPr>
                <w:sz w:val="20"/>
                <w:szCs w:val="20"/>
                <w:color w:val="auto"/>
              </w:rPr>
            </w:pPr>
            <w:r>
              <w:rPr>
                <w:rFonts w:ascii="Arial" w:cs="Arial" w:eastAsia="Arial" w:hAnsi="Arial"/>
                <w:sz w:val="14"/>
                <w:szCs w:val="14"/>
                <w:color w:val="auto"/>
              </w:rPr>
              <w:t>200%</w:t>
            </w:r>
          </w:p>
        </w:tc>
      </w:tr>
      <w:tr>
        <w:trPr>
          <w:trHeight w:val="202"/>
        </w:trPr>
        <w:tc>
          <w:tcPr>
            <w:tcW w:w="2280" w:type="dxa"/>
            <w:vAlign w:val="bottom"/>
            <w:tcBorders>
              <w:top w:val="single" w:sz="8" w:color="949599"/>
            </w:tcBorders>
          </w:tcPr>
          <w:p>
            <w:pPr>
              <w:spacing w:after="0"/>
              <w:rPr>
                <w:sz w:val="17"/>
                <w:szCs w:val="17"/>
                <w:color w:val="auto"/>
              </w:rPr>
            </w:pPr>
          </w:p>
        </w:tc>
        <w:tc>
          <w:tcPr>
            <w:tcW w:w="2080" w:type="dxa"/>
            <w:vAlign w:val="bottom"/>
            <w:tcBorders>
              <w:top w:val="single" w:sz="8" w:color="949599"/>
            </w:tcBorders>
          </w:tcPr>
          <w:p>
            <w:pPr>
              <w:jc w:val="right"/>
              <w:ind w:right="252"/>
              <w:spacing w:after="0"/>
              <w:rPr>
                <w:sz w:val="20"/>
                <w:szCs w:val="20"/>
                <w:color w:val="auto"/>
              </w:rPr>
            </w:pPr>
            <w:r>
              <w:rPr>
                <w:rFonts w:ascii="Arial" w:cs="Arial" w:eastAsia="Arial" w:hAnsi="Arial"/>
                <w:sz w:val="14"/>
                <w:szCs w:val="14"/>
                <w:color w:val="auto"/>
              </w:rPr>
              <w:t>+99.9%</w:t>
            </w:r>
          </w:p>
        </w:tc>
        <w:tc>
          <w:tcPr>
            <w:tcW w:w="1280" w:type="dxa"/>
            <w:vAlign w:val="bottom"/>
            <w:tcBorders>
              <w:top w:val="single" w:sz="8" w:color="949599"/>
            </w:tcBorders>
          </w:tcPr>
          <w:p>
            <w:pPr>
              <w:jc w:val="right"/>
              <w:ind w:right="192"/>
              <w:spacing w:after="0"/>
              <w:rPr>
                <w:sz w:val="20"/>
                <w:szCs w:val="20"/>
                <w:color w:val="auto"/>
              </w:rPr>
            </w:pPr>
            <w:r>
              <w:rPr>
                <w:rFonts w:ascii="Arial" w:cs="Arial" w:eastAsia="Arial" w:hAnsi="Arial"/>
                <w:sz w:val="14"/>
                <w:szCs w:val="14"/>
                <w:color w:val="auto"/>
              </w:rPr>
              <w:t>+14.9%</w:t>
            </w:r>
          </w:p>
        </w:tc>
        <w:tc>
          <w:tcPr>
            <w:tcW w:w="1360" w:type="dxa"/>
            <w:vAlign w:val="bottom"/>
            <w:tcBorders>
              <w:top w:val="single" w:sz="8" w:color="949599"/>
            </w:tcBorders>
          </w:tcPr>
          <w:p>
            <w:pPr>
              <w:jc w:val="right"/>
              <w:ind w:right="212"/>
              <w:spacing w:after="0"/>
              <w:rPr>
                <w:sz w:val="20"/>
                <w:szCs w:val="20"/>
                <w:color w:val="auto"/>
              </w:rPr>
            </w:pPr>
            <w:r>
              <w:rPr>
                <w:rFonts w:ascii="Arial" w:cs="Arial" w:eastAsia="Arial" w:hAnsi="Arial"/>
                <w:sz w:val="14"/>
                <w:szCs w:val="14"/>
                <w:color w:val="auto"/>
              </w:rPr>
              <w:t>$956</w:t>
            </w:r>
          </w:p>
        </w:tc>
        <w:tc>
          <w:tcPr>
            <w:tcW w:w="820" w:type="dxa"/>
            <w:vAlign w:val="bottom"/>
            <w:tcBorders>
              <w:top w:val="single" w:sz="8" w:color="949599"/>
            </w:tcBorders>
          </w:tcPr>
          <w:p>
            <w:pPr>
              <w:jc w:val="right"/>
              <w:spacing w:after="0"/>
              <w:rPr>
                <w:sz w:val="20"/>
                <w:szCs w:val="20"/>
                <w:color w:val="auto"/>
              </w:rPr>
            </w:pPr>
            <w:r>
              <w:rPr>
                <w:rFonts w:ascii="Arial" w:cs="Arial" w:eastAsia="Arial" w:hAnsi="Arial"/>
                <w:sz w:val="14"/>
                <w:szCs w:val="14"/>
                <w:color w:val="auto"/>
              </w:rPr>
              <w:t>175%</w:t>
            </w:r>
          </w:p>
        </w:tc>
      </w:tr>
      <w:tr>
        <w:trPr>
          <w:trHeight w:val="37"/>
        </w:trPr>
        <w:tc>
          <w:tcPr>
            <w:tcW w:w="2280" w:type="dxa"/>
            <w:vAlign w:val="bottom"/>
            <w:tcBorders>
              <w:bottom w:val="single" w:sz="8" w:color="949599"/>
            </w:tcBorders>
          </w:tcPr>
          <w:p>
            <w:pPr>
              <w:spacing w:after="0"/>
              <w:rPr>
                <w:sz w:val="3"/>
                <w:szCs w:val="3"/>
                <w:color w:val="auto"/>
              </w:rPr>
            </w:pPr>
          </w:p>
        </w:tc>
        <w:tc>
          <w:tcPr>
            <w:tcW w:w="2080" w:type="dxa"/>
            <w:vAlign w:val="bottom"/>
            <w:tcBorders>
              <w:bottom w:val="single" w:sz="8" w:color="949599"/>
            </w:tcBorders>
          </w:tcPr>
          <w:p>
            <w:pPr>
              <w:spacing w:after="0"/>
              <w:rPr>
                <w:sz w:val="3"/>
                <w:szCs w:val="3"/>
                <w:color w:val="auto"/>
              </w:rPr>
            </w:pPr>
          </w:p>
        </w:tc>
        <w:tc>
          <w:tcPr>
            <w:tcW w:w="1280" w:type="dxa"/>
            <w:vAlign w:val="bottom"/>
            <w:tcBorders>
              <w:bottom w:val="single" w:sz="8" w:color="949599"/>
            </w:tcBorders>
          </w:tcPr>
          <w:p>
            <w:pPr>
              <w:spacing w:after="0"/>
              <w:rPr>
                <w:sz w:val="3"/>
                <w:szCs w:val="3"/>
                <w:color w:val="auto"/>
              </w:rPr>
            </w:pPr>
          </w:p>
        </w:tc>
        <w:tc>
          <w:tcPr>
            <w:tcW w:w="1360" w:type="dxa"/>
            <w:vAlign w:val="bottom"/>
            <w:tcBorders>
              <w:bottom w:val="single" w:sz="8" w:color="949599"/>
            </w:tcBorders>
          </w:tcPr>
          <w:p>
            <w:pPr>
              <w:spacing w:after="0"/>
              <w:rPr>
                <w:sz w:val="3"/>
                <w:szCs w:val="3"/>
                <w:color w:val="auto"/>
              </w:rPr>
            </w:pPr>
          </w:p>
        </w:tc>
        <w:tc>
          <w:tcPr>
            <w:tcW w:w="820" w:type="dxa"/>
            <w:vAlign w:val="bottom"/>
            <w:tcBorders>
              <w:bottom w:val="single" w:sz="8" w:color="949599"/>
            </w:tcBorders>
          </w:tcPr>
          <w:p>
            <w:pPr>
              <w:spacing w:after="0"/>
              <w:rPr>
                <w:sz w:val="3"/>
                <w:szCs w:val="3"/>
                <w:color w:val="auto"/>
              </w:rPr>
            </w:pPr>
          </w:p>
        </w:tc>
      </w:tr>
      <w:tr>
        <w:trPr>
          <w:trHeight w:val="244"/>
        </w:trPr>
        <w:tc>
          <w:tcPr>
            <w:tcW w:w="2280" w:type="dxa"/>
            <w:vAlign w:val="bottom"/>
            <w:tcBorders>
              <w:bottom w:val="single" w:sz="8" w:color="ECECED"/>
            </w:tcBorders>
            <w:shd w:val="clear" w:color="auto" w:fill="ECECED"/>
          </w:tcPr>
          <w:p>
            <w:pPr>
              <w:spacing w:after="0"/>
              <w:rPr>
                <w:sz w:val="20"/>
                <w:szCs w:val="20"/>
                <w:color w:val="auto"/>
              </w:rPr>
            </w:pPr>
          </w:p>
        </w:tc>
        <w:tc>
          <w:tcPr>
            <w:tcW w:w="2080" w:type="dxa"/>
            <w:vAlign w:val="bottom"/>
            <w:tcBorders>
              <w:bottom w:val="single" w:sz="8" w:color="ECECED"/>
            </w:tcBorders>
            <w:shd w:val="clear" w:color="auto" w:fill="ECECED"/>
          </w:tcPr>
          <w:p>
            <w:pPr>
              <w:jc w:val="right"/>
              <w:ind w:right="252"/>
              <w:spacing w:after="0"/>
              <w:rPr>
                <w:sz w:val="20"/>
                <w:szCs w:val="20"/>
                <w:color w:val="auto"/>
              </w:rPr>
            </w:pPr>
            <w:r>
              <w:rPr>
                <w:rFonts w:ascii="Arial" w:cs="Arial" w:eastAsia="Arial" w:hAnsi="Arial"/>
                <w:sz w:val="14"/>
                <w:szCs w:val="14"/>
                <w:color w:val="auto"/>
              </w:rPr>
              <w:t>+87.7%</w:t>
            </w:r>
          </w:p>
        </w:tc>
        <w:tc>
          <w:tcPr>
            <w:tcW w:w="1280" w:type="dxa"/>
            <w:vAlign w:val="bottom"/>
            <w:tcBorders>
              <w:bottom w:val="single" w:sz="8" w:color="ECECED"/>
            </w:tcBorders>
            <w:shd w:val="clear" w:color="auto" w:fill="ECECED"/>
          </w:tcPr>
          <w:p>
            <w:pPr>
              <w:jc w:val="right"/>
              <w:ind w:right="192"/>
              <w:spacing w:after="0"/>
              <w:rPr>
                <w:sz w:val="20"/>
                <w:szCs w:val="20"/>
                <w:color w:val="auto"/>
              </w:rPr>
            </w:pPr>
            <w:r>
              <w:rPr>
                <w:rFonts w:ascii="Arial" w:cs="Arial" w:eastAsia="Arial" w:hAnsi="Arial"/>
                <w:sz w:val="14"/>
                <w:szCs w:val="14"/>
                <w:color w:val="auto"/>
              </w:rPr>
              <w:t>+13.4%</w:t>
            </w:r>
          </w:p>
        </w:tc>
        <w:tc>
          <w:tcPr>
            <w:tcW w:w="1360" w:type="dxa"/>
            <w:vAlign w:val="bottom"/>
            <w:tcBorders>
              <w:bottom w:val="single" w:sz="8" w:color="ECECED"/>
            </w:tcBorders>
            <w:shd w:val="clear" w:color="auto" w:fill="ECECED"/>
          </w:tcPr>
          <w:p>
            <w:pPr>
              <w:jc w:val="right"/>
              <w:ind w:right="212"/>
              <w:spacing w:after="0"/>
              <w:rPr>
                <w:sz w:val="20"/>
                <w:szCs w:val="20"/>
                <w:color w:val="auto"/>
              </w:rPr>
            </w:pPr>
            <w:r>
              <w:rPr>
                <w:rFonts w:ascii="Arial" w:cs="Arial" w:eastAsia="Arial" w:hAnsi="Arial"/>
                <w:sz w:val="14"/>
                <w:szCs w:val="14"/>
                <w:color w:val="auto"/>
              </w:rPr>
              <w:t>$898</w:t>
            </w:r>
          </w:p>
        </w:tc>
        <w:tc>
          <w:tcPr>
            <w:tcW w:w="820" w:type="dxa"/>
            <w:vAlign w:val="bottom"/>
            <w:tcBorders>
              <w:bottom w:val="single" w:sz="8" w:color="ECECED"/>
            </w:tcBorders>
            <w:shd w:val="clear" w:color="auto" w:fill="ECECED"/>
          </w:tcPr>
          <w:p>
            <w:pPr>
              <w:jc w:val="right"/>
              <w:spacing w:after="0"/>
              <w:rPr>
                <w:sz w:val="20"/>
                <w:szCs w:val="20"/>
                <w:color w:val="auto"/>
              </w:rPr>
            </w:pPr>
            <w:r>
              <w:rPr>
                <w:rFonts w:ascii="Arial" w:cs="Arial" w:eastAsia="Arial" w:hAnsi="Arial"/>
                <w:sz w:val="14"/>
                <w:szCs w:val="14"/>
                <w:color w:val="auto"/>
              </w:rPr>
              <w:t>150%</w:t>
            </w:r>
          </w:p>
        </w:tc>
      </w:tr>
      <w:tr>
        <w:trPr>
          <w:trHeight w:val="202"/>
        </w:trPr>
        <w:tc>
          <w:tcPr>
            <w:tcW w:w="2280" w:type="dxa"/>
            <w:vAlign w:val="bottom"/>
            <w:tcBorders>
              <w:top w:val="single" w:sz="8" w:color="949599"/>
            </w:tcBorders>
          </w:tcPr>
          <w:p>
            <w:pPr>
              <w:spacing w:after="0"/>
              <w:rPr>
                <w:sz w:val="17"/>
                <w:szCs w:val="17"/>
                <w:color w:val="auto"/>
              </w:rPr>
            </w:pPr>
          </w:p>
        </w:tc>
        <w:tc>
          <w:tcPr>
            <w:tcW w:w="2080" w:type="dxa"/>
            <w:vAlign w:val="bottom"/>
            <w:tcBorders>
              <w:top w:val="single" w:sz="8" w:color="949599"/>
            </w:tcBorders>
          </w:tcPr>
          <w:p>
            <w:pPr>
              <w:jc w:val="right"/>
              <w:ind w:right="252"/>
              <w:spacing w:after="0"/>
              <w:rPr>
                <w:sz w:val="20"/>
                <w:szCs w:val="20"/>
                <w:color w:val="auto"/>
              </w:rPr>
            </w:pPr>
            <w:r>
              <w:rPr>
                <w:rFonts w:ascii="Arial" w:cs="Arial" w:eastAsia="Arial" w:hAnsi="Arial"/>
                <w:sz w:val="14"/>
                <w:szCs w:val="14"/>
                <w:color w:val="auto"/>
              </w:rPr>
              <w:t>+76.5%</w:t>
            </w:r>
          </w:p>
        </w:tc>
        <w:tc>
          <w:tcPr>
            <w:tcW w:w="1280" w:type="dxa"/>
            <w:vAlign w:val="bottom"/>
            <w:tcBorders>
              <w:top w:val="single" w:sz="8" w:color="949599"/>
            </w:tcBorders>
          </w:tcPr>
          <w:p>
            <w:pPr>
              <w:jc w:val="right"/>
              <w:ind w:right="192"/>
              <w:spacing w:after="0"/>
              <w:rPr>
                <w:sz w:val="20"/>
                <w:szCs w:val="20"/>
                <w:color w:val="auto"/>
              </w:rPr>
            </w:pPr>
            <w:r>
              <w:rPr>
                <w:rFonts w:ascii="Arial" w:cs="Arial" w:eastAsia="Arial" w:hAnsi="Arial"/>
                <w:sz w:val="14"/>
                <w:szCs w:val="14"/>
                <w:color w:val="auto"/>
              </w:rPr>
              <w:t>+12.0%</w:t>
            </w:r>
          </w:p>
        </w:tc>
        <w:tc>
          <w:tcPr>
            <w:tcW w:w="1360" w:type="dxa"/>
            <w:vAlign w:val="bottom"/>
            <w:tcBorders>
              <w:top w:val="single" w:sz="8" w:color="949599"/>
            </w:tcBorders>
          </w:tcPr>
          <w:p>
            <w:pPr>
              <w:jc w:val="right"/>
              <w:ind w:right="212"/>
              <w:spacing w:after="0"/>
              <w:rPr>
                <w:sz w:val="20"/>
                <w:szCs w:val="20"/>
                <w:color w:val="auto"/>
              </w:rPr>
            </w:pPr>
            <w:r>
              <w:rPr>
                <w:rFonts w:ascii="Arial" w:cs="Arial" w:eastAsia="Arial" w:hAnsi="Arial"/>
                <w:sz w:val="14"/>
                <w:szCs w:val="14"/>
                <w:color w:val="auto"/>
              </w:rPr>
              <w:t>$844</w:t>
            </w:r>
          </w:p>
        </w:tc>
        <w:tc>
          <w:tcPr>
            <w:tcW w:w="820" w:type="dxa"/>
            <w:vAlign w:val="bottom"/>
            <w:tcBorders>
              <w:top w:val="single" w:sz="8" w:color="949599"/>
            </w:tcBorders>
          </w:tcPr>
          <w:p>
            <w:pPr>
              <w:jc w:val="right"/>
              <w:spacing w:after="0"/>
              <w:rPr>
                <w:sz w:val="20"/>
                <w:szCs w:val="20"/>
                <w:color w:val="auto"/>
              </w:rPr>
            </w:pPr>
            <w:r>
              <w:rPr>
                <w:rFonts w:ascii="Arial" w:cs="Arial" w:eastAsia="Arial" w:hAnsi="Arial"/>
                <w:sz w:val="14"/>
                <w:szCs w:val="14"/>
                <w:color w:val="auto"/>
              </w:rPr>
              <w:t>125%</w:t>
            </w:r>
          </w:p>
        </w:tc>
      </w:tr>
      <w:tr>
        <w:trPr>
          <w:trHeight w:val="48"/>
        </w:trPr>
        <w:tc>
          <w:tcPr>
            <w:tcW w:w="2280" w:type="dxa"/>
            <w:vAlign w:val="bottom"/>
            <w:tcBorders>
              <w:bottom w:val="single" w:sz="8" w:color="949599"/>
            </w:tcBorders>
          </w:tcPr>
          <w:p>
            <w:pPr>
              <w:spacing w:after="0"/>
              <w:rPr>
                <w:sz w:val="4"/>
                <w:szCs w:val="4"/>
                <w:color w:val="auto"/>
              </w:rPr>
            </w:pPr>
          </w:p>
        </w:tc>
        <w:tc>
          <w:tcPr>
            <w:tcW w:w="2080" w:type="dxa"/>
            <w:vAlign w:val="bottom"/>
            <w:tcBorders>
              <w:bottom w:val="single" w:sz="8" w:color="949599"/>
            </w:tcBorders>
          </w:tcPr>
          <w:p>
            <w:pPr>
              <w:spacing w:after="0"/>
              <w:rPr>
                <w:sz w:val="4"/>
                <w:szCs w:val="4"/>
                <w:color w:val="auto"/>
              </w:rPr>
            </w:pPr>
          </w:p>
        </w:tc>
        <w:tc>
          <w:tcPr>
            <w:tcW w:w="1280" w:type="dxa"/>
            <w:vAlign w:val="bottom"/>
            <w:tcBorders>
              <w:bottom w:val="single" w:sz="8" w:color="949599"/>
            </w:tcBorders>
          </w:tcPr>
          <w:p>
            <w:pPr>
              <w:spacing w:after="0"/>
              <w:rPr>
                <w:sz w:val="4"/>
                <w:szCs w:val="4"/>
                <w:color w:val="auto"/>
              </w:rPr>
            </w:pPr>
          </w:p>
        </w:tc>
        <w:tc>
          <w:tcPr>
            <w:tcW w:w="1360" w:type="dxa"/>
            <w:vAlign w:val="bottom"/>
            <w:tcBorders>
              <w:bottom w:val="single" w:sz="8" w:color="949599"/>
            </w:tcBorders>
          </w:tcPr>
          <w:p>
            <w:pPr>
              <w:spacing w:after="0"/>
              <w:rPr>
                <w:sz w:val="4"/>
                <w:szCs w:val="4"/>
                <w:color w:val="auto"/>
              </w:rPr>
            </w:pPr>
          </w:p>
        </w:tc>
        <w:tc>
          <w:tcPr>
            <w:tcW w:w="820" w:type="dxa"/>
            <w:vAlign w:val="bottom"/>
            <w:tcBorders>
              <w:bottom w:val="single" w:sz="8" w:color="949599"/>
            </w:tcBorders>
          </w:tcPr>
          <w:p>
            <w:pPr>
              <w:spacing w:after="0"/>
              <w:rPr>
                <w:sz w:val="4"/>
                <w:szCs w:val="4"/>
                <w:color w:val="auto"/>
              </w:rPr>
            </w:pPr>
          </w:p>
        </w:tc>
      </w:tr>
      <w:tr>
        <w:trPr>
          <w:trHeight w:val="244"/>
        </w:trPr>
        <w:tc>
          <w:tcPr>
            <w:tcW w:w="2280" w:type="dxa"/>
            <w:vAlign w:val="bottom"/>
            <w:tcBorders>
              <w:bottom w:val="single" w:sz="8" w:color="8398CC"/>
            </w:tcBorders>
            <w:shd w:val="clear" w:color="auto" w:fill="8398CC"/>
          </w:tcPr>
          <w:p>
            <w:pPr>
              <w:ind w:left="40"/>
              <w:spacing w:after="0"/>
              <w:rPr>
                <w:sz w:val="20"/>
                <w:szCs w:val="20"/>
                <w:color w:val="auto"/>
              </w:rPr>
            </w:pPr>
            <w:r>
              <w:rPr>
                <w:rFonts w:ascii="Arial" w:cs="Arial" w:eastAsia="Arial" w:hAnsi="Arial"/>
                <w:sz w:val="14"/>
                <w:szCs w:val="14"/>
                <w:b w:val="1"/>
                <w:bCs w:val="1"/>
                <w:color w:val="FFFFFF"/>
              </w:rPr>
              <w:t>Target</w:t>
            </w:r>
          </w:p>
        </w:tc>
        <w:tc>
          <w:tcPr>
            <w:tcW w:w="2080" w:type="dxa"/>
            <w:vAlign w:val="bottom"/>
            <w:tcBorders>
              <w:bottom w:val="single" w:sz="8" w:color="8398CC"/>
            </w:tcBorders>
            <w:shd w:val="clear" w:color="auto" w:fill="8398CC"/>
          </w:tcPr>
          <w:p>
            <w:pPr>
              <w:jc w:val="right"/>
              <w:ind w:right="252"/>
              <w:spacing w:after="0"/>
              <w:rPr>
                <w:sz w:val="20"/>
                <w:szCs w:val="20"/>
                <w:color w:val="auto"/>
              </w:rPr>
            </w:pPr>
            <w:r>
              <w:rPr>
                <w:rFonts w:ascii="Arial" w:cs="Arial" w:eastAsia="Arial" w:hAnsi="Arial"/>
                <w:sz w:val="14"/>
                <w:szCs w:val="14"/>
                <w:b w:val="1"/>
                <w:bCs w:val="1"/>
                <w:color w:val="FFFFFF"/>
              </w:rPr>
              <w:t>+65.6%</w:t>
            </w:r>
          </w:p>
        </w:tc>
        <w:tc>
          <w:tcPr>
            <w:tcW w:w="1280" w:type="dxa"/>
            <w:vAlign w:val="bottom"/>
            <w:tcBorders>
              <w:bottom w:val="single" w:sz="8" w:color="8398CC"/>
            </w:tcBorders>
            <w:shd w:val="clear" w:color="auto" w:fill="8398CC"/>
          </w:tcPr>
          <w:p>
            <w:pPr>
              <w:jc w:val="right"/>
              <w:ind w:right="192"/>
              <w:spacing w:after="0"/>
              <w:rPr>
                <w:sz w:val="20"/>
                <w:szCs w:val="20"/>
                <w:color w:val="auto"/>
              </w:rPr>
            </w:pPr>
            <w:r>
              <w:rPr>
                <w:rFonts w:ascii="Arial" w:cs="Arial" w:eastAsia="Arial" w:hAnsi="Arial"/>
                <w:sz w:val="14"/>
                <w:szCs w:val="14"/>
                <w:b w:val="1"/>
                <w:bCs w:val="1"/>
                <w:color w:val="FFFFFF"/>
              </w:rPr>
              <w:t>+10.6%</w:t>
            </w:r>
          </w:p>
        </w:tc>
        <w:tc>
          <w:tcPr>
            <w:tcW w:w="1360" w:type="dxa"/>
            <w:vAlign w:val="bottom"/>
            <w:tcBorders>
              <w:bottom w:val="single" w:sz="8" w:color="8398CC"/>
            </w:tcBorders>
            <w:shd w:val="clear" w:color="auto" w:fill="8398CC"/>
          </w:tcPr>
          <w:p>
            <w:pPr>
              <w:jc w:val="right"/>
              <w:ind w:right="212"/>
              <w:spacing w:after="0"/>
              <w:rPr>
                <w:sz w:val="20"/>
                <w:szCs w:val="20"/>
                <w:color w:val="auto"/>
              </w:rPr>
            </w:pPr>
            <w:r>
              <w:rPr>
                <w:rFonts w:ascii="Arial" w:cs="Arial" w:eastAsia="Arial" w:hAnsi="Arial"/>
                <w:sz w:val="14"/>
                <w:szCs w:val="14"/>
                <w:b w:val="1"/>
                <w:bCs w:val="1"/>
                <w:color w:val="FFFFFF"/>
              </w:rPr>
              <w:t>$792</w:t>
            </w:r>
          </w:p>
        </w:tc>
        <w:tc>
          <w:tcPr>
            <w:tcW w:w="820" w:type="dxa"/>
            <w:vAlign w:val="bottom"/>
            <w:tcBorders>
              <w:bottom w:val="single" w:sz="8" w:color="8398CC"/>
            </w:tcBorders>
            <w:shd w:val="clear" w:color="auto" w:fill="8398CC"/>
          </w:tcPr>
          <w:p>
            <w:pPr>
              <w:jc w:val="right"/>
              <w:spacing w:after="0"/>
              <w:rPr>
                <w:sz w:val="20"/>
                <w:szCs w:val="20"/>
                <w:color w:val="auto"/>
              </w:rPr>
            </w:pPr>
            <w:r>
              <w:rPr>
                <w:rFonts w:ascii="Arial" w:cs="Arial" w:eastAsia="Arial" w:hAnsi="Arial"/>
                <w:sz w:val="14"/>
                <w:szCs w:val="14"/>
                <w:b w:val="1"/>
                <w:bCs w:val="1"/>
                <w:color w:val="FFFFFF"/>
              </w:rPr>
              <w:t>100%</w:t>
            </w:r>
          </w:p>
        </w:tc>
      </w:tr>
      <w:tr>
        <w:trPr>
          <w:trHeight w:val="202"/>
        </w:trPr>
        <w:tc>
          <w:tcPr>
            <w:tcW w:w="2280" w:type="dxa"/>
            <w:vAlign w:val="bottom"/>
            <w:tcBorders>
              <w:top w:val="single" w:sz="8" w:color="949599"/>
            </w:tcBorders>
          </w:tcPr>
          <w:p>
            <w:pPr>
              <w:spacing w:after="0"/>
              <w:rPr>
                <w:sz w:val="17"/>
                <w:szCs w:val="17"/>
                <w:color w:val="auto"/>
              </w:rPr>
            </w:pPr>
          </w:p>
        </w:tc>
        <w:tc>
          <w:tcPr>
            <w:tcW w:w="2080" w:type="dxa"/>
            <w:vAlign w:val="bottom"/>
            <w:tcBorders>
              <w:top w:val="single" w:sz="8" w:color="949599"/>
            </w:tcBorders>
          </w:tcPr>
          <w:p>
            <w:pPr>
              <w:jc w:val="right"/>
              <w:ind w:right="252"/>
              <w:spacing w:after="0"/>
              <w:rPr>
                <w:sz w:val="20"/>
                <w:szCs w:val="20"/>
                <w:color w:val="auto"/>
              </w:rPr>
            </w:pPr>
            <w:r>
              <w:rPr>
                <w:rFonts w:ascii="Arial" w:cs="Arial" w:eastAsia="Arial" w:hAnsi="Arial"/>
                <w:sz w:val="14"/>
                <w:szCs w:val="14"/>
                <w:color w:val="auto"/>
              </w:rPr>
              <w:t>+47.6%</w:t>
            </w:r>
          </w:p>
        </w:tc>
        <w:tc>
          <w:tcPr>
            <w:tcW w:w="1280" w:type="dxa"/>
            <w:vAlign w:val="bottom"/>
            <w:tcBorders>
              <w:top w:val="single" w:sz="8" w:color="949599"/>
            </w:tcBorders>
          </w:tcPr>
          <w:p>
            <w:pPr>
              <w:jc w:val="right"/>
              <w:ind w:right="192"/>
              <w:spacing w:after="0"/>
              <w:rPr>
                <w:sz w:val="20"/>
                <w:szCs w:val="20"/>
                <w:color w:val="auto"/>
              </w:rPr>
            </w:pPr>
            <w:r>
              <w:rPr>
                <w:rFonts w:ascii="Arial" w:cs="Arial" w:eastAsia="Arial" w:hAnsi="Arial"/>
                <w:sz w:val="14"/>
                <w:szCs w:val="14"/>
                <w:color w:val="auto"/>
              </w:rPr>
              <w:t>+8.1%</w:t>
            </w:r>
          </w:p>
        </w:tc>
        <w:tc>
          <w:tcPr>
            <w:tcW w:w="1360" w:type="dxa"/>
            <w:vAlign w:val="bottom"/>
            <w:tcBorders>
              <w:top w:val="single" w:sz="8" w:color="949599"/>
            </w:tcBorders>
          </w:tcPr>
          <w:p>
            <w:pPr>
              <w:jc w:val="right"/>
              <w:ind w:right="212"/>
              <w:spacing w:after="0"/>
              <w:rPr>
                <w:sz w:val="20"/>
                <w:szCs w:val="20"/>
                <w:color w:val="auto"/>
              </w:rPr>
            </w:pPr>
            <w:r>
              <w:rPr>
                <w:rFonts w:ascii="Arial" w:cs="Arial" w:eastAsia="Arial" w:hAnsi="Arial"/>
                <w:sz w:val="14"/>
                <w:szCs w:val="14"/>
                <w:color w:val="auto"/>
              </w:rPr>
              <w:t>$706</w:t>
            </w:r>
          </w:p>
        </w:tc>
        <w:tc>
          <w:tcPr>
            <w:tcW w:w="820" w:type="dxa"/>
            <w:vAlign w:val="bottom"/>
            <w:tcBorders>
              <w:top w:val="single" w:sz="8" w:color="949599"/>
            </w:tcBorders>
          </w:tcPr>
          <w:p>
            <w:pPr>
              <w:jc w:val="right"/>
              <w:spacing w:after="0"/>
              <w:rPr>
                <w:sz w:val="20"/>
                <w:szCs w:val="20"/>
                <w:color w:val="auto"/>
              </w:rPr>
            </w:pPr>
            <w:r>
              <w:rPr>
                <w:rFonts w:ascii="Arial" w:cs="Arial" w:eastAsia="Arial" w:hAnsi="Arial"/>
                <w:sz w:val="14"/>
                <w:szCs w:val="14"/>
                <w:color w:val="auto"/>
              </w:rPr>
              <w:t>75%</w:t>
            </w:r>
          </w:p>
        </w:tc>
      </w:tr>
      <w:tr>
        <w:trPr>
          <w:trHeight w:val="37"/>
        </w:trPr>
        <w:tc>
          <w:tcPr>
            <w:tcW w:w="2280" w:type="dxa"/>
            <w:vAlign w:val="bottom"/>
            <w:tcBorders>
              <w:bottom w:val="single" w:sz="8" w:color="949599"/>
            </w:tcBorders>
          </w:tcPr>
          <w:p>
            <w:pPr>
              <w:spacing w:after="0"/>
              <w:rPr>
                <w:sz w:val="3"/>
                <w:szCs w:val="3"/>
                <w:color w:val="auto"/>
              </w:rPr>
            </w:pPr>
          </w:p>
        </w:tc>
        <w:tc>
          <w:tcPr>
            <w:tcW w:w="2080" w:type="dxa"/>
            <w:vAlign w:val="bottom"/>
            <w:tcBorders>
              <w:bottom w:val="single" w:sz="8" w:color="949599"/>
            </w:tcBorders>
          </w:tcPr>
          <w:p>
            <w:pPr>
              <w:spacing w:after="0"/>
              <w:rPr>
                <w:sz w:val="3"/>
                <w:szCs w:val="3"/>
                <w:color w:val="auto"/>
              </w:rPr>
            </w:pPr>
          </w:p>
        </w:tc>
        <w:tc>
          <w:tcPr>
            <w:tcW w:w="1280" w:type="dxa"/>
            <w:vAlign w:val="bottom"/>
            <w:tcBorders>
              <w:bottom w:val="single" w:sz="8" w:color="949599"/>
            </w:tcBorders>
          </w:tcPr>
          <w:p>
            <w:pPr>
              <w:spacing w:after="0"/>
              <w:rPr>
                <w:sz w:val="3"/>
                <w:szCs w:val="3"/>
                <w:color w:val="auto"/>
              </w:rPr>
            </w:pPr>
          </w:p>
        </w:tc>
        <w:tc>
          <w:tcPr>
            <w:tcW w:w="1360" w:type="dxa"/>
            <w:vAlign w:val="bottom"/>
            <w:tcBorders>
              <w:bottom w:val="single" w:sz="8" w:color="949599"/>
            </w:tcBorders>
          </w:tcPr>
          <w:p>
            <w:pPr>
              <w:spacing w:after="0"/>
              <w:rPr>
                <w:sz w:val="3"/>
                <w:szCs w:val="3"/>
                <w:color w:val="auto"/>
              </w:rPr>
            </w:pPr>
          </w:p>
        </w:tc>
        <w:tc>
          <w:tcPr>
            <w:tcW w:w="820" w:type="dxa"/>
            <w:vAlign w:val="bottom"/>
            <w:tcBorders>
              <w:bottom w:val="single" w:sz="8" w:color="949599"/>
            </w:tcBorders>
          </w:tcPr>
          <w:p>
            <w:pPr>
              <w:spacing w:after="0"/>
              <w:rPr>
                <w:sz w:val="3"/>
                <w:szCs w:val="3"/>
                <w:color w:val="auto"/>
              </w:rPr>
            </w:pPr>
          </w:p>
        </w:tc>
      </w:tr>
      <w:tr>
        <w:trPr>
          <w:trHeight w:val="230"/>
        </w:trPr>
        <w:tc>
          <w:tcPr>
            <w:tcW w:w="2280" w:type="dxa"/>
            <w:vAlign w:val="bottom"/>
            <w:tcBorders>
              <w:bottom w:val="single" w:sz="8" w:color="8398CC"/>
            </w:tcBorders>
            <w:shd w:val="clear" w:color="auto" w:fill="8398CC"/>
          </w:tcPr>
          <w:p>
            <w:pPr>
              <w:ind w:left="40"/>
              <w:spacing w:after="0"/>
              <w:rPr>
                <w:sz w:val="20"/>
                <w:szCs w:val="20"/>
                <w:color w:val="auto"/>
              </w:rPr>
            </w:pPr>
            <w:r>
              <w:rPr>
                <w:rFonts w:ascii="Arial" w:cs="Arial" w:eastAsia="Arial" w:hAnsi="Arial"/>
                <w:sz w:val="14"/>
                <w:szCs w:val="14"/>
                <w:b w:val="1"/>
                <w:bCs w:val="1"/>
                <w:color w:val="FFFFFF"/>
              </w:rPr>
              <w:t>Threshold</w:t>
            </w:r>
          </w:p>
        </w:tc>
        <w:tc>
          <w:tcPr>
            <w:tcW w:w="2080" w:type="dxa"/>
            <w:vAlign w:val="bottom"/>
            <w:tcBorders>
              <w:bottom w:val="single" w:sz="8" w:color="8398CC"/>
            </w:tcBorders>
            <w:shd w:val="clear" w:color="auto" w:fill="8398CC"/>
          </w:tcPr>
          <w:p>
            <w:pPr>
              <w:jc w:val="right"/>
              <w:ind w:right="252"/>
              <w:spacing w:after="0"/>
              <w:rPr>
                <w:sz w:val="20"/>
                <w:szCs w:val="20"/>
                <w:color w:val="auto"/>
              </w:rPr>
            </w:pPr>
            <w:r>
              <w:rPr>
                <w:rFonts w:ascii="Arial" w:cs="Arial" w:eastAsia="Arial" w:hAnsi="Arial"/>
                <w:sz w:val="14"/>
                <w:szCs w:val="14"/>
                <w:b w:val="1"/>
                <w:bCs w:val="1"/>
                <w:color w:val="FFFFFF"/>
              </w:rPr>
              <w:t>+31.3%</w:t>
            </w:r>
          </w:p>
        </w:tc>
        <w:tc>
          <w:tcPr>
            <w:tcW w:w="1280" w:type="dxa"/>
            <w:vAlign w:val="bottom"/>
            <w:tcBorders>
              <w:bottom w:val="single" w:sz="8" w:color="8398CC"/>
            </w:tcBorders>
            <w:shd w:val="clear" w:color="auto" w:fill="8398CC"/>
          </w:tcPr>
          <w:p>
            <w:pPr>
              <w:jc w:val="right"/>
              <w:ind w:right="192"/>
              <w:spacing w:after="0"/>
              <w:rPr>
                <w:sz w:val="20"/>
                <w:szCs w:val="20"/>
                <w:color w:val="auto"/>
              </w:rPr>
            </w:pPr>
            <w:r>
              <w:rPr>
                <w:rFonts w:ascii="Arial" w:cs="Arial" w:eastAsia="Arial" w:hAnsi="Arial"/>
                <w:sz w:val="14"/>
                <w:szCs w:val="14"/>
                <w:b w:val="1"/>
                <w:bCs w:val="1"/>
                <w:color w:val="FFFFFF"/>
              </w:rPr>
              <w:t>+5.6%</w:t>
            </w:r>
          </w:p>
        </w:tc>
        <w:tc>
          <w:tcPr>
            <w:tcW w:w="1360" w:type="dxa"/>
            <w:vAlign w:val="bottom"/>
            <w:tcBorders>
              <w:bottom w:val="single" w:sz="8" w:color="8398CC"/>
            </w:tcBorders>
            <w:shd w:val="clear" w:color="auto" w:fill="8398CC"/>
          </w:tcPr>
          <w:p>
            <w:pPr>
              <w:jc w:val="right"/>
              <w:ind w:right="212"/>
              <w:spacing w:after="0"/>
              <w:rPr>
                <w:sz w:val="20"/>
                <w:szCs w:val="20"/>
                <w:color w:val="auto"/>
              </w:rPr>
            </w:pPr>
            <w:r>
              <w:rPr>
                <w:rFonts w:ascii="Arial" w:cs="Arial" w:eastAsia="Arial" w:hAnsi="Arial"/>
                <w:sz w:val="14"/>
                <w:szCs w:val="14"/>
                <w:b w:val="1"/>
                <w:bCs w:val="1"/>
                <w:color w:val="FFFFFF"/>
              </w:rPr>
              <w:t>$628</w:t>
            </w:r>
          </w:p>
        </w:tc>
        <w:tc>
          <w:tcPr>
            <w:tcW w:w="820" w:type="dxa"/>
            <w:vAlign w:val="bottom"/>
            <w:tcBorders>
              <w:bottom w:val="single" w:sz="8" w:color="8398CC"/>
            </w:tcBorders>
            <w:shd w:val="clear" w:color="auto" w:fill="8398CC"/>
          </w:tcPr>
          <w:p>
            <w:pPr>
              <w:jc w:val="right"/>
              <w:spacing w:after="0"/>
              <w:rPr>
                <w:sz w:val="20"/>
                <w:szCs w:val="20"/>
                <w:color w:val="auto"/>
              </w:rPr>
            </w:pPr>
            <w:r>
              <w:rPr>
                <w:rFonts w:ascii="Arial" w:cs="Arial" w:eastAsia="Arial" w:hAnsi="Arial"/>
                <w:sz w:val="14"/>
                <w:szCs w:val="14"/>
                <w:b w:val="1"/>
                <w:bCs w:val="1"/>
                <w:color w:val="FFFFFF"/>
              </w:rPr>
              <w:t>50%</w:t>
            </w:r>
          </w:p>
        </w:tc>
      </w:tr>
      <w:tr>
        <w:trPr>
          <w:trHeight w:val="20"/>
        </w:trPr>
        <w:tc>
          <w:tcPr>
            <w:tcW w:w="2280" w:type="dxa"/>
            <w:vAlign w:val="bottom"/>
            <w:shd w:val="clear" w:color="auto" w:fill="215AA8"/>
          </w:tcPr>
          <w:p>
            <w:pPr>
              <w:spacing w:after="0" w:line="20" w:lineRule="exact"/>
              <w:rPr>
                <w:sz w:val="1"/>
                <w:szCs w:val="1"/>
                <w:color w:val="auto"/>
              </w:rPr>
            </w:pPr>
          </w:p>
        </w:tc>
        <w:tc>
          <w:tcPr>
            <w:tcW w:w="2080" w:type="dxa"/>
            <w:vAlign w:val="bottom"/>
            <w:shd w:val="clear" w:color="auto" w:fill="215AA8"/>
          </w:tcPr>
          <w:p>
            <w:pPr>
              <w:spacing w:after="0" w:line="20" w:lineRule="exact"/>
              <w:rPr>
                <w:sz w:val="1"/>
                <w:szCs w:val="1"/>
                <w:color w:val="auto"/>
              </w:rPr>
            </w:pPr>
          </w:p>
        </w:tc>
        <w:tc>
          <w:tcPr>
            <w:tcW w:w="1280" w:type="dxa"/>
            <w:vAlign w:val="bottom"/>
            <w:shd w:val="clear" w:color="auto" w:fill="215AA8"/>
          </w:tcPr>
          <w:p>
            <w:pPr>
              <w:spacing w:after="0" w:line="20" w:lineRule="exact"/>
              <w:rPr>
                <w:sz w:val="1"/>
                <w:szCs w:val="1"/>
                <w:color w:val="auto"/>
              </w:rPr>
            </w:pPr>
          </w:p>
        </w:tc>
        <w:tc>
          <w:tcPr>
            <w:tcW w:w="1360" w:type="dxa"/>
            <w:vAlign w:val="bottom"/>
            <w:shd w:val="clear" w:color="auto" w:fill="215AA8"/>
          </w:tcPr>
          <w:p>
            <w:pPr>
              <w:spacing w:after="0" w:line="20" w:lineRule="exact"/>
              <w:rPr>
                <w:sz w:val="1"/>
                <w:szCs w:val="1"/>
                <w:color w:val="auto"/>
              </w:rPr>
            </w:pPr>
          </w:p>
        </w:tc>
        <w:tc>
          <w:tcPr>
            <w:tcW w:w="820" w:type="dxa"/>
            <w:vAlign w:val="bottom"/>
            <w:shd w:val="clear" w:color="auto" w:fill="215AA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5024755</wp:posOffset>
            </wp:positionH>
            <wp:positionV relativeFrom="paragraph">
              <wp:posOffset>-828675</wp:posOffset>
            </wp:positionV>
            <wp:extent cx="114300" cy="1428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1430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60"/>
        <w:spacing w:after="0" w:line="238" w:lineRule="auto"/>
        <w:rPr>
          <w:sz w:val="20"/>
          <w:szCs w:val="20"/>
          <w:color w:val="auto"/>
        </w:rPr>
      </w:pPr>
      <w:r>
        <w:rPr>
          <w:rFonts w:ascii="Arial" w:cs="Arial" w:eastAsia="Arial" w:hAnsi="Arial"/>
          <w:sz w:val="14"/>
          <w:szCs w:val="14"/>
          <w:b w:val="1"/>
          <w:bCs w:val="1"/>
          <w:color w:val="215AA8"/>
        </w:rPr>
        <w:t>As of December 31, 2023, 128.27% of the target number of the 2020 PSUs granted to each recipient (248,108 PSUs), or 318,248 PSUs, had been earned based on the average closing price of the Company’s common stock over the preceding 20 consecutive trading days ($851.06) and are eligible to vest in December 2025, following which they will remain subject to a three-year deferral and holding period until December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-1367155</wp:posOffset>
            </wp:positionV>
            <wp:extent cx="1983740" cy="15195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983740" cy="1519555"/>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2">
            <w:col w:w="7830" w:space="580"/>
            <w:col w:w="2860"/>
          </w:cols>
          <w:pgMar w:left="310" w:top="215" w:right="319" w:bottom="1440" w:gutter="0" w:footer="0" w:header="0"/>
          <w:type w:val="continuous"/>
        </w:sectPr>
      </w:pPr>
    </w:p>
    <w:p>
      <w:pPr>
        <w:ind w:left="270" w:right="260" w:hanging="270"/>
        <w:spacing w:after="0" w:line="191" w:lineRule="auto"/>
        <w:tabs>
          <w:tab w:leader="none" w:pos="270" w:val="left"/>
        </w:tabs>
        <w:numPr>
          <w:ilvl w:val="0"/>
          <w:numId w:val="205"/>
        </w:numPr>
        <w:rPr>
          <w:rFonts w:ascii="Arial" w:cs="Arial" w:eastAsia="Arial" w:hAnsi="Arial"/>
          <w:sz w:val="20"/>
          <w:szCs w:val="20"/>
          <w:color w:val="auto"/>
          <w:vertAlign w:val="superscript"/>
        </w:rPr>
      </w:pPr>
      <w:r>
        <w:rPr>
          <w:rFonts w:ascii="Arial" w:cs="Arial" w:eastAsia="Arial" w:hAnsi="Arial"/>
          <w:sz w:val="12"/>
          <w:szCs w:val="12"/>
          <w:color w:val="auto"/>
        </w:rPr>
        <w:t>Starting from $478.30 (the most recent closing price of the Company’s common stock at the time of grant) (the “Initial Share Price”); to be adjusted for any dividends or other shareholder distributions paid during the performance period.</w:t>
      </w:r>
    </w:p>
    <w:p>
      <w:pPr>
        <w:ind w:left="270" w:hanging="270"/>
        <w:spacing w:after="0" w:line="188" w:lineRule="auto"/>
        <w:tabs>
          <w:tab w:leader="none" w:pos="270" w:val="left"/>
        </w:tabs>
        <w:numPr>
          <w:ilvl w:val="0"/>
          <w:numId w:val="206"/>
        </w:numPr>
        <w:rPr>
          <w:rFonts w:ascii="Arial" w:cs="Arial" w:eastAsia="Arial" w:hAnsi="Arial"/>
          <w:sz w:val="20"/>
          <w:szCs w:val="20"/>
          <w:color w:val="auto"/>
          <w:vertAlign w:val="superscript"/>
        </w:rPr>
      </w:pPr>
      <w:r>
        <w:rPr>
          <w:rFonts w:ascii="Arial" w:cs="Arial" w:eastAsia="Arial" w:hAnsi="Arial"/>
          <w:sz w:val="12"/>
          <w:szCs w:val="12"/>
          <w:color w:val="auto"/>
        </w:rPr>
        <w:t>Determined by applying the five-year TSR CAGR goals to the Initial Share Price; to be adjusted for any dividends or other shareholder distributions paid out during the performance period.</w:t>
      </w:r>
    </w:p>
    <w:p>
      <w:pPr>
        <w:ind w:left="270" w:hanging="270"/>
        <w:spacing w:after="0" w:line="188" w:lineRule="auto"/>
        <w:tabs>
          <w:tab w:leader="none" w:pos="270" w:val="left"/>
        </w:tabs>
        <w:numPr>
          <w:ilvl w:val="0"/>
          <w:numId w:val="207"/>
        </w:numPr>
        <w:rPr>
          <w:rFonts w:ascii="Arial" w:cs="Arial" w:eastAsia="Arial" w:hAnsi="Arial"/>
          <w:sz w:val="20"/>
          <w:szCs w:val="20"/>
          <w:color w:val="auto"/>
          <w:vertAlign w:val="superscript"/>
        </w:rPr>
      </w:pPr>
      <w:r>
        <w:rPr>
          <w:rFonts w:ascii="Arial" w:cs="Arial" w:eastAsia="Arial" w:hAnsi="Arial"/>
          <w:sz w:val="12"/>
          <w:szCs w:val="12"/>
          <w:color w:val="auto"/>
        </w:rPr>
        <w:t>Payouts are expressed as a percentage of the target number of PSUs awarded to each recipient. Payouts for performance between the levels set forth in this table are determined by interpolation.</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Arial" w:cs="Arial" w:eastAsia="Arial" w:hAnsi="Arial"/>
                <w:sz w:val="14"/>
                <w:szCs w:val="14"/>
                <w:b w:val="1"/>
                <w:bCs w:val="1"/>
                <w:color w:val="215AA8"/>
              </w:rPr>
              <w:t>2024 Proxy Statement and Notice of Annual Shareholder Meeting</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D60058"/>
              </w:rPr>
              <w:t xml:space="preserve">| </w:t>
            </w:r>
            <w:r>
              <w:rPr>
                <w:rFonts w:ascii="Arial" w:cs="Arial" w:eastAsia="Arial" w:hAnsi="Arial"/>
                <w:sz w:val="14"/>
                <w:szCs w:val="14"/>
                <w:b w:val="1"/>
                <w:bCs w:val="1"/>
                <w:color w:val="215AA8"/>
              </w:rPr>
              <w:t>115</w:t>
            </w:r>
          </w:p>
        </w:tc>
      </w:tr>
      <w:tr>
        <w:trPr>
          <w:trHeight w:val="211"/>
        </w:trPr>
        <w:tc>
          <w:tcPr>
            <w:tcW w:w="75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6261735</wp:posOffset>
            </wp:positionH>
            <wp:positionV relativeFrom="paragraph">
              <wp:posOffset>-242570</wp:posOffset>
            </wp:positionV>
            <wp:extent cx="629285" cy="717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29285" cy="7175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1"/>
          <w:szCs w:val="11"/>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103505</wp:posOffset>
            </wp:positionV>
            <wp:extent cx="7155180" cy="76200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5180" cy="7620000"/>
                    </a:xfrm>
                    <a:prstGeom prst="rect">
                      <a:avLst/>
                    </a:prstGeom>
                    <a:noFill/>
                  </pic:spPr>
                </pic:pic>
              </a:graphicData>
            </a:graphic>
          </wp:anchor>
        </w:drawing>
      </w:r>
    </w:p>
    <w:p>
      <w:pPr>
        <w:sectPr>
          <w:pgSz w:w="11900" w:h="16838" w:orient="portrait"/>
          <w:cols w:equalWidth="0" w:num="1">
            <w:col w:w="10139"/>
          </w:cols>
          <w:pgMar w:left="320" w:top="222" w:right="1440" w:bottom="1440" w:gutter="0" w:footer="0" w:header="0"/>
        </w:sectPr>
      </w:pPr>
    </w:p>
    <w:bookmarkStart w:id="127" w:name="page128"/>
    <w:bookmarkEnd w:id="127"/>
    <w:p>
      <w:pPr>
        <w:spacing w:after="0"/>
        <w:rPr>
          <w:sz w:val="20"/>
          <w:szCs w:val="20"/>
          <w:color w:val="auto"/>
        </w:rPr>
      </w:pPr>
      <w:r>
        <w:rPr>
          <w:rFonts w:ascii="Arial" w:cs="Arial" w:eastAsia="Arial" w:hAnsi="Arial"/>
          <w:sz w:val="11"/>
          <w:szCs w:val="11"/>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103505</wp:posOffset>
            </wp:positionV>
            <wp:extent cx="7155180" cy="74910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5180" cy="7491095"/>
                    </a:xfrm>
                    <a:prstGeom prst="rect">
                      <a:avLst/>
                    </a:prstGeom>
                    <a:noFill/>
                  </pic:spPr>
                </pic:pic>
              </a:graphicData>
            </a:graphic>
          </wp:anchor>
        </w:drawing>
      </w:r>
    </w:p>
    <w:p>
      <w:pPr>
        <w:sectPr>
          <w:pgSz w:w="11900" w:h="16838" w:orient="portrait"/>
          <w:cols w:equalWidth="0" w:num="1">
            <w:col w:w="10139"/>
          </w:cols>
          <w:pgMar w:left="320" w:top="221" w:right="1440" w:bottom="1440" w:gutter="0" w:footer="0" w:header="0"/>
        </w:sectPr>
      </w:pPr>
    </w:p>
    <w:bookmarkStart w:id="128" w:name="page129"/>
    <w:bookmarkEnd w:id="128"/>
    <w:p>
      <w:pPr>
        <w:spacing w:after="0"/>
        <w:rPr>
          <w:sz w:val="20"/>
          <w:szCs w:val="20"/>
          <w:color w:val="auto"/>
        </w:rPr>
      </w:pPr>
      <w:r>
        <w:rPr>
          <w:rFonts w:ascii="Arial" w:cs="Arial" w:eastAsia="Arial" w:hAnsi="Arial"/>
          <w:sz w:val="11"/>
          <w:szCs w:val="11"/>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103505</wp:posOffset>
            </wp:positionV>
            <wp:extent cx="7155180" cy="75838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5180" cy="7583805"/>
                    </a:xfrm>
                    <a:prstGeom prst="rect">
                      <a:avLst/>
                    </a:prstGeom>
                    <a:noFill/>
                  </pic:spPr>
                </pic:pic>
              </a:graphicData>
            </a:graphic>
          </wp:anchor>
        </w:drawing>
      </w:r>
    </w:p>
    <w:sectPr>
      <w:pgSz w:w="11900" w:h="16838" w:orient="portrait"/>
      <w:cols w:equalWidth="0" w:num="1">
        <w:col w:w="10139"/>
      </w:cols>
      <w:pgMar w:left="320" w:top="2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3DD3E8"/>
    <w:multiLevelType w:val="hybridMultilevel"/>
    <w:lvl w:ilvl="0">
      <w:lvlJc w:val="left"/>
      <w:lvlText w:val="1"/>
      <w:numFmt w:val="bullet"/>
      <w:start w:val="1"/>
    </w:lvl>
  </w:abstractNum>
  <w:abstractNum w:abstractNumId="1">
    <w:nsid w:val="71C91298"/>
    <w:multiLevelType w:val="hybridMultilevel"/>
    <w:lvl w:ilvl="0">
      <w:lvlJc w:val="left"/>
      <w:lvlText w:val="2"/>
      <w:numFmt w:val="bullet"/>
      <w:start w:val="1"/>
    </w:lvl>
  </w:abstractNum>
  <w:abstractNum w:abstractNumId="2">
    <w:nsid w:val="9DAF632"/>
    <w:multiLevelType w:val="hybridMultilevel"/>
    <w:lvl w:ilvl="0">
      <w:lvlJc w:val="left"/>
      <w:lvlText w:val="3"/>
      <w:numFmt w:val="bullet"/>
      <w:start w:val="1"/>
    </w:lvl>
  </w:abstractNum>
  <w:abstractNum w:abstractNumId="3">
    <w:nsid w:val="53299938"/>
    <w:multiLevelType w:val="hybridMultilevel"/>
    <w:lvl w:ilvl="0">
      <w:lvlJc w:val="left"/>
      <w:lvlText w:val="4"/>
      <w:numFmt w:val="bullet"/>
      <w:start w:val="1"/>
    </w:lvl>
  </w:abstractNum>
  <w:abstractNum w:abstractNumId="4">
    <w:nsid w:val="1FBFE8E0"/>
    <w:multiLevelType w:val="hybridMultilevel"/>
    <w:lvl w:ilvl="0">
      <w:lvlJc w:val="left"/>
      <w:lvlText w:val="5"/>
      <w:numFmt w:val="bullet"/>
      <w:start w:val="1"/>
    </w:lvl>
  </w:abstractNum>
  <w:abstractNum w:abstractNumId="5">
    <w:nsid w:val="5092CA79"/>
    <w:multiLevelType w:val="hybridMultilevel"/>
    <w:lvl w:ilvl="0">
      <w:lvlJc w:val="left"/>
      <w:lvlText w:val="•"/>
      <w:numFmt w:val="bullet"/>
      <w:start w:val="1"/>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1"/>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
      <w:numFmt w:val="bullet"/>
      <w:start w:val="1"/>
    </w:lvl>
  </w:abstractNum>
  <w:abstractNum w:abstractNumId="13">
    <w:nsid w:val="1CA0C5FA"/>
    <w:multiLevelType w:val="hybridMultilevel"/>
    <w:lvl w:ilvl="0">
      <w:lvlJc w:val="left"/>
      <w:lvlText w:val="•"/>
      <w:numFmt w:val="bullet"/>
      <w:start w:val="1"/>
    </w:lvl>
  </w:abstractNum>
  <w:abstractNum w:abstractNumId="14">
    <w:nsid w:val="53584BCB"/>
    <w:multiLevelType w:val="hybridMultilevel"/>
    <w:lvl w:ilvl="0">
      <w:lvlJc w:val="left"/>
      <w:lvlText w:val="•"/>
      <w:numFmt w:val="bullet"/>
      <w:start w:val="1"/>
    </w:lvl>
  </w:abstractNum>
  <w:abstractNum w:abstractNumId="15">
    <w:nsid w:val="415E286C"/>
    <w:multiLevelType w:val="hybridMultilevel"/>
    <w:lvl w:ilvl="0">
      <w:lvlJc w:val="left"/>
      <w:lvlText w:val="*"/>
      <w:numFmt w:val="bullet"/>
      <w:start w:val="1"/>
    </w:lvl>
  </w:abstractNum>
  <w:abstractNum w:abstractNumId="16">
    <w:nsid w:val="7C58FD05"/>
    <w:multiLevelType w:val="hybridMultilevel"/>
    <w:lvl w:ilvl="0">
      <w:lvlJc w:val="left"/>
      <w:lvlText w:val="•"/>
      <w:numFmt w:val="bullet"/>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
      <w:numFmt w:val="bullet"/>
      <w:start w:val="1"/>
    </w:lvl>
  </w:abstractNum>
  <w:abstractNum w:abstractNumId="19">
    <w:nsid w:val="5C10FE21"/>
    <w:multiLevelType w:val="hybridMultilevel"/>
    <w:lvl w:ilvl="0">
      <w:lvlJc w:val="left"/>
      <w:lvlText w:val="•"/>
      <w:numFmt w:val="bullet"/>
      <w:start w:val="1"/>
    </w:lvl>
  </w:abstractNum>
  <w:abstractNum w:abstractNumId="20">
    <w:nsid w:val="E7FFA2B"/>
    <w:multiLevelType w:val="hybridMultilevel"/>
    <w:lvl w:ilvl="0">
      <w:lvlJc w:val="left"/>
      <w:lvlText w:val="•"/>
      <w:numFmt w:val="bullet"/>
      <w:start w:val="1"/>
    </w:lvl>
  </w:abstractNum>
  <w:abstractNum w:abstractNumId="21">
    <w:nsid w:val="3C5991AA"/>
    <w:multiLevelType w:val="hybridMultilevel"/>
    <w:lvl w:ilvl="0">
      <w:lvlJc w:val="left"/>
      <w:lvlText w:val="•"/>
      <w:numFmt w:val="bullet"/>
      <w:start w:val="1"/>
    </w:lvl>
  </w:abstractNum>
  <w:abstractNum w:abstractNumId="22">
    <w:nsid w:val="4BD8591A"/>
    <w:multiLevelType w:val="hybridMultilevel"/>
    <w:lvl w:ilvl="0">
      <w:lvlJc w:val="left"/>
      <w:lvlText w:val="•"/>
      <w:numFmt w:val="bullet"/>
      <w:start w:val="1"/>
    </w:lvl>
  </w:abstractNum>
  <w:abstractNum w:abstractNumId="23">
    <w:nsid w:val="78DF6A55"/>
    <w:multiLevelType w:val="hybridMultilevel"/>
    <w:lvl w:ilvl="0">
      <w:lvlJc w:val="left"/>
      <w:lvlText w:val="•"/>
      <w:numFmt w:val="bullet"/>
      <w:start w:val="1"/>
    </w:lvl>
  </w:abstractNum>
  <w:abstractNum w:abstractNumId="24">
    <w:nsid w:val="39B7AAA2"/>
    <w:multiLevelType w:val="hybridMultilevel"/>
    <w:lvl w:ilvl="0">
      <w:lvlJc w:val="left"/>
      <w:lvlText w:val="•"/>
      <w:numFmt w:val="bullet"/>
      <w:start w:val="1"/>
    </w:lvl>
  </w:abstractNum>
  <w:abstractNum w:abstractNumId="25">
    <w:nsid w:val="2B0D8DBE"/>
    <w:multiLevelType w:val="hybridMultilevel"/>
    <w:lvl w:ilvl="0">
      <w:lvlJc w:val="left"/>
      <w:lvlText w:val="•"/>
      <w:numFmt w:val="bullet"/>
      <w:start w:val="1"/>
    </w:lvl>
  </w:abstractNum>
  <w:abstractNum w:abstractNumId="26">
    <w:nsid w:val="6C80EC70"/>
    <w:multiLevelType w:val="hybridMultilevel"/>
    <w:lvl w:ilvl="0">
      <w:lvlJc w:val="left"/>
      <w:lvlText w:val="•"/>
      <w:numFmt w:val="bullet"/>
      <w:start w:val="1"/>
    </w:lvl>
  </w:abstractNum>
  <w:abstractNum w:abstractNumId="27">
    <w:nsid w:val="379E21B5"/>
    <w:multiLevelType w:val="hybridMultilevel"/>
    <w:lvl w:ilvl="0">
      <w:lvlJc w:val="left"/>
      <w:lvlText w:val="•"/>
      <w:numFmt w:val="bullet"/>
      <w:start w:val="1"/>
    </w:lvl>
  </w:abstractNum>
  <w:abstractNum w:abstractNumId="28">
    <w:nsid w:val="69E373"/>
    <w:multiLevelType w:val="hybridMultilevel"/>
    <w:lvl w:ilvl="0">
      <w:lvlJc w:val="left"/>
      <w:lvlText w:val="•"/>
      <w:numFmt w:val="bullet"/>
      <w:start w:val="1"/>
    </w:lvl>
  </w:abstractNum>
  <w:abstractNum w:abstractNumId="29">
    <w:nsid w:val="2C27173B"/>
    <w:multiLevelType w:val="hybridMultilevel"/>
    <w:lvl w:ilvl="0">
      <w:lvlJc w:val="left"/>
      <w:lvlText w:val="•"/>
      <w:numFmt w:val="bullet"/>
      <w:start w:val="1"/>
    </w:lvl>
  </w:abstractNum>
  <w:abstractNum w:abstractNumId="30">
    <w:nsid w:val="4C9B0904"/>
    <w:multiLevelType w:val="hybridMultilevel"/>
    <w:lvl w:ilvl="0">
      <w:lvlJc w:val="left"/>
      <w:lvlText w:val="•"/>
      <w:numFmt w:val="bullet"/>
      <w:start w:val="1"/>
    </w:lvl>
  </w:abstractNum>
  <w:abstractNum w:abstractNumId="31">
    <w:nsid w:val="6AA7B75C"/>
    <w:multiLevelType w:val="hybridMultilevel"/>
    <w:lvl w:ilvl="0">
      <w:lvlJc w:val="left"/>
      <w:lvlText w:val="•"/>
      <w:numFmt w:val="bullet"/>
      <w:start w:val="1"/>
    </w:lvl>
  </w:abstractNum>
  <w:abstractNum w:abstractNumId="32">
    <w:nsid w:val="1DF029D3"/>
    <w:multiLevelType w:val="hybridMultilevel"/>
    <w:lvl w:ilvl="0">
      <w:lvlJc w:val="left"/>
      <w:lvlText w:val="•"/>
      <w:numFmt w:val="bullet"/>
      <w:start w:val="1"/>
    </w:lvl>
  </w:abstractNum>
  <w:abstractNum w:abstractNumId="33">
    <w:nsid w:val="5675FF36"/>
    <w:multiLevelType w:val="hybridMultilevel"/>
    <w:lvl w:ilvl="0">
      <w:lvlJc w:val="left"/>
      <w:lvlText w:val="•"/>
      <w:numFmt w:val="bullet"/>
      <w:start w:val="1"/>
    </w:lvl>
  </w:abstractNum>
  <w:abstractNum w:abstractNumId="34">
    <w:nsid w:val="3DD15094"/>
    <w:multiLevelType w:val="hybridMultilevel"/>
    <w:lvl w:ilvl="0">
      <w:lvlJc w:val="left"/>
      <w:lvlText w:val="•"/>
      <w:numFmt w:val="bullet"/>
      <w:start w:val="1"/>
    </w:lvl>
  </w:abstractNum>
  <w:abstractNum w:abstractNumId="35">
    <w:nsid w:val="3DB012B3"/>
    <w:multiLevelType w:val="hybridMultilevel"/>
    <w:lvl w:ilvl="0">
      <w:lvlJc w:val="left"/>
      <w:lvlText w:val="•"/>
      <w:numFmt w:val="bullet"/>
      <w:start w:val="1"/>
    </w:lvl>
  </w:abstractNum>
  <w:abstractNum w:abstractNumId="36">
    <w:nsid w:val="2708C9AF"/>
    <w:multiLevelType w:val="hybridMultilevel"/>
    <w:lvl w:ilvl="0">
      <w:lvlJc w:val="left"/>
      <w:lvlText w:val="•"/>
      <w:numFmt w:val="bullet"/>
      <w:start w:val="1"/>
    </w:lvl>
  </w:abstractNum>
  <w:abstractNum w:abstractNumId="37">
    <w:nsid w:val="5B25ACE2"/>
    <w:multiLevelType w:val="hybridMultilevel"/>
    <w:lvl w:ilvl="0">
      <w:lvlJc w:val="left"/>
      <w:lvlText w:val="•"/>
      <w:numFmt w:val="bullet"/>
      <w:start w:val="1"/>
    </w:lvl>
  </w:abstractNum>
  <w:abstractNum w:abstractNumId="38">
    <w:nsid w:val="175DFCF0"/>
    <w:multiLevelType w:val="hybridMultilevel"/>
    <w:lvl w:ilvl="0">
      <w:lvlJc w:val="left"/>
      <w:lvlText w:val="•"/>
      <w:numFmt w:val="bullet"/>
      <w:start w:val="1"/>
    </w:lvl>
  </w:abstractNum>
  <w:abstractNum w:abstractNumId="39">
    <w:nsid w:val="4F97E3E4"/>
    <w:multiLevelType w:val="hybridMultilevel"/>
    <w:lvl w:ilvl="0">
      <w:lvlJc w:val="left"/>
      <w:lvlText w:val="•"/>
      <w:numFmt w:val="bullet"/>
      <w:start w:val="1"/>
    </w:lvl>
  </w:abstractNum>
  <w:abstractNum w:abstractNumId="40">
    <w:nsid w:val="53B0A9E"/>
    <w:multiLevelType w:val="hybridMultilevel"/>
    <w:lvl w:ilvl="0">
      <w:lvlJc w:val="left"/>
      <w:lvlText w:val="•"/>
      <w:numFmt w:val="bullet"/>
      <w:start w:val="1"/>
    </w:lvl>
  </w:abstractNum>
  <w:abstractNum w:abstractNumId="41">
    <w:nsid w:val="34FD6B4F"/>
    <w:multiLevelType w:val="hybridMultilevel"/>
    <w:lvl w:ilvl="0">
      <w:lvlJc w:val="left"/>
      <w:lvlText w:val="•"/>
      <w:numFmt w:val="bullet"/>
      <w:start w:val="1"/>
    </w:lvl>
  </w:abstractNum>
  <w:abstractNum w:abstractNumId="42">
    <w:nsid w:val="5915FF32"/>
    <w:multiLevelType w:val="hybridMultilevel"/>
    <w:lvl w:ilvl="0">
      <w:lvlJc w:val="left"/>
      <w:lvlText w:val="•"/>
      <w:numFmt w:val="bullet"/>
      <w:start w:val="1"/>
    </w:lvl>
  </w:abstractNum>
  <w:abstractNum w:abstractNumId="43">
    <w:nsid w:val="56438D15"/>
    <w:multiLevelType w:val="hybridMultilevel"/>
    <w:lvl w:ilvl="0">
      <w:lvlJc w:val="left"/>
      <w:lvlText w:val="*"/>
      <w:numFmt w:val="bullet"/>
      <w:start w:val="1"/>
    </w:lvl>
  </w:abstractNum>
  <w:abstractNum w:abstractNumId="44">
    <w:nsid w:val="519E3149"/>
    <w:multiLevelType w:val="hybridMultilevel"/>
    <w:lvl w:ilvl="0">
      <w:lvlJc w:val="left"/>
      <w:lvlText w:val="**"/>
      <w:numFmt w:val="bullet"/>
      <w:start w:val="1"/>
    </w:lvl>
  </w:abstractNum>
  <w:abstractNum w:abstractNumId="45">
    <w:nsid w:val="2C6E4AFD"/>
    <w:multiLevelType w:val="hybridMultilevel"/>
    <w:lvl w:ilvl="0">
      <w:lvlJc w:val="left"/>
      <w:lvlText w:val="•"/>
      <w:numFmt w:val="bullet"/>
      <w:start w:val="1"/>
    </w:lvl>
  </w:abstractNum>
  <w:abstractNum w:abstractNumId="46">
    <w:nsid w:val="17A1B582"/>
    <w:multiLevelType w:val="hybridMultilevel"/>
    <w:lvl w:ilvl="0">
      <w:lvlJc w:val="left"/>
      <w:lvlText w:val="•"/>
      <w:numFmt w:val="bullet"/>
      <w:start w:val="1"/>
    </w:lvl>
  </w:abstractNum>
  <w:abstractNum w:abstractNumId="47">
    <w:nsid w:val="4DF72E4E"/>
    <w:multiLevelType w:val="hybridMultilevel"/>
    <w:lvl w:ilvl="0">
      <w:lvlJc w:val="left"/>
      <w:lvlText w:val="(%1)"/>
      <w:numFmt w:val="decimal"/>
      <w:start w:val="1"/>
    </w:lvl>
  </w:abstractNum>
  <w:abstractNum w:abstractNumId="48">
    <w:nsid w:val="5046B5A9"/>
    <w:multiLevelType w:val="hybridMultilevel"/>
    <w:lvl w:ilvl="0">
      <w:lvlJc w:val="left"/>
      <w:lvlText w:val="•"/>
      <w:numFmt w:val="bullet"/>
      <w:start w:val="1"/>
    </w:lvl>
  </w:abstractNum>
  <w:abstractNum w:abstractNumId="49">
    <w:nsid w:val="5D888A08"/>
    <w:multiLevelType w:val="hybridMultilevel"/>
    <w:lvl w:ilvl="0">
      <w:lvlJc w:val="left"/>
      <w:lvlText w:val="•"/>
      <w:numFmt w:val="bullet"/>
      <w:start w:val="1"/>
    </w:lvl>
  </w:abstractNum>
  <w:abstractNum w:abstractNumId="50">
    <w:nsid w:val="2A082C70"/>
    <w:multiLevelType w:val="hybridMultilevel"/>
    <w:lvl w:ilvl="0">
      <w:lvlJc w:val="left"/>
      <w:lvlText w:val="*"/>
      <w:numFmt w:val="bullet"/>
      <w:start w:val="1"/>
    </w:lvl>
    <w:lvl w:ilvl="1">
      <w:lvlJc w:val="left"/>
      <w:lvlText w:val="•"/>
      <w:numFmt w:val="bullet"/>
      <w:start w:val="1"/>
    </w:lvl>
  </w:abstractNum>
  <w:abstractNum w:abstractNumId="51">
    <w:nsid w:val="5EC6AFD4"/>
    <w:multiLevelType w:val="hybridMultilevel"/>
    <w:lvl w:ilvl="0">
      <w:lvlJc w:val="left"/>
      <w:lvlText w:val="•"/>
      <w:numFmt w:val="bullet"/>
      <w:start w:val="1"/>
    </w:lvl>
  </w:abstractNum>
  <w:abstractNum w:abstractNumId="52">
    <w:nsid w:val="19E21BB2"/>
    <w:multiLevelType w:val="hybridMultilevel"/>
    <w:lvl w:ilvl="0">
      <w:lvlJc w:val="left"/>
      <w:lvlText w:val="•"/>
      <w:numFmt w:val="bullet"/>
      <w:start w:val="1"/>
    </w:lvl>
  </w:abstractNum>
  <w:abstractNum w:abstractNumId="53">
    <w:nsid w:val="75E0858A"/>
    <w:multiLevelType w:val="hybridMultilevel"/>
    <w:lvl w:ilvl="0">
      <w:lvlJc w:val="left"/>
      <w:lvlText w:val="•"/>
      <w:numFmt w:val="bullet"/>
      <w:start w:val="1"/>
    </w:lvl>
  </w:abstractNum>
  <w:abstractNum w:abstractNumId="54">
    <w:nsid w:val="57A61A29"/>
    <w:multiLevelType w:val="hybridMultilevel"/>
    <w:lvl w:ilvl="0">
      <w:lvlJc w:val="left"/>
      <w:lvlText w:val="•"/>
      <w:numFmt w:val="bullet"/>
      <w:start w:val="1"/>
    </w:lvl>
    <w:lvl w:ilvl="1">
      <w:lvlJc w:val="left"/>
      <w:lvlText w:val="•"/>
      <w:numFmt w:val="bullet"/>
      <w:start w:val="1"/>
    </w:lvl>
  </w:abstractNum>
  <w:abstractNum w:abstractNumId="55">
    <w:nsid w:val="5399C654"/>
    <w:multiLevelType w:val="hybridMultilevel"/>
    <w:lvl w:ilvl="0">
      <w:lvlJc w:val="left"/>
      <w:lvlText w:val="•"/>
      <w:numFmt w:val="bullet"/>
      <w:start w:val="1"/>
    </w:lvl>
    <w:lvl w:ilvl="1">
      <w:lvlJc w:val="left"/>
      <w:lvlText w:val="•"/>
      <w:numFmt w:val="bullet"/>
      <w:start w:val="1"/>
    </w:lvl>
  </w:abstractNum>
  <w:abstractNum w:abstractNumId="56">
    <w:nsid w:val="20EE1348"/>
    <w:multiLevelType w:val="hybridMultilevel"/>
    <w:lvl w:ilvl="0">
      <w:lvlJc w:val="left"/>
      <w:lvlText w:val="•"/>
      <w:numFmt w:val="bullet"/>
      <w:start w:val="1"/>
    </w:lvl>
  </w:abstractNum>
  <w:abstractNum w:abstractNumId="57">
    <w:nsid w:val="4427069A"/>
    <w:multiLevelType w:val="hybridMultilevel"/>
    <w:lvl w:ilvl="0">
      <w:lvlJc w:val="left"/>
      <w:lvlText w:val="•"/>
      <w:numFmt w:val="bullet"/>
      <w:start w:val="1"/>
    </w:lvl>
  </w:abstractNum>
  <w:abstractNum w:abstractNumId="58">
    <w:nsid w:val="B37E80A"/>
    <w:multiLevelType w:val="hybridMultilevel"/>
    <w:lvl w:ilvl="0">
      <w:lvlJc w:val="left"/>
      <w:lvlText w:val="•"/>
      <w:numFmt w:val="bullet"/>
      <w:start w:val="1"/>
    </w:lvl>
  </w:abstractNum>
  <w:abstractNum w:abstractNumId="59">
    <w:nsid w:val="2157F6BC"/>
    <w:multiLevelType w:val="hybridMultilevel"/>
    <w:lvl w:ilvl="0">
      <w:lvlJc w:val="left"/>
      <w:lvlText w:val="2"/>
      <w:numFmt w:val="bullet"/>
      <w:start w:val="1"/>
    </w:lvl>
  </w:abstractNum>
  <w:abstractNum w:abstractNumId="60">
    <w:nsid w:val="704E1DD5"/>
    <w:multiLevelType w:val="hybridMultilevel"/>
    <w:lvl w:ilvl="0">
      <w:lvlJc w:val="left"/>
      <w:lvlText w:val="3"/>
      <w:numFmt w:val="bullet"/>
      <w:start w:val="1"/>
    </w:lvl>
  </w:abstractNum>
  <w:abstractNum w:abstractNumId="61">
    <w:nsid w:val="57D2F10E"/>
    <w:multiLevelType w:val="hybridMultilevel"/>
    <w:lvl w:ilvl="0">
      <w:lvlJc w:val="left"/>
      <w:lvlText w:val="4"/>
      <w:numFmt w:val="bullet"/>
      <w:start w:val="1"/>
    </w:lvl>
  </w:abstractNum>
  <w:abstractNum w:abstractNumId="62">
    <w:nsid w:val="BFFAE18"/>
    <w:multiLevelType w:val="hybridMultilevel"/>
    <w:lvl w:ilvl="0">
      <w:lvlJc w:val="left"/>
      <w:lvlText w:val="1"/>
      <w:numFmt w:val="bullet"/>
      <w:start w:val="1"/>
    </w:lvl>
  </w:abstractNum>
  <w:abstractNum w:abstractNumId="63">
    <w:nsid w:val="E3E47A8"/>
    <w:multiLevelType w:val="hybridMultilevel"/>
    <w:lvl w:ilvl="0">
      <w:lvlJc w:val="left"/>
      <w:lvlText w:val="2"/>
      <w:numFmt w:val="bullet"/>
      <w:start w:val="1"/>
    </w:lvl>
  </w:abstractNum>
  <w:abstractNum w:abstractNumId="64">
    <w:nsid w:val="2E48F044"/>
    <w:multiLevelType w:val="hybridMultilevel"/>
    <w:lvl w:ilvl="0">
      <w:lvlJc w:val="left"/>
      <w:lvlText w:val="3"/>
      <w:numFmt w:val="bullet"/>
      <w:start w:val="1"/>
    </w:lvl>
  </w:abstractNum>
  <w:abstractNum w:abstractNumId="65">
    <w:nsid w:val="49D0FEAC"/>
    <w:multiLevelType w:val="hybridMultilevel"/>
    <w:lvl w:ilvl="0">
      <w:lvlJc w:val="left"/>
      <w:lvlText w:val="4"/>
      <w:numFmt w:val="bullet"/>
      <w:start w:val="1"/>
    </w:lvl>
  </w:abstractNum>
  <w:abstractNum w:abstractNumId="66">
    <w:nsid w:val="4BEE5A5B"/>
    <w:multiLevelType w:val="hybridMultilevel"/>
    <w:lvl w:ilvl="0">
      <w:lvlJc w:val="left"/>
      <w:lvlText w:val="5"/>
      <w:numFmt w:val="bullet"/>
      <w:start w:val="1"/>
    </w:lvl>
  </w:abstractNum>
  <w:abstractNum w:abstractNumId="67">
    <w:nsid w:val="5551B9F3"/>
    <w:multiLevelType w:val="hybridMultilevel"/>
    <w:lvl w:ilvl="0">
      <w:lvlJc w:val="left"/>
      <w:lvlText w:val="6"/>
      <w:numFmt w:val="bullet"/>
      <w:start w:val="1"/>
    </w:lvl>
  </w:abstractNum>
  <w:abstractNum w:abstractNumId="68">
    <w:nsid w:val="24F6AB8E"/>
    <w:multiLevelType w:val="hybridMultilevel"/>
    <w:lvl w:ilvl="0">
      <w:lvlJc w:val="left"/>
      <w:lvlText w:val="•"/>
      <w:numFmt w:val="bullet"/>
      <w:start w:val="1"/>
    </w:lvl>
  </w:abstractNum>
  <w:abstractNum w:abstractNumId="69">
    <w:nsid w:val="634C574C"/>
    <w:multiLevelType w:val="hybridMultilevel"/>
    <w:lvl w:ilvl="0">
      <w:lvlJc w:val="left"/>
      <w:lvlText w:val="*"/>
      <w:numFmt w:val="bullet"/>
      <w:start w:val="1"/>
    </w:lvl>
  </w:abstractNum>
  <w:abstractNum w:abstractNumId="70">
    <w:nsid w:val="24E99DD7"/>
    <w:multiLevelType w:val="hybridMultilevel"/>
    <w:lvl w:ilvl="0">
      <w:lvlJc w:val="left"/>
      <w:lvlText w:val="1"/>
      <w:numFmt w:val="bullet"/>
      <w:start w:val="1"/>
    </w:lvl>
  </w:abstractNum>
  <w:abstractNum w:abstractNumId="71">
    <w:nsid w:val="2A31B62D"/>
    <w:multiLevelType w:val="hybridMultilevel"/>
    <w:lvl w:ilvl="0">
      <w:lvlJc w:val="left"/>
      <w:lvlText w:val="2"/>
      <w:numFmt w:val="bullet"/>
      <w:start w:val="1"/>
    </w:lvl>
  </w:abstractNum>
  <w:abstractNum w:abstractNumId="72">
    <w:nsid w:val="1849C29B"/>
    <w:multiLevelType w:val="hybridMultilevel"/>
    <w:lvl w:ilvl="0">
      <w:lvlJc w:val="left"/>
      <w:lvlText w:val="3"/>
      <w:numFmt w:val="bullet"/>
      <w:start w:val="1"/>
    </w:lvl>
  </w:abstractNum>
  <w:abstractNum w:abstractNumId="73">
    <w:nsid w:val="7DFF9D09"/>
    <w:multiLevelType w:val="hybridMultilevel"/>
    <w:lvl w:ilvl="0">
      <w:lvlJc w:val="left"/>
      <w:lvlText w:val="4"/>
      <w:numFmt w:val="bullet"/>
      <w:start w:val="1"/>
    </w:lvl>
  </w:abstractNum>
  <w:abstractNum w:abstractNumId="74">
    <w:nsid w:val="754342"/>
    <w:multiLevelType w:val="hybridMultilevel"/>
    <w:lvl w:ilvl="0">
      <w:lvlJc w:val="left"/>
      <w:lvlText w:val="5"/>
      <w:numFmt w:val="bullet"/>
      <w:start w:val="1"/>
    </w:lvl>
  </w:abstractNum>
  <w:abstractNum w:abstractNumId="75">
    <w:nsid w:val="69E7F3E5"/>
    <w:multiLevelType w:val="hybridMultilevel"/>
    <w:lvl w:ilvl="0">
      <w:lvlJc w:val="left"/>
      <w:lvlText w:val="6"/>
      <w:numFmt w:val="bullet"/>
      <w:start w:val="1"/>
    </w:lvl>
  </w:abstractNum>
  <w:abstractNum w:abstractNumId="76">
    <w:nsid w:val="2A6DE806"/>
    <w:multiLevelType w:val="hybridMultilevel"/>
    <w:lvl w:ilvl="0">
      <w:lvlJc w:val="left"/>
      <w:lvlText w:val="7"/>
      <w:numFmt w:val="bullet"/>
      <w:start w:val="1"/>
    </w:lvl>
  </w:abstractNum>
  <w:abstractNum w:abstractNumId="77">
    <w:nsid w:val="1816F8C4"/>
    <w:multiLevelType w:val="hybridMultilevel"/>
    <w:lvl w:ilvl="0">
      <w:lvlJc w:val="left"/>
      <w:lvlText w:val="8"/>
      <w:numFmt w:val="bullet"/>
      <w:start w:val="1"/>
    </w:lvl>
  </w:abstractNum>
  <w:abstractNum w:abstractNumId="78">
    <w:nsid w:val="37DF2233"/>
    <w:multiLevelType w:val="hybridMultilevel"/>
    <w:lvl w:ilvl="0">
      <w:lvlJc w:val="left"/>
      <w:lvlText w:val="9"/>
      <w:numFmt w:val="bullet"/>
      <w:start w:val="1"/>
    </w:lvl>
  </w:abstractNum>
  <w:abstractNum w:abstractNumId="79">
    <w:nsid w:val="7AB49DAF"/>
    <w:multiLevelType w:val="hybridMultilevel"/>
    <w:lvl w:ilvl="0">
      <w:lvlJc w:val="left"/>
      <w:lvlText w:val="%1"/>
      <w:numFmt w:val="decimal"/>
      <w:start w:val="10"/>
    </w:lvl>
    <w:lvl w:ilvl="1">
      <w:lvlJc w:val="left"/>
      <w:lvlText w:val="(%2)"/>
      <w:numFmt w:val="lowerRoman"/>
      <w:start w:val="2"/>
    </w:lvl>
  </w:abstractNum>
  <w:abstractNum w:abstractNumId="80">
    <w:nsid w:val="759F82CD"/>
    <w:multiLevelType w:val="hybridMultilevel"/>
    <w:lvl w:ilvl="0">
      <w:lvlJc w:val="left"/>
      <w:lvlText w:val="%1"/>
      <w:numFmt w:val="decimal"/>
      <w:start w:val="18"/>
    </w:lvl>
    <w:lvl w:ilvl="1">
      <w:lvlJc w:val="left"/>
      <w:lvlText w:val="(%2)"/>
      <w:numFmt w:val="lowerRoman"/>
      <w:start w:val="2"/>
    </w:lvl>
  </w:abstractNum>
  <w:abstractNum w:abstractNumId="81">
    <w:nsid w:val="61E74EA3"/>
    <w:multiLevelType w:val="hybridMultilevel"/>
    <w:lvl w:ilvl="0">
      <w:lvlJc w:val="left"/>
      <w:lvlText w:val="1"/>
      <w:numFmt w:val="bullet"/>
      <w:start w:val="1"/>
    </w:lvl>
  </w:abstractNum>
  <w:abstractNum w:abstractNumId="82">
    <w:nsid w:val="597B4D84"/>
    <w:multiLevelType w:val="hybridMultilevel"/>
    <w:lvl w:ilvl="0">
      <w:lvlJc w:val="left"/>
      <w:lvlText w:val="2"/>
      <w:numFmt w:val="bullet"/>
      <w:start w:val="1"/>
    </w:lvl>
  </w:abstractNum>
  <w:abstractNum w:abstractNumId="83">
    <w:nsid w:val="F819E7F"/>
    <w:multiLevelType w:val="hybridMultilevel"/>
    <w:lvl w:ilvl="0">
      <w:lvlJc w:val="left"/>
      <w:lvlText w:val="3"/>
      <w:numFmt w:val="bullet"/>
      <w:start w:val="1"/>
    </w:lvl>
  </w:abstractNum>
  <w:abstractNum w:abstractNumId="84">
    <w:nsid w:val="57C7D42D"/>
    <w:multiLevelType w:val="hybridMultilevel"/>
    <w:lvl w:ilvl="0">
      <w:lvlJc w:val="left"/>
      <w:lvlText w:val="1"/>
      <w:numFmt w:val="bullet"/>
      <w:start w:val="1"/>
    </w:lvl>
  </w:abstractNum>
  <w:abstractNum w:abstractNumId="85">
    <w:nsid w:val="312167AD"/>
    <w:multiLevelType w:val="hybridMultilevel"/>
    <w:lvl w:ilvl="0">
      <w:lvlJc w:val="left"/>
      <w:lvlText w:val="2"/>
      <w:numFmt w:val="bullet"/>
      <w:start w:val="1"/>
    </w:lvl>
  </w:abstractNum>
  <w:abstractNum w:abstractNumId="86">
    <w:nsid w:val="631B64D4"/>
    <w:multiLevelType w:val="hybridMultilevel"/>
    <w:lvl w:ilvl="0">
      <w:lvlJc w:val="left"/>
      <w:lvlText w:val="3"/>
      <w:numFmt w:val="bullet"/>
      <w:start w:val="1"/>
    </w:lvl>
  </w:abstractNum>
  <w:abstractNum w:abstractNumId="87">
    <w:nsid w:val="78B5E776"/>
    <w:multiLevelType w:val="hybridMultilevel"/>
    <w:lvl w:ilvl="0">
      <w:lvlJc w:val="left"/>
      <w:lvlText w:val="%1."/>
      <w:numFmt w:val="decimal"/>
      <w:start w:val="1"/>
    </w:lvl>
  </w:abstractNum>
  <w:abstractNum w:abstractNumId="88">
    <w:nsid w:val="75486E47"/>
    <w:multiLevelType w:val="hybridMultilevel"/>
    <w:lvl w:ilvl="0">
      <w:lvlJc w:val="left"/>
      <w:lvlText w:val="%1."/>
      <w:numFmt w:val="decimal"/>
      <w:start w:val="2"/>
    </w:lvl>
    <w:lvl w:ilvl="1">
      <w:lvlJc w:val="left"/>
      <w:lvlText w:val="*"/>
      <w:numFmt w:val="bullet"/>
      <w:start w:val="1"/>
    </w:lvl>
  </w:abstractNum>
  <w:abstractNum w:abstractNumId="89">
    <w:nsid w:val="6E534CDE"/>
    <w:multiLevelType w:val="hybridMultilevel"/>
    <w:lvl w:ilvl="0">
      <w:lvlJc w:val="left"/>
      <w:lvlText w:val="*"/>
      <w:numFmt w:val="bullet"/>
      <w:start w:val="1"/>
    </w:lvl>
  </w:abstractNum>
  <w:abstractNum w:abstractNumId="90">
    <w:nsid w:val="1A0DDE32"/>
    <w:multiLevelType w:val="hybridMultilevel"/>
    <w:lvl w:ilvl="0">
      <w:lvlJc w:val="left"/>
      <w:lvlText w:val="•"/>
      <w:numFmt w:val="bullet"/>
      <w:start w:val="1"/>
    </w:lvl>
  </w:abstractNum>
  <w:abstractNum w:abstractNumId="91">
    <w:nsid w:val="65968C1C"/>
    <w:multiLevelType w:val="hybridMultilevel"/>
    <w:lvl w:ilvl="0">
      <w:lvlJc w:val="left"/>
      <w:lvlText w:val="•"/>
      <w:numFmt w:val="bullet"/>
      <w:start w:val="1"/>
    </w:lvl>
  </w:abstractNum>
  <w:abstractNum w:abstractNumId="92">
    <w:nsid w:val="46263DEC"/>
    <w:multiLevelType w:val="hybridMultilevel"/>
    <w:lvl w:ilvl="0">
      <w:lvlJc w:val="left"/>
      <w:lvlText w:val="•"/>
      <w:numFmt w:val="bullet"/>
      <w:start w:val="1"/>
    </w:lvl>
  </w:abstractNum>
  <w:abstractNum w:abstractNumId="93">
    <w:nsid w:val="260D8C4A"/>
    <w:multiLevelType w:val="hybridMultilevel"/>
    <w:lvl w:ilvl="0">
      <w:lvlJc w:val="left"/>
      <w:lvlText w:val="•"/>
      <w:numFmt w:val="bullet"/>
      <w:start w:val="1"/>
    </w:lvl>
  </w:abstractNum>
  <w:abstractNum w:abstractNumId="94">
    <w:nsid w:val="73D4D3C4"/>
    <w:multiLevelType w:val="hybridMultilevel"/>
    <w:lvl w:ilvl="0">
      <w:lvlJc w:val="left"/>
      <w:lvlText w:val="•"/>
      <w:numFmt w:val="bullet"/>
      <w:start w:val="1"/>
    </w:lvl>
  </w:abstractNum>
  <w:abstractNum w:abstractNumId="95">
    <w:nsid w:val="746F2E30"/>
    <w:multiLevelType w:val="hybridMultilevel"/>
    <w:lvl w:ilvl="0">
      <w:lvlJc w:val="left"/>
      <w:lvlText w:val="•"/>
      <w:numFmt w:val="bullet"/>
      <w:start w:val="1"/>
    </w:lvl>
  </w:abstractNum>
  <w:abstractNum w:abstractNumId="96">
    <w:nsid w:val="6FDE8AF6"/>
    <w:multiLevelType w:val="hybridMultilevel"/>
    <w:lvl w:ilvl="0">
      <w:lvlJc w:val="left"/>
      <w:lvlText w:val="•"/>
      <w:numFmt w:val="bullet"/>
      <w:start w:val="1"/>
    </w:lvl>
  </w:abstractNum>
  <w:abstractNum w:abstractNumId="97">
    <w:nsid w:val="3FC32E20"/>
    <w:multiLevelType w:val="hybridMultilevel"/>
    <w:lvl w:ilvl="0">
      <w:lvlJc w:val="left"/>
      <w:lvlText w:val="•"/>
      <w:numFmt w:val="bullet"/>
      <w:start w:val="1"/>
    </w:lvl>
  </w:abstractNum>
  <w:abstractNum w:abstractNumId="98">
    <w:nsid w:val="49C0E823"/>
    <w:multiLevelType w:val="hybridMultilevel"/>
    <w:lvl w:ilvl="0">
      <w:lvlJc w:val="left"/>
      <w:lvlText w:val="*"/>
      <w:numFmt w:val="bullet"/>
      <w:start w:val="1"/>
    </w:lvl>
  </w:abstractNum>
  <w:abstractNum w:abstractNumId="99">
    <w:nsid w:val="14D53685"/>
    <w:multiLevelType w:val="hybridMultilevel"/>
    <w:lvl w:ilvl="0">
      <w:lvlJc w:val="left"/>
      <w:lvlText w:val="4"/>
      <w:numFmt w:val="bullet"/>
      <w:start w:val="1"/>
    </w:lvl>
  </w:abstractNum>
  <w:abstractNum w:abstractNumId="100">
    <w:nsid w:val="230F856C"/>
    <w:multiLevelType w:val="hybridMultilevel"/>
    <w:lvl w:ilvl="0">
      <w:lvlJc w:val="left"/>
      <w:lvlText w:val="1"/>
      <w:numFmt w:val="bullet"/>
      <w:start w:val="1"/>
    </w:lvl>
  </w:abstractNum>
  <w:abstractNum w:abstractNumId="101">
    <w:nsid w:val="6EAA85FB"/>
    <w:multiLevelType w:val="hybridMultilevel"/>
    <w:lvl w:ilvl="0">
      <w:lvlJc w:val="left"/>
      <w:lvlText w:val="2"/>
      <w:numFmt w:val="bullet"/>
      <w:start w:val="1"/>
    </w:lvl>
  </w:abstractNum>
  <w:abstractNum w:abstractNumId="102">
    <w:nsid w:val="3F06ECB2"/>
    <w:multiLevelType w:val="hybridMultilevel"/>
    <w:lvl w:ilvl="0">
      <w:lvlJc w:val="left"/>
      <w:lvlText w:val="*"/>
      <w:numFmt w:val="bullet"/>
      <w:start w:val="1"/>
    </w:lvl>
  </w:abstractNum>
  <w:abstractNum w:abstractNumId="103">
    <w:nsid w:val="3B594807"/>
    <w:multiLevelType w:val="hybridMultilevel"/>
    <w:lvl w:ilvl="0">
      <w:lvlJc w:val="left"/>
      <w:lvlText w:val="1"/>
      <w:numFmt w:val="bullet"/>
      <w:start w:val="1"/>
    </w:lvl>
  </w:abstractNum>
  <w:abstractNum w:abstractNumId="104">
    <w:nsid w:val="6CAA2304"/>
    <w:multiLevelType w:val="hybridMultilevel"/>
    <w:lvl w:ilvl="0">
      <w:lvlJc w:val="left"/>
      <w:lvlText w:val="2"/>
      <w:numFmt w:val="bullet"/>
      <w:start w:val="1"/>
    </w:lvl>
  </w:abstractNum>
  <w:abstractNum w:abstractNumId="105">
    <w:nsid w:val="3F7C2FF4"/>
    <w:multiLevelType w:val="hybridMultilevel"/>
    <w:lvl w:ilvl="0">
      <w:lvlJc w:val="left"/>
      <w:lvlText w:val="3"/>
      <w:numFmt w:val="bullet"/>
      <w:start w:val="1"/>
    </w:lvl>
  </w:abstractNum>
  <w:abstractNum w:abstractNumId="106">
    <w:nsid w:val="25413BEC"/>
    <w:multiLevelType w:val="hybridMultilevel"/>
    <w:lvl w:ilvl="0">
      <w:lvlJc w:val="left"/>
      <w:lvlText w:val="4"/>
      <w:numFmt w:val="bullet"/>
      <w:start w:val="1"/>
    </w:lvl>
  </w:abstractNum>
  <w:abstractNum w:abstractNumId="107">
    <w:nsid w:val="17180B0B"/>
    <w:multiLevelType w:val="hybridMultilevel"/>
    <w:lvl w:ilvl="0">
      <w:lvlJc w:val="left"/>
      <w:lvlText w:val="5"/>
      <w:numFmt w:val="bullet"/>
      <w:start w:val="1"/>
    </w:lvl>
  </w:abstractNum>
  <w:abstractNum w:abstractNumId="108">
    <w:nsid w:val="579328B9"/>
    <w:multiLevelType w:val="hybridMultilevel"/>
    <w:lvl w:ilvl="0">
      <w:lvlJc w:val="left"/>
      <w:lvlText w:val="•"/>
      <w:numFmt w:val="bullet"/>
      <w:start w:val="1"/>
    </w:lvl>
    <w:lvl w:ilvl="1">
      <w:lvlJc w:val="left"/>
      <w:lvlText w:val="•"/>
      <w:numFmt w:val="bullet"/>
      <w:start w:val="1"/>
    </w:lvl>
  </w:abstractNum>
  <w:abstractNum w:abstractNumId="109">
    <w:nsid w:val="5D205E20"/>
    <w:multiLevelType w:val="hybridMultilevel"/>
    <w:lvl w:ilvl="0">
      <w:lvlJc w:val="left"/>
      <w:lvlText w:val="•"/>
      <w:numFmt w:val="bullet"/>
      <w:start w:val="1"/>
    </w:lvl>
    <w:lvl w:ilvl="1">
      <w:lvlJc w:val="left"/>
      <w:lvlText w:val="•"/>
      <w:numFmt w:val="bullet"/>
      <w:start w:val="1"/>
    </w:lvl>
  </w:abstractNum>
  <w:abstractNum w:abstractNumId="110">
    <w:nsid w:val="11CCA8BA"/>
    <w:multiLevelType w:val="hybridMultilevel"/>
    <w:lvl w:ilvl="0">
      <w:lvlJc w:val="left"/>
      <w:lvlText w:val="*"/>
      <w:numFmt w:val="bullet"/>
      <w:start w:val="1"/>
    </w:lvl>
  </w:abstractNum>
  <w:abstractNum w:abstractNumId="111">
    <w:nsid w:val="4D32AB86"/>
    <w:multiLevelType w:val="hybridMultilevel"/>
    <w:lvl w:ilvl="0">
      <w:lvlJc w:val="left"/>
      <w:lvlText w:val="**"/>
      <w:numFmt w:val="bullet"/>
      <w:start w:val="1"/>
    </w:lvl>
  </w:abstractNum>
  <w:abstractNum w:abstractNumId="112">
    <w:nsid w:val="3F07ACC3"/>
    <w:multiLevelType w:val="hybridMultilevel"/>
    <w:lvl w:ilvl="0">
      <w:lvlJc w:val="left"/>
      <w:lvlText w:val="*"/>
      <w:numFmt w:val="bullet"/>
      <w:start w:val="1"/>
    </w:lvl>
  </w:abstractNum>
  <w:abstractNum w:abstractNumId="113">
    <w:nsid w:val="6B47F63E"/>
    <w:multiLevelType w:val="hybridMultilevel"/>
    <w:lvl w:ilvl="0">
      <w:lvlJc w:val="left"/>
      <w:lvlText w:val="**"/>
      <w:numFmt w:val="bullet"/>
      <w:start w:val="1"/>
    </w:lvl>
  </w:abstractNum>
  <w:abstractNum w:abstractNumId="114">
    <w:nsid w:val="5CB44A05"/>
    <w:multiLevelType w:val="hybridMultilevel"/>
    <w:lvl w:ilvl="0">
      <w:lvlJc w:val="left"/>
      <w:lvlText w:val="***"/>
      <w:numFmt w:val="bullet"/>
      <w:start w:val="1"/>
    </w:lvl>
  </w:abstractNum>
  <w:abstractNum w:abstractNumId="115">
    <w:nsid w:val="16CF80F1"/>
    <w:multiLevelType w:val="hybridMultilevel"/>
    <w:lvl w:ilvl="0">
      <w:lvlJc w:val="left"/>
      <w:lvlText w:val="•"/>
      <w:numFmt w:val="bullet"/>
      <w:start w:val="1"/>
    </w:lvl>
  </w:abstractNum>
  <w:abstractNum w:abstractNumId="116">
    <w:nsid w:val="1C695DEC"/>
    <w:multiLevelType w:val="hybridMultilevel"/>
    <w:lvl w:ilvl="0">
      <w:lvlJc w:val="left"/>
      <w:lvlText w:val="•"/>
      <w:numFmt w:val="bullet"/>
      <w:start w:val="1"/>
    </w:lvl>
  </w:abstractNum>
  <w:abstractNum w:abstractNumId="117">
    <w:nsid w:val="3FCFAED9"/>
    <w:multiLevelType w:val="hybridMultilevel"/>
    <w:lvl w:ilvl="0">
      <w:lvlJc w:val="left"/>
      <w:lvlText w:val="•"/>
      <w:numFmt w:val="bullet"/>
      <w:start w:val="1"/>
    </w:lvl>
  </w:abstractNum>
  <w:abstractNum w:abstractNumId="118">
    <w:nsid w:val="F856867"/>
    <w:multiLevelType w:val="hybridMultilevel"/>
    <w:lvl w:ilvl="0">
      <w:lvlJc w:val="left"/>
      <w:lvlText w:val="•"/>
      <w:numFmt w:val="bullet"/>
      <w:start w:val="1"/>
    </w:lvl>
  </w:abstractNum>
  <w:abstractNum w:abstractNumId="119">
    <w:nsid w:val="11B1CC33"/>
    <w:multiLevelType w:val="hybridMultilevel"/>
    <w:lvl w:ilvl="0">
      <w:lvlJc w:val="left"/>
      <w:lvlText w:val="•"/>
      <w:numFmt w:val="bullet"/>
      <w:start w:val="1"/>
    </w:lvl>
  </w:abstractNum>
  <w:abstractNum w:abstractNumId="120">
    <w:nsid w:val="2E22FBB7"/>
    <w:multiLevelType w:val="hybridMultilevel"/>
    <w:lvl w:ilvl="0">
      <w:lvlJc w:val="left"/>
      <w:lvlText w:val="•"/>
      <w:numFmt w:val="bullet"/>
      <w:start w:val="1"/>
    </w:lvl>
  </w:abstractNum>
  <w:abstractNum w:abstractNumId="121">
    <w:nsid w:val="29934699"/>
    <w:multiLevelType w:val="hybridMultilevel"/>
    <w:lvl w:ilvl="0">
      <w:lvlJc w:val="left"/>
      <w:lvlText w:val="•"/>
      <w:numFmt w:val="bullet"/>
      <w:start w:val="1"/>
    </w:lvl>
  </w:abstractNum>
  <w:abstractNum w:abstractNumId="122">
    <w:nsid w:val="77485850"/>
    <w:multiLevelType w:val="hybridMultilevel"/>
    <w:lvl w:ilvl="0">
      <w:lvlJc w:val="left"/>
      <w:lvlText w:val="•"/>
      <w:numFmt w:val="bullet"/>
      <w:start w:val="1"/>
    </w:lvl>
  </w:abstractNum>
  <w:abstractNum w:abstractNumId="123">
    <w:nsid w:val="744939A3"/>
    <w:multiLevelType w:val="hybridMultilevel"/>
    <w:lvl w:ilvl="0">
      <w:lvlJc w:val="left"/>
      <w:lvlText w:val="•"/>
      <w:numFmt w:val="bullet"/>
      <w:start w:val="1"/>
    </w:lvl>
  </w:abstractNum>
  <w:abstractNum w:abstractNumId="124">
    <w:nsid w:val="4FA0D2E3"/>
    <w:multiLevelType w:val="hybridMultilevel"/>
    <w:lvl w:ilvl="0">
      <w:lvlJc w:val="left"/>
      <w:lvlText w:val="•"/>
      <w:numFmt w:val="bullet"/>
      <w:start w:val="1"/>
    </w:lvl>
  </w:abstractNum>
  <w:abstractNum w:abstractNumId="125">
    <w:nsid w:val="6B1D2C14"/>
    <w:multiLevelType w:val="hybridMultilevel"/>
    <w:lvl w:ilvl="0">
      <w:lvlJc w:val="left"/>
      <w:lvlText w:val="•"/>
      <w:numFmt w:val="bullet"/>
      <w:start w:val="1"/>
    </w:lvl>
  </w:abstractNum>
  <w:abstractNum w:abstractNumId="126">
    <w:nsid w:val="68B867D3"/>
    <w:multiLevelType w:val="hybridMultilevel"/>
    <w:lvl w:ilvl="0">
      <w:lvlJc w:val="left"/>
      <w:lvlText w:val="•"/>
      <w:numFmt w:val="bullet"/>
      <w:start w:val="1"/>
    </w:lvl>
  </w:abstractNum>
  <w:abstractNum w:abstractNumId="127">
    <w:nsid w:val="3F7F5DD9"/>
    <w:multiLevelType w:val="hybridMultilevel"/>
    <w:lvl w:ilvl="0">
      <w:lvlJc w:val="left"/>
      <w:lvlText w:val="•"/>
      <w:numFmt w:val="bullet"/>
      <w:start w:val="1"/>
    </w:lvl>
  </w:abstractNum>
  <w:abstractNum w:abstractNumId="128">
    <w:nsid w:val="2AE05A34"/>
    <w:multiLevelType w:val="hybridMultilevel"/>
    <w:lvl w:ilvl="0">
      <w:lvlJc w:val="left"/>
      <w:lvlText w:val="•"/>
      <w:numFmt w:val="bullet"/>
      <w:start w:val="1"/>
    </w:lvl>
  </w:abstractNum>
  <w:abstractNum w:abstractNumId="129">
    <w:nsid w:val="32794FF7"/>
    <w:multiLevelType w:val="hybridMultilevel"/>
    <w:lvl w:ilvl="0">
      <w:lvlJc w:val="left"/>
      <w:lvlText w:val="*"/>
      <w:numFmt w:val="bullet"/>
      <w:start w:val="1"/>
    </w:lvl>
  </w:abstractNum>
  <w:abstractNum w:abstractNumId="130">
    <w:nsid w:val="5454945E"/>
    <w:multiLevelType w:val="hybridMultilevel"/>
    <w:lvl w:ilvl="0">
      <w:lvlJc w:val="left"/>
      <w:lvlText w:val="1"/>
      <w:numFmt w:val="bullet"/>
      <w:start w:val="1"/>
    </w:lvl>
  </w:abstractNum>
  <w:abstractNum w:abstractNumId="131">
    <w:nsid w:val="4DEFDFA0"/>
    <w:multiLevelType w:val="hybridMultilevel"/>
    <w:lvl w:ilvl="0">
      <w:lvlJc w:val="left"/>
      <w:lvlText w:val="1"/>
      <w:numFmt w:val="bullet"/>
      <w:start w:val="1"/>
    </w:lvl>
  </w:abstractNum>
  <w:abstractNum w:abstractNumId="132">
    <w:nsid w:val="2123D5F2"/>
    <w:multiLevelType w:val="hybridMultilevel"/>
    <w:lvl w:ilvl="0">
      <w:lvlJc w:val="left"/>
      <w:lvlText w:val="2"/>
      <w:numFmt w:val="bullet"/>
      <w:start w:val="1"/>
    </w:lvl>
  </w:abstractNum>
  <w:abstractNum w:abstractNumId="133">
    <w:nsid w:val="135B8110"/>
    <w:multiLevelType w:val="hybridMultilevel"/>
    <w:lvl w:ilvl="0">
      <w:lvlJc w:val="left"/>
      <w:lvlText w:val="3"/>
      <w:numFmt w:val="bullet"/>
      <w:start w:val="1"/>
    </w:lvl>
  </w:abstractNum>
  <w:abstractNum w:abstractNumId="134">
    <w:nsid w:val="94927A8"/>
    <w:multiLevelType w:val="hybridMultilevel"/>
    <w:lvl w:ilvl="0">
      <w:lvlJc w:val="left"/>
      <w:lvlText w:val="4"/>
      <w:numFmt w:val="bullet"/>
      <w:start w:val="1"/>
    </w:lvl>
  </w:abstractNum>
  <w:abstractNum w:abstractNumId="135">
    <w:nsid w:val="DCDF8F6"/>
    <w:multiLevelType w:val="hybridMultilevel"/>
    <w:lvl w:ilvl="0">
      <w:lvlJc w:val="left"/>
      <w:lvlText w:val="5"/>
      <w:numFmt w:val="bullet"/>
      <w:start w:val="1"/>
    </w:lvl>
  </w:abstractNum>
  <w:abstractNum w:abstractNumId="136">
    <w:nsid w:val="52D7B105"/>
    <w:multiLevelType w:val="hybridMultilevel"/>
    <w:lvl w:ilvl="0">
      <w:lvlJc w:val="left"/>
      <w:lvlText w:val="6"/>
      <w:numFmt w:val="bullet"/>
      <w:start w:val="1"/>
    </w:lvl>
  </w:abstractNum>
  <w:abstractNum w:abstractNumId="137">
    <w:nsid w:val="2E8A6394"/>
    <w:multiLevelType w:val="hybridMultilevel"/>
    <w:lvl w:ilvl="0">
      <w:lvlJc w:val="left"/>
      <w:lvlText w:val="1"/>
      <w:numFmt w:val="bullet"/>
      <w:start w:val="1"/>
    </w:lvl>
  </w:abstractNum>
  <w:abstractNum w:abstractNumId="138">
    <w:nsid w:val="24E60401"/>
    <w:multiLevelType w:val="hybridMultilevel"/>
    <w:lvl w:ilvl="0">
      <w:lvlJc w:val="left"/>
      <w:lvlText w:val="2"/>
      <w:numFmt w:val="bullet"/>
      <w:start w:val="1"/>
    </w:lvl>
  </w:abstractNum>
  <w:abstractNum w:abstractNumId="139">
    <w:nsid w:val="2A6AD9BE"/>
    <w:multiLevelType w:val="hybridMultilevel"/>
    <w:lvl w:ilvl="0">
      <w:lvlJc w:val="left"/>
      <w:lvlText w:val="3"/>
      <w:numFmt w:val="bullet"/>
      <w:start w:val="1"/>
    </w:lvl>
  </w:abstractNum>
  <w:abstractNum w:abstractNumId="140">
    <w:nsid w:val="BAAC1B4"/>
    <w:multiLevelType w:val="hybridMultilevel"/>
    <w:lvl w:ilvl="0">
      <w:lvlJc w:val="left"/>
      <w:lvlText w:val="4"/>
      <w:numFmt w:val="bullet"/>
      <w:start w:val="1"/>
    </w:lvl>
  </w:abstractNum>
  <w:abstractNum w:abstractNumId="141">
    <w:nsid w:val="36B2ACBC"/>
    <w:multiLevelType w:val="hybridMultilevel"/>
    <w:lvl w:ilvl="0">
      <w:lvlJc w:val="left"/>
      <w:lvlText w:val="5"/>
      <w:numFmt w:val="bullet"/>
      <w:start w:val="1"/>
    </w:lvl>
  </w:abstractNum>
  <w:abstractNum w:abstractNumId="142">
    <w:nsid w:val="779D8544"/>
    <w:multiLevelType w:val="hybridMultilevel"/>
    <w:lvl w:ilvl="0">
      <w:lvlJc w:val="left"/>
      <w:lvlText w:val="1"/>
      <w:numFmt w:val="bullet"/>
      <w:start w:val="1"/>
    </w:lvl>
  </w:abstractNum>
  <w:abstractNum w:abstractNumId="143">
    <w:nsid w:val="4AB26E78"/>
    <w:multiLevelType w:val="hybridMultilevel"/>
    <w:lvl w:ilvl="0">
      <w:lvlJc w:val="left"/>
      <w:lvlText w:val="2"/>
      <w:numFmt w:val="bullet"/>
      <w:start w:val="1"/>
    </w:lvl>
  </w:abstractNum>
  <w:abstractNum w:abstractNumId="144">
    <w:nsid w:val="21FAA2FA"/>
    <w:multiLevelType w:val="hybridMultilevel"/>
    <w:lvl w:ilvl="0">
      <w:lvlJc w:val="left"/>
      <w:lvlText w:val="3"/>
      <w:numFmt w:val="bullet"/>
      <w:start w:val="1"/>
    </w:lvl>
  </w:abstractNum>
  <w:abstractNum w:abstractNumId="145">
    <w:nsid w:val="5451CF49"/>
    <w:multiLevelType w:val="hybridMultilevel"/>
    <w:lvl w:ilvl="0">
      <w:lvlJc w:val="left"/>
      <w:lvlText w:val="4"/>
      <w:numFmt w:val="bullet"/>
      <w:start w:val="1"/>
    </w:lvl>
  </w:abstractNum>
  <w:abstractNum w:abstractNumId="146">
    <w:nsid w:val="6181EF69"/>
    <w:multiLevelType w:val="hybridMultilevel"/>
    <w:lvl w:ilvl="0">
      <w:lvlJc w:val="left"/>
      <w:lvlText w:val="5"/>
      <w:numFmt w:val="bullet"/>
      <w:start w:val="1"/>
    </w:lvl>
  </w:abstractNum>
  <w:abstractNum w:abstractNumId="147">
    <w:nsid w:val="3E6400E6"/>
    <w:multiLevelType w:val="hybridMultilevel"/>
    <w:lvl w:ilvl="0">
      <w:lvlJc w:val="left"/>
      <w:lvlText w:val="6"/>
      <w:numFmt w:val="bullet"/>
      <w:start w:val="1"/>
    </w:lvl>
  </w:abstractNum>
  <w:abstractNum w:abstractNumId="148">
    <w:nsid w:val="14217E23"/>
    <w:multiLevelType w:val="hybridMultilevel"/>
    <w:lvl w:ilvl="0">
      <w:lvlJc w:val="left"/>
      <w:lvlText w:val="7"/>
      <w:numFmt w:val="bullet"/>
      <w:start w:val="1"/>
    </w:lvl>
  </w:abstractNum>
  <w:abstractNum w:abstractNumId="149">
    <w:nsid w:val="710757D0"/>
    <w:multiLevelType w:val="hybridMultilevel"/>
    <w:lvl w:ilvl="0">
      <w:lvlJc w:val="left"/>
      <w:lvlText w:val="8"/>
      <w:numFmt w:val="bullet"/>
      <w:start w:val="1"/>
    </w:lvl>
  </w:abstractNum>
  <w:abstractNum w:abstractNumId="150">
    <w:nsid w:val="5015CD1A"/>
    <w:multiLevelType w:val="hybridMultilevel"/>
    <w:lvl w:ilvl="0">
      <w:lvlJc w:val="left"/>
      <w:lvlText w:val="9"/>
      <w:numFmt w:val="bullet"/>
      <w:start w:val="1"/>
    </w:lvl>
  </w:abstractNum>
  <w:abstractNum w:abstractNumId="151">
    <w:nsid w:val="424479DA"/>
    <w:multiLevelType w:val="hybridMultilevel"/>
    <w:lvl w:ilvl="0">
      <w:lvlJc w:val="left"/>
      <w:lvlText w:val="%1"/>
      <w:numFmt w:val="decimal"/>
      <w:start w:val="10"/>
    </w:lvl>
  </w:abstractNum>
  <w:abstractNum w:abstractNumId="152">
    <w:nsid w:val="1A9A9E69"/>
    <w:multiLevelType w:val="hybridMultilevel"/>
    <w:lvl w:ilvl="0">
      <w:lvlJc w:val="left"/>
      <w:lvlText w:val="1"/>
      <w:numFmt w:val="bullet"/>
      <w:start w:val="1"/>
    </w:lvl>
  </w:abstractNum>
  <w:abstractNum w:abstractNumId="153">
    <w:nsid w:val="475E256A"/>
    <w:multiLevelType w:val="hybridMultilevel"/>
    <w:lvl w:ilvl="0">
      <w:lvlJc w:val="left"/>
      <w:lvlText w:val="2"/>
      <w:numFmt w:val="bullet"/>
      <w:start w:val="1"/>
    </w:lvl>
  </w:abstractNum>
  <w:abstractNum w:abstractNumId="154">
    <w:nsid w:val="368DB37E"/>
    <w:multiLevelType w:val="hybridMultilevel"/>
    <w:lvl w:ilvl="0">
      <w:lvlJc w:val="left"/>
      <w:lvlText w:val="4"/>
      <w:numFmt w:val="bullet"/>
      <w:start w:val="1"/>
    </w:lvl>
  </w:abstractNum>
  <w:abstractNum w:abstractNumId="155">
    <w:nsid w:val="6A3B714C"/>
    <w:multiLevelType w:val="hybridMultilevel"/>
    <w:lvl w:ilvl="0">
      <w:lvlJc w:val="left"/>
      <w:lvlText w:val="1"/>
      <w:numFmt w:val="bullet"/>
      <w:start w:val="1"/>
    </w:lvl>
  </w:abstractNum>
  <w:abstractNum w:abstractNumId="156">
    <w:nsid w:val="327B517E"/>
    <w:multiLevelType w:val="hybridMultilevel"/>
    <w:lvl w:ilvl="0">
      <w:lvlJc w:val="left"/>
      <w:lvlText w:val="2"/>
      <w:numFmt w:val="bullet"/>
      <w:start w:val="1"/>
    </w:lvl>
  </w:abstractNum>
  <w:abstractNum w:abstractNumId="157">
    <w:nsid w:val="1F461B51"/>
    <w:multiLevelType w:val="hybridMultilevel"/>
    <w:lvl w:ilvl="0">
      <w:lvlJc w:val="left"/>
      <w:lvlText w:val="3"/>
      <w:numFmt w:val="bullet"/>
      <w:start w:val="1"/>
    </w:lvl>
  </w:abstractNum>
  <w:abstractNum w:abstractNumId="158">
    <w:nsid w:val="29BACF25"/>
    <w:multiLevelType w:val="hybridMultilevel"/>
    <w:lvl w:ilvl="0">
      <w:lvlJc w:val="left"/>
      <w:lvlText w:val="4"/>
      <w:numFmt w:val="bullet"/>
      <w:start w:val="1"/>
    </w:lvl>
  </w:abstractNum>
  <w:abstractNum w:abstractNumId="159">
    <w:nsid w:val="5D5BABB3"/>
    <w:multiLevelType w:val="hybridMultilevel"/>
    <w:lvl w:ilvl="0">
      <w:lvlJc w:val="left"/>
      <w:lvlText w:val="5"/>
      <w:numFmt w:val="bullet"/>
      <w:start w:val="1"/>
    </w:lvl>
  </w:abstractNum>
  <w:abstractNum w:abstractNumId="160">
    <w:nsid w:val="51BF6B48"/>
    <w:multiLevelType w:val="hybridMultilevel"/>
    <w:lvl w:ilvl="0">
      <w:lvlJc w:val="left"/>
      <w:lvlText w:val="6"/>
      <w:numFmt w:val="bullet"/>
      <w:start w:val="1"/>
    </w:lvl>
  </w:abstractNum>
  <w:abstractNum w:abstractNumId="161">
    <w:nsid w:val="7E0F6384"/>
    <w:multiLevelType w:val="hybridMultilevel"/>
    <w:lvl w:ilvl="0">
      <w:lvlJc w:val="left"/>
      <w:lvlText w:val="7"/>
      <w:numFmt w:val="bullet"/>
      <w:start w:val="1"/>
    </w:lvl>
  </w:abstractNum>
  <w:abstractNum w:abstractNumId="162">
    <w:nsid w:val="2B4B8B53"/>
    <w:multiLevelType w:val="hybridMultilevel"/>
    <w:lvl w:ilvl="0">
      <w:lvlJc w:val="left"/>
      <w:lvlText w:val="8"/>
      <w:numFmt w:val="bullet"/>
      <w:start w:val="1"/>
    </w:lvl>
  </w:abstractNum>
  <w:abstractNum w:abstractNumId="163">
    <w:nsid w:val="72E3413A"/>
    <w:multiLevelType w:val="hybridMultilevel"/>
    <w:lvl w:ilvl="0">
      <w:lvlJc w:val="left"/>
      <w:lvlText w:val="9"/>
      <w:numFmt w:val="bullet"/>
      <w:start w:val="1"/>
    </w:lvl>
  </w:abstractNum>
  <w:abstractNum w:abstractNumId="164">
    <w:nsid w:val="116AE494"/>
    <w:multiLevelType w:val="hybridMultilevel"/>
    <w:lvl w:ilvl="0">
      <w:lvlJc w:val="left"/>
      <w:lvlText w:val="%1"/>
      <w:numFmt w:val="decimal"/>
      <w:start w:val="10"/>
    </w:lvl>
  </w:abstractNum>
  <w:abstractNum w:abstractNumId="165">
    <w:nsid w:val="3494B2FB"/>
    <w:multiLevelType w:val="hybridMultilevel"/>
    <w:lvl w:ilvl="0">
      <w:lvlJc w:val="left"/>
      <w:lvlText w:val="(%1)"/>
      <w:numFmt w:val="lowerRoman"/>
      <w:start w:val="1"/>
    </w:lvl>
  </w:abstractNum>
  <w:abstractNum w:abstractNumId="166">
    <w:nsid w:val="B13A31"/>
    <w:multiLevelType w:val="hybridMultilevel"/>
    <w:lvl w:ilvl="0">
      <w:lvlJc w:val="left"/>
      <w:lvlText w:val="1"/>
      <w:numFmt w:val="bullet"/>
      <w:start w:val="1"/>
    </w:lvl>
  </w:abstractNum>
  <w:abstractNum w:abstractNumId="167">
    <w:nsid w:val="64429599"/>
    <w:multiLevelType w:val="hybridMultilevel"/>
    <w:lvl w:ilvl="0">
      <w:lvlJc w:val="left"/>
      <w:lvlText w:val="2"/>
      <w:numFmt w:val="bullet"/>
      <w:start w:val="1"/>
    </w:lvl>
  </w:abstractNum>
  <w:abstractNum w:abstractNumId="168">
    <w:nsid w:val="631F1690"/>
    <w:multiLevelType w:val="hybridMultilevel"/>
    <w:lvl w:ilvl="0">
      <w:lvlJc w:val="left"/>
      <w:lvlText w:val="3"/>
      <w:numFmt w:val="bullet"/>
      <w:start w:val="1"/>
    </w:lvl>
  </w:abstractNum>
  <w:abstractNum w:abstractNumId="169">
    <w:nsid w:val="25973E32"/>
    <w:multiLevelType w:val="hybridMultilevel"/>
    <w:lvl w:ilvl="0">
      <w:lvlJc w:val="left"/>
      <w:lvlText w:val="4"/>
      <w:numFmt w:val="bullet"/>
      <w:start w:val="1"/>
    </w:lvl>
  </w:abstractNum>
  <w:abstractNum w:abstractNumId="170">
    <w:nsid w:val="EAD6F57"/>
    <w:multiLevelType w:val="hybridMultilevel"/>
    <w:lvl w:ilvl="0">
      <w:lvlJc w:val="left"/>
      <w:lvlText w:val="5"/>
      <w:numFmt w:val="bullet"/>
      <w:start w:val="1"/>
    </w:lvl>
  </w:abstractNum>
  <w:abstractNum w:abstractNumId="171">
    <w:nsid w:val="6EC9D844"/>
    <w:multiLevelType w:val="hybridMultilevel"/>
    <w:lvl w:ilvl="0">
      <w:lvlJc w:val="left"/>
      <w:lvlText w:val="•"/>
      <w:numFmt w:val="bullet"/>
      <w:start w:val="1"/>
    </w:lvl>
  </w:abstractNum>
  <w:abstractNum w:abstractNumId="172">
    <w:nsid w:val="5C49EAEE"/>
    <w:multiLevelType w:val="hybridMultilevel"/>
    <w:lvl w:ilvl="0">
      <w:lvlJc w:val="left"/>
      <w:lvlText w:val="•"/>
      <w:numFmt w:val="bullet"/>
      <w:start w:val="1"/>
    </w:lvl>
  </w:abstractNum>
  <w:abstractNum w:abstractNumId="173">
    <w:nsid w:val="64AF49B"/>
    <w:multiLevelType w:val="hybridMultilevel"/>
    <w:lvl w:ilvl="0">
      <w:lvlJc w:val="left"/>
      <w:lvlText w:val="(%1)"/>
      <w:numFmt w:val="decimal"/>
      <w:start w:val="2"/>
    </w:lvl>
  </w:abstractNum>
  <w:abstractNum w:abstractNumId="174">
    <w:nsid w:val="397C46BC"/>
    <w:multiLevelType w:val="hybridMultilevel"/>
    <w:lvl w:ilvl="0">
      <w:lvlJc w:val="left"/>
      <w:lvlText w:val="•"/>
      <w:numFmt w:val="bullet"/>
      <w:start w:val="1"/>
    </w:lvl>
  </w:abstractNum>
  <w:abstractNum w:abstractNumId="175">
    <w:nsid w:val="7E448DE9"/>
    <w:multiLevelType w:val="hybridMultilevel"/>
    <w:lvl w:ilvl="0">
      <w:lvlJc w:val="left"/>
      <w:lvlText w:val="•"/>
      <w:numFmt w:val="bullet"/>
      <w:start w:val="1"/>
    </w:lvl>
  </w:abstractNum>
  <w:abstractNum w:abstractNumId="176">
    <w:nsid w:val="5A9CC3E5"/>
    <w:multiLevelType w:val="hybridMultilevel"/>
    <w:lvl w:ilvl="0">
      <w:lvlJc w:val="left"/>
      <w:lvlText w:val="(%1)"/>
      <w:numFmt w:val="decimal"/>
      <w:start w:val="3"/>
    </w:lvl>
  </w:abstractNum>
  <w:abstractNum w:abstractNumId="177">
    <w:nsid w:val="1AFE3625"/>
    <w:multiLevelType w:val="hybridMultilevel"/>
    <w:lvl w:ilvl="0">
      <w:lvlJc w:val="left"/>
      <w:lvlText w:val="•"/>
      <w:numFmt w:val="bullet"/>
      <w:start w:val="1"/>
    </w:lvl>
  </w:abstractNum>
  <w:abstractNum w:abstractNumId="178">
    <w:nsid w:val="3CA88ECF"/>
    <w:multiLevelType w:val="hybridMultilevel"/>
    <w:lvl w:ilvl="0">
      <w:lvlJc w:val="left"/>
      <w:lvlText w:val="•"/>
      <w:numFmt w:val="bullet"/>
      <w:start w:val="1"/>
    </w:lvl>
  </w:abstractNum>
  <w:abstractNum w:abstractNumId="179">
    <w:nsid w:val="6EBE4208"/>
    <w:multiLevelType w:val="hybridMultilevel"/>
    <w:lvl w:ilvl="0">
      <w:lvlJc w:val="left"/>
      <w:lvlText w:val="5"/>
      <w:numFmt w:val="bullet"/>
      <w:start w:val="1"/>
    </w:lvl>
  </w:abstractNum>
  <w:abstractNum w:abstractNumId="180">
    <w:nsid w:val="C058DF5"/>
    <w:multiLevelType w:val="hybridMultilevel"/>
    <w:lvl w:ilvl="0">
      <w:lvlJc w:val="left"/>
      <w:lvlText w:val="6"/>
      <w:numFmt w:val="bullet"/>
      <w:start w:val="1"/>
    </w:lvl>
  </w:abstractNum>
  <w:abstractNum w:abstractNumId="181">
    <w:nsid w:val="CBE5BE9"/>
    <w:multiLevelType w:val="hybridMultilevel"/>
    <w:lvl w:ilvl="0">
      <w:lvlJc w:val="left"/>
      <w:lvlText w:val="1"/>
      <w:numFmt w:val="bullet"/>
      <w:start w:val="1"/>
    </w:lvl>
  </w:abstractNum>
  <w:abstractNum w:abstractNumId="182">
    <w:nsid w:val="3102BBE2"/>
    <w:multiLevelType w:val="hybridMultilevel"/>
    <w:lvl w:ilvl="0">
      <w:lvlJc w:val="left"/>
      <w:lvlText w:val="2"/>
      <w:numFmt w:val="bullet"/>
      <w:start w:val="1"/>
    </w:lvl>
  </w:abstractNum>
  <w:abstractNum w:abstractNumId="183">
    <w:nsid w:val="26A02C5E"/>
    <w:multiLevelType w:val="hybridMultilevel"/>
    <w:lvl w:ilvl="0">
      <w:lvlJc w:val="left"/>
      <w:lvlText w:val="3"/>
      <w:numFmt w:val="bullet"/>
      <w:start w:val="1"/>
    </w:lvl>
  </w:abstractNum>
  <w:abstractNum w:abstractNumId="184">
    <w:nsid w:val="541C8153"/>
    <w:multiLevelType w:val="hybridMultilevel"/>
    <w:lvl w:ilvl="0">
      <w:lvlJc w:val="left"/>
      <w:lvlText w:val="4"/>
      <w:numFmt w:val="bullet"/>
      <w:start w:val="1"/>
    </w:lvl>
  </w:abstractNum>
  <w:abstractNum w:abstractNumId="185">
    <w:nsid w:val="67906F60"/>
    <w:multiLevelType w:val="hybridMultilevel"/>
    <w:lvl w:ilvl="0">
      <w:lvlJc w:val="left"/>
      <w:lvlText w:val="5"/>
      <w:numFmt w:val="bullet"/>
      <w:start w:val="1"/>
    </w:lvl>
  </w:abstractNum>
  <w:abstractNum w:abstractNumId="186">
    <w:nsid w:val="10DB9DAA"/>
    <w:multiLevelType w:val="hybridMultilevel"/>
    <w:lvl w:ilvl="0">
      <w:lvlJc w:val="left"/>
      <w:lvlText w:val="1"/>
      <w:numFmt w:val="bullet"/>
      <w:start w:val="1"/>
    </w:lvl>
  </w:abstractNum>
  <w:abstractNum w:abstractNumId="187">
    <w:nsid w:val="697D2D2"/>
    <w:multiLevelType w:val="hybridMultilevel"/>
    <w:lvl w:ilvl="0">
      <w:lvlJc w:val="left"/>
      <w:lvlText w:val="2"/>
      <w:numFmt w:val="bullet"/>
      <w:start w:val="1"/>
    </w:lvl>
  </w:abstractNum>
  <w:abstractNum w:abstractNumId="188">
    <w:nsid w:val="6D68AB2"/>
    <w:multiLevelType w:val="hybridMultilevel"/>
    <w:lvl w:ilvl="0">
      <w:lvlJc w:val="left"/>
      <w:lvlText w:val="3"/>
      <w:numFmt w:val="bullet"/>
      <w:start w:val="1"/>
    </w:lvl>
  </w:abstractNum>
  <w:abstractNum w:abstractNumId="189">
    <w:nsid w:val="3A966CD0"/>
    <w:multiLevelType w:val="hybridMultilevel"/>
    <w:lvl w:ilvl="0">
      <w:lvlJc w:val="left"/>
      <w:lvlText w:val="1"/>
      <w:numFmt w:val="bullet"/>
      <w:start w:val="1"/>
    </w:lvl>
  </w:abstractNum>
  <w:abstractNum w:abstractNumId="190">
    <w:nsid w:val="63F37E85"/>
    <w:multiLevelType w:val="hybridMultilevel"/>
    <w:lvl w:ilvl="0">
      <w:lvlJc w:val="left"/>
      <w:lvlText w:val="2"/>
      <w:numFmt w:val="bullet"/>
      <w:start w:val="1"/>
    </w:lvl>
  </w:abstractNum>
  <w:abstractNum w:abstractNumId="191">
    <w:nsid w:val="5895F5FA"/>
    <w:multiLevelType w:val="hybridMultilevel"/>
    <w:lvl w:ilvl="0">
      <w:lvlJc w:val="left"/>
      <w:lvlText w:val="3"/>
      <w:numFmt w:val="bullet"/>
      <w:start w:val="1"/>
    </w:lvl>
  </w:abstractNum>
  <w:abstractNum w:abstractNumId="192">
    <w:nsid w:val="38A5D054"/>
    <w:multiLevelType w:val="hybridMultilevel"/>
    <w:lvl w:ilvl="0">
      <w:lvlJc w:val="left"/>
      <w:lvlText w:val="4"/>
      <w:numFmt w:val="bullet"/>
      <w:start w:val="1"/>
    </w:lvl>
  </w:abstractNum>
  <w:abstractNum w:abstractNumId="193">
    <w:nsid w:val="F3F09D8"/>
    <w:multiLevelType w:val="hybridMultilevel"/>
    <w:lvl w:ilvl="0">
      <w:lvlJc w:val="left"/>
      <w:lvlText w:val="5"/>
      <w:numFmt w:val="bullet"/>
      <w:start w:val="1"/>
    </w:lvl>
  </w:abstractNum>
  <w:abstractNum w:abstractNumId="194">
    <w:nsid w:val="4B793735"/>
    <w:multiLevelType w:val="hybridMultilevel"/>
    <w:lvl w:ilvl="0">
      <w:lvlJc w:val="left"/>
      <w:lvlText w:val="•"/>
      <w:numFmt w:val="bullet"/>
      <w:start w:val="1"/>
    </w:lvl>
    <w:lvl w:ilvl="1">
      <w:lvlJc w:val="left"/>
      <w:lvlText w:val="•"/>
      <w:numFmt w:val="bullet"/>
      <w:start w:val="1"/>
    </w:lvl>
  </w:abstractNum>
  <w:abstractNum w:abstractNumId="195">
    <w:nsid w:val="4A10B4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6">
    <w:nsid w:val="43D3BCD4"/>
    <w:multiLevelType w:val="hybridMultilevel"/>
    <w:lvl w:ilvl="0">
      <w:lvlJc w:val="left"/>
      <w:lvlText w:val="1"/>
      <w:numFmt w:val="bullet"/>
      <w:start w:val="1"/>
    </w:lvl>
  </w:abstractNum>
  <w:abstractNum w:abstractNumId="197">
    <w:nsid w:val="4C2A7166"/>
    <w:multiLevelType w:val="hybridMultilevel"/>
    <w:lvl w:ilvl="0">
      <w:lvlJc w:val="left"/>
      <w:lvlText w:val="2"/>
      <w:numFmt w:val="bullet"/>
      <w:start w:val="1"/>
    </w:lvl>
  </w:abstractNum>
  <w:abstractNum w:abstractNumId="198">
    <w:nsid w:val="2E534A82"/>
    <w:multiLevelType w:val="hybridMultilevel"/>
    <w:lvl w:ilvl="0">
      <w:lvlJc w:val="left"/>
      <w:lvlText w:val="3"/>
      <w:numFmt w:val="bullet"/>
      <w:start w:val="1"/>
    </w:lvl>
  </w:abstractNum>
  <w:abstractNum w:abstractNumId="199">
    <w:nsid w:val="26F2D364"/>
    <w:multiLevelType w:val="hybridMultilevel"/>
    <w:lvl w:ilvl="0">
      <w:lvlJc w:val="left"/>
      <w:lvlText w:val="4"/>
      <w:numFmt w:val="bullet"/>
      <w:start w:val="1"/>
    </w:lvl>
  </w:abstractNum>
  <w:abstractNum w:abstractNumId="200">
    <w:nsid w:val="71C1AF98"/>
    <w:multiLevelType w:val="hybridMultilevel"/>
    <w:lvl w:ilvl="0">
      <w:lvlJc w:val="left"/>
      <w:lvlText w:val="*"/>
      <w:numFmt w:val="bullet"/>
      <w:start w:val="1"/>
    </w:lvl>
  </w:abstractNum>
  <w:abstractNum w:abstractNumId="201">
    <w:nsid w:val="3D00B9D9"/>
    <w:multiLevelType w:val="hybridMultilevel"/>
    <w:lvl w:ilvl="0">
      <w:lvlJc w:val="left"/>
      <w:lvlText w:val="+"/>
      <w:numFmt w:val="bullet"/>
      <w:start w:val="1"/>
    </w:lvl>
  </w:abstractNum>
  <w:abstractNum w:abstractNumId="202">
    <w:nsid w:val="15BCABA8"/>
    <w:multiLevelType w:val="hybridMultilevel"/>
    <w:lvl w:ilvl="0">
      <w:lvlJc w:val="left"/>
      <w:lvlText w:val="•"/>
      <w:numFmt w:val="bullet"/>
      <w:start w:val="1"/>
    </w:lvl>
  </w:abstractNum>
  <w:abstractNum w:abstractNumId="203">
    <w:nsid w:val="4E0B9A87"/>
    <w:multiLevelType w:val="hybridMultilevel"/>
    <w:lvl w:ilvl="0">
      <w:lvlJc w:val="left"/>
      <w:lvlText w:val="•"/>
      <w:numFmt w:val="bullet"/>
      <w:start w:val="1"/>
    </w:lvl>
  </w:abstractNum>
  <w:abstractNum w:abstractNumId="204">
    <w:nsid w:val="434BAE75"/>
    <w:multiLevelType w:val="hybridMultilevel"/>
    <w:lvl w:ilvl="0">
      <w:lvlJc w:val="left"/>
      <w:lvlText w:val="1"/>
      <w:numFmt w:val="bullet"/>
      <w:start w:val="1"/>
    </w:lvl>
  </w:abstractNum>
  <w:abstractNum w:abstractNumId="205">
    <w:nsid w:val="4F38F265"/>
    <w:multiLevelType w:val="hybridMultilevel"/>
    <w:lvl w:ilvl="0">
      <w:lvlJc w:val="left"/>
      <w:lvlText w:val="2"/>
      <w:numFmt w:val="bullet"/>
      <w:start w:val="1"/>
    </w:lvl>
  </w:abstractNum>
  <w:abstractNum w:abstractNumId="206">
    <w:nsid w:val="4C502870"/>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2024-04-25T15:26:19Z</dcterms:created>
  <dcterms:modified xsi:type="dcterms:W3CDTF">2024-04-25T15:26:19Z</dcterms:modified>
</cp:coreProperties>
</file>