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188,271</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10,369,630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10,369,630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11.462%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10,369,630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10,369,630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11.462%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10,369,630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11.462%</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188,271</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10,369,630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8,873,928 shares or 9.809% of the total outstanding Common Stock at December 31, 2011.</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10,175,659 shares or 11.248% of the Common Stock outstanding of Regeneron Pharmaceuticals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8,873,928 shares or</w:t>
      </w:r>
    </w:p>
    <w:p>
      <w:pPr>
        <w:ind w:right="4419"/>
        <w:spacing w:after="0" w:line="236" w:lineRule="auto"/>
        <w:rPr>
          <w:sz w:val="20"/>
          <w:szCs w:val="20"/>
          <w:color w:val="auto"/>
        </w:rPr>
      </w:pPr>
      <w:r>
        <w:rPr>
          <w:rFonts w:ascii="Courier New" w:cs="Courier New" w:eastAsia="Courier New" w:hAnsi="Courier New"/>
          <w:sz w:val="18"/>
          <w:szCs w:val="18"/>
          <w:color w:val="auto"/>
        </w:rPr>
        <w:t>9.809%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10,175,659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141 shares, or 0.000%, of the Common Stock outstanding of Regeneron Pharmaceuticals Incorporated, beneficially owned through Strategic Advisers, Inc.</w:t>
      </w:r>
    </w:p>
    <w:p>
      <w:pPr>
        <w:spacing w:after="0" w:line="395"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2,030 shares or 0.002% of the outstanding Common Stock of Regeneron Pharmaceuticals Incorporated as a result of its serving as investment adviser to institutional accounts, non-U.S. mutual funds, or investment companies registered under Section 8 of the Investment Company Act of 1940 owning such shares.</w:t>
      </w:r>
    </w:p>
    <w:p>
      <w:pPr>
        <w:spacing w:after="0" w:line="386"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ind w:right="3679"/>
        <w:spacing w:after="0" w:line="236" w:lineRule="auto"/>
        <w:rPr>
          <w:sz w:val="20"/>
          <w:szCs w:val="20"/>
          <w:color w:val="auto"/>
        </w:rPr>
      </w:pPr>
      <w:r>
        <w:rPr>
          <w:rFonts w:ascii="Courier New" w:cs="Courier New" w:eastAsia="Courier New" w:hAnsi="Courier New"/>
          <w:sz w:val="18"/>
          <w:szCs w:val="18"/>
          <w:color w:val="auto"/>
        </w:rPr>
        <w:t>2,030 shares and sole power to vote or to direct the voting of 2,030 shares of Common Stock owned by the institutional accounts or funds advised by PGALLC as reported above.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191,800 shares or 0.212% of the outstanding Common Stock of the Regeneron Pharmaceuticals</w:t>
      </w:r>
    </w:p>
    <w:p>
      <w:pPr>
        <w:sectPr>
          <w:pgSz w:w="11900" w:h="16838" w:orient="portrait"/>
          <w:cols w:equalWidth="0" w:num="1">
            <w:col w:w="10219"/>
          </w:cols>
          <w:pgMar w:left="240" w:top="136" w:right="1440" w:bottom="0" w:gutter="0" w:footer="0" w:header="0"/>
        </w:sectPr>
      </w:pPr>
    </w:p>
    <w:bookmarkStart w:id="3" w:name="page4"/>
    <w:bookmarkEnd w:id="3"/>
    <w:p>
      <w:pPr>
        <w:ind w:right="3779"/>
        <w:spacing w:after="0" w:line="235" w:lineRule="auto"/>
        <w:rPr>
          <w:sz w:val="20"/>
          <w:szCs w:val="20"/>
          <w:color w:val="auto"/>
        </w:rPr>
      </w:pPr>
      <w:r>
        <w:rPr>
          <w:rFonts w:ascii="Courier New" w:cs="Courier New" w:eastAsia="Courier New" w:hAnsi="Courier New"/>
          <w:sz w:val="18"/>
          <w:szCs w:val="18"/>
          <w:color w:val="auto"/>
        </w:rPr>
        <w:t>Incorporated as a result 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191,800 shares and sole power to vote or to direct the voting of 184,360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Regeneron Pharmaceuticals Incorporated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2019-12-09T10:15:45Z</dcterms:created>
  <dcterms:modified xsi:type="dcterms:W3CDTF">2019-12-09T10:15:45Z</dcterms:modified>
</cp:coreProperties>
</file>