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6,999,788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7,017,122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7,017,122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Regeneron Pharmaceuticals, Inc.</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777 Old Saw Mill River Road, , Tarrytown, NY 10591-6707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75886F107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7,017,122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6.7%</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6,999,788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7,017,122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440"/>
        <w:spacing w:after="0" w:line="255"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World Investors." CWI is deemed to be the beneficial owner of 7,017,122 shares or 6.7% of the 104,857,294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Michael J. Triessl</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2021-02-16T12:03:38Z</dcterms:created>
  <dcterms:modified xsi:type="dcterms:W3CDTF">2021-02-16T12:03:38Z</dcterms:modified>
</cp:coreProperties>
</file>