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3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8-K</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231F20"/>
        </w:rPr>
        <w:t>Pursuant to Section 13 or 15(d) of The Securities Exchange Act of 1934</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Date of Report (Date of earliest event reported): August 6, 2019 (August 6, 2019)</w:t>
      </w:r>
    </w:p>
    <w:p>
      <w:pPr>
        <w:spacing w:after="0" w:line="200"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REGENERON PHARMACEUTICALS, INC.</w:t>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81" w:lineRule="exact"/>
        <w:rPr>
          <w:sz w:val="24"/>
          <w:szCs w:val="24"/>
          <w:color w:val="auto"/>
        </w:rPr>
      </w:pPr>
    </w:p>
    <w:tbl>
      <w:tblPr>
        <w:tblLayout w:type="fixed"/>
        <w:tblInd w:w="600" w:type="dxa"/>
        <w:tblCellMar>
          <w:top w:w="0" w:type="dxa"/>
          <w:left w:w="0" w:type="dxa"/>
          <w:bottom w:w="0" w:type="dxa"/>
          <w:right w:w="0" w:type="dxa"/>
        </w:tblCellMar>
      </w:tblPr>
      <w:tr>
        <w:trPr>
          <w:trHeight w:val="248"/>
        </w:trPr>
        <w:tc>
          <w:tcPr>
            <w:tcW w:w="3880" w:type="dxa"/>
            <w:vAlign w:val="bottom"/>
          </w:tcPr>
          <w:p>
            <w:pPr>
              <w:ind w:left="1320"/>
              <w:spacing w:after="0"/>
              <w:rPr>
                <w:sz w:val="20"/>
                <w:szCs w:val="20"/>
                <w:color w:val="auto"/>
              </w:rPr>
            </w:pPr>
            <w:r>
              <w:rPr>
                <w:rFonts w:ascii="Arial" w:cs="Arial" w:eastAsia="Arial" w:hAnsi="Arial"/>
                <w:sz w:val="18"/>
                <w:szCs w:val="18"/>
                <w:b w:val="1"/>
                <w:bCs w:val="1"/>
                <w:color w:val="auto"/>
              </w:rPr>
              <w:t>New York</w:t>
            </w:r>
          </w:p>
        </w:tc>
        <w:tc>
          <w:tcPr>
            <w:tcW w:w="2040" w:type="dxa"/>
            <w:vAlign w:val="bottom"/>
          </w:tcPr>
          <w:p>
            <w:pPr>
              <w:jc w:val="center"/>
              <w:ind w:left="379"/>
              <w:spacing w:after="0"/>
              <w:rPr>
                <w:sz w:val="20"/>
                <w:szCs w:val="20"/>
                <w:color w:val="auto"/>
              </w:rPr>
            </w:pPr>
            <w:r>
              <w:rPr>
                <w:rFonts w:ascii="Arial" w:cs="Arial" w:eastAsia="Arial" w:hAnsi="Arial"/>
                <w:sz w:val="18"/>
                <w:szCs w:val="18"/>
                <w:b w:val="1"/>
                <w:bCs w:val="1"/>
                <w:color w:val="auto"/>
                <w:w w:val="90"/>
              </w:rPr>
              <w:t>000-19034</w:t>
            </w:r>
          </w:p>
        </w:tc>
        <w:tc>
          <w:tcPr>
            <w:tcW w:w="1060" w:type="dxa"/>
            <w:vAlign w:val="bottom"/>
          </w:tcPr>
          <w:p>
            <w:pPr>
              <w:spacing w:after="0"/>
              <w:rPr>
                <w:sz w:val="21"/>
                <w:szCs w:val="21"/>
                <w:color w:val="auto"/>
              </w:rPr>
            </w:pPr>
          </w:p>
        </w:tc>
        <w:tc>
          <w:tcPr>
            <w:tcW w:w="2620" w:type="dxa"/>
            <w:vAlign w:val="bottom"/>
          </w:tcPr>
          <w:p>
            <w:pPr>
              <w:jc w:val="right"/>
              <w:ind w:right="536"/>
              <w:spacing w:after="0"/>
              <w:rPr>
                <w:sz w:val="20"/>
                <w:szCs w:val="20"/>
                <w:color w:val="auto"/>
              </w:rPr>
            </w:pPr>
            <w:r>
              <w:rPr>
                <w:rFonts w:ascii="Arial" w:cs="Arial" w:eastAsia="Arial" w:hAnsi="Arial"/>
                <w:sz w:val="18"/>
                <w:szCs w:val="18"/>
                <w:b w:val="1"/>
                <w:bCs w:val="1"/>
                <w:color w:val="auto"/>
              </w:rPr>
              <w:t>13-3444607</w:t>
            </w:r>
          </w:p>
        </w:tc>
      </w:tr>
      <w:tr>
        <w:trPr>
          <w:trHeight w:val="218"/>
        </w:trPr>
        <w:tc>
          <w:tcPr>
            <w:tcW w:w="3880" w:type="dxa"/>
            <w:vAlign w:val="bottom"/>
          </w:tcPr>
          <w:p>
            <w:pPr>
              <w:spacing w:after="0"/>
              <w:rPr>
                <w:sz w:val="20"/>
                <w:szCs w:val="20"/>
                <w:color w:val="auto"/>
              </w:rPr>
            </w:pPr>
            <w:r>
              <w:rPr>
                <w:rFonts w:ascii="Arial" w:cs="Arial" w:eastAsia="Arial" w:hAnsi="Arial"/>
                <w:sz w:val="14"/>
                <w:szCs w:val="14"/>
                <w:color w:val="auto"/>
              </w:rPr>
              <w:t>(State or other jurisdiction of incorporation or organization)</w:t>
            </w:r>
          </w:p>
        </w:tc>
        <w:tc>
          <w:tcPr>
            <w:tcW w:w="2040" w:type="dxa"/>
            <w:vAlign w:val="bottom"/>
          </w:tcPr>
          <w:p>
            <w:pPr>
              <w:jc w:val="center"/>
              <w:ind w:left="359"/>
              <w:spacing w:after="0"/>
              <w:rPr>
                <w:sz w:val="20"/>
                <w:szCs w:val="20"/>
                <w:color w:val="auto"/>
              </w:rPr>
            </w:pPr>
            <w:r>
              <w:rPr>
                <w:rFonts w:ascii="Arial" w:cs="Arial" w:eastAsia="Arial" w:hAnsi="Arial"/>
                <w:sz w:val="14"/>
                <w:szCs w:val="14"/>
                <w:color w:val="auto"/>
                <w:w w:val="96"/>
              </w:rPr>
              <w:t>(Commission File Number)</w:t>
            </w:r>
          </w:p>
        </w:tc>
        <w:tc>
          <w:tcPr>
            <w:tcW w:w="1060" w:type="dxa"/>
            <w:vAlign w:val="bottom"/>
          </w:tcPr>
          <w:p>
            <w:pPr>
              <w:spacing w:after="0"/>
              <w:rPr>
                <w:sz w:val="18"/>
                <w:szCs w:val="18"/>
                <w:color w:val="auto"/>
              </w:rPr>
            </w:pPr>
          </w:p>
        </w:tc>
        <w:tc>
          <w:tcPr>
            <w:tcW w:w="2620" w:type="dxa"/>
            <w:vAlign w:val="bottom"/>
          </w:tcPr>
          <w:p>
            <w:pPr>
              <w:jc w:val="center"/>
              <w:ind w:left="456"/>
              <w:spacing w:after="0"/>
              <w:rPr>
                <w:sz w:val="20"/>
                <w:szCs w:val="20"/>
                <w:color w:val="auto"/>
              </w:rPr>
            </w:pPr>
            <w:r>
              <w:rPr>
                <w:rFonts w:ascii="Arial" w:cs="Arial" w:eastAsia="Arial" w:hAnsi="Arial"/>
                <w:sz w:val="14"/>
                <w:szCs w:val="14"/>
                <w:color w:val="auto"/>
                <w:w w:val="96"/>
              </w:rPr>
              <w:t>(I.R.S. Employer Identification No.)</w:t>
            </w:r>
          </w:p>
        </w:tc>
      </w:tr>
      <w:tr>
        <w:trPr>
          <w:trHeight w:val="404"/>
        </w:trPr>
        <w:tc>
          <w:tcPr>
            <w:tcW w:w="5920" w:type="dxa"/>
            <w:vAlign w:val="bottom"/>
            <w:gridSpan w:val="2"/>
          </w:tcPr>
          <w:p>
            <w:pPr>
              <w:ind w:left="2320"/>
              <w:spacing w:after="0"/>
              <w:rPr>
                <w:sz w:val="20"/>
                <w:szCs w:val="20"/>
                <w:color w:val="auto"/>
              </w:rPr>
            </w:pPr>
            <w:r>
              <w:rPr>
                <w:rFonts w:ascii="Arial" w:cs="Arial" w:eastAsia="Arial" w:hAnsi="Arial"/>
                <w:sz w:val="18"/>
                <w:szCs w:val="18"/>
                <w:b w:val="1"/>
                <w:bCs w:val="1"/>
                <w:color w:val="auto"/>
              </w:rPr>
              <w:t>777 Old Saw Mill River Road  Tarrytown,</w:t>
            </w:r>
          </w:p>
        </w:tc>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New York</w:t>
            </w:r>
          </w:p>
        </w:tc>
        <w:tc>
          <w:tcPr>
            <w:tcW w:w="2620" w:type="dxa"/>
            <w:vAlign w:val="bottom"/>
          </w:tcPr>
          <w:p>
            <w:pPr>
              <w:jc w:val="right"/>
              <w:ind w:right="1556"/>
              <w:spacing w:after="0"/>
              <w:rPr>
                <w:sz w:val="20"/>
                <w:szCs w:val="20"/>
                <w:color w:val="auto"/>
              </w:rPr>
            </w:pPr>
            <w:r>
              <w:rPr>
                <w:rFonts w:ascii="Arial" w:cs="Arial" w:eastAsia="Arial" w:hAnsi="Arial"/>
                <w:sz w:val="18"/>
                <w:szCs w:val="18"/>
                <w:b w:val="1"/>
                <w:bCs w:val="1"/>
                <w:color w:val="auto"/>
                <w:w w:val="99"/>
              </w:rPr>
              <w:t>10591-6707</w:t>
            </w:r>
          </w:p>
        </w:tc>
      </w:tr>
      <w:tr>
        <w:trPr>
          <w:trHeight w:val="231"/>
        </w:trPr>
        <w:tc>
          <w:tcPr>
            <w:tcW w:w="6980" w:type="dxa"/>
            <w:vAlign w:val="bottom"/>
            <w:gridSpan w:val="3"/>
          </w:tcPr>
          <w:p>
            <w:pPr>
              <w:jc w:val="center"/>
              <w:ind w:left="3219"/>
              <w:spacing w:after="0"/>
              <w:rPr>
                <w:sz w:val="20"/>
                <w:szCs w:val="20"/>
                <w:color w:val="auto"/>
              </w:rPr>
            </w:pPr>
            <w:r>
              <w:rPr>
                <w:rFonts w:ascii="Arial" w:cs="Arial" w:eastAsia="Arial" w:hAnsi="Arial"/>
                <w:sz w:val="14"/>
                <w:szCs w:val="14"/>
                <w:color w:val="auto"/>
                <w:w w:val="95"/>
              </w:rPr>
              <w:t>(Address of Principal Executive Offices, including zip code)</w:t>
            </w:r>
          </w:p>
        </w:tc>
        <w:tc>
          <w:tcPr>
            <w:tcW w:w="2620" w:type="dxa"/>
            <w:vAlign w:val="bottom"/>
          </w:tcPr>
          <w:p>
            <w:pPr>
              <w:spacing w:after="0"/>
              <w:rPr>
                <w:sz w:val="20"/>
                <w:szCs w:val="20"/>
                <w:color w:val="auto"/>
              </w:rPr>
            </w:pPr>
          </w:p>
        </w:tc>
      </w:tr>
    </w:tbl>
    <w:p>
      <w:pPr>
        <w:spacing w:after="0" w:line="200" w:lineRule="exact"/>
        <w:rPr>
          <w:sz w:val="24"/>
          <w:szCs w:val="24"/>
          <w:color w:val="auto"/>
        </w:rPr>
      </w:pP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(914) 847-7000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Registrant's telephone number, including area code</w:t>
      </w:r>
    </w:p>
    <w:p>
      <w:pPr>
        <w:spacing w:after="0" w:line="31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60" w:hanging="198"/>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60" w:hanging="198"/>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38" w:lineRule="exact"/>
        <w:rPr>
          <w:rFonts w:ascii="MS PGothic" w:cs="MS PGothic" w:eastAsia="MS PGothic" w:hAnsi="MS PGothic"/>
          <w:sz w:val="18"/>
          <w:szCs w:val="18"/>
          <w:color w:val="auto"/>
        </w:rPr>
      </w:pPr>
    </w:p>
    <w:p>
      <w:pPr>
        <w:ind w:left="260" w:hanging="198"/>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260" w:hanging="198"/>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4"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2900" w:type="dxa"/>
            <w:vAlign w:val="bottom"/>
            <w:gridSpan w:val="2"/>
          </w:tcPr>
          <w:p>
            <w:pPr>
              <w:jc w:val="center"/>
              <w:ind w:right="1620"/>
              <w:spacing w:after="0"/>
              <w:rPr>
                <w:sz w:val="20"/>
                <w:szCs w:val="20"/>
                <w:color w:val="auto"/>
              </w:rPr>
            </w:pPr>
            <w:r>
              <w:rPr>
                <w:rFonts w:ascii="Arial" w:cs="Arial" w:eastAsia="Arial" w:hAnsi="Arial"/>
                <w:sz w:val="18"/>
                <w:szCs w:val="18"/>
                <w:i w:val="1"/>
                <w:iCs w:val="1"/>
                <w:color w:val="auto"/>
                <w:w w:val="88"/>
              </w:rPr>
              <w:t>Title of each class</w:t>
            </w:r>
          </w:p>
        </w:tc>
        <w:tc>
          <w:tcPr>
            <w:tcW w:w="2580" w:type="dxa"/>
            <w:vAlign w:val="bottom"/>
            <w:gridSpan w:val="3"/>
          </w:tcPr>
          <w:p>
            <w:pPr>
              <w:jc w:val="center"/>
              <w:ind w:right="20"/>
              <w:spacing w:after="0"/>
              <w:rPr>
                <w:sz w:val="20"/>
                <w:szCs w:val="20"/>
                <w:color w:val="auto"/>
              </w:rPr>
            </w:pPr>
            <w:r>
              <w:rPr>
                <w:rFonts w:ascii="Arial" w:cs="Arial" w:eastAsia="Arial" w:hAnsi="Arial"/>
                <w:sz w:val="18"/>
                <w:szCs w:val="18"/>
                <w:i w:val="1"/>
                <w:iCs w:val="1"/>
                <w:color w:val="auto"/>
                <w:w w:val="89"/>
              </w:rPr>
              <w:t>Trading Symbol(s)</w:t>
            </w:r>
          </w:p>
        </w:tc>
        <w:tc>
          <w:tcPr>
            <w:tcW w:w="3820" w:type="dxa"/>
            <w:vAlign w:val="bottom"/>
            <w:gridSpan w:val="2"/>
          </w:tcPr>
          <w:p>
            <w:pPr>
              <w:jc w:val="center"/>
              <w:ind w:left="550"/>
              <w:spacing w:after="0"/>
              <w:rPr>
                <w:sz w:val="20"/>
                <w:szCs w:val="20"/>
                <w:color w:val="auto"/>
              </w:rPr>
            </w:pPr>
            <w:r>
              <w:rPr>
                <w:rFonts w:ascii="Arial" w:cs="Arial" w:eastAsia="Arial" w:hAnsi="Arial"/>
                <w:sz w:val="18"/>
                <w:szCs w:val="18"/>
                <w:i w:val="1"/>
                <w:iCs w:val="1"/>
                <w:color w:val="auto"/>
                <w:w w:val="89"/>
              </w:rPr>
              <w:t>Name of each exchange on which registered</w:t>
            </w:r>
          </w:p>
        </w:tc>
      </w:tr>
      <w:tr>
        <w:trPr>
          <w:trHeight w:val="20"/>
        </w:trPr>
        <w:tc>
          <w:tcPr>
            <w:tcW w:w="10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91"/>
        </w:trPr>
        <w:tc>
          <w:tcPr>
            <w:tcW w:w="390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90"/>
              </w:rPr>
              <w:t>Common Stock - par value $.001 per share</w:t>
            </w:r>
          </w:p>
        </w:tc>
        <w:tc>
          <w:tcPr>
            <w:tcW w:w="620" w:type="dxa"/>
            <w:vAlign w:val="bottom"/>
          </w:tcPr>
          <w:p>
            <w:pPr>
              <w:spacing w:after="0"/>
              <w:rPr>
                <w:sz w:val="24"/>
                <w:szCs w:val="24"/>
                <w:color w:val="auto"/>
              </w:rPr>
            </w:pPr>
          </w:p>
        </w:tc>
        <w:tc>
          <w:tcPr>
            <w:tcW w:w="19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9"/>
              </w:rPr>
              <w:t>REGN</w:t>
            </w:r>
          </w:p>
        </w:tc>
        <w:tc>
          <w:tcPr>
            <w:tcW w:w="64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60"/>
          </w:cols>
          <w:pgMar w:left="240" w:top="288" w:right="29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right="200" w:firstLine="243"/>
        <w:spacing w:after="0" w:line="264" w:lineRule="auto"/>
        <w:rPr>
          <w:sz w:val="20"/>
          <w:szCs w:val="20"/>
          <w:color w:val="auto"/>
        </w:rPr>
      </w:pPr>
      <w:r>
        <w:rPr>
          <w:rFonts w:ascii="Arial" w:cs="Arial" w:eastAsia="Arial" w:hAnsi="Arial"/>
          <w:sz w:val="18"/>
          <w:szCs w:val="18"/>
          <w:color w:val="auto"/>
        </w:rPr>
        <w:t>On August 6, 2019, Regeneron Pharmaceuticals, Inc. issued a press release announcing its financial and operating results for the quarter ended June 30, 2019. A copy of the press release is being furnished to the Securities and Exchange Commission as Exhibit 99.1 to this Current Report on Form 8-K and is incorporated by reference to this Item 2.02.</w:t>
      </w:r>
    </w:p>
    <w:p>
      <w:pPr>
        <w:spacing w:after="0" w:line="181" w:lineRule="exact"/>
        <w:rPr>
          <w:sz w:val="20"/>
          <w:szCs w:val="20"/>
          <w:color w:val="auto"/>
        </w:rPr>
      </w:pPr>
    </w:p>
    <w:p>
      <w:pPr>
        <w:ind w:firstLine="243"/>
        <w:spacing w:after="0" w:line="264" w:lineRule="auto"/>
        <w:rPr>
          <w:sz w:val="20"/>
          <w:szCs w:val="20"/>
          <w:color w:val="auto"/>
        </w:rPr>
      </w:pPr>
      <w:r>
        <w:rPr>
          <w:rFonts w:ascii="Arial" w:cs="Arial" w:eastAsia="Arial" w:hAnsi="Arial"/>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3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FF"/>
          </w:rPr>
          <w:t>Press Release, dated August 6, 2019, Reporting Second Quarter 2019 Financial and Operating Results.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104 Cover Page Interactive Data File - the cover page XBRL tags are embedded within the Inline XBRL document.</w:t>
      </w:r>
    </w:p>
    <w:p>
      <w:pPr>
        <w:sectPr>
          <w:pgSz w:w="11900" w:h="16838" w:orient="portrait"/>
          <w:cols w:equalWidth="0" w:num="1">
            <w:col w:w="11380"/>
          </w:cols>
          <w:pgMar w:left="240" w:top="580" w:right="27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Date: August 6, 2019</w:t>
            </w:r>
          </w:p>
        </w:tc>
        <w:tc>
          <w:tcPr>
            <w:tcW w:w="6700" w:type="dxa"/>
            <w:vAlign w:val="bottom"/>
            <w:gridSpan w:val="2"/>
          </w:tcPr>
          <w:p>
            <w:pPr>
              <w:ind w:left="940"/>
              <w:spacing w:after="0"/>
              <w:rPr>
                <w:sz w:val="20"/>
                <w:szCs w:val="20"/>
                <w:color w:val="auto"/>
              </w:rPr>
            </w:pPr>
            <w:r>
              <w:rPr>
                <w:rFonts w:ascii="Arial" w:cs="Arial" w:eastAsia="Arial" w:hAnsi="Arial"/>
                <w:sz w:val="18"/>
                <w:szCs w:val="18"/>
                <w:color w:val="auto"/>
              </w:rPr>
              <w:t>REGENERON PHARMACEUTICALS, INC.</w:t>
            </w:r>
          </w:p>
        </w:tc>
      </w:tr>
      <w:tr>
        <w:trPr>
          <w:trHeight w:val="594"/>
        </w:trPr>
        <w:tc>
          <w:tcPr>
            <w:tcW w:w="2480" w:type="dxa"/>
            <w:vAlign w:val="bottom"/>
          </w:tcPr>
          <w:p>
            <w:pPr>
              <w:spacing w:after="0"/>
              <w:rPr>
                <w:sz w:val="24"/>
                <w:szCs w:val="24"/>
                <w:color w:val="auto"/>
              </w:rPr>
            </w:pPr>
          </w:p>
        </w:tc>
        <w:tc>
          <w:tcPr>
            <w:tcW w:w="2700" w:type="dxa"/>
            <w:vAlign w:val="bottom"/>
          </w:tcPr>
          <w:p>
            <w:pPr>
              <w:ind w:left="940"/>
              <w:spacing w:after="0"/>
              <w:rPr>
                <w:sz w:val="20"/>
                <w:szCs w:val="20"/>
                <w:color w:val="auto"/>
              </w:rPr>
            </w:pPr>
            <w:r>
              <w:rPr>
                <w:rFonts w:ascii="Arial" w:cs="Arial" w:eastAsia="Arial" w:hAnsi="Arial"/>
                <w:sz w:val="18"/>
                <w:szCs w:val="18"/>
                <w:color w:val="auto"/>
              </w:rPr>
              <w:t>By:</w:t>
            </w:r>
          </w:p>
        </w:tc>
        <w:tc>
          <w:tcPr>
            <w:tcW w:w="4000" w:type="dxa"/>
            <w:vAlign w:val="bottom"/>
          </w:tcPr>
          <w:p>
            <w:pPr>
              <w:ind w:left="20"/>
              <w:spacing w:after="0"/>
              <w:rPr>
                <w:sz w:val="20"/>
                <w:szCs w:val="20"/>
                <w:color w:val="auto"/>
              </w:rPr>
            </w:pPr>
            <w:r>
              <w:rPr>
                <w:rFonts w:ascii="Arial" w:cs="Arial" w:eastAsia="Arial" w:hAnsi="Arial"/>
                <w:sz w:val="18"/>
                <w:szCs w:val="18"/>
                <w:color w:val="auto"/>
              </w:rPr>
              <w:t>/s/ Joseph J. LaRosa</w:t>
            </w:r>
          </w:p>
        </w:tc>
      </w:tr>
      <w:tr>
        <w:trPr>
          <w:trHeight w:val="27"/>
        </w:trPr>
        <w:tc>
          <w:tcPr>
            <w:tcW w:w="24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spacing w:after="0"/>
              <w:rPr>
                <w:sz w:val="20"/>
                <w:szCs w:val="20"/>
                <w:color w:val="auto"/>
              </w:rPr>
            </w:pPr>
          </w:p>
        </w:tc>
        <w:tc>
          <w:tcPr>
            <w:tcW w:w="2700" w:type="dxa"/>
            <w:vAlign w:val="bottom"/>
          </w:tcPr>
          <w:p>
            <w:pPr>
              <w:ind w:left="940"/>
              <w:spacing w:after="0"/>
              <w:rPr>
                <w:sz w:val="20"/>
                <w:szCs w:val="20"/>
                <w:color w:val="auto"/>
              </w:rPr>
            </w:pPr>
            <w:r>
              <w:rPr>
                <w:rFonts w:ascii="Arial" w:cs="Arial" w:eastAsia="Arial" w:hAnsi="Arial"/>
                <w:sz w:val="18"/>
                <w:szCs w:val="18"/>
                <w:color w:val="auto"/>
              </w:rPr>
              <w:t>Name:</w:t>
            </w:r>
          </w:p>
        </w:tc>
        <w:tc>
          <w:tcPr>
            <w:tcW w:w="4000" w:type="dxa"/>
            <w:vAlign w:val="bottom"/>
          </w:tcPr>
          <w:p>
            <w:pPr>
              <w:ind w:left="20"/>
              <w:spacing w:after="0"/>
              <w:rPr>
                <w:sz w:val="20"/>
                <w:szCs w:val="20"/>
                <w:color w:val="auto"/>
              </w:rPr>
            </w:pPr>
            <w:r>
              <w:rPr>
                <w:rFonts w:ascii="Arial" w:cs="Arial" w:eastAsia="Arial" w:hAnsi="Arial"/>
                <w:sz w:val="18"/>
                <w:szCs w:val="18"/>
                <w:color w:val="auto"/>
              </w:rPr>
              <w:t>Joseph J. LaRosa</w:t>
            </w:r>
          </w:p>
        </w:tc>
      </w:tr>
      <w:tr>
        <w:trPr>
          <w:trHeight w:val="256"/>
        </w:trPr>
        <w:tc>
          <w:tcPr>
            <w:tcW w:w="24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and</w:t>
            </w:r>
          </w:p>
        </w:tc>
      </w:tr>
      <w:tr>
        <w:trPr>
          <w:trHeight w:val="230"/>
        </w:trPr>
        <w:tc>
          <w:tcPr>
            <w:tcW w:w="2480" w:type="dxa"/>
            <w:vAlign w:val="bottom"/>
          </w:tcPr>
          <w:p>
            <w:pPr>
              <w:spacing w:after="0"/>
              <w:rPr>
                <w:sz w:val="20"/>
                <w:szCs w:val="20"/>
                <w:color w:val="auto"/>
              </w:rPr>
            </w:pPr>
          </w:p>
        </w:tc>
        <w:tc>
          <w:tcPr>
            <w:tcW w:w="2700" w:type="dxa"/>
            <w:vAlign w:val="bottom"/>
          </w:tcPr>
          <w:p>
            <w:pPr>
              <w:ind w:left="940"/>
              <w:spacing w:after="0"/>
              <w:rPr>
                <w:sz w:val="20"/>
                <w:szCs w:val="20"/>
                <w:color w:val="auto"/>
              </w:rPr>
            </w:pPr>
            <w:r>
              <w:rPr>
                <w:rFonts w:ascii="Arial" w:cs="Arial" w:eastAsia="Arial" w:hAnsi="Arial"/>
                <w:sz w:val="18"/>
                <w:szCs w:val="18"/>
                <w:color w:val="auto"/>
              </w:rPr>
              <w:t>Title:</w:t>
            </w:r>
          </w:p>
        </w:tc>
        <w:tc>
          <w:tcPr>
            <w:tcW w:w="4000" w:type="dxa"/>
            <w:vAlign w:val="bottom"/>
          </w:tcPr>
          <w:p>
            <w:pPr>
              <w:ind w:left="20"/>
              <w:spacing w:after="0"/>
              <w:rPr>
                <w:sz w:val="20"/>
                <w:szCs w:val="20"/>
                <w:color w:val="auto"/>
              </w:rPr>
            </w:pPr>
            <w:r>
              <w:rPr>
                <w:rFonts w:ascii="Arial" w:cs="Arial" w:eastAsia="Arial" w:hAnsi="Arial"/>
                <w:sz w:val="18"/>
                <w:szCs w:val="18"/>
                <w:color w:val="auto"/>
              </w:rPr>
              <w:t>Secretary</w:t>
            </w:r>
          </w:p>
        </w:tc>
      </w:tr>
    </w:tbl>
    <w:p>
      <w:pPr>
        <w:sectPr>
          <w:pgSz w:w="11900" w:h="16838" w:orient="portrait"/>
          <w:cols w:equalWidth="0" w:num="1">
            <w:col w:w="10520"/>
          </w:cols>
          <w:pgMar w:left="240" w:top="368" w:right="11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303655" cy="2057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3655" cy="20574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Second Quarter 2019 Financial and Operating Results</w:t>
      </w:r>
    </w:p>
    <w:p>
      <w:pPr>
        <w:spacing w:after="0" w:line="164" w:lineRule="exact"/>
        <w:rPr>
          <w:sz w:val="20"/>
          <w:szCs w:val="20"/>
          <w:color w:val="auto"/>
        </w:rPr>
      </w:pP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Second quarter 2019 revenues increased 20% to $1.93 billion versus second quarter 2018</w:t>
      </w:r>
    </w:p>
    <w:p>
      <w:pPr>
        <w:spacing w:after="0" w:line="25" w:lineRule="exact"/>
        <w:rPr>
          <w:rFonts w:ascii="Arial" w:cs="Arial" w:eastAsia="Arial" w:hAnsi="Arial"/>
          <w:sz w:val="22"/>
          <w:szCs w:val="22"/>
          <w:i w:val="1"/>
          <w:iCs w:val="1"/>
          <w:color w:val="auto"/>
        </w:rPr>
      </w:pPr>
    </w:p>
    <w:p>
      <w:pPr>
        <w:ind w:left="980" w:hanging="324"/>
        <w:spacing w:after="0" w:line="191" w:lineRule="auto"/>
        <w:tabs>
          <w:tab w:leader="none" w:pos="980" w:val="left"/>
        </w:tabs>
        <w:numPr>
          <w:ilvl w:val="1"/>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EYLEA</w:t>
      </w:r>
      <w:r>
        <w:rPr>
          <w:rFonts w:ascii="Arial" w:cs="Arial" w:eastAsia="Arial" w:hAnsi="Arial"/>
          <w:sz w:val="28"/>
          <w:szCs w:val="28"/>
          <w:color w:val="auto"/>
          <w:vertAlign w:val="superscript"/>
        </w:rPr>
        <w:t>®</w:t>
      </w:r>
      <w:r>
        <w:rPr>
          <w:rFonts w:ascii="Arial" w:cs="Arial" w:eastAsia="Arial" w:hAnsi="Arial"/>
          <w:sz w:val="22"/>
          <w:szCs w:val="22"/>
          <w:i w:val="1"/>
          <w:iCs w:val="1"/>
          <w:color w:val="auto"/>
        </w:rPr>
        <w:t xml:space="preserve"> U.S. net sales increased 17% to $1.16 billion versus second quarter 2018</w:t>
      </w:r>
    </w:p>
    <w:p>
      <w:pPr>
        <w:ind w:left="980" w:right="400" w:hanging="324"/>
        <w:spacing w:after="0" w:line="214" w:lineRule="auto"/>
        <w:tabs>
          <w:tab w:leader="none" w:pos="980" w:val="left"/>
        </w:tabs>
        <w:numPr>
          <w:ilvl w:val="1"/>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Dupixent</w:t>
      </w:r>
      <w:r>
        <w:rPr>
          <w:rFonts w:ascii="Arial" w:cs="Arial" w:eastAsia="Arial" w:hAnsi="Arial"/>
          <w:sz w:val="28"/>
          <w:szCs w:val="28"/>
          <w:color w:val="auto"/>
          <w:vertAlign w:val="superscript"/>
        </w:rPr>
        <w:t>®</w:t>
      </w:r>
      <w:r>
        <w:rPr>
          <w:rFonts w:ascii="Arial" w:cs="Arial" w:eastAsia="Arial" w:hAnsi="Arial"/>
          <w:sz w:val="22"/>
          <w:szCs w:val="22"/>
          <w:i w:val="1"/>
          <w:iCs w:val="1"/>
          <w:color w:val="auto"/>
        </w:rPr>
        <w:t xml:space="preserve"> global net sales, which are recorded by the Company's collaborator Sanofi, increased 166% to $557 million versus second quarter 2018</w:t>
      </w: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For the first time on a quarterly basis, the antibody collaboration with Sanofi achieved profitability</w:t>
      </w:r>
    </w:p>
    <w:p>
      <w:pPr>
        <w:spacing w:after="0" w:line="3" w:lineRule="exact"/>
        <w:rPr>
          <w:rFonts w:ascii="Arial" w:cs="Arial" w:eastAsia="Arial" w:hAnsi="Arial"/>
          <w:sz w:val="22"/>
          <w:szCs w:val="22"/>
          <w:i w:val="1"/>
          <w:iCs w:val="1"/>
          <w:color w:val="auto"/>
        </w:rPr>
      </w:pPr>
    </w:p>
    <w:p>
      <w:pPr>
        <w:ind w:left="340" w:right="60" w:hanging="332"/>
        <w:spacing w:after="0" w:line="232"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Second quarter 2019 GAAP diluted EPS was $1.68 and second quarter non-GAAP diluted EPS</w:t>
      </w:r>
      <w:r>
        <w:rPr>
          <w:rFonts w:ascii="Arial" w:cs="Arial" w:eastAsia="Arial" w:hAnsi="Arial"/>
          <w:sz w:val="25"/>
          <w:szCs w:val="25"/>
          <w:i w:val="1"/>
          <w:iCs w:val="1"/>
          <w:color w:val="auto"/>
          <w:vertAlign w:val="superscript"/>
        </w:rPr>
        <w:t>(1)</w:t>
      </w:r>
      <w:r>
        <w:rPr>
          <w:rFonts w:ascii="Arial" w:cs="Arial" w:eastAsia="Arial" w:hAnsi="Arial"/>
          <w:sz w:val="22"/>
          <w:szCs w:val="22"/>
          <w:i w:val="1"/>
          <w:iCs w:val="1"/>
          <w:color w:val="auto"/>
        </w:rPr>
        <w:t xml:space="preserve"> was $6.02. GAAP diluted EPS includes $3.55 impact related to the Alnylam up-front payment and unrealized losses on the Alnylam equity investment.</w:t>
      </w:r>
    </w:p>
    <w:p>
      <w:pPr>
        <w:spacing w:after="0" w:line="2" w:lineRule="exact"/>
        <w:rPr>
          <w:rFonts w:ascii="Arial" w:cs="Arial" w:eastAsia="Arial" w:hAnsi="Arial"/>
          <w:sz w:val="22"/>
          <w:szCs w:val="22"/>
          <w:i w:val="1"/>
          <w:iCs w:val="1"/>
          <w:color w:val="auto"/>
        </w:rPr>
      </w:pP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Important regulatory approvals</w:t>
      </w:r>
    </w:p>
    <w:p>
      <w:pPr>
        <w:spacing w:after="0" w:line="3" w:lineRule="exact"/>
        <w:rPr>
          <w:rFonts w:ascii="Arial" w:cs="Arial" w:eastAsia="Arial" w:hAnsi="Arial"/>
          <w:sz w:val="22"/>
          <w:szCs w:val="22"/>
          <w:i w:val="1"/>
          <w:iCs w:val="1"/>
          <w:color w:val="auto"/>
        </w:rPr>
      </w:pPr>
    </w:p>
    <w:p>
      <w:pPr>
        <w:ind w:left="980" w:hanging="324"/>
        <w:spacing w:after="0"/>
        <w:tabs>
          <w:tab w:leader="none" w:pos="980" w:val="left"/>
        </w:tabs>
        <w:numPr>
          <w:ilvl w:val="1"/>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FDA approved EYLEA for diabetic retinopathy and Dupixent for chronic rhinosinusitis with nasal polyposis</w:t>
      </w:r>
    </w:p>
    <w:p>
      <w:pPr>
        <w:spacing w:after="0" w:line="3" w:lineRule="exact"/>
        <w:rPr>
          <w:rFonts w:ascii="Arial" w:cs="Arial" w:eastAsia="Arial" w:hAnsi="Arial"/>
          <w:sz w:val="22"/>
          <w:szCs w:val="22"/>
          <w:i w:val="1"/>
          <w:iCs w:val="1"/>
          <w:color w:val="auto"/>
        </w:rPr>
      </w:pPr>
    </w:p>
    <w:p>
      <w:pPr>
        <w:ind w:left="980" w:right="660" w:hanging="324"/>
        <w:spacing w:after="0" w:line="215" w:lineRule="auto"/>
        <w:tabs>
          <w:tab w:leader="none" w:pos="980" w:val="left"/>
        </w:tabs>
        <w:numPr>
          <w:ilvl w:val="1"/>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European Commission approved Libtayo</w:t>
      </w:r>
      <w:r>
        <w:rPr>
          <w:rFonts w:ascii="Arial" w:cs="Arial" w:eastAsia="Arial" w:hAnsi="Arial"/>
          <w:sz w:val="28"/>
          <w:szCs w:val="28"/>
          <w:color w:val="auto"/>
          <w:vertAlign w:val="superscript"/>
        </w:rPr>
        <w:t>®</w:t>
      </w:r>
      <w:r>
        <w:rPr>
          <w:rFonts w:ascii="Arial" w:cs="Arial" w:eastAsia="Arial" w:hAnsi="Arial"/>
          <w:sz w:val="22"/>
          <w:szCs w:val="22"/>
          <w:i w:val="1"/>
          <w:iCs w:val="1"/>
          <w:color w:val="auto"/>
        </w:rPr>
        <w:t xml:space="preserve"> for metastatic or locally advanced cutaneous squamous cell carcinoma and Dupixent for adolescents with atopic dermatitis</w:t>
      </w:r>
    </w:p>
    <w:p>
      <w:pPr>
        <w:spacing w:after="0" w:line="229" w:lineRule="exact"/>
        <w:rPr>
          <w:sz w:val="20"/>
          <w:szCs w:val="20"/>
          <w:color w:val="auto"/>
        </w:rPr>
      </w:pPr>
    </w:p>
    <w:p>
      <w:pPr>
        <w:ind w:right="520"/>
        <w:spacing w:after="0" w:line="274" w:lineRule="auto"/>
        <w:rPr>
          <w:sz w:val="20"/>
          <w:szCs w:val="20"/>
          <w:color w:val="auto"/>
        </w:rPr>
      </w:pPr>
      <w:r>
        <w:rPr>
          <w:rFonts w:ascii="Arial" w:cs="Arial" w:eastAsia="Arial" w:hAnsi="Arial"/>
          <w:sz w:val="22"/>
          <w:szCs w:val="22"/>
          <w:b w:val="1"/>
          <w:bCs w:val="1"/>
          <w:color w:val="auto"/>
        </w:rPr>
        <w:t xml:space="preserve">Tarrytown, New York (August 6, 2019) </w:t>
      </w:r>
      <w:r>
        <w:rPr>
          <w:rFonts w:ascii="Arial" w:cs="Arial" w:eastAsia="Arial" w:hAnsi="Arial"/>
          <w:sz w:val="22"/>
          <w:szCs w:val="22"/>
          <w:color w:val="auto"/>
        </w:rPr>
        <w:t>-- 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second quarter of 2019 and provided a business update.</w:t>
      </w:r>
    </w:p>
    <w:p>
      <w:pPr>
        <w:spacing w:after="0" w:line="218" w:lineRule="exact"/>
        <w:rPr>
          <w:sz w:val="20"/>
          <w:szCs w:val="20"/>
          <w:color w:val="auto"/>
        </w:rPr>
      </w:pPr>
    </w:p>
    <w:p>
      <w:pPr>
        <w:ind w:right="40"/>
        <w:spacing w:after="0" w:line="257" w:lineRule="auto"/>
        <w:rPr>
          <w:sz w:val="20"/>
          <w:szCs w:val="20"/>
          <w:color w:val="auto"/>
        </w:rPr>
      </w:pPr>
      <w:r>
        <w:rPr>
          <w:rFonts w:ascii="Arial" w:cs="Arial" w:eastAsia="Arial" w:hAnsi="Arial"/>
          <w:sz w:val="21"/>
          <w:szCs w:val="21"/>
          <w:color w:val="auto"/>
        </w:rPr>
        <w:t>"We had a great quarter marked by top- and bottom-line growth as well as important advances across our innovative R&amp;D engine," said Leonard S. Schleifer, M.D., Ph.D., President and Chief Executive Officer of Regeneron. "We are further unlocking EYLEA's potential to help patients with the recent approval in diabetic retinopathy, and are advancing a high-dose formulation into the clinic later this year. Dupixent is growing rapidly in moderate-to-severe atopic dermatitis and asthma, and we continue to receive new indications in younger patients and additional Type 2 diseases, including the recent U.S. approval for chronic rhinosinusitis with nasal polyposis. Lastly, our immuno-oncology platform, which includes Libtayo and our portfolio of bispecific antibodies, is progressing well, with the most advanced bispecific program, REGN1979 (CD20xCD3), entering a potentially pivotal Phase 2 trial in follicular lymphoma."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4" w:name="page5"/>
    <w:bookmarkEnd w:id="4"/>
    <w:p>
      <w:pPr>
        <w:ind w:left="1120"/>
        <w:spacing w:after="0"/>
        <w:rPr>
          <w:sz w:val="20"/>
          <w:szCs w:val="20"/>
          <w:color w:val="auto"/>
        </w:rPr>
      </w:pPr>
      <w:r>
        <w:rPr>
          <w:rFonts w:ascii="Arial" w:cs="Arial" w:eastAsia="Arial" w:hAnsi="Arial"/>
          <w:sz w:val="21"/>
          <w:szCs w:val="21"/>
          <w:b w:val="1"/>
          <w:bCs w:val="1"/>
          <w:i w:val="1"/>
          <w:i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38735</wp:posOffset>
            </wp:positionV>
            <wp:extent cx="58572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ectPr>
          <w:pgSz w:w="11900" w:h="16838" w:orient="portrait"/>
          <w:cols w:equalWidth="0" w:num="1">
            <w:col w:w="11300"/>
          </w:cols>
          <w:pgMar w:left="240" w:top="647" w:right="359" w:bottom="1440" w:gutter="0" w:footer="0" w:header="0"/>
        </w:sectPr>
      </w:pPr>
    </w:p>
    <w:p>
      <w:pPr>
        <w:spacing w:after="0" w:line="214" w:lineRule="exact"/>
        <w:rPr>
          <w:sz w:val="20"/>
          <w:szCs w:val="20"/>
          <w:color w:val="auto"/>
        </w:rPr>
      </w:pPr>
    </w:p>
    <w:p>
      <w:pPr>
        <w:ind w:left="1120"/>
        <w:spacing w:after="0"/>
        <w:rPr>
          <w:sz w:val="20"/>
          <w:szCs w:val="20"/>
          <w:color w:val="auto"/>
        </w:rPr>
      </w:pPr>
      <w:r>
        <w:rPr>
          <w:rFonts w:ascii="Arial" w:cs="Arial" w:eastAsia="Arial" w:hAnsi="Arial"/>
          <w:sz w:val="14"/>
          <w:szCs w:val="14"/>
          <w:i w:val="1"/>
          <w:iCs w:val="1"/>
          <w:color w:val="auto"/>
        </w:rPr>
        <w:t>($ in millions, except per share data)</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2920"/>
        <w:spacing w:after="0"/>
        <w:rPr>
          <w:sz w:val="20"/>
          <w:szCs w:val="20"/>
          <w:color w:val="auto"/>
        </w:rPr>
      </w:pPr>
      <w:r>
        <w:rPr>
          <w:rFonts w:ascii="Arial" w:cs="Arial" w:eastAsia="Arial" w:hAnsi="Arial"/>
          <w:sz w:val="19"/>
          <w:szCs w:val="19"/>
          <w:b w:val="1"/>
          <w:bCs w:val="1"/>
          <w:color w:val="auto"/>
        </w:rPr>
        <w:t>Three Months Ended</w:t>
      </w:r>
    </w:p>
    <w:p>
      <w:pPr>
        <w:spacing w:after="0" w:line="22" w:lineRule="exact"/>
        <w:rPr>
          <w:sz w:val="20"/>
          <w:szCs w:val="20"/>
          <w:color w:val="auto"/>
        </w:rPr>
      </w:pPr>
    </w:p>
    <w:p>
      <w:pPr>
        <w:jc w:val="center"/>
        <w:ind w:right="2860"/>
        <w:spacing w:after="0"/>
        <w:rPr>
          <w:sz w:val="20"/>
          <w:szCs w:val="20"/>
          <w:color w:val="auto"/>
        </w:rPr>
      </w:pPr>
      <w:r>
        <w:rPr>
          <w:rFonts w:ascii="Arial" w:cs="Arial" w:eastAsia="Arial" w:hAnsi="Arial"/>
          <w:sz w:val="20"/>
          <w:szCs w:val="20"/>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10795</wp:posOffset>
            </wp:positionV>
            <wp:extent cx="17151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5700" w:space="720"/>
            <w:col w:w="4880"/>
          </w:cols>
          <w:pgMar w:left="240" w:top="647" w:right="359" w:bottom="1440" w:gutter="0" w:footer="0" w:header="0"/>
          <w:type w:val="continuous"/>
        </w:sectPr>
      </w:pPr>
    </w:p>
    <w:tbl>
      <w:tblPr>
        <w:tblLayout w:type="fixed"/>
        <w:tblInd w:w="1100" w:type="dxa"/>
        <w:tblCellMar>
          <w:top w:w="0" w:type="dxa"/>
          <w:left w:w="0" w:type="dxa"/>
          <w:bottom w:w="0" w:type="dxa"/>
          <w:right w:w="0" w:type="dxa"/>
        </w:tblCellMar>
      </w:tblPr>
      <w:tr>
        <w:trPr>
          <w:trHeight w:val="266"/>
        </w:trPr>
        <w:tc>
          <w:tcPr>
            <w:tcW w:w="49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b w:val="1"/>
                <w:bCs w:val="1"/>
                <w:color w:val="auto"/>
              </w:rPr>
              <w:t>2019</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b w:val="1"/>
                <w:bCs w:val="1"/>
                <w:color w:val="auto"/>
              </w:rPr>
              <w:t>2018</w:t>
            </w:r>
          </w:p>
        </w:tc>
        <w:tc>
          <w:tcPr>
            <w:tcW w:w="10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b w:val="1"/>
                <w:bCs w:val="1"/>
                <w:color w:val="auto"/>
              </w:rPr>
              <w:t>% Change</w:t>
            </w:r>
          </w:p>
        </w:tc>
      </w:tr>
      <w:tr>
        <w:trPr>
          <w:trHeight w:val="268"/>
        </w:trPr>
        <w:tc>
          <w:tcPr>
            <w:tcW w:w="4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1,934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1,608</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w:t>
            </w:r>
          </w:p>
        </w:tc>
      </w:tr>
      <w:tr>
        <w:trPr>
          <w:trHeight w:val="265"/>
        </w:trPr>
        <w:tc>
          <w:tcPr>
            <w:tcW w:w="4980" w:type="dxa"/>
            <w:vAlign w:val="bottom"/>
          </w:tcPr>
          <w:p>
            <w:pPr>
              <w:ind w:left="20"/>
              <w:spacing w:after="0"/>
              <w:rPr>
                <w:sz w:val="20"/>
                <w:szCs w:val="20"/>
                <w:color w:val="auto"/>
              </w:rPr>
            </w:pPr>
            <w:r>
              <w:rPr>
                <w:rFonts w:ascii="Arial" w:cs="Arial" w:eastAsia="Arial" w:hAnsi="Arial"/>
                <w:sz w:val="20"/>
                <w:szCs w:val="20"/>
                <w:color w:val="auto"/>
              </w:rPr>
              <w:t>GAAP net income</w:t>
            </w: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193</w:t>
            </w:r>
          </w:p>
        </w:tc>
        <w:tc>
          <w:tcPr>
            <w:tcW w:w="120" w:type="dxa"/>
            <w:vAlign w:val="bottom"/>
          </w:tcPr>
          <w:p>
            <w:pPr>
              <w:spacing w:after="0"/>
              <w:rPr>
                <w:sz w:val="23"/>
                <w:szCs w:val="23"/>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551</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75"/>
        </w:trPr>
        <w:tc>
          <w:tcPr>
            <w:tcW w:w="4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net income per share - diluted</w:t>
            </w: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4.82</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w:t>
            </w:r>
          </w:p>
        </w:tc>
      </w:tr>
      <w:tr>
        <w:trPr>
          <w:trHeight w:val="270"/>
        </w:trPr>
        <w:tc>
          <w:tcPr>
            <w:tcW w:w="4980" w:type="dxa"/>
            <w:vAlign w:val="bottom"/>
          </w:tcPr>
          <w:p>
            <w:pPr>
              <w:ind w:left="20"/>
              <w:spacing w:after="0" w:line="270"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(1)</w:t>
            </w: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690</w:t>
            </w:r>
          </w:p>
        </w:tc>
        <w:tc>
          <w:tcPr>
            <w:tcW w:w="120" w:type="dxa"/>
            <w:vAlign w:val="bottom"/>
          </w:tcPr>
          <w:p>
            <w:pPr>
              <w:spacing w:after="0"/>
              <w:rPr>
                <w:sz w:val="23"/>
                <w:szCs w:val="23"/>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624</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70"/>
        </w:trPr>
        <w:tc>
          <w:tcPr>
            <w:tcW w:w="498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Non-GAAP net income per share - diluted</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5.45</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w:t>
            </w:r>
          </w:p>
        </w:tc>
      </w:tr>
    </w:tbl>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Pipeline Progress</w:t>
      </w:r>
    </w:p>
    <w:p>
      <w:pPr>
        <w:spacing w:after="0" w:line="30" w:lineRule="exact"/>
        <w:rPr>
          <w:sz w:val="20"/>
          <w:szCs w:val="20"/>
          <w:color w:val="auto"/>
        </w:rPr>
      </w:pPr>
    </w:p>
    <w:p>
      <w:pPr>
        <w:jc w:val="both"/>
        <w:ind w:right="300"/>
        <w:spacing w:after="0" w:line="246" w:lineRule="auto"/>
        <w:rPr>
          <w:sz w:val="20"/>
          <w:szCs w:val="20"/>
          <w:color w:val="auto"/>
        </w:rPr>
      </w:pPr>
      <w:r>
        <w:rPr>
          <w:rFonts w:ascii="Arial" w:cs="Arial" w:eastAsia="Arial" w:hAnsi="Arial"/>
          <w:sz w:val="22"/>
          <w:szCs w:val="22"/>
          <w:color w:val="auto"/>
        </w:rPr>
        <w:t>Regeneron has 21 product candidates in clinical development, including five of the Company's U.S. Food and Drug Administration (FDA) approved products for which it is investigating additional indications. Updates from the clinical pipeline include: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(aflibercept) Injection</w:t>
      </w:r>
    </w:p>
    <w:p>
      <w:pPr>
        <w:ind w:left="340" w:hanging="332"/>
        <w:spacing w:after="0"/>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May 2019, the FDA approved EYLEA for the treatment of diabetic retinopathy.</w:t>
      </w:r>
    </w:p>
    <w:p>
      <w:pPr>
        <w:spacing w:after="0" w:line="3" w:lineRule="exact"/>
        <w:rPr>
          <w:rFonts w:ascii="Arial" w:cs="Arial" w:eastAsia="Arial" w:hAnsi="Arial"/>
          <w:sz w:val="22"/>
          <w:szCs w:val="22"/>
          <w:color w:val="auto"/>
        </w:rPr>
      </w:pPr>
    </w:p>
    <w:p>
      <w:pPr>
        <w:ind w:left="340" w:hanging="332"/>
        <w:spacing w:after="0" w:line="249"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supplemental Biologics License Application (sBLA) for EYLEA in a pre-filled syringe has a target action date of August 12, 2019.</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(dupilumab)</w:t>
      </w:r>
    </w:p>
    <w:p>
      <w:pPr>
        <w:ind w:left="340" w:right="20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May 2019, the European Commission (EC) approved Dupixent for use in adults and adolescents 12 years and older as an add-on maintenance treatment for severe asthma.</w:t>
      </w:r>
    </w:p>
    <w:p>
      <w:pPr>
        <w:ind w:left="340" w:right="36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June 2019, the FDA approved Dupixent for use with other medicines to treat chronic rhinosinusitis with nasal polyposis (CRSwNP) in adults whose disease is not controlled.</w:t>
      </w:r>
    </w:p>
    <w:p>
      <w:pPr>
        <w:jc w:val="both"/>
        <w:ind w:left="340" w:right="56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European Commission approved Dupixent, extending its approval in the European Union (EU) to include adolescents 12 to 17 years of age with moderate-to-severe atopic dermatitis who are candidates for systemic therapy.</w:t>
      </w:r>
    </w:p>
    <w:p>
      <w:pPr>
        <w:spacing w:after="0" w:line="1" w:lineRule="exact"/>
        <w:rPr>
          <w:rFonts w:ascii="Arial" w:cs="Arial" w:eastAsia="Arial" w:hAnsi="Arial"/>
          <w:sz w:val="22"/>
          <w:szCs w:val="22"/>
          <w:color w:val="auto"/>
        </w:rPr>
      </w:pPr>
    </w:p>
    <w:p>
      <w:pPr>
        <w:ind w:left="340" w:right="540" w:hanging="332"/>
        <w:spacing w:after="0" w:line="249"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August 2019, the Company and Sanofi announced that the Phase 3 trial to treat severe atopic dermatitis in children 6 to 11 years of age met its primary and secondary endpoints.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Libtayo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(cemiplimab)</w:t>
      </w:r>
    </w:p>
    <w:p>
      <w:pPr>
        <w:ind w:left="340" w:hanging="332"/>
        <w:spacing w:after="0" w:line="243"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June 2019, the EC granted conditional marketing authorization for Libtayo for the treatment of adult patients with metastatic or locally advanced cutaneous squamous cell carcinoma (CSCC) who are not candidates for curative surgery or curative radiation.</w:t>
      </w:r>
    </w:p>
    <w:p>
      <w:pPr>
        <w:spacing w:after="0" w:line="1" w:lineRule="exact"/>
        <w:rPr>
          <w:rFonts w:ascii="Arial" w:cs="Arial" w:eastAsia="Arial" w:hAnsi="Arial"/>
          <w:sz w:val="22"/>
          <w:szCs w:val="22"/>
          <w:color w:val="auto"/>
        </w:rPr>
      </w:pPr>
    </w:p>
    <w:p>
      <w:pPr>
        <w:ind w:left="340" w:hanging="332"/>
        <w:spacing w:after="0"/>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A Phase 3 adjuvant study in CSCC was initiated.</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REGN1979</w:t>
      </w:r>
      <w:r>
        <w:rPr>
          <w:rFonts w:ascii="Arial" w:cs="Arial" w:eastAsia="Arial" w:hAnsi="Arial"/>
          <w:sz w:val="22"/>
          <w:szCs w:val="22"/>
          <w:color w:val="auto"/>
        </w:rPr>
        <w:t>, a bispecific antibody against CD20 and CD3</w:t>
      </w:r>
    </w:p>
    <w:p>
      <w:pPr>
        <w:spacing w:after="0" w:line="4" w:lineRule="exact"/>
        <w:rPr>
          <w:sz w:val="20"/>
          <w:szCs w:val="20"/>
          <w:color w:val="auto"/>
        </w:rPr>
      </w:pPr>
    </w:p>
    <w:p>
      <w:pPr>
        <w:ind w:left="340" w:right="120" w:hanging="332"/>
        <w:spacing w:after="0" w:line="243"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June 2019, the Company presented updated positive results from a study in patients with relapsed or refractory B-cell non-Hodgkin lymphoma at the European Hematology Association meeting.</w:t>
      </w:r>
    </w:p>
    <w:p>
      <w:pPr>
        <w:ind w:left="340" w:hanging="332"/>
        <w:spacing w:after="0"/>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A Phase 2 study in relapsed or refractory follicular lymphoma (FL) is recruiting patients.</w:t>
      </w:r>
    </w:p>
    <w:p>
      <w:pPr>
        <w:spacing w:after="0" w:line="200" w:lineRule="exact"/>
        <w:rPr>
          <w:sz w:val="20"/>
          <w:szCs w:val="20"/>
          <w:color w:val="auto"/>
        </w:rPr>
      </w:pP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647"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Praluent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(alirocumab)</w:t>
      </w:r>
    </w:p>
    <w:p>
      <w:pPr>
        <w:ind w:left="340" w:right="140" w:hanging="332"/>
        <w:spacing w:after="0" w:line="245" w:lineRule="auto"/>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April 2019, based upon data from the Phase 3 ODYSSEY OUTCOMES trial, the FDA approved a new indication for Praluent to reduce the risk of heart attack, stroke, and unstable angina requiring hospitalization in adults with established cardiovascular disease. The label was also updated to include data showing that treatment with Praluent was associated with a reduction in death from any cause.</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REGN3500</w:t>
      </w:r>
      <w:r>
        <w:rPr>
          <w:rFonts w:ascii="Arial" w:cs="Arial" w:eastAsia="Arial" w:hAnsi="Arial"/>
          <w:sz w:val="22"/>
          <w:szCs w:val="22"/>
          <w:color w:val="auto"/>
        </w:rPr>
        <w:t>, an antibody to IL-33</w:t>
      </w:r>
    </w:p>
    <w:p>
      <w:pPr>
        <w:spacing w:after="0" w:line="4" w:lineRule="exact"/>
        <w:rPr>
          <w:sz w:val="20"/>
          <w:szCs w:val="20"/>
          <w:color w:val="auto"/>
        </w:rPr>
      </w:pPr>
    </w:p>
    <w:p>
      <w:pPr>
        <w:ind w:left="340" w:right="300" w:hanging="332"/>
        <w:spacing w:after="0" w:line="259" w:lineRule="auto"/>
        <w:tabs>
          <w:tab w:leader="none" w:pos="340" w:val="left"/>
        </w:tabs>
        <w:numPr>
          <w:ilvl w:val="0"/>
          <w:numId w:val="8"/>
        </w:numPr>
        <w:rPr>
          <w:rFonts w:ascii="Arial" w:cs="Arial" w:eastAsia="Arial" w:hAnsi="Arial"/>
          <w:sz w:val="21"/>
          <w:szCs w:val="21"/>
          <w:color w:val="auto"/>
        </w:rPr>
      </w:pPr>
      <w:r>
        <w:rPr>
          <w:rFonts w:ascii="Arial" w:cs="Arial" w:eastAsia="Arial" w:hAnsi="Arial"/>
          <w:sz w:val="21"/>
          <w:szCs w:val="21"/>
          <w:color w:val="auto"/>
        </w:rPr>
        <w:t>In June 2019, the Company and Sanofi announced that the Phase 2 study in asthma met the primary endpoint of improvement in loss of asthma control when comparing REGN3500 monotherapy to placebo. In the trial, the greatest improvement was observed in patients with blood eosinophil levels ≥300 cells/microliter. Patients treated with Dupixent monotherapy did numerically better than REGN3500 across all endpoints. The combination of REGN3500 and Dupixent did not demonstrate increased benefit compared to Dupixent monotherapy in this trial.</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Second Quarter 2019 Financial Results</w:t>
      </w:r>
    </w:p>
    <w:p>
      <w:pPr>
        <w:spacing w:after="0" w:line="260" w:lineRule="exact"/>
        <w:rPr>
          <w:sz w:val="20"/>
          <w:szCs w:val="20"/>
          <w:color w:val="auto"/>
        </w:rPr>
      </w:pPr>
    </w:p>
    <w:p>
      <w:pPr>
        <w:ind w:right="20"/>
        <w:spacing w:after="0" w:line="274" w:lineRule="auto"/>
        <w:rPr>
          <w:sz w:val="20"/>
          <w:szCs w:val="20"/>
          <w:color w:val="auto"/>
        </w:rPr>
      </w:pPr>
      <w:r>
        <w:rPr>
          <w:rFonts w:ascii="Arial" w:cs="Arial" w:eastAsia="Arial" w:hAnsi="Arial"/>
          <w:sz w:val="22"/>
          <w:szCs w:val="22"/>
          <w:b w:val="1"/>
          <w:bCs w:val="1"/>
          <w:color w:val="auto"/>
        </w:rPr>
        <w:t xml:space="preserve">Total Revenues: </w:t>
      </w:r>
      <w:r>
        <w:rPr>
          <w:rFonts w:ascii="Arial" w:cs="Arial" w:eastAsia="Arial" w:hAnsi="Arial"/>
          <w:sz w:val="22"/>
          <w:szCs w:val="22"/>
          <w:color w:val="auto"/>
        </w:rPr>
        <w:t>Total revenues increased by 20% to $1.934 billion in the second quarter of 2019, compared to $1.608</w:t>
      </w:r>
      <w:r>
        <w:rPr>
          <w:rFonts w:ascii="Arial" w:cs="Arial" w:eastAsia="Arial" w:hAnsi="Arial"/>
          <w:sz w:val="22"/>
          <w:szCs w:val="22"/>
          <w:b w:val="1"/>
          <w:bCs w:val="1"/>
          <w:color w:val="auto"/>
        </w:rPr>
        <w:t xml:space="preserve"> </w:t>
      </w:r>
      <w:r>
        <w:rPr>
          <w:rFonts w:ascii="Arial" w:cs="Arial" w:eastAsia="Arial" w:hAnsi="Arial"/>
          <w:sz w:val="22"/>
          <w:szCs w:val="22"/>
          <w:color w:val="auto"/>
        </w:rPr>
        <w:t>billion in the second quarter of 2018.</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Net product sales were $1.205 billion in the second quarter of 2019, compared to $996 million in the second quarter of</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2018. EYLEA net product sales in the United States were $1.160 billion in the second quarter of 2019, compared to</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$992 million in the second quarter of 2018. Overall distributor inventory levels for EYLEA in the United States remained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within the Company's one-to-two-week targeted range.</w:t>
      </w:r>
    </w:p>
    <w:p>
      <w:pPr>
        <w:spacing w:after="0" w:line="247" w:lineRule="exact"/>
        <w:rPr>
          <w:sz w:val="20"/>
          <w:szCs w:val="20"/>
          <w:color w:val="auto"/>
        </w:rPr>
      </w:pPr>
    </w:p>
    <w:p>
      <w:pPr>
        <w:ind w:right="40"/>
        <w:spacing w:after="0" w:line="241" w:lineRule="auto"/>
        <w:rPr>
          <w:sz w:val="20"/>
          <w:szCs w:val="20"/>
          <w:color w:val="auto"/>
        </w:rPr>
      </w:pPr>
      <w:r>
        <w:rPr>
          <w:rFonts w:ascii="Arial" w:cs="Arial" w:eastAsia="Arial" w:hAnsi="Arial"/>
          <w:sz w:val="22"/>
          <w:szCs w:val="22"/>
          <w:color w:val="auto"/>
        </w:rPr>
        <w:t>Total revenues also include Sanofi and Bayer collaboration revenues</w:t>
      </w:r>
      <w:r>
        <w:rPr>
          <w:rFonts w:ascii="Arial" w:cs="Arial" w:eastAsia="Arial" w:hAnsi="Arial"/>
          <w:sz w:val="25"/>
          <w:szCs w:val="25"/>
          <w:color w:val="auto"/>
          <w:vertAlign w:val="superscript"/>
        </w:rPr>
        <w:t>(5)</w:t>
      </w:r>
      <w:r>
        <w:rPr>
          <w:rFonts w:ascii="Arial" w:cs="Arial" w:eastAsia="Arial" w:hAnsi="Arial"/>
          <w:sz w:val="22"/>
          <w:szCs w:val="22"/>
          <w:color w:val="auto"/>
        </w:rPr>
        <w:t xml:space="preserve"> of $638 million in the second quarter of 2019, compared to $501 million in the second quarter of 2018. The Company's Antibody License and Collaboration Agreement with Sanofi achieved profitability in connection with commercialization of antibodies in the second quarter of 2019 for the first time. Consequently, Sanofi collaboration revenue in the second quarter of 2019 included the Company's share of profits from collaboration antibodies of $39 million, while Sanofi collaboration revenue in the second quarter of 2018 included the Company's share of losses from collaboration antibodies of $69 million. The increase was primarily driven by higher net product sales of Dupixent.</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and other revenue.</w:t>
      </w:r>
    </w:p>
    <w:p>
      <w:pPr>
        <w:spacing w:after="0" w:line="234" w:lineRule="exact"/>
        <w:rPr>
          <w:sz w:val="20"/>
          <w:szCs w:val="20"/>
          <w:color w:val="auto"/>
        </w:rPr>
      </w:pPr>
    </w:p>
    <w:p>
      <w:pPr>
        <w:spacing w:after="0" w:line="251" w:lineRule="auto"/>
        <w:rPr>
          <w:sz w:val="20"/>
          <w:szCs w:val="20"/>
          <w:color w:val="auto"/>
        </w:rPr>
      </w:pPr>
      <w:r>
        <w:rPr>
          <w:rFonts w:ascii="Arial" w:cs="Arial" w:eastAsia="Arial" w:hAnsi="Arial"/>
          <w:sz w:val="22"/>
          <w:szCs w:val="22"/>
          <w:b w:val="1"/>
          <w:bCs w:val="1"/>
          <w:color w:val="auto"/>
        </w:rPr>
        <w:t xml:space="preserve">Research and Development (R&amp;D) Expenses: </w:t>
      </w:r>
      <w:r>
        <w:rPr>
          <w:rFonts w:ascii="Arial" w:cs="Arial" w:eastAsia="Arial" w:hAnsi="Arial"/>
          <w:sz w:val="22"/>
          <w:szCs w:val="22"/>
          <w:color w:val="auto"/>
        </w:rPr>
        <w:t>GAAP R&amp;D expenses were $1.048 billion in the second quarter of</w:t>
      </w:r>
      <w:r>
        <w:rPr>
          <w:rFonts w:ascii="Arial" w:cs="Arial" w:eastAsia="Arial" w:hAnsi="Arial"/>
          <w:sz w:val="22"/>
          <w:szCs w:val="22"/>
          <w:b w:val="1"/>
          <w:bCs w:val="1"/>
          <w:color w:val="auto"/>
        </w:rPr>
        <w:t xml:space="preserve"> </w:t>
      </w:r>
      <w:r>
        <w:rPr>
          <w:rFonts w:ascii="Arial" w:cs="Arial" w:eastAsia="Arial" w:hAnsi="Arial"/>
          <w:sz w:val="22"/>
          <w:szCs w:val="22"/>
          <w:color w:val="auto"/>
        </w:rPr>
        <w:t>2019, compared to $529 million in the second quarter of 2018. The higher R&amp;D expenses in the second quarter of 2019 were principally due to a $400 million up-front payment in connection with the collaboration agreement with Alnylam Pharmaceuticals, Inc. In the second quarter of 2019, R&amp;D-related non-cash share-based compensation expense was $59 million, compared to $60 million in the second quarter of 2018.</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24" w:right="239" w:bottom="1440" w:gutter="0" w:footer="0" w:header="0"/>
        </w:sectPr>
      </w:pPr>
    </w:p>
    <w:bookmarkStart w:id="6" w:name="page7"/>
    <w:bookmarkEnd w:id="6"/>
    <w:p>
      <w:pPr>
        <w:spacing w:after="0" w:line="251" w:lineRule="auto"/>
        <w:rPr>
          <w:sz w:val="20"/>
          <w:szCs w:val="20"/>
          <w:color w:val="auto"/>
        </w:rPr>
      </w:pPr>
      <w:r>
        <w:rPr>
          <w:rFonts w:ascii="Arial" w:cs="Arial" w:eastAsia="Arial" w:hAnsi="Arial"/>
          <w:sz w:val="22"/>
          <w:szCs w:val="22"/>
          <w:b w:val="1"/>
          <w:bCs w:val="1"/>
          <w:color w:val="auto"/>
        </w:rPr>
        <w:t xml:space="preserve">Selling, General, and Administrative (SG&amp;A) Expenses: </w:t>
      </w:r>
      <w:r>
        <w:rPr>
          <w:rFonts w:ascii="Arial" w:cs="Arial" w:eastAsia="Arial" w:hAnsi="Arial"/>
          <w:sz w:val="22"/>
          <w:szCs w:val="22"/>
          <w:color w:val="auto"/>
        </w:rPr>
        <w:t>GAAP SG&amp;A expenses were $417 million in the second</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2019, compared to $365 million in the second quarter of 2018. The higher SG&amp;A expenses in the second quarter of 2019 were primarily due to higher headcount and related costs, and an increase in commercialization-related expenses for Dupixent. In the second quarter of 2019, SG&amp;A-related non-cash share-based compensation expense was $38 million, compared to $41 million in the second quarter of 2018.</w:t>
      </w:r>
    </w:p>
    <w:p>
      <w:pPr>
        <w:spacing w:after="0" w:line="217" w:lineRule="exact"/>
        <w:rPr>
          <w:sz w:val="20"/>
          <w:szCs w:val="20"/>
          <w:color w:val="auto"/>
        </w:rPr>
      </w:pPr>
    </w:p>
    <w:p>
      <w:pPr>
        <w:spacing w:after="0" w:line="253" w:lineRule="auto"/>
        <w:rPr>
          <w:sz w:val="20"/>
          <w:szCs w:val="20"/>
          <w:color w:val="auto"/>
        </w:rPr>
      </w:pPr>
      <w:r>
        <w:rPr>
          <w:rFonts w:ascii="Arial" w:cs="Arial" w:eastAsia="Arial" w:hAnsi="Arial"/>
          <w:sz w:val="22"/>
          <w:szCs w:val="22"/>
          <w:b w:val="1"/>
          <w:bCs w:val="1"/>
          <w:color w:val="auto"/>
        </w:rPr>
        <w:t xml:space="preserve">Cost of Goods Sold (COGS): </w:t>
      </w:r>
      <w:r>
        <w:rPr>
          <w:rFonts w:ascii="Arial" w:cs="Arial" w:eastAsia="Arial" w:hAnsi="Arial"/>
          <w:sz w:val="22"/>
          <w:szCs w:val="22"/>
          <w:color w:val="auto"/>
        </w:rPr>
        <w:t>GAAP COGS was $67 million in the second quarter of 2019, compared to $36 million in</w:t>
      </w:r>
      <w:r>
        <w:rPr>
          <w:rFonts w:ascii="Arial" w:cs="Arial" w:eastAsia="Arial" w:hAnsi="Arial"/>
          <w:sz w:val="22"/>
          <w:szCs w:val="22"/>
          <w:b w:val="1"/>
          <w:bCs w:val="1"/>
          <w:color w:val="auto"/>
        </w:rPr>
        <w:t xml:space="preserve"> </w:t>
      </w:r>
      <w:r>
        <w:rPr>
          <w:rFonts w:ascii="Arial" w:cs="Arial" w:eastAsia="Arial" w:hAnsi="Arial"/>
          <w:sz w:val="22"/>
          <w:szCs w:val="22"/>
          <w:color w:val="auto"/>
        </w:rPr>
        <w:t>the second quarter of 2018. The increase in COGS was primarily due to the Company's commercialization of Libtayo in the United States, including royalties to third parties and the Company's obligation to pay Sanofi its share of Libtayo gross profits.</w:t>
      </w:r>
    </w:p>
    <w:p>
      <w:pPr>
        <w:spacing w:after="0" w:line="216" w:lineRule="exact"/>
        <w:rPr>
          <w:sz w:val="20"/>
          <w:szCs w:val="20"/>
          <w:color w:val="auto"/>
        </w:rPr>
      </w:pPr>
    </w:p>
    <w:p>
      <w:pPr>
        <w:ind w:right="300"/>
        <w:spacing w:after="0" w:line="258" w:lineRule="auto"/>
        <w:rPr>
          <w:sz w:val="20"/>
          <w:szCs w:val="20"/>
          <w:color w:val="auto"/>
        </w:rPr>
      </w:pPr>
      <w:r>
        <w:rPr>
          <w:rFonts w:ascii="Arial" w:cs="Arial" w:eastAsia="Arial" w:hAnsi="Arial"/>
          <w:sz w:val="22"/>
          <w:szCs w:val="22"/>
          <w:b w:val="1"/>
          <w:bCs w:val="1"/>
          <w:color w:val="auto"/>
        </w:rPr>
        <w:t xml:space="preserve">Other Income (Expense): </w:t>
      </w:r>
      <w:r>
        <w:rPr>
          <w:rFonts w:ascii="Arial" w:cs="Arial" w:eastAsia="Arial" w:hAnsi="Arial"/>
          <w:sz w:val="22"/>
          <w:szCs w:val="22"/>
          <w:color w:val="auto"/>
        </w:rPr>
        <w:t>GAAP other income (expense), net, in the second quarter of 2019 and 2018 includes the</w:t>
      </w:r>
      <w:r>
        <w:rPr>
          <w:rFonts w:ascii="Arial" w:cs="Arial" w:eastAsia="Arial" w:hAnsi="Arial"/>
          <w:sz w:val="22"/>
          <w:szCs w:val="22"/>
          <w:b w:val="1"/>
          <w:bCs w:val="1"/>
          <w:color w:val="auto"/>
        </w:rPr>
        <w:t xml:space="preserve"> </w:t>
      </w:r>
      <w:r>
        <w:rPr>
          <w:rFonts w:ascii="Arial" w:cs="Arial" w:eastAsia="Arial" w:hAnsi="Arial"/>
          <w:sz w:val="22"/>
          <w:szCs w:val="22"/>
          <w:color w:val="auto"/>
        </w:rPr>
        <w:t>recognition of $117 million of net unrealized losses and $17 million of net unrealized gains, respectively, on equity securities.</w:t>
      </w:r>
    </w:p>
    <w:p>
      <w:pPr>
        <w:spacing w:after="0" w:line="211"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b w:val="1"/>
          <w:bCs w:val="1"/>
          <w:color w:val="auto"/>
        </w:rPr>
        <w:t xml:space="preserve">Income Taxes: </w:t>
      </w:r>
      <w:r>
        <w:rPr>
          <w:rFonts w:ascii="Arial" w:cs="Arial" w:eastAsia="Arial" w:hAnsi="Arial"/>
          <w:sz w:val="22"/>
          <w:szCs w:val="22"/>
          <w:color w:val="auto"/>
        </w:rPr>
        <w:t>In the second quarter of 2019, GAAP income tax expense was $32 million and the effective tax rate</w:t>
      </w:r>
      <w:r>
        <w:rPr>
          <w:rFonts w:ascii="Arial" w:cs="Arial" w:eastAsia="Arial" w:hAnsi="Arial"/>
          <w:sz w:val="22"/>
          <w:szCs w:val="22"/>
          <w:b w:val="1"/>
          <w:bCs w:val="1"/>
          <w:color w:val="auto"/>
        </w:rPr>
        <w:t xml:space="preserve"> </w:t>
      </w:r>
      <w:r>
        <w:rPr>
          <w:rFonts w:ascii="Arial" w:cs="Arial" w:eastAsia="Arial" w:hAnsi="Arial"/>
          <w:sz w:val="22"/>
          <w:szCs w:val="22"/>
          <w:color w:val="auto"/>
        </w:rPr>
        <w:t>was 14.1%, compared to $105 million and 16.0%, respectively, in the second quarter of 2018. The effective tax rate for the second quarter of 2019 was positively impacted, compared to the U.S. federal statutory rate, primarily by income earned in foreign jurisdictions with tax rates lower than the U.S. federal statutory rate, stock-based compensation, and federal tax credits for research activities.</w:t>
      </w:r>
    </w:p>
    <w:p>
      <w:pPr>
        <w:spacing w:after="0" w:line="217" w:lineRule="exact"/>
        <w:rPr>
          <w:sz w:val="20"/>
          <w:szCs w:val="20"/>
          <w:color w:val="auto"/>
        </w:rPr>
      </w:pPr>
    </w:p>
    <w:p>
      <w:pPr>
        <w:ind w:right="200"/>
        <w:spacing w:after="0" w:line="242" w:lineRule="auto"/>
        <w:rPr>
          <w:sz w:val="20"/>
          <w:szCs w:val="20"/>
          <w:color w:val="auto"/>
        </w:rPr>
      </w:pPr>
      <w:r>
        <w:rPr>
          <w:rFonts w:ascii="Arial" w:cs="Arial" w:eastAsia="Arial" w:hAnsi="Arial"/>
          <w:sz w:val="22"/>
          <w:szCs w:val="22"/>
          <w:b w:val="1"/>
          <w:bCs w:val="1"/>
          <w:color w:val="auto"/>
        </w:rPr>
        <w:t>GAAP and Non-GAAP Net Income</w:t>
      </w:r>
      <w:r>
        <w:rPr>
          <w:rFonts w:ascii="Arial" w:cs="Arial" w:eastAsia="Arial" w:hAnsi="Arial"/>
          <w:sz w:val="25"/>
          <w:szCs w:val="25"/>
          <w:b w:val="1"/>
          <w:bCs w:val="1"/>
          <w:color w:val="auto"/>
          <w:vertAlign w:val="superscript"/>
        </w:rPr>
        <w:t>(1)</w:t>
      </w:r>
      <w:r>
        <w:rPr>
          <w:rFonts w:ascii="Arial" w:cs="Arial" w:eastAsia="Arial" w:hAnsi="Arial"/>
          <w:sz w:val="22"/>
          <w:szCs w:val="22"/>
          <w:b w:val="1"/>
          <w:bCs w:val="1"/>
          <w:color w:val="auto"/>
        </w:rPr>
        <w:t xml:space="preserve">: </w:t>
      </w:r>
      <w:r>
        <w:rPr>
          <w:rFonts w:ascii="Arial" w:cs="Arial" w:eastAsia="Arial" w:hAnsi="Arial"/>
          <w:sz w:val="22"/>
          <w:szCs w:val="22"/>
          <w:color w:val="auto"/>
        </w:rPr>
        <w:t>GAAP net income was $193 million, or $1.77 per basic share and $1.68 per</w:t>
      </w:r>
      <w:r>
        <w:rPr>
          <w:rFonts w:ascii="Arial" w:cs="Arial" w:eastAsia="Arial" w:hAnsi="Arial"/>
          <w:sz w:val="22"/>
          <w:szCs w:val="22"/>
          <w:b w:val="1"/>
          <w:bCs w:val="1"/>
          <w:color w:val="auto"/>
        </w:rPr>
        <w:t xml:space="preserve"> </w:t>
      </w:r>
      <w:r>
        <w:rPr>
          <w:rFonts w:ascii="Arial" w:cs="Arial" w:eastAsia="Arial" w:hAnsi="Arial"/>
          <w:sz w:val="22"/>
          <w:szCs w:val="22"/>
          <w:color w:val="auto"/>
        </w:rPr>
        <w:t>diluted share, in the second quarter of 2019, compared to GAAP net income of $551 million, or $5.12 per basic share and $4.82 per diluted share, in the second quarter of 2018.</w:t>
      </w:r>
    </w:p>
    <w:p>
      <w:pPr>
        <w:spacing w:after="0" w:line="252"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Non-GAAP net income was $690 million, or $6.32 per basic share and $6.02 per diluted share, in the second quarter of 2019, compared to non-GAAP net income of $624 million, or $5.79 per basic share and $5.45 per diluted share, in the second quarter of 2018.</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The difference in GAAP net income and non-GAAP net income in the second quarter of 2019 was largely impacted by</w:t>
      </w:r>
    </w:p>
    <w:p>
      <w:pPr>
        <w:spacing w:after="0" w:line="15" w:lineRule="exact"/>
        <w:rPr>
          <w:sz w:val="20"/>
          <w:szCs w:val="20"/>
          <w:color w:val="auto"/>
        </w:rPr>
      </w:pPr>
    </w:p>
    <w:p>
      <w:pPr>
        <w:jc w:val="both"/>
        <w:ind w:right="120" w:firstLine="8"/>
        <w:spacing w:after="0" w:line="245" w:lineRule="auto"/>
        <w:tabs>
          <w:tab w:leader="none" w:pos="252"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Alnylam up-front payment being recognized as GAAP R&amp;D expense during the period and (ii) unrealized losses recorded in GAAP other income (expense) related to Alnylam common shares the Company purchased in connection with the collaboration agreement. A reconciliation of the Company's GAAP to non-GAAP results is included in Table 3 of this press release.</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364" w:right="27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i w:val="1"/>
          <w:iCs w:val="1"/>
          <w:color w:val="auto"/>
        </w:rPr>
        <w:t>2019 Financial Guidance</w:t>
      </w:r>
      <w:r>
        <w:rPr>
          <w:rFonts w:ascii="Arial" w:cs="Arial" w:eastAsia="Arial" w:hAnsi="Arial"/>
          <w:sz w:val="25"/>
          <w:szCs w:val="25"/>
          <w:b w:val="1"/>
          <w:bCs w:val="1"/>
          <w:i w:val="1"/>
          <w:iCs w:val="1"/>
          <w:color w:val="auto"/>
          <w:vertAlign w:val="superscript"/>
        </w:rPr>
        <w:t>(2)</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 Company's updated full year 2019 financial guidance consists of the following components:</w:t>
      </w:r>
    </w:p>
    <w:p>
      <w:pPr>
        <w:spacing w:after="0" w:line="112"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488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GAAP Sanofi collaboration revenue: Sanofi</w:t>
            </w:r>
          </w:p>
        </w:tc>
        <w:tc>
          <w:tcPr>
            <w:tcW w:w="4860" w:type="dxa"/>
            <w:vAlign w:val="bottom"/>
            <w:tcBorders>
              <w:top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$500 million–$530 million</w:t>
            </w:r>
          </w:p>
        </w:tc>
      </w:tr>
      <w:tr>
        <w:trPr>
          <w:trHeight w:val="236"/>
        </w:trPr>
        <w:tc>
          <w:tcPr>
            <w:tcW w:w="48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reimbursement of Regeneron commercialization-</w:t>
            </w:r>
          </w:p>
        </w:tc>
        <w:tc>
          <w:tcPr>
            <w:tcW w:w="486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20"/>
                <w:szCs w:val="20"/>
                <w:i w:val="1"/>
                <w:iCs w:val="1"/>
                <w:color w:val="auto"/>
              </w:rPr>
              <w:t>(previously $500 million–$535 million)</w:t>
            </w:r>
          </w:p>
        </w:tc>
      </w:tr>
      <w:tr>
        <w:trPr>
          <w:trHeight w:val="242"/>
        </w:trPr>
        <w:tc>
          <w:tcPr>
            <w:tcW w:w="48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related expenses</w:t>
            </w:r>
          </w:p>
        </w:tc>
        <w:tc>
          <w:tcPr>
            <w:tcW w:w="486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218"/>
        </w:trPr>
        <w:tc>
          <w:tcPr>
            <w:tcW w:w="488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20"/>
                <w:szCs w:val="20"/>
                <w:color w:val="auto"/>
              </w:rPr>
              <w:t>GAAP Unreimbursed R&amp;D</w:t>
            </w:r>
            <w:r>
              <w:rPr>
                <w:rFonts w:ascii="Arial" w:cs="Arial" w:eastAsia="Arial" w:hAnsi="Arial"/>
                <w:sz w:val="25"/>
                <w:szCs w:val="25"/>
                <w:color w:val="auto"/>
                <w:vertAlign w:val="superscript"/>
              </w:rPr>
              <w:t>(4)</w:t>
            </w:r>
          </w:p>
        </w:tc>
        <w:tc>
          <w:tcPr>
            <w:tcW w:w="4860" w:type="dxa"/>
            <w:vAlign w:val="bottom"/>
            <w:tcBorders>
              <w:right w:val="single" w:sz="8" w:color="auto"/>
            </w:tcBorders>
          </w:tcPr>
          <w:p>
            <w:pPr>
              <w:ind w:left="40"/>
              <w:spacing w:after="0" w:line="218" w:lineRule="exact"/>
              <w:rPr>
                <w:sz w:val="20"/>
                <w:szCs w:val="20"/>
                <w:color w:val="auto"/>
              </w:rPr>
            </w:pPr>
            <w:r>
              <w:rPr>
                <w:rFonts w:ascii="Arial" w:cs="Arial" w:eastAsia="Arial" w:hAnsi="Arial"/>
                <w:sz w:val="20"/>
                <w:szCs w:val="20"/>
                <w:color w:val="auto"/>
              </w:rPr>
              <w:t>$2.300 billion</w:t>
            </w:r>
            <w:r>
              <w:rPr>
                <w:rFonts w:ascii="Arial" w:cs="Arial" w:eastAsia="Arial" w:hAnsi="Arial"/>
                <w:sz w:val="20"/>
                <w:szCs w:val="20"/>
                <w:i w:val="1"/>
                <w:iCs w:val="1"/>
                <w:color w:val="auto"/>
              </w:rPr>
              <w:t>–</w:t>
            </w:r>
            <w:r>
              <w:rPr>
                <w:rFonts w:ascii="Arial" w:cs="Arial" w:eastAsia="Arial" w:hAnsi="Arial"/>
                <w:sz w:val="20"/>
                <w:szCs w:val="20"/>
                <w:color w:val="auto"/>
              </w:rPr>
              <w:t>$2.380 billion</w:t>
            </w:r>
          </w:p>
        </w:tc>
      </w:tr>
      <w:tr>
        <w:trPr>
          <w:trHeight w:val="262"/>
        </w:trPr>
        <w:tc>
          <w:tcPr>
            <w:tcW w:w="4880" w:type="dxa"/>
            <w:vAlign w:val="bottom"/>
            <w:tcBorders>
              <w:left w:val="single" w:sz="8" w:color="auto"/>
              <w:bottom w:val="single" w:sz="8" w:color="auto"/>
              <w:right w:val="single" w:sz="8" w:color="auto"/>
            </w:tcBorders>
          </w:tcPr>
          <w:p>
            <w:pPr>
              <w:spacing w:after="0"/>
              <w:rPr>
                <w:sz w:val="22"/>
                <w:szCs w:val="22"/>
                <w:color w:val="auto"/>
              </w:rPr>
            </w:pPr>
          </w:p>
        </w:tc>
        <w:tc>
          <w:tcPr>
            <w:tcW w:w="4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i w:val="1"/>
                <w:iCs w:val="1"/>
                <w:color w:val="auto"/>
              </w:rPr>
              <w:t>(previously $2.280 billion–$2.400 billion)</w:t>
            </w:r>
          </w:p>
        </w:tc>
      </w:tr>
      <w:tr>
        <w:trPr>
          <w:trHeight w:val="218"/>
        </w:trPr>
        <w:tc>
          <w:tcPr>
            <w:tcW w:w="4880" w:type="dxa"/>
            <w:vAlign w:val="bottom"/>
            <w:tcBorders>
              <w:left w:val="single" w:sz="8" w:color="auto"/>
              <w:right w:val="single" w:sz="8" w:color="auto"/>
            </w:tcBorders>
            <w:shd w:val="clear" w:color="auto" w:fill="CCEEFF"/>
          </w:tcPr>
          <w:p>
            <w:pPr>
              <w:ind w:left="40"/>
              <w:spacing w:after="0" w:line="217" w:lineRule="exact"/>
              <w:rPr>
                <w:sz w:val="20"/>
                <w:szCs w:val="20"/>
                <w:color w:val="auto"/>
              </w:rPr>
            </w:pPr>
            <w:r>
              <w:rPr>
                <w:rFonts w:ascii="Arial" w:cs="Arial" w:eastAsia="Arial" w:hAnsi="Arial"/>
                <w:sz w:val="20"/>
                <w:szCs w:val="20"/>
                <w:color w:val="auto"/>
              </w:rPr>
              <w:t>Non-GAAP Unreimbursed R&amp;D</w:t>
            </w:r>
            <w:r>
              <w:rPr>
                <w:rFonts w:ascii="Arial" w:cs="Arial" w:eastAsia="Arial" w:hAnsi="Arial"/>
                <w:sz w:val="25"/>
                <w:szCs w:val="25"/>
                <w:color w:val="auto"/>
                <w:vertAlign w:val="superscript"/>
              </w:rPr>
              <w:t>(1)(3)</w:t>
            </w:r>
          </w:p>
        </w:tc>
        <w:tc>
          <w:tcPr>
            <w:tcW w:w="4860" w:type="dxa"/>
            <w:vAlign w:val="bottom"/>
            <w:tcBorders>
              <w:right w:val="single" w:sz="8" w:color="auto"/>
            </w:tcBorders>
            <w:shd w:val="clear" w:color="auto" w:fill="CCEEFF"/>
          </w:tcPr>
          <w:p>
            <w:pPr>
              <w:ind w:left="40"/>
              <w:spacing w:after="0" w:line="218" w:lineRule="exact"/>
              <w:rPr>
                <w:sz w:val="20"/>
                <w:szCs w:val="20"/>
                <w:color w:val="auto"/>
              </w:rPr>
            </w:pPr>
            <w:r>
              <w:rPr>
                <w:rFonts w:ascii="Arial" w:cs="Arial" w:eastAsia="Arial" w:hAnsi="Arial"/>
                <w:sz w:val="20"/>
                <w:szCs w:val="20"/>
                <w:color w:val="auto"/>
              </w:rPr>
              <w:t>$1.650 billion</w:t>
            </w:r>
            <w:r>
              <w:rPr>
                <w:rFonts w:ascii="Arial" w:cs="Arial" w:eastAsia="Arial" w:hAnsi="Arial"/>
                <w:sz w:val="20"/>
                <w:szCs w:val="20"/>
                <w:i w:val="1"/>
                <w:iCs w:val="1"/>
                <w:color w:val="auto"/>
              </w:rPr>
              <w:t>–</w:t>
            </w:r>
            <w:r>
              <w:rPr>
                <w:rFonts w:ascii="Arial" w:cs="Arial" w:eastAsia="Arial" w:hAnsi="Arial"/>
                <w:sz w:val="20"/>
                <w:szCs w:val="20"/>
                <w:color w:val="auto"/>
              </w:rPr>
              <w:t>$1.710 billion</w:t>
            </w:r>
          </w:p>
        </w:tc>
      </w:tr>
      <w:tr>
        <w:trPr>
          <w:trHeight w:val="262"/>
        </w:trPr>
        <w:tc>
          <w:tcPr>
            <w:tcW w:w="4880" w:type="dxa"/>
            <w:vAlign w:val="bottom"/>
            <w:tcBorders>
              <w:left w:val="single" w:sz="8" w:color="auto"/>
              <w:bottom w:val="single" w:sz="8" w:color="auto"/>
              <w:right w:val="single" w:sz="8" w:color="auto"/>
            </w:tcBorders>
            <w:shd w:val="clear" w:color="auto" w:fill="CCEEFF"/>
          </w:tcPr>
          <w:p>
            <w:pPr>
              <w:spacing w:after="0"/>
              <w:rPr>
                <w:sz w:val="22"/>
                <w:szCs w:val="22"/>
                <w:color w:val="auto"/>
              </w:rPr>
            </w:pPr>
          </w:p>
        </w:tc>
        <w:tc>
          <w:tcPr>
            <w:tcW w:w="4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i w:val="1"/>
                <w:iCs w:val="1"/>
                <w:color w:val="auto"/>
              </w:rPr>
              <w:t>(previously $1.610 billion–$1.710 billion)</w:t>
            </w:r>
          </w:p>
        </w:tc>
      </w:tr>
      <w:tr>
        <w:trPr>
          <w:trHeight w:val="218"/>
        </w:trPr>
        <w:tc>
          <w:tcPr>
            <w:tcW w:w="4880" w:type="dxa"/>
            <w:vAlign w:val="bottom"/>
            <w:tcBorders>
              <w:left w:val="single" w:sz="8" w:color="auto"/>
              <w:right w:val="single" w:sz="8" w:color="auto"/>
            </w:tcBorders>
          </w:tcPr>
          <w:p>
            <w:pPr>
              <w:ind w:left="40"/>
              <w:spacing w:after="0" w:line="218" w:lineRule="exact"/>
              <w:rPr>
                <w:sz w:val="20"/>
                <w:szCs w:val="20"/>
                <w:color w:val="auto"/>
              </w:rPr>
            </w:pPr>
            <w:r>
              <w:rPr>
                <w:rFonts w:ascii="Arial" w:cs="Arial" w:eastAsia="Arial" w:hAnsi="Arial"/>
                <w:sz w:val="20"/>
                <w:szCs w:val="20"/>
                <w:color w:val="auto"/>
              </w:rPr>
              <w:t>GAAP SG&amp;A</w:t>
            </w:r>
          </w:p>
        </w:tc>
        <w:tc>
          <w:tcPr>
            <w:tcW w:w="4860" w:type="dxa"/>
            <w:vAlign w:val="bottom"/>
            <w:tcBorders>
              <w:right w:val="single" w:sz="8" w:color="auto"/>
            </w:tcBorders>
          </w:tcPr>
          <w:p>
            <w:pPr>
              <w:ind w:left="40"/>
              <w:spacing w:after="0" w:line="218" w:lineRule="exact"/>
              <w:rPr>
                <w:sz w:val="20"/>
                <w:szCs w:val="20"/>
                <w:color w:val="auto"/>
              </w:rPr>
            </w:pPr>
            <w:r>
              <w:rPr>
                <w:rFonts w:ascii="Arial" w:cs="Arial" w:eastAsia="Arial" w:hAnsi="Arial"/>
                <w:sz w:val="20"/>
                <w:szCs w:val="20"/>
                <w:color w:val="auto"/>
              </w:rPr>
              <w:t>$1.705 billion</w:t>
            </w:r>
            <w:r>
              <w:rPr>
                <w:rFonts w:ascii="Arial" w:cs="Arial" w:eastAsia="Arial" w:hAnsi="Arial"/>
                <w:sz w:val="20"/>
                <w:szCs w:val="20"/>
                <w:i w:val="1"/>
                <w:iCs w:val="1"/>
                <w:color w:val="auto"/>
              </w:rPr>
              <w:t>–</w:t>
            </w:r>
            <w:r>
              <w:rPr>
                <w:rFonts w:ascii="Arial" w:cs="Arial" w:eastAsia="Arial" w:hAnsi="Arial"/>
                <w:sz w:val="20"/>
                <w:szCs w:val="20"/>
                <w:color w:val="auto"/>
              </w:rPr>
              <w:t>$1.785 billion</w:t>
            </w:r>
          </w:p>
        </w:tc>
      </w:tr>
      <w:tr>
        <w:trPr>
          <w:trHeight w:val="262"/>
        </w:trPr>
        <w:tc>
          <w:tcPr>
            <w:tcW w:w="4880" w:type="dxa"/>
            <w:vAlign w:val="bottom"/>
            <w:tcBorders>
              <w:left w:val="single" w:sz="8" w:color="auto"/>
              <w:bottom w:val="single" w:sz="8" w:color="auto"/>
              <w:right w:val="single" w:sz="8" w:color="auto"/>
            </w:tcBorders>
          </w:tcPr>
          <w:p>
            <w:pPr>
              <w:spacing w:after="0"/>
              <w:rPr>
                <w:sz w:val="22"/>
                <w:szCs w:val="22"/>
                <w:color w:val="auto"/>
              </w:rPr>
            </w:pPr>
          </w:p>
        </w:tc>
        <w:tc>
          <w:tcPr>
            <w:tcW w:w="4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i w:val="1"/>
                <w:iCs w:val="1"/>
                <w:color w:val="auto"/>
              </w:rPr>
              <w:t>(previously $1.695 billion–$1.800 billion)</w:t>
            </w:r>
          </w:p>
        </w:tc>
      </w:tr>
      <w:tr>
        <w:trPr>
          <w:trHeight w:val="218"/>
        </w:trPr>
        <w:tc>
          <w:tcPr>
            <w:tcW w:w="4880" w:type="dxa"/>
            <w:vAlign w:val="bottom"/>
            <w:tcBorders>
              <w:left w:val="single" w:sz="8" w:color="auto"/>
              <w:right w:val="single" w:sz="8" w:color="auto"/>
            </w:tcBorders>
            <w:shd w:val="clear" w:color="auto" w:fill="CCEEFF"/>
          </w:tcPr>
          <w:p>
            <w:pPr>
              <w:ind w:left="40"/>
              <w:spacing w:after="0" w:line="217"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(1)(3)</w:t>
            </w:r>
          </w:p>
        </w:tc>
        <w:tc>
          <w:tcPr>
            <w:tcW w:w="4860" w:type="dxa"/>
            <w:vAlign w:val="bottom"/>
            <w:tcBorders>
              <w:right w:val="single" w:sz="8" w:color="auto"/>
            </w:tcBorders>
            <w:shd w:val="clear" w:color="auto" w:fill="CCEEFF"/>
          </w:tcPr>
          <w:p>
            <w:pPr>
              <w:ind w:left="40"/>
              <w:spacing w:after="0" w:line="218" w:lineRule="exact"/>
              <w:rPr>
                <w:sz w:val="20"/>
                <w:szCs w:val="20"/>
                <w:color w:val="auto"/>
              </w:rPr>
            </w:pPr>
            <w:r>
              <w:rPr>
                <w:rFonts w:ascii="Arial" w:cs="Arial" w:eastAsia="Arial" w:hAnsi="Arial"/>
                <w:sz w:val="20"/>
                <w:szCs w:val="20"/>
                <w:color w:val="auto"/>
              </w:rPr>
              <w:t>$1.530 billion–$1.580 billion</w:t>
            </w:r>
          </w:p>
        </w:tc>
      </w:tr>
      <w:tr>
        <w:trPr>
          <w:trHeight w:val="262"/>
        </w:trPr>
        <w:tc>
          <w:tcPr>
            <w:tcW w:w="4880" w:type="dxa"/>
            <w:vAlign w:val="bottom"/>
            <w:tcBorders>
              <w:left w:val="single" w:sz="8" w:color="auto"/>
              <w:bottom w:val="single" w:sz="8" w:color="auto"/>
              <w:right w:val="single" w:sz="8" w:color="auto"/>
            </w:tcBorders>
            <w:shd w:val="clear" w:color="auto" w:fill="CCEEFF"/>
          </w:tcPr>
          <w:p>
            <w:pPr>
              <w:spacing w:after="0"/>
              <w:rPr>
                <w:sz w:val="22"/>
                <w:szCs w:val="22"/>
                <w:color w:val="auto"/>
              </w:rPr>
            </w:pPr>
          </w:p>
        </w:tc>
        <w:tc>
          <w:tcPr>
            <w:tcW w:w="4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i w:val="1"/>
                <w:iCs w:val="1"/>
                <w:color w:val="auto"/>
              </w:rPr>
              <w:t>(previously $1.500 billion–$1.580 billion)</w:t>
            </w:r>
          </w:p>
        </w:tc>
      </w:tr>
      <w:tr>
        <w:trPr>
          <w:trHeight w:val="264"/>
        </w:trPr>
        <w:tc>
          <w:tcPr>
            <w:tcW w:w="4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GAAP effective tax rate</w:t>
            </w:r>
          </w:p>
        </w:tc>
        <w:tc>
          <w:tcPr>
            <w:tcW w:w="4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 xml:space="preserve">11%–13% </w:t>
            </w:r>
            <w:r>
              <w:rPr>
                <w:rFonts w:ascii="Arial" w:cs="Arial" w:eastAsia="Arial" w:hAnsi="Arial"/>
                <w:sz w:val="20"/>
                <w:szCs w:val="20"/>
                <w:i w:val="1"/>
                <w:iCs w:val="1"/>
                <w:color w:val="auto"/>
              </w:rPr>
              <w:t>(reaffirmed)</w:t>
            </w:r>
          </w:p>
        </w:tc>
      </w:tr>
      <w:tr>
        <w:trPr>
          <w:trHeight w:val="218"/>
        </w:trPr>
        <w:tc>
          <w:tcPr>
            <w:tcW w:w="4880" w:type="dxa"/>
            <w:vAlign w:val="bottom"/>
            <w:tcBorders>
              <w:left w:val="single" w:sz="8" w:color="auto"/>
              <w:right w:val="single" w:sz="8" w:color="auto"/>
            </w:tcBorders>
            <w:shd w:val="clear" w:color="auto" w:fill="CCEEFF"/>
          </w:tcPr>
          <w:p>
            <w:pPr>
              <w:ind w:left="40"/>
              <w:spacing w:after="0" w:line="218" w:lineRule="exact"/>
              <w:rPr>
                <w:sz w:val="20"/>
                <w:szCs w:val="20"/>
                <w:color w:val="auto"/>
              </w:rPr>
            </w:pPr>
            <w:r>
              <w:rPr>
                <w:rFonts w:ascii="Arial" w:cs="Arial" w:eastAsia="Arial" w:hAnsi="Arial"/>
                <w:sz w:val="20"/>
                <w:szCs w:val="20"/>
                <w:color w:val="auto"/>
              </w:rPr>
              <w:t>Capital expenditures</w:t>
            </w:r>
          </w:p>
        </w:tc>
        <w:tc>
          <w:tcPr>
            <w:tcW w:w="4860" w:type="dxa"/>
            <w:vAlign w:val="bottom"/>
            <w:tcBorders>
              <w:right w:val="single" w:sz="8" w:color="auto"/>
            </w:tcBorders>
            <w:shd w:val="clear" w:color="auto" w:fill="CCEEFF"/>
          </w:tcPr>
          <w:p>
            <w:pPr>
              <w:ind w:left="40"/>
              <w:spacing w:after="0" w:line="218" w:lineRule="exact"/>
              <w:rPr>
                <w:sz w:val="20"/>
                <w:szCs w:val="20"/>
                <w:color w:val="auto"/>
              </w:rPr>
            </w:pPr>
            <w:r>
              <w:rPr>
                <w:rFonts w:ascii="Arial" w:cs="Arial" w:eastAsia="Arial" w:hAnsi="Arial"/>
                <w:sz w:val="20"/>
                <w:szCs w:val="20"/>
                <w:i w:val="1"/>
                <w:iCs w:val="1"/>
                <w:color w:val="auto"/>
              </w:rPr>
              <w:t>$380 million–$420 million</w:t>
            </w:r>
          </w:p>
        </w:tc>
      </w:tr>
      <w:tr>
        <w:trPr>
          <w:trHeight w:val="262"/>
        </w:trPr>
        <w:tc>
          <w:tcPr>
            <w:tcW w:w="4880" w:type="dxa"/>
            <w:vAlign w:val="bottom"/>
            <w:tcBorders>
              <w:left w:val="single" w:sz="8" w:color="auto"/>
              <w:bottom w:val="single" w:sz="8" w:color="auto"/>
              <w:right w:val="single" w:sz="8" w:color="auto"/>
            </w:tcBorders>
            <w:shd w:val="clear" w:color="auto" w:fill="CCEEFF"/>
          </w:tcPr>
          <w:p>
            <w:pPr>
              <w:spacing w:after="0"/>
              <w:rPr>
                <w:sz w:val="22"/>
                <w:szCs w:val="22"/>
                <w:color w:val="auto"/>
              </w:rPr>
            </w:pPr>
          </w:p>
        </w:tc>
        <w:tc>
          <w:tcPr>
            <w:tcW w:w="4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i w:val="1"/>
                <w:iCs w:val="1"/>
                <w:color w:val="auto"/>
              </w:rPr>
              <w:t>(previously $410 million–$475 million)</w:t>
            </w:r>
          </w:p>
        </w:tc>
      </w:tr>
      <w:tr>
        <w:trPr>
          <w:trHeight w:val="998"/>
        </w:trPr>
        <w:tc>
          <w:tcPr>
            <w:tcW w:w="4880" w:type="dxa"/>
            <w:vAlign w:val="bottom"/>
          </w:tcPr>
          <w:p>
            <w:pPr>
              <w:spacing w:after="0"/>
              <w:rPr>
                <w:sz w:val="24"/>
                <w:szCs w:val="24"/>
                <w:color w:val="auto"/>
              </w:rPr>
            </w:pPr>
          </w:p>
        </w:tc>
        <w:tc>
          <w:tcPr>
            <w:tcW w:w="4860" w:type="dxa"/>
            <w:vAlign w:val="bottom"/>
          </w:tcPr>
          <w:p>
            <w:pPr>
              <w:ind w:left="78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0219"/>
          </w:cols>
          <w:pgMar w:left="240" w:top="363" w:right="1440" w:bottom="1440" w:gutter="0" w:footer="0" w:header="0"/>
        </w:sectPr>
      </w:pPr>
    </w:p>
    <w:bookmarkStart w:id="8" w:name="page9"/>
    <w:bookmarkEnd w:id="8"/>
    <w:p>
      <w:pPr>
        <w:ind w:left="345" w:right="220" w:hanging="345"/>
        <w:spacing w:after="0" w:line="225" w:lineRule="auto"/>
        <w:tabs>
          <w:tab w:leader="none" w:pos="345" w:val="left"/>
        </w:tabs>
        <w:numPr>
          <w:ilvl w:val="0"/>
          <w:numId w:val="10"/>
        </w:numPr>
        <w:rPr>
          <w:rFonts w:ascii="Arial" w:cs="Arial" w:eastAsia="Arial" w:hAnsi="Arial"/>
          <w:sz w:val="22"/>
          <w:szCs w:val="22"/>
          <w:color w:val="auto"/>
          <w:vertAlign w:val="superscript"/>
        </w:rPr>
      </w:pPr>
      <w:r>
        <w:rPr>
          <w:rFonts w:ascii="Arial" w:cs="Arial" w:eastAsia="Arial" w:hAnsi="Arial"/>
          <w:sz w:val="20"/>
          <w:szCs w:val="20"/>
          <w:color w:val="auto"/>
        </w:rPr>
        <w:t>This press release uses non-GAAP net income, non-GAAP net income per share, non-GAAP unreimbursed R&amp;D, and non-GAAP SG&amp;A, which are financial measures that are not calculated in accordance with U.S. Generally Accepted Accounting Principles (GAAP). These non-GAAP financial measures are computed by excluding certain non-cash and other items from the related GAAP financial measure. Non-GAAP adjustments also include the estimated income tax effect of reconciling items.</w:t>
      </w:r>
    </w:p>
    <w:p>
      <w:pPr>
        <w:spacing w:after="0" w:line="196" w:lineRule="exact"/>
        <w:rPr>
          <w:rFonts w:ascii="Arial" w:cs="Arial" w:eastAsia="Arial" w:hAnsi="Arial"/>
          <w:sz w:val="22"/>
          <w:szCs w:val="22"/>
          <w:color w:val="auto"/>
          <w:vertAlign w:val="superscript"/>
        </w:rPr>
      </w:pPr>
    </w:p>
    <w:p>
      <w:pPr>
        <w:ind w:left="345"/>
        <w:spacing w:after="0" w:line="227" w:lineRule="auto"/>
        <w:rPr>
          <w:rFonts w:ascii="Arial" w:cs="Arial" w:eastAsia="Arial" w:hAnsi="Arial"/>
          <w:sz w:val="22"/>
          <w:szCs w:val="22"/>
          <w:color w:val="auto"/>
          <w:vertAlign w:val="superscript"/>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equity investments) or items that are not associated with normal, recurring operations. Management uses these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in Table 3 of this press release.</w:t>
      </w:r>
    </w:p>
    <w:p>
      <w:pPr>
        <w:spacing w:after="0" w:line="156" w:lineRule="exact"/>
        <w:rPr>
          <w:rFonts w:ascii="Arial" w:cs="Arial" w:eastAsia="Arial" w:hAnsi="Arial"/>
          <w:sz w:val="22"/>
          <w:szCs w:val="22"/>
          <w:color w:val="auto"/>
          <w:vertAlign w:val="superscript"/>
        </w:rPr>
      </w:pPr>
    </w:p>
    <w:p>
      <w:pPr>
        <w:ind w:left="345" w:right="1020" w:hanging="345"/>
        <w:spacing w:after="0" w:line="225" w:lineRule="auto"/>
        <w:tabs>
          <w:tab w:leader="none" w:pos="345" w:val="left"/>
        </w:tabs>
        <w:numPr>
          <w:ilvl w:val="0"/>
          <w:numId w:val="10"/>
        </w:numPr>
        <w:rPr>
          <w:rFonts w:ascii="Arial" w:cs="Arial" w:eastAsia="Arial" w:hAnsi="Arial"/>
          <w:sz w:val="22"/>
          <w:szCs w:val="22"/>
          <w:color w:val="auto"/>
          <w:vertAlign w:val="superscript"/>
        </w:rPr>
      </w:pPr>
      <w:r>
        <w:rPr>
          <w:rFonts w:ascii="Arial" w:cs="Arial" w:eastAsia="Arial" w:hAnsi="Arial"/>
          <w:sz w:val="20"/>
          <w:szCs w:val="20"/>
          <w:color w:val="auto"/>
        </w:rPr>
        <w:t>The Company's 2019 financial guidance does not assume the completion of any significant business development transactions not completed as of the date of this press release.</w:t>
      </w:r>
    </w:p>
    <w:p>
      <w:pPr>
        <w:spacing w:after="0" w:line="139" w:lineRule="exact"/>
        <w:rPr>
          <w:rFonts w:ascii="Arial" w:cs="Arial" w:eastAsia="Arial" w:hAnsi="Arial"/>
          <w:sz w:val="22"/>
          <w:szCs w:val="22"/>
          <w:color w:val="auto"/>
          <w:vertAlign w:val="superscript"/>
        </w:rPr>
      </w:pPr>
    </w:p>
    <w:p>
      <w:pPr>
        <w:ind w:left="345" w:hanging="345"/>
        <w:spacing w:after="0"/>
        <w:tabs>
          <w:tab w:leader="none" w:pos="345" w:val="left"/>
        </w:tabs>
        <w:numPr>
          <w:ilvl w:val="0"/>
          <w:numId w:val="10"/>
        </w:numPr>
        <w:rPr>
          <w:rFonts w:ascii="Arial" w:cs="Arial" w:eastAsia="Arial" w:hAnsi="Arial"/>
          <w:sz w:val="22"/>
          <w:szCs w:val="22"/>
          <w:color w:val="auto"/>
          <w:vertAlign w:val="superscript"/>
        </w:rPr>
      </w:pPr>
      <w:r>
        <w:rPr>
          <w:rFonts w:ascii="Arial" w:cs="Arial" w:eastAsia="Arial" w:hAnsi="Arial"/>
          <w:sz w:val="20"/>
          <w:szCs w:val="20"/>
          <w:color w:val="auto"/>
        </w:rPr>
        <w:t>A reconciliation of full year 2019 non-GAAP to GAAP financial guidance is included below:</w:t>
      </w:r>
    </w:p>
    <w:p>
      <w:pPr>
        <w:spacing w:after="0" w:line="153" w:lineRule="exact"/>
        <w:rPr>
          <w:sz w:val="20"/>
          <w:szCs w:val="20"/>
          <w:color w:val="auto"/>
        </w:rPr>
      </w:pPr>
    </w:p>
    <w:tbl>
      <w:tblPr>
        <w:tblLayout w:type="fixed"/>
        <w:tblInd w:w="1045"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Projected Range</w:t>
            </w:r>
          </w:p>
        </w:tc>
        <w:tc>
          <w:tcPr>
            <w:tcW w:w="136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480" w:type="dxa"/>
            <w:vAlign w:val="bottom"/>
          </w:tcPr>
          <w:p>
            <w:pPr>
              <w:spacing w:after="0"/>
              <w:rPr>
                <w:sz w:val="20"/>
                <w:szCs w:val="20"/>
                <w:color w:val="auto"/>
              </w:rPr>
            </w:pPr>
          </w:p>
        </w:tc>
        <w:tc>
          <w:tcPr>
            <w:tcW w:w="1680" w:type="dxa"/>
            <w:vAlign w:val="bottom"/>
            <w:gridSpan w:val="2"/>
          </w:tcPr>
          <w:p>
            <w:pPr>
              <w:ind w:left="360"/>
              <w:spacing w:after="0"/>
              <w:rPr>
                <w:sz w:val="20"/>
                <w:szCs w:val="20"/>
                <w:color w:val="auto"/>
              </w:rPr>
            </w:pPr>
            <w:r>
              <w:rPr>
                <w:rFonts w:ascii="Arial" w:cs="Arial" w:eastAsia="Arial" w:hAnsi="Arial"/>
                <w:sz w:val="18"/>
                <w:szCs w:val="18"/>
                <w:b w:val="1"/>
                <w:bCs w:val="1"/>
                <w:color w:val="auto"/>
              </w:rPr>
              <w:t>Low</w:t>
            </w:r>
          </w:p>
        </w:tc>
        <w:tc>
          <w:tcPr>
            <w:tcW w:w="700" w:type="dxa"/>
            <w:vAlign w:val="bottom"/>
          </w:tcPr>
          <w:p>
            <w:pPr>
              <w:spacing w:after="0"/>
              <w:rPr>
                <w:sz w:val="20"/>
                <w:szCs w:val="20"/>
                <w:color w:val="auto"/>
              </w:rPr>
            </w:pPr>
          </w:p>
        </w:tc>
        <w:tc>
          <w:tcPr>
            <w:tcW w:w="1360" w:type="dxa"/>
            <w:vAlign w:val="bottom"/>
          </w:tcPr>
          <w:p>
            <w:pPr>
              <w:jc w:val="right"/>
              <w:ind w:right="770"/>
              <w:spacing w:after="0"/>
              <w:rPr>
                <w:sz w:val="20"/>
                <w:szCs w:val="20"/>
                <w:color w:val="auto"/>
              </w:rPr>
            </w:pPr>
            <w:r>
              <w:rPr>
                <w:rFonts w:ascii="Arial" w:cs="Arial" w:eastAsia="Arial" w:hAnsi="Arial"/>
                <w:sz w:val="18"/>
                <w:szCs w:val="18"/>
                <w:b w:val="1"/>
                <w:bCs w:val="1"/>
                <w:color w:val="auto"/>
              </w:rPr>
              <w:t>High</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506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GAAP unreimbursed R&amp;D</w:t>
            </w:r>
            <w:r>
              <w:rPr>
                <w:rFonts w:ascii="Arial" w:cs="Arial" w:eastAsia="Arial" w:hAnsi="Arial"/>
                <w:sz w:val="25"/>
                <w:szCs w:val="25"/>
                <w:color w:val="auto"/>
                <w:vertAlign w:val="superscript"/>
              </w:rPr>
              <w:t>(4)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2,380</w:t>
            </w: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R&amp;D: Non-cash share-based compensation expense</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7"/>
        </w:trPr>
        <w:tc>
          <w:tcPr>
            <w:tcW w:w="5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R&amp;D: Up-front payments related to license and collaboration</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57"/>
        </w:trPr>
        <w:tc>
          <w:tcPr>
            <w:tcW w:w="5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agreements</w:t>
            </w:r>
          </w:p>
        </w:tc>
        <w:tc>
          <w:tcPr>
            <w:tcW w:w="4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Non-GAAP unreimbursed R&amp;D</w:t>
            </w: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1,710</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18"/>
        </w:trPr>
        <w:tc>
          <w:tcPr>
            <w:tcW w:w="50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GAAP SG&amp;A</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1,785</w:t>
            </w:r>
          </w:p>
        </w:tc>
      </w:tr>
      <w:tr>
        <w:trPr>
          <w:trHeight w:val="27"/>
        </w:trPr>
        <w:tc>
          <w:tcPr>
            <w:tcW w:w="5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SG&amp;A: Non-cash share-based compensation expense</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SG&amp;A: Litigation contingencies</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SG&amp;A</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1,580</w:t>
            </w:r>
          </w:p>
        </w:tc>
      </w:tr>
      <w:tr>
        <w:trPr>
          <w:trHeight w:val="20"/>
        </w:trPr>
        <w:tc>
          <w:tcPr>
            <w:tcW w:w="50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158" w:lineRule="exact"/>
        <w:rPr>
          <w:sz w:val="20"/>
          <w:szCs w:val="20"/>
          <w:color w:val="auto"/>
        </w:rPr>
      </w:pPr>
    </w:p>
    <w:p>
      <w:pPr>
        <w:ind w:left="365" w:right="100" w:hanging="351"/>
        <w:spacing w:after="0" w:line="225" w:lineRule="auto"/>
        <w:tabs>
          <w:tab w:leader="none" w:pos="365" w:val="left"/>
        </w:tabs>
        <w:numPr>
          <w:ilvl w:val="0"/>
          <w:numId w:val="11"/>
        </w:numPr>
        <w:rPr>
          <w:rFonts w:ascii="Arial" w:cs="Arial" w:eastAsia="Arial" w:hAnsi="Arial"/>
          <w:sz w:val="22"/>
          <w:szCs w:val="22"/>
          <w:color w:val="auto"/>
          <w:vertAlign w:val="superscript"/>
        </w:rPr>
      </w:pPr>
      <w:r>
        <w:rPr>
          <w:rFonts w:ascii="Arial" w:cs="Arial" w:eastAsia="Arial" w:hAnsi="Arial"/>
          <w:sz w:val="20"/>
          <w:szCs w:val="20"/>
          <w:color w:val="auto"/>
        </w:rPr>
        <w:t>Unreimbursed R&amp;D represents R&amp;D expenses reduced by R&amp;D expense reimbursements from the Company's collaborators and/or customers.</w:t>
      </w:r>
    </w:p>
    <w:p>
      <w:pPr>
        <w:spacing w:after="0" w:line="208" w:lineRule="exact"/>
        <w:rPr>
          <w:rFonts w:ascii="Arial" w:cs="Arial" w:eastAsia="Arial" w:hAnsi="Arial"/>
          <w:sz w:val="22"/>
          <w:szCs w:val="22"/>
          <w:color w:val="auto"/>
          <w:vertAlign w:val="superscript"/>
        </w:rPr>
      </w:pPr>
    </w:p>
    <w:p>
      <w:pPr>
        <w:ind w:left="365" w:right="140" w:hanging="351"/>
        <w:spacing w:after="0" w:line="225" w:lineRule="auto"/>
        <w:tabs>
          <w:tab w:leader="none" w:pos="365" w:val="left"/>
        </w:tabs>
        <w:numPr>
          <w:ilvl w:val="0"/>
          <w:numId w:val="11"/>
        </w:numPr>
        <w:rPr>
          <w:rFonts w:ascii="Arial" w:cs="Arial" w:eastAsia="Arial" w:hAnsi="Arial"/>
          <w:sz w:val="22"/>
          <w:szCs w:val="22"/>
          <w:color w:val="auto"/>
          <w:vertAlign w:val="superscript"/>
        </w:rPr>
      </w:pPr>
      <w:r>
        <w:rPr>
          <w:rFonts w:ascii="Arial" w:cs="Arial" w:eastAsia="Arial" w:hAnsi="Arial"/>
          <w:sz w:val="20"/>
          <w:szCs w:val="20"/>
          <w:color w:val="auto"/>
        </w:rPr>
        <w:t>The Company's collaborators provide it with estimates of the collaborators' respective sales and the Company's share of the profits or losses from commercialization of products for the most recent fiscal quarter. The Company's estimates for such quarter are reconciled to actual results in the subsequent fiscal quarter, and the Company's share of the profit or loss is adjusted on a prospective basis accordingly,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5"/>
          </w:cols>
          <w:pgMar w:left="275" w:top="541" w:right="27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Conference Call Information</w:t>
      </w:r>
    </w:p>
    <w:p>
      <w:pPr>
        <w:spacing w:after="0" w:line="286" w:lineRule="exact"/>
        <w:rPr>
          <w:sz w:val="20"/>
          <w:szCs w:val="20"/>
          <w:color w:val="auto"/>
        </w:rPr>
      </w:pPr>
    </w:p>
    <w:p>
      <w:pPr>
        <w:ind w:right="80"/>
        <w:spacing w:after="0" w:line="245" w:lineRule="auto"/>
        <w:rPr>
          <w:sz w:val="20"/>
          <w:szCs w:val="20"/>
          <w:color w:val="auto"/>
        </w:rPr>
      </w:pPr>
      <w:r>
        <w:rPr>
          <w:rFonts w:ascii="Arial" w:cs="Arial" w:eastAsia="Arial" w:hAnsi="Arial"/>
          <w:sz w:val="22"/>
          <w:szCs w:val="22"/>
          <w:color w:val="auto"/>
        </w:rPr>
        <w:t>Regeneron will host a conference call and simultaneous webcast to discuss its second quarter 2019 financial and operating results on Tuesday, August 6, 2019, at 8:30 AM. To access this call, dial (800) 708-4540 (U.S.) or (847) 619-6397 (International). A link to the webcast may be accessed from the "Investors and Media" page of Regeneron's website at www.regeneron.com. A replay of the conference call and webcast will be archived on the Company's website and will be available for 30 days.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286" w:lineRule="exact"/>
        <w:rPr>
          <w:sz w:val="20"/>
          <w:szCs w:val="20"/>
          <w:color w:val="auto"/>
        </w:rPr>
      </w:pPr>
    </w:p>
    <w:p>
      <w:pPr>
        <w:ind w:right="320"/>
        <w:spacing w:after="0" w:line="244" w:lineRule="auto"/>
        <w:rPr>
          <w:sz w:val="20"/>
          <w:szCs w:val="20"/>
          <w:color w:val="auto"/>
        </w:rPr>
      </w:pPr>
      <w:r>
        <w:rPr>
          <w:rFonts w:ascii="Arial" w:cs="Arial" w:eastAsia="Arial" w:hAnsi="Arial"/>
          <w:sz w:val="22"/>
          <w:szCs w:val="22"/>
          <w:color w:val="auto"/>
        </w:rPr>
        <w:t>Regeneron is a leading biotechnology company that invents life-transforming medicines for people with serious diseases. Founded and led for 30 years by physician-scientists, Regeneron's unique ability to repeatedly and consistently translate science into medicine has led to seven FDA-approved treatments and numerous product candidates in development, all of which were homegrown in Regeneron's laboratories. Regeneron's medicines and pipeline are designed to help patients with eye diseases, allergic and inflammatory diseases, cancer, cardiovascular and metabolic diseases, pain, infectious diseases, and rare diseases.</w:t>
      </w:r>
    </w:p>
    <w:p>
      <w:pPr>
        <w:spacing w:after="0" w:line="231" w:lineRule="exact"/>
        <w:rPr>
          <w:sz w:val="20"/>
          <w:szCs w:val="20"/>
          <w:color w:val="auto"/>
        </w:rPr>
      </w:pPr>
    </w:p>
    <w:p>
      <w:pPr>
        <w:ind w:right="60"/>
        <w:spacing w:after="0" w:line="219" w:lineRule="auto"/>
        <w:rPr>
          <w:sz w:val="20"/>
          <w:szCs w:val="20"/>
          <w:color w:val="auto"/>
        </w:rPr>
      </w:pPr>
      <w:r>
        <w:rPr>
          <w:rFonts w:ascii="Arial" w:cs="Arial" w:eastAsia="Arial" w:hAnsi="Arial"/>
          <w:sz w:val="22"/>
          <w:szCs w:val="22"/>
          <w:color w:val="auto"/>
        </w:rPr>
        <w:t xml:space="preserve">Regeneron is accelerating and improving the traditional drug development process through its proprietary </w:t>
      </w:r>
      <w:r>
        <w:rPr>
          <w:rFonts w:ascii="Arial" w:cs="Arial" w:eastAsia="Arial" w:hAnsi="Arial"/>
          <w:sz w:val="22"/>
          <w:szCs w:val="22"/>
          <w:i w:val="1"/>
          <w:iCs w:val="1"/>
          <w:color w:val="auto"/>
        </w:rPr>
        <w:t>VelociSuite</w:t>
      </w:r>
      <w:r>
        <w:rPr>
          <w:rFonts w:ascii="Arial" w:cs="Arial" w:eastAsia="Arial" w:hAnsi="Arial"/>
          <w:sz w:val="28"/>
          <w:szCs w:val="28"/>
          <w:color w:val="auto"/>
          <w:vertAlign w:val="superscript"/>
        </w:rPr>
        <w:t>®</w:t>
      </w:r>
      <w:r>
        <w:rPr>
          <w:rFonts w:ascii="Arial" w:cs="Arial" w:eastAsia="Arial" w:hAnsi="Arial"/>
          <w:sz w:val="22"/>
          <w:szCs w:val="22"/>
          <w:color w:val="auto"/>
        </w:rPr>
        <w:t xml:space="preserve"> technologies, such as </w:t>
      </w:r>
      <w:r>
        <w:rPr>
          <w:rFonts w:ascii="Arial" w:cs="Arial" w:eastAsia="Arial" w:hAnsi="Arial"/>
          <w:sz w:val="22"/>
          <w:szCs w:val="22"/>
          <w:i w:val="1"/>
          <w:iCs w:val="1"/>
          <w:color w:val="auto"/>
        </w:rPr>
        <w:t>VelocImmune</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which produces optimized fully-human antibodies, and ambitious research initiatives such as the Regeneron Genetics Center</w:t>
      </w:r>
      <w:r>
        <w:rPr>
          <w:rFonts w:ascii="Arial" w:cs="Arial" w:eastAsia="Arial" w:hAnsi="Arial"/>
          <w:sz w:val="28"/>
          <w:szCs w:val="28"/>
          <w:color w:val="auto"/>
          <w:vertAlign w:val="superscript"/>
        </w:rPr>
        <w:t>®</w:t>
      </w:r>
      <w:r>
        <w:rPr>
          <w:rFonts w:ascii="Arial" w:cs="Arial" w:eastAsia="Arial" w:hAnsi="Arial"/>
          <w:sz w:val="22"/>
          <w:szCs w:val="22"/>
          <w:color w:val="auto"/>
        </w:rPr>
        <w:t>, which is conducting one of the largest genetics sequencing efforts in the world.</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For additional information about the Company, please visit www.regeneron.com or follow @Regeneron on Twitter.</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 and Use of Digital Media</w:t>
      </w:r>
    </w:p>
    <w:p>
      <w:pPr>
        <w:spacing w:after="0" w:line="286"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Regeneron’s products, product candidates, and research and clinical programs now underway or planned; the likelihood and timing of achieving any of the anticipated milestones described in this press release; unforeseen safety issues resulting from the administration of products and product candidates in patients, including serious complications or side effects in connection with the use of Regeneron’s product candidates in clinical trials; the likelihood and timing of possible regulatory approval and commercial launch of Regeneron's late-stage product candidates and new indications for marketed products, including without limitation EYLEA</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(aflibercept) Injection, Dupixent</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(dupilumab) Injection, Praluent</w:t>
      </w:r>
      <w:r>
        <w:rPr>
          <w:rFonts w:ascii="Arial" w:cs="Arial" w:eastAsia="Arial" w:hAnsi="Arial"/>
          <w:sz w:val="27"/>
          <w:szCs w:val="27"/>
          <w:color w:val="auto"/>
          <w:vertAlign w:val="superscript"/>
        </w:rPr>
        <w:t>®</w:t>
      </w:r>
      <w:r>
        <w:rPr>
          <w:rFonts w:ascii="Arial" w:cs="Arial" w:eastAsia="Arial" w:hAnsi="Arial"/>
          <w:sz w:val="21"/>
          <w:szCs w:val="21"/>
          <w:color w:val="auto"/>
        </w:rPr>
        <w:t xml:space="preserve"> (alirocumab) Injection, Kevzara</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(sarilumab) Injection, Libtayo</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(cemiplimab) Injection, fasinumab, evinacumab, REGN1979, and REGN3500; the extent to which the results from the research and development programs conducted by Regeneron or its collaborators may be replicated in other studies and lead to therapeutic applications; ongoing regulatory obligations and oversight impacting Regeneron's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364" w:right="279" w:bottom="1440" w:gutter="0" w:footer="0" w:header="0"/>
        </w:sectPr>
      </w:pPr>
    </w:p>
    <w:bookmarkStart w:id="10" w:name="page11"/>
    <w:bookmarkEnd w:id="10"/>
    <w:p>
      <w:pPr>
        <w:spacing w:after="0" w:line="255" w:lineRule="auto"/>
        <w:rPr>
          <w:sz w:val="20"/>
          <w:szCs w:val="20"/>
          <w:color w:val="auto"/>
        </w:rPr>
      </w:pPr>
      <w:r>
        <w:rPr>
          <w:rFonts w:ascii="Arial" w:cs="Arial" w:eastAsia="Arial" w:hAnsi="Arial"/>
          <w:sz w:val="21"/>
          <w:szCs w:val="21"/>
          <w:color w:val="auto"/>
        </w:rPr>
        <w:t>marketed products (such as EYLEA, Dupixent, Praluent, Kevzara, and Libtayo), research and clinical programs, and business, including those relating to patient privacy;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and the impact of studies (whether conducted by Regeneron or others and whether mandated or voluntary), on the commercial success of Regeneron's products and product candidates; the ability of Regeneron to manufacture and manage supply chains for multiple products and product candidates; the ability of Regeneron’s collaborators, suppliers, or other third parties (as applicable) to perform manufacturing, filling, finishing, packaging, labeling, distribution, and other steps related to Regeneron’s products and product candidates; coverage and reimbursement determinations by third-party payers, including Medicare and Medicaid; unanticipated expenses; the costs of developing, producing, and selling products; the ability of Regeneron to meet any of its financial projections or guidance and changes to the assumptions underlying those projections or guidance, including without limitation those relating to Sanofi reimbursement of Regeneron commercialization-related expenses, GAAP and non-GAAP unreimbursed R&amp;D, GAAP and non-GAAP SG&amp;A, GAAP effective tax rate, and capital expenditures; the potential for any license or collaboration agreement, including Regeneron's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and other related proceedings relating to EYLEA, Dupixent, and Praluent, the ultimate outcome of any such proceedings, and the impact any of the foregoing may have on Regeneron’s business, prospects, operating results, and financial condition. A more complete description of these and other material risks can be found in Regeneron's filings with the U.S. Securities and Exchange Commission, including its Form 10-K for the fiscal year ended December 31, 2018 and its Form 10-Q for the quarterly period ended June 30, 2019. Any forward-looking statements are made based on management's current beliefs and judgment, and the reader is cautioned not to rely on any forward-looking statements made by Regeneron. Regeneron does not undertake any obligation to update publicly any forward-looking statement, including without limitation any financial projection or guidance, whether as a result of new information, future events, or otherwise.</w:t>
      </w:r>
    </w:p>
    <w:p>
      <w:pPr>
        <w:spacing w:after="0" w:line="200" w:lineRule="exact"/>
        <w:rPr>
          <w:sz w:val="20"/>
          <w:szCs w:val="20"/>
          <w:color w:val="auto"/>
        </w:rPr>
      </w:pPr>
    </w:p>
    <w:p>
      <w:pPr>
        <w:spacing w:after="0" w:line="314" w:lineRule="exact"/>
        <w:rPr>
          <w:sz w:val="20"/>
          <w:szCs w:val="20"/>
          <w:color w:val="auto"/>
        </w:rPr>
      </w:pPr>
    </w:p>
    <w:p>
      <w:pPr>
        <w:ind w:right="320"/>
        <w:spacing w:after="0" w:line="245"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(http://newsroom.regeneron.com) and its Twitter feed (http://twitter.com/regeneron).</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86" w:lineRule="exact"/>
        <w:rPr>
          <w:sz w:val="20"/>
          <w:szCs w:val="20"/>
          <w:color w:val="auto"/>
        </w:rPr>
      </w:pPr>
    </w:p>
    <w:p>
      <w:pPr>
        <w:ind w:right="40"/>
        <w:spacing w:after="0" w:line="246" w:lineRule="auto"/>
        <w:rPr>
          <w:sz w:val="20"/>
          <w:szCs w:val="20"/>
          <w:color w:val="auto"/>
        </w:rPr>
      </w:pPr>
      <w:r>
        <w:rPr>
          <w:rFonts w:ascii="Arial" w:cs="Arial" w:eastAsia="Arial" w:hAnsi="Arial"/>
          <w:sz w:val="22"/>
          <w:szCs w:val="22"/>
          <w:color w:val="auto"/>
        </w:rPr>
        <w:t>This press release and/or the financial results attached to this press release include amounts that are considered "non-GAAP financial measures" under SEC rules. As required, Regeneron has provided reconciliations of such non-GAAP financial measures.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390" w:right="25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Contact Information:</w:t>
      </w:r>
    </w:p>
    <w:p>
      <w:pPr>
        <w:sectPr>
          <w:pgSz w:w="11900" w:h="16838" w:orient="portrait"/>
          <w:cols w:equalWidth="0" w:num="1">
            <w:col w:w="10179"/>
          </w:cols>
          <w:pgMar w:left="280" w:top="670" w:right="1440" w:bottom="1440" w:gutter="0" w:footer="0" w:header="0"/>
        </w:sect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Justin Holko</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Hala Mirza</w:t>
      </w:r>
    </w:p>
    <w:p>
      <w:pPr>
        <w:spacing w:after="0" w:line="75" w:lineRule="exact"/>
        <w:rPr>
          <w:sz w:val="20"/>
          <w:szCs w:val="20"/>
          <w:color w:val="auto"/>
        </w:rPr>
      </w:pPr>
    </w:p>
    <w:p>
      <w:pPr>
        <w:sectPr>
          <w:pgSz w:w="11900" w:h="16838" w:orient="portrait"/>
          <w:cols w:equalWidth="0" w:num="2">
            <w:col w:w="5240" w:space="720"/>
            <w:col w:w="4219"/>
          </w:cols>
          <w:pgMar w:left="280" w:top="6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Corporate Communications</w:t>
      </w:r>
    </w:p>
    <w:p>
      <w:pPr>
        <w:spacing w:after="0" w:line="63" w:lineRule="exact"/>
        <w:rPr>
          <w:sz w:val="20"/>
          <w:szCs w:val="20"/>
          <w:color w:val="auto"/>
        </w:rPr>
      </w:pPr>
    </w:p>
    <w:p>
      <w:pPr>
        <w:sectPr>
          <w:pgSz w:w="11900" w:h="16838" w:orient="portrait"/>
          <w:cols w:equalWidth="0" w:num="2">
            <w:col w:w="5240" w:space="720"/>
            <w:col w:w="4219"/>
          </w:cols>
          <w:pgMar w:left="280" w:top="6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914-847-7786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914-847-3422</w:t>
      </w:r>
    </w:p>
    <w:p>
      <w:pPr>
        <w:spacing w:after="0" w:line="61" w:lineRule="exact"/>
        <w:rPr>
          <w:sz w:val="20"/>
          <w:szCs w:val="20"/>
          <w:color w:val="auto"/>
        </w:rPr>
      </w:pPr>
    </w:p>
    <w:p>
      <w:pPr>
        <w:sectPr>
          <w:pgSz w:w="11900" w:h="16838" w:orient="portrait"/>
          <w:cols w:equalWidth="0" w:num="2">
            <w:col w:w="5240" w:space="720"/>
            <w:col w:w="4219"/>
          </w:cols>
          <w:pgMar w:left="280" w:top="670" w:right="1440"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justin.holko@regeneron.com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hala.mirza@regeneron.com</w:t>
      </w:r>
    </w:p>
    <w:p>
      <w:pPr>
        <w:spacing w:after="0" w:line="213" w:lineRule="exact"/>
        <w:rPr>
          <w:sz w:val="20"/>
          <w:szCs w:val="20"/>
          <w:color w:val="auto"/>
        </w:rPr>
      </w:pPr>
    </w:p>
    <w:p>
      <w:pPr>
        <w:sectPr>
          <w:pgSz w:w="11900" w:h="16838" w:orient="portrait"/>
          <w:cols w:equalWidth="0" w:num="2">
            <w:col w:w="5240" w:space="720"/>
            <w:col w:w="4219"/>
          </w:cols>
          <w:pgMar w:left="280" w:top="67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179"/>
          </w:cols>
          <w:pgMar w:left="280" w:top="670" w:right="1440"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8340" w:type="dxa"/>
            <w:vAlign w:val="bottom"/>
            <w:gridSpan w:val="3"/>
          </w:tcPr>
          <w:p>
            <w:pPr>
              <w:spacing w:after="0"/>
              <w:rPr>
                <w:sz w:val="20"/>
                <w:szCs w:val="20"/>
                <w:color w:val="auto"/>
              </w:rPr>
            </w:pPr>
            <w:r>
              <w:rPr>
                <w:rFonts w:ascii="Arial" w:cs="Arial" w:eastAsia="Arial" w:hAnsi="Arial"/>
                <w:sz w:val="18"/>
                <w:szCs w:val="18"/>
                <w:color w:val="auto"/>
              </w:rPr>
              <w:t>TABLE 1</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80" w:type="dxa"/>
            <w:vAlign w:val="bottom"/>
          </w:tcPr>
          <w:p>
            <w:pPr>
              <w:spacing w:after="0"/>
              <w:rPr>
                <w:sz w:val="24"/>
                <w:szCs w:val="24"/>
                <w:color w:val="auto"/>
              </w:rPr>
            </w:pPr>
          </w:p>
        </w:tc>
        <w:tc>
          <w:tcPr>
            <w:tcW w:w="8260" w:type="dxa"/>
            <w:vAlign w:val="bottom"/>
            <w:gridSpan w:val="2"/>
          </w:tcPr>
          <w:p>
            <w:pPr>
              <w:jc w:val="center"/>
              <w:ind w:left="2910"/>
              <w:spacing w:after="0"/>
              <w:rPr>
                <w:sz w:val="20"/>
                <w:szCs w:val="20"/>
                <w:color w:val="auto"/>
              </w:rPr>
            </w:pPr>
            <w:r>
              <w:rPr>
                <w:rFonts w:ascii="Arial" w:cs="Arial" w:eastAsia="Arial" w:hAnsi="Arial"/>
                <w:sz w:val="18"/>
                <w:szCs w:val="18"/>
                <w:b w:val="1"/>
                <w:bCs w:val="1"/>
                <w:color w:val="auto"/>
              </w:rPr>
              <w:t>REGENERON PHARMACEUTICALS, INC.</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8260" w:type="dxa"/>
            <w:vAlign w:val="bottom"/>
            <w:gridSpan w:val="2"/>
          </w:tcPr>
          <w:p>
            <w:pPr>
              <w:jc w:val="center"/>
              <w:ind w:left="2910"/>
              <w:spacing w:after="0"/>
              <w:rPr>
                <w:sz w:val="20"/>
                <w:szCs w:val="20"/>
                <w:color w:val="auto"/>
              </w:rPr>
            </w:pPr>
            <w:r>
              <w:rPr>
                <w:rFonts w:ascii="Arial" w:cs="Arial" w:eastAsia="Arial" w:hAnsi="Arial"/>
                <w:sz w:val="18"/>
                <w:szCs w:val="18"/>
                <w:b w:val="1"/>
                <w:bCs w:val="1"/>
                <w:color w:val="auto"/>
                <w:w w:val="97"/>
              </w:rPr>
              <w:t>CONDENSED CONSOLIDATED BALANCE SHEETS (Unaudited)</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8260" w:type="dxa"/>
            <w:vAlign w:val="bottom"/>
            <w:gridSpan w:val="2"/>
          </w:tcPr>
          <w:p>
            <w:pPr>
              <w:jc w:val="center"/>
              <w:ind w:left="2910"/>
              <w:spacing w:after="0"/>
              <w:rPr>
                <w:sz w:val="20"/>
                <w:szCs w:val="20"/>
                <w:color w:val="auto"/>
              </w:rPr>
            </w:pPr>
            <w:r>
              <w:rPr>
                <w:rFonts w:ascii="Arial" w:cs="Arial" w:eastAsia="Arial" w:hAnsi="Arial"/>
                <w:sz w:val="18"/>
                <w:szCs w:val="18"/>
                <w:b w:val="1"/>
                <w:bCs w:val="1"/>
                <w:i w:val="1"/>
                <w:iCs w:val="1"/>
                <w:color w:val="auto"/>
                <w:w w:val="93"/>
              </w:rPr>
              <w:t>(In millions)</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8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8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Cash and marketable securities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5,554.3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4,564.9</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Accounts receivable - trade, net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1,723.7</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Accounts receivable from Sanofi and Bayer</w:t>
            </w: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535.7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519.5</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1,151.2</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2,676.6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2,575.8</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Deferred tax assets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828.7</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82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13,173.6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11,734.5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Accounts payable, accrued expenses, and other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1,388.6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1,352.0</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916.7</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Finance lease liabilities</w:t>
            </w: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711.3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708.5</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Stockholders' equity</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9,755.9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8,757.3</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13,173.6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11,734.5</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jc w:val="center"/>
              <w:ind w:left="3010"/>
              <w:spacing w:after="0"/>
              <w:rPr>
                <w:sz w:val="20"/>
                <w:szCs w:val="20"/>
                <w:color w:val="auto"/>
              </w:rPr>
            </w:pPr>
            <w:r>
              <w:rPr>
                <w:rFonts w:ascii="Arial" w:cs="Arial" w:eastAsia="Arial" w:hAnsi="Arial"/>
                <w:sz w:val="18"/>
                <w:szCs w:val="18"/>
                <w:color w:val="auto"/>
                <w:w w:val="89"/>
              </w:rPr>
              <w:t>10</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83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368" w:right="29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TABLE 2</w:t>
      </w:r>
    </w:p>
    <w:p>
      <w:pPr>
        <w:spacing w:after="0" w:line="200" w:lineRule="exact"/>
        <w:rPr>
          <w:sz w:val="20"/>
          <w:szCs w:val="20"/>
          <w:color w:val="auto"/>
        </w:rPr>
      </w:pPr>
    </w:p>
    <w:p>
      <w:pPr>
        <w:spacing w:after="0" w:line="237" w:lineRule="exact"/>
        <w:rPr>
          <w:sz w:val="20"/>
          <w:szCs w:val="20"/>
          <w:color w:val="auto"/>
        </w:rPr>
      </w:pPr>
    </w:p>
    <w:p>
      <w:pPr>
        <w:jc w:val="center"/>
        <w:ind w:left="840" w:right="1940"/>
        <w:spacing w:after="0" w:line="266" w:lineRule="auto"/>
        <w:rPr>
          <w:sz w:val="20"/>
          <w:szCs w:val="20"/>
          <w:color w:val="auto"/>
        </w:rPr>
      </w:pPr>
      <w:r>
        <w:rPr>
          <w:rFonts w:ascii="Arial" w:cs="Arial" w:eastAsia="Arial" w:hAnsi="Arial"/>
          <w:sz w:val="18"/>
          <w:szCs w:val="18"/>
          <w:b w:val="1"/>
          <w:bCs w:val="1"/>
          <w:color w:val="auto"/>
        </w:rPr>
        <w:t xml:space="preserve">REGENERON PHARMACEUTICALS, INC. CONDENSED CONSOLIDATED STATEMENTS OF OPERATIONS (Unaudited) </w:t>
      </w:r>
      <w:r>
        <w:rPr>
          <w:rFonts w:ascii="Arial" w:cs="Arial" w:eastAsia="Arial" w:hAnsi="Arial"/>
          <w:sz w:val="18"/>
          <w:szCs w:val="18"/>
          <w:b w:val="1"/>
          <w:bCs w:val="1"/>
          <w:i w:val="1"/>
          <w:iCs w:val="1"/>
          <w:color w:val="auto"/>
        </w:rPr>
        <w:t>(In millions, except per share data)</w:t>
      </w:r>
    </w:p>
    <w:p>
      <w:pPr>
        <w:spacing w:after="0" w:line="33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1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43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180"/>
              <w:spacing w:after="0"/>
              <w:rPr>
                <w:sz w:val="20"/>
                <w:szCs w:val="20"/>
                <w:color w:val="auto"/>
              </w:rPr>
            </w:pPr>
            <w:r>
              <w:rPr>
                <w:rFonts w:ascii="Arial" w:cs="Arial" w:eastAsia="Arial" w:hAnsi="Arial"/>
                <w:sz w:val="18"/>
                <w:szCs w:val="18"/>
                <w:color w:val="auto"/>
              </w:rPr>
              <w:t>Net product sales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1,205.3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996.4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2,309.7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1,984.3</w:t>
            </w: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Sanofi collaboration revenue</w:t>
            </w: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427.2</w:t>
            </w:r>
          </w:p>
        </w:tc>
      </w:tr>
      <w:tr>
        <w:trPr>
          <w:trHeight w:val="243"/>
        </w:trPr>
        <w:tc>
          <w:tcPr>
            <w:tcW w:w="4380" w:type="dxa"/>
            <w:vAlign w:val="bottom"/>
          </w:tcPr>
          <w:p>
            <w:pPr>
              <w:ind w:left="180"/>
              <w:spacing w:after="0"/>
              <w:rPr>
                <w:sz w:val="20"/>
                <w:szCs w:val="20"/>
                <w:color w:val="auto"/>
              </w:rPr>
            </w:pPr>
            <w:r>
              <w:rPr>
                <w:rFonts w:ascii="Arial" w:cs="Arial" w:eastAsia="Arial" w:hAnsi="Arial"/>
                <w:sz w:val="18"/>
                <w:szCs w:val="18"/>
                <w:color w:val="auto"/>
              </w:rPr>
              <w:t>Bayer collaboration revenue</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510.8</w:t>
            </w: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10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197.2</w:t>
            </w:r>
          </w:p>
        </w:tc>
      </w:tr>
      <w:tr>
        <w:trPr>
          <w:trHeight w:val="237"/>
        </w:trPr>
        <w:tc>
          <w:tcPr>
            <w:tcW w:w="4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1,933.7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1,608.0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3,645.5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3,119.5</w:t>
            </w:r>
          </w:p>
        </w:tc>
      </w:tr>
      <w:tr>
        <w:trPr>
          <w:trHeight w:val="27"/>
        </w:trPr>
        <w:tc>
          <w:tcPr>
            <w:tcW w:w="43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1,048.3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529.3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1,690.1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1,027.9</w:t>
            </w: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695.6</w:t>
            </w:r>
          </w:p>
        </w:tc>
      </w:tr>
      <w:tr>
        <w:trPr>
          <w:trHeight w:val="243"/>
        </w:trPr>
        <w:tc>
          <w:tcPr>
            <w:tcW w:w="438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105.2</w:t>
            </w: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collaboration and contract manufacturing</w:t>
            </w:r>
          </w:p>
        </w:tc>
        <w:tc>
          <w:tcPr>
            <w:tcW w:w="10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w:t>
            </w:r>
          </w:p>
        </w:tc>
      </w:tr>
      <w:tr>
        <w:trPr>
          <w:trHeight w:val="237"/>
        </w:trPr>
        <w:tc>
          <w:tcPr>
            <w:tcW w:w="4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1,618.1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985.8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2,849.9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1,930.1</w:t>
            </w:r>
          </w:p>
        </w:tc>
      </w:tr>
      <w:tr>
        <w:trPr>
          <w:trHeight w:val="27"/>
        </w:trPr>
        <w:tc>
          <w:tcPr>
            <w:tcW w:w="43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318"/>
        </w:trPr>
        <w:tc>
          <w:tcPr>
            <w:tcW w:w="43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622.2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795.6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1,189.4</w:t>
            </w:r>
          </w:p>
        </w:tc>
      </w:tr>
      <w:tr>
        <w:trPr>
          <w:trHeight w:val="27"/>
        </w:trPr>
        <w:tc>
          <w:tcPr>
            <w:tcW w:w="43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318"/>
        </w:trPr>
        <w:tc>
          <w:tcPr>
            <w:tcW w:w="43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r>
      <w:tr>
        <w:trPr>
          <w:trHeight w:val="237"/>
        </w:trPr>
        <w:tc>
          <w:tcPr>
            <w:tcW w:w="43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52.1</w:t>
            </w:r>
          </w:p>
        </w:tc>
      </w:tr>
      <w:tr>
        <w:trPr>
          <w:trHeight w:val="27"/>
        </w:trPr>
        <w:tc>
          <w:tcPr>
            <w:tcW w:w="43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318"/>
        </w:trPr>
        <w:tc>
          <w:tcPr>
            <w:tcW w:w="43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656.1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770.8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1,241.5</w:t>
            </w: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324"/>
        </w:trPr>
        <w:tc>
          <w:tcPr>
            <w:tcW w:w="43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(212.1)</w:t>
            </w:r>
          </w:p>
        </w:tc>
      </w:tr>
      <w:tr>
        <w:trPr>
          <w:trHeight w:val="27"/>
        </w:trPr>
        <w:tc>
          <w:tcPr>
            <w:tcW w:w="43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318"/>
        </w:trPr>
        <w:tc>
          <w:tcPr>
            <w:tcW w:w="43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304"/>
        </w:trPr>
        <w:tc>
          <w:tcPr>
            <w:tcW w:w="43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551.4</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654.2</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1,029.4</w:t>
            </w:r>
          </w:p>
        </w:tc>
      </w:tr>
      <w:tr>
        <w:trPr>
          <w:trHeight w:val="311"/>
        </w:trPr>
        <w:tc>
          <w:tcPr>
            <w:tcW w:w="438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9.56</w:t>
            </w: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w:t>
            </w:r>
          </w:p>
        </w:tc>
      </w:tr>
      <w:tr>
        <w:trPr>
          <w:trHeight w:val="324"/>
        </w:trPr>
        <w:tc>
          <w:tcPr>
            <w:tcW w:w="4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114.7</w:t>
            </w:r>
          </w:p>
        </w:tc>
      </w:tr>
      <w:tr>
        <w:trPr>
          <w:trHeight w:val="891"/>
        </w:trPr>
        <w:tc>
          <w:tcPr>
            <w:tcW w:w="438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840"/>
          </w:cols>
          <w:pgMar w:left="240" w:top="368" w:right="81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TABLE 3</w:t>
      </w:r>
    </w:p>
    <w:p>
      <w:pPr>
        <w:spacing w:after="0" w:line="200" w:lineRule="exact"/>
        <w:rPr>
          <w:sz w:val="20"/>
          <w:szCs w:val="20"/>
          <w:color w:val="auto"/>
        </w:rPr>
      </w:pPr>
    </w:p>
    <w:p>
      <w:pPr>
        <w:spacing w:after="0" w:line="23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RECONCILIATION OF GAAP NET INCOME TO NON-GAAP NET INCOME (Unaudited)</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i w:val="1"/>
          <w:iCs w:val="1"/>
          <w:color w:val="auto"/>
        </w:rPr>
        <w:t>(In millions, except per share data)</w:t>
      </w:r>
    </w:p>
    <w:p>
      <w:pPr>
        <w:spacing w:after="0" w:line="36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1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49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net income</w:t>
            </w:r>
          </w:p>
        </w:tc>
        <w:tc>
          <w:tcPr>
            <w:tcW w:w="6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1,029.4</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i w:val="1"/>
                <w:iCs w:val="1"/>
                <w:color w:val="auto"/>
              </w:rPr>
              <w:t>Adjustments:</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R&amp;D: Non-cash share-based compensation expense</w:t>
            </w: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100.4</w:t>
            </w:r>
          </w:p>
        </w:tc>
      </w:tr>
      <w:tr>
        <w:trPr>
          <w:trHeight w:val="229"/>
        </w:trPr>
        <w:tc>
          <w:tcPr>
            <w:tcW w:w="4960" w:type="dxa"/>
            <w:vAlign w:val="bottom"/>
          </w:tcPr>
          <w:p>
            <w:pPr>
              <w:ind w:left="180"/>
              <w:spacing w:after="0"/>
              <w:rPr>
                <w:sz w:val="20"/>
                <w:szCs w:val="20"/>
                <w:color w:val="auto"/>
              </w:rPr>
            </w:pPr>
            <w:r>
              <w:rPr>
                <w:rFonts w:ascii="Arial" w:cs="Arial" w:eastAsia="Arial" w:hAnsi="Arial"/>
                <w:sz w:val="18"/>
                <w:szCs w:val="18"/>
                <w:color w:val="auto"/>
                <w:w w:val="99"/>
              </w:rPr>
              <w:t>R&amp;D: Up-front payments related to license and collaboration</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4960" w:type="dxa"/>
            <w:vAlign w:val="bottom"/>
          </w:tcPr>
          <w:p>
            <w:pPr>
              <w:ind w:left="340"/>
              <w:spacing w:after="0"/>
              <w:rPr>
                <w:sz w:val="20"/>
                <w:szCs w:val="20"/>
                <w:color w:val="auto"/>
              </w:rPr>
            </w:pPr>
            <w:r>
              <w:rPr>
                <w:rFonts w:ascii="Arial" w:cs="Arial" w:eastAsia="Arial" w:hAnsi="Arial"/>
                <w:sz w:val="18"/>
                <w:szCs w:val="18"/>
                <w:color w:val="auto"/>
              </w:rPr>
              <w:t>agreements</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SG&amp;A: Non-cash share-based compensation expense</w:t>
            </w: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SG&amp;A: Litigation contingencies</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89"/>
              </w:rPr>
              <w:t>COGS and COCM: Non-cash share-based compensation expense</w:t>
            </w: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29"/>
        </w:trPr>
        <w:tc>
          <w:tcPr>
            <w:tcW w:w="4960" w:type="dxa"/>
            <w:vAlign w:val="bottom"/>
          </w:tcPr>
          <w:p>
            <w:pPr>
              <w:ind w:left="180"/>
              <w:spacing w:after="0"/>
              <w:rPr>
                <w:sz w:val="20"/>
                <w:szCs w:val="20"/>
                <w:color w:val="auto"/>
              </w:rPr>
            </w:pPr>
            <w:r>
              <w:rPr>
                <w:rFonts w:ascii="Arial" w:cs="Arial" w:eastAsia="Arial" w:hAnsi="Arial"/>
                <w:sz w:val="18"/>
                <w:szCs w:val="18"/>
                <w:color w:val="auto"/>
                <w:w w:val="94"/>
              </w:rPr>
              <w:t>Other income/expense: Losses (gains) on investments in equity</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4960" w:type="dxa"/>
            <w:vAlign w:val="bottom"/>
          </w:tcPr>
          <w:p>
            <w:pPr>
              <w:ind w:left="340"/>
              <w:spacing w:after="0"/>
              <w:rPr>
                <w:sz w:val="20"/>
                <w:szCs w:val="20"/>
                <w:color w:val="auto"/>
              </w:rPr>
            </w:pPr>
            <w:r>
              <w:rPr>
                <w:rFonts w:ascii="Arial" w:cs="Arial" w:eastAsia="Arial" w:hAnsi="Arial"/>
                <w:sz w:val="18"/>
                <w:szCs w:val="18"/>
                <w:color w:val="auto"/>
              </w:rPr>
              <w:t>securities</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7"/>
        </w:trPr>
        <w:tc>
          <w:tcPr>
            <w:tcW w:w="4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effect of reconciling items above</w:t>
            </w:r>
          </w:p>
        </w:tc>
        <w:tc>
          <w:tcPr>
            <w:tcW w:w="4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97"/>
        </w:trPr>
        <w:tc>
          <w:tcPr>
            <w:tcW w:w="49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Non-GAAP net income</w:t>
            </w:r>
          </w:p>
        </w:tc>
        <w:tc>
          <w:tcPr>
            <w:tcW w:w="44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690.0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623.7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1,207.7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1,160.4</w:t>
            </w:r>
          </w:p>
        </w:tc>
      </w:tr>
      <w:tr>
        <w:trPr>
          <w:trHeight w:val="311"/>
        </w:trPr>
        <w:tc>
          <w:tcPr>
            <w:tcW w:w="49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Non-GAAP net income per share - basic</w:t>
            </w: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10.77</w:t>
            </w:r>
          </w:p>
        </w:tc>
      </w:tr>
      <w:tr>
        <w:trPr>
          <w:trHeight w:val="27"/>
        </w:trPr>
        <w:tc>
          <w:tcPr>
            <w:tcW w:w="4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net income per share - diluted</w:t>
            </w:r>
          </w:p>
        </w:tc>
        <w:tc>
          <w:tcPr>
            <w:tcW w:w="6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w:t>
            </w:r>
          </w:p>
        </w:tc>
      </w:tr>
      <w:tr>
        <w:trPr>
          <w:trHeight w:val="270"/>
        </w:trPr>
        <w:tc>
          <w:tcPr>
            <w:tcW w:w="4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Shares used in calculating:</w:t>
            </w: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Non-GAAP net income per share - basic</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107.7</w:t>
            </w:r>
          </w:p>
        </w:tc>
      </w:tr>
      <w:tr>
        <w:trPr>
          <w:trHeight w:val="27"/>
        </w:trPr>
        <w:tc>
          <w:tcPr>
            <w:tcW w:w="4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net income per share - diluted</w:t>
            </w: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114.7</w:t>
            </w:r>
          </w:p>
        </w:tc>
      </w:tr>
      <w:tr>
        <w:trPr>
          <w:trHeight w:val="932"/>
        </w:trPr>
        <w:tc>
          <w:tcPr>
            <w:tcW w:w="4960" w:type="dxa"/>
            <w:vAlign w:val="bottom"/>
          </w:tcPr>
          <w:p>
            <w:pPr>
              <w:spacing w:after="0"/>
              <w:rPr>
                <w:sz w:val="24"/>
                <w:szCs w:val="24"/>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840"/>
          </w:cols>
          <w:pgMar w:left="240" w:top="368" w:right="81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TABLE 4</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1"/>
        </w:trPr>
        <w:tc>
          <w:tcPr>
            <w:tcW w:w="60" w:type="dxa"/>
            <w:vAlign w:val="bottom"/>
          </w:tcPr>
          <w:p>
            <w:pPr>
              <w:spacing w:after="0"/>
              <w:rPr>
                <w:sz w:val="24"/>
                <w:szCs w:val="24"/>
                <w:color w:val="auto"/>
              </w:rPr>
            </w:pPr>
          </w:p>
        </w:tc>
        <w:tc>
          <w:tcPr>
            <w:tcW w:w="7700" w:type="dxa"/>
            <w:vAlign w:val="bottom"/>
            <w:gridSpan w:val="4"/>
          </w:tcPr>
          <w:p>
            <w:pPr>
              <w:jc w:val="center"/>
              <w:ind w:left="3510"/>
              <w:spacing w:after="0"/>
              <w:rPr>
                <w:sz w:val="20"/>
                <w:szCs w:val="20"/>
                <w:color w:val="auto"/>
              </w:rPr>
            </w:pPr>
            <w:r>
              <w:rPr>
                <w:rFonts w:ascii="Arial" w:cs="Arial" w:eastAsia="Arial" w:hAnsi="Arial"/>
                <w:sz w:val="18"/>
                <w:szCs w:val="18"/>
                <w:b w:val="1"/>
                <w:bCs w:val="1"/>
                <w:color w:val="auto"/>
              </w:rPr>
              <w:t>REGENERON PHARMACEUTICALS, INC.</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8020" w:type="dxa"/>
            <w:vAlign w:val="bottom"/>
            <w:gridSpan w:val="5"/>
          </w:tcPr>
          <w:p>
            <w:pPr>
              <w:jc w:val="center"/>
              <w:ind w:left="3210"/>
              <w:spacing w:after="0"/>
              <w:rPr>
                <w:sz w:val="20"/>
                <w:szCs w:val="20"/>
                <w:color w:val="auto"/>
              </w:rPr>
            </w:pPr>
            <w:r>
              <w:rPr>
                <w:rFonts w:ascii="Arial" w:cs="Arial" w:eastAsia="Arial" w:hAnsi="Arial"/>
                <w:sz w:val="18"/>
                <w:szCs w:val="18"/>
                <w:b w:val="1"/>
                <w:bCs w:val="1"/>
                <w:color w:val="auto"/>
                <w:w w:val="99"/>
              </w:rPr>
              <w:t>COLLABORATION AND OTHER REVENUE (Unaudited)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6460" w:type="dxa"/>
            <w:vAlign w:val="bottom"/>
          </w:tcPr>
          <w:p>
            <w:pPr>
              <w:jc w:val="center"/>
              <w:ind w:left="4750"/>
              <w:spacing w:after="0"/>
              <w:rPr>
                <w:sz w:val="20"/>
                <w:szCs w:val="20"/>
                <w:color w:val="auto"/>
              </w:rPr>
            </w:pPr>
            <w:r>
              <w:rPr>
                <w:rFonts w:ascii="Arial" w:cs="Arial" w:eastAsia="Arial" w:hAnsi="Arial"/>
                <w:sz w:val="18"/>
                <w:szCs w:val="18"/>
                <w:b w:val="1"/>
                <w:bCs w:val="1"/>
                <w:i w:val="1"/>
                <w:iCs w:val="1"/>
                <w:color w:val="auto"/>
                <w:w w:val="93"/>
              </w:rPr>
              <w:t>(In millions)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14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Sanofi collaboration revenue: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Reimbursement of Regeneron research and development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Reimbursement of Regeneron commercialization-related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Regeneron's share of profits (losses) in connection with commercialization of</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antibodies</w:t>
            </w: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6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460" w:type="dxa"/>
            <w:vAlign w:val="bottom"/>
          </w:tcPr>
          <w:p>
            <w:pPr>
              <w:ind w:left="260"/>
              <w:spacing w:after="0"/>
              <w:rPr>
                <w:sz w:val="20"/>
                <w:szCs w:val="20"/>
                <w:color w:val="auto"/>
              </w:rPr>
            </w:pPr>
            <w:r>
              <w:rPr>
                <w:rFonts w:ascii="Arial" w:cs="Arial" w:eastAsia="Arial" w:hAnsi="Arial"/>
                <w:sz w:val="18"/>
                <w:szCs w:val="18"/>
                <w:color w:val="auto"/>
              </w:rPr>
              <w:t>Total Sanofi collaboration revenue</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349.1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595.5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427.2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6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460" w:type="dxa"/>
            <w:vAlign w:val="bottom"/>
          </w:tcPr>
          <w:p>
            <w:pPr>
              <w:ind w:left="20"/>
              <w:spacing w:after="0"/>
              <w:rPr>
                <w:sz w:val="20"/>
                <w:szCs w:val="20"/>
                <w:color w:val="auto"/>
              </w:rPr>
            </w:pPr>
            <w:r>
              <w:rPr>
                <w:rFonts w:ascii="Arial" w:cs="Arial" w:eastAsia="Arial" w:hAnsi="Arial"/>
                <w:sz w:val="18"/>
                <w:szCs w:val="18"/>
                <w:i w:val="1"/>
                <w:iCs w:val="1"/>
                <w:color w:val="auto"/>
              </w:rPr>
              <w:t>Bayer collaboration revenue:</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Pr>
          <w:p>
            <w:pPr>
              <w:spacing w:after="0"/>
              <w:rPr>
                <w:sz w:val="19"/>
                <w:szCs w:val="19"/>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Regeneron's net profit in connection with commercialization of EYLEA outside the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478.4</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Reimbursement of Regeneron development expenses</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6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460" w:type="dxa"/>
            <w:vAlign w:val="bottom"/>
          </w:tcPr>
          <w:p>
            <w:pPr>
              <w:ind w:left="260"/>
              <w:spacing w:after="0"/>
              <w:rPr>
                <w:sz w:val="20"/>
                <w:szCs w:val="20"/>
                <w:color w:val="auto"/>
              </w:rPr>
            </w:pPr>
            <w:r>
              <w:rPr>
                <w:rFonts w:ascii="Arial" w:cs="Arial" w:eastAsia="Arial" w:hAnsi="Arial"/>
                <w:sz w:val="18"/>
                <w:szCs w:val="18"/>
                <w:color w:val="auto"/>
              </w:rPr>
              <w:t>Total Bayer collaboration revenue</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262.9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565.2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510.8</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6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Sanofi and Bayer collaboration revenue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638.1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500.7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1,160.7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938.0</w:t>
            </w:r>
          </w:p>
        </w:tc>
        <w:tc>
          <w:tcPr>
            <w:tcW w:w="0" w:type="dxa"/>
            <w:vAlign w:val="bottom"/>
          </w:tcPr>
          <w:p>
            <w:pPr>
              <w:spacing w:after="0"/>
              <w:rPr>
                <w:sz w:val="1"/>
                <w:szCs w:val="1"/>
                <w:color w:val="auto"/>
              </w:rPr>
            </w:pPr>
          </w:p>
        </w:tc>
      </w:tr>
      <w:tr>
        <w:trPr>
          <w:trHeight w:val="311"/>
        </w:trPr>
        <w:tc>
          <w:tcPr>
            <w:tcW w:w="60" w:type="dxa"/>
            <w:vAlign w:val="bottom"/>
          </w:tcPr>
          <w:p>
            <w:pPr>
              <w:spacing w:after="0"/>
              <w:rPr>
                <w:sz w:val="24"/>
                <w:szCs w:val="24"/>
                <w:color w:val="auto"/>
              </w:rPr>
            </w:pPr>
          </w:p>
        </w:tc>
        <w:tc>
          <w:tcPr>
            <w:tcW w:w="6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460" w:type="dxa"/>
            <w:vAlign w:val="bottom"/>
          </w:tcPr>
          <w:p>
            <w:pPr>
              <w:ind w:left="20"/>
              <w:spacing w:after="0"/>
              <w:rPr>
                <w:sz w:val="20"/>
                <w:szCs w:val="20"/>
                <w:color w:val="auto"/>
              </w:rPr>
            </w:pPr>
            <w:r>
              <w:rPr>
                <w:rFonts w:ascii="Arial" w:cs="Arial" w:eastAsia="Arial" w:hAnsi="Arial"/>
                <w:sz w:val="18"/>
                <w:szCs w:val="18"/>
                <w:i w:val="1"/>
                <w:iCs w:val="1"/>
                <w:color w:val="auto"/>
              </w:rPr>
              <w:t>Other revenue:</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Reimbursement of Regeneron research and development expenses - Teva</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Reimbursement of Regeneron research and development expenses - other</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6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6460" w:type="dxa"/>
            <w:vAlign w:val="bottom"/>
          </w:tcPr>
          <w:p>
            <w:pPr>
              <w:ind w:left="260"/>
              <w:spacing w:after="0"/>
              <w:rPr>
                <w:sz w:val="20"/>
                <w:szCs w:val="20"/>
                <w:color w:val="auto"/>
              </w:rPr>
            </w:pPr>
            <w:r>
              <w:rPr>
                <w:rFonts w:ascii="Arial" w:cs="Arial" w:eastAsia="Arial" w:hAnsi="Arial"/>
                <w:sz w:val="18"/>
                <w:szCs w:val="18"/>
                <w:color w:val="auto"/>
              </w:rPr>
              <w:t>Total other revenue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jc w:val="center"/>
              <w:ind w:left="4810"/>
              <w:spacing w:after="0"/>
              <w:rPr>
                <w:sz w:val="20"/>
                <w:szCs w:val="20"/>
                <w:color w:val="auto"/>
              </w:rPr>
            </w:pPr>
            <w:r>
              <w:rPr>
                <w:rFonts w:ascii="Arial" w:cs="Arial" w:eastAsia="Arial" w:hAnsi="Arial"/>
                <w:sz w:val="18"/>
                <w:szCs w:val="18"/>
                <w:color w:val="auto"/>
                <w:w w:val="89"/>
              </w:rPr>
              <w:t>13</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65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368" w:right="27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TABLE 5</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630"/>
        </w:trPr>
        <w:tc>
          <w:tcPr>
            <w:tcW w:w="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080" w:type="dxa"/>
            <w:vAlign w:val="bottom"/>
            <w:gridSpan w:val="10"/>
          </w:tcPr>
          <w:p>
            <w:pPr>
              <w:jc w:val="center"/>
              <w:ind w:left="1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0"/>
        </w:trPr>
        <w:tc>
          <w:tcPr>
            <w:tcW w:w="140" w:type="dxa"/>
            <w:vAlign w:val="bottom"/>
          </w:tcPr>
          <w:p>
            <w:pPr>
              <w:spacing w:after="0"/>
              <w:rPr>
                <w:sz w:val="19"/>
                <w:szCs w:val="19"/>
                <w:color w:val="auto"/>
              </w:rPr>
            </w:pPr>
          </w:p>
        </w:tc>
        <w:tc>
          <w:tcPr>
            <w:tcW w:w="9020" w:type="dxa"/>
            <w:vAlign w:val="bottom"/>
            <w:gridSpan w:val="15"/>
          </w:tcPr>
          <w:p>
            <w:pPr>
              <w:jc w:val="center"/>
              <w:ind w:left="2030"/>
              <w:spacing w:after="0"/>
              <w:rPr>
                <w:sz w:val="20"/>
                <w:szCs w:val="20"/>
                <w:color w:val="auto"/>
              </w:rPr>
            </w:pPr>
            <w:r>
              <w:rPr>
                <w:rFonts w:ascii="Arial" w:cs="Arial" w:eastAsia="Arial" w:hAnsi="Arial"/>
                <w:sz w:val="18"/>
                <w:szCs w:val="18"/>
                <w:b w:val="1"/>
                <w:bCs w:val="1"/>
                <w:color w:val="auto"/>
                <w:w w:val="98"/>
              </w:rPr>
              <w:t>NET PRODUCT SALES OF REGENERON-DISCOVERED PRODUCTS (Unaudited)</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1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40" w:type="dxa"/>
            <w:vAlign w:val="bottom"/>
            <w:gridSpan w:val="4"/>
          </w:tcPr>
          <w:p>
            <w:pPr>
              <w:ind w:left="100"/>
              <w:spacing w:after="0"/>
              <w:rPr>
                <w:sz w:val="20"/>
                <w:szCs w:val="20"/>
                <w:color w:val="auto"/>
              </w:rPr>
            </w:pPr>
            <w:r>
              <w:rPr>
                <w:rFonts w:ascii="Arial" w:cs="Arial" w:eastAsia="Arial" w:hAnsi="Arial"/>
                <w:sz w:val="18"/>
                <w:szCs w:val="18"/>
                <w:b w:val="1"/>
                <w:bCs w:val="1"/>
                <w:i w:val="1"/>
                <w:iCs w:val="1"/>
                <w:color w:val="auto"/>
              </w:rPr>
              <w:t>(In millions)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95"/>
        </w:trPr>
        <w:tc>
          <w:tcPr>
            <w:tcW w:w="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1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1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1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ROW</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34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rPr>
              <w:t>U.S.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ROW</w:t>
            </w:r>
          </w:p>
        </w:tc>
        <w:tc>
          <w:tcPr>
            <w:tcW w:w="2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7"/>
        </w:trPr>
        <w:tc>
          <w:tcPr>
            <w:tcW w:w="140" w:type="dxa"/>
            <w:vAlign w:val="bottom"/>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140" w:type="dxa"/>
            <w:vAlign w:val="bottom"/>
          </w:tcPr>
          <w:p>
            <w:pPr>
              <w:spacing w:after="0"/>
              <w:rPr>
                <w:sz w:val="22"/>
                <w:szCs w:val="22"/>
                <w:color w:val="auto"/>
              </w:rPr>
            </w:pPr>
          </w:p>
        </w:tc>
        <w:tc>
          <w:tcPr>
            <w:tcW w:w="34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w:t>
            </w: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1,160.3</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1,875.6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665.9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1,657.9</w:t>
            </w:r>
          </w:p>
        </w:tc>
      </w:tr>
      <w:tr>
        <w:trPr>
          <w:trHeight w:val="243"/>
        </w:trPr>
        <w:tc>
          <w:tcPr>
            <w:tcW w:w="140" w:type="dxa"/>
            <w:vAlign w:val="bottom"/>
          </w:tcPr>
          <w:p>
            <w:pPr>
              <w:spacing w:after="0"/>
              <w:rPr>
                <w:sz w:val="21"/>
                <w:szCs w:val="21"/>
                <w:color w:val="auto"/>
              </w:rPr>
            </w:pPr>
          </w:p>
        </w:tc>
        <w:tc>
          <w:tcPr>
            <w:tcW w:w="3480" w:type="dxa"/>
            <w:vAlign w:val="bottom"/>
          </w:tcPr>
          <w:p>
            <w:pPr>
              <w:ind w:left="40"/>
              <w:spacing w:after="0"/>
              <w:rPr>
                <w:sz w:val="20"/>
                <w:szCs w:val="20"/>
                <w:color w:val="auto"/>
              </w:rPr>
            </w:pPr>
            <w:r>
              <w:rPr>
                <w:rFonts w:ascii="Arial" w:cs="Arial" w:eastAsia="Arial" w:hAnsi="Arial"/>
                <w:sz w:val="18"/>
                <w:szCs w:val="18"/>
                <w:color w:val="auto"/>
              </w:rPr>
              <w:t>Libtayo</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40" w:type="dxa"/>
            <w:vAlign w:val="bottom"/>
          </w:tcPr>
          <w:p>
            <w:pPr>
              <w:spacing w:after="0"/>
              <w:rPr>
                <w:sz w:val="23"/>
                <w:szCs w:val="23"/>
                <w:color w:val="auto"/>
              </w:rPr>
            </w:pPr>
          </w:p>
        </w:tc>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ARCALYST</w:t>
            </w:r>
          </w:p>
        </w:tc>
        <w:tc>
          <w:tcPr>
            <w:tcW w:w="4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97"/>
        </w:trPr>
        <w:tc>
          <w:tcPr>
            <w:tcW w:w="140" w:type="dxa"/>
            <w:vAlign w:val="bottom"/>
          </w:tcPr>
          <w:p>
            <w:pPr>
              <w:spacing w:after="0"/>
              <w:rPr>
                <w:sz w:val="24"/>
                <w:szCs w:val="24"/>
                <w:color w:val="auto"/>
              </w:rPr>
            </w:pPr>
          </w:p>
        </w:tc>
        <w:tc>
          <w:tcPr>
            <w:tcW w:w="34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w w:val="98"/>
              </w:rPr>
              <w:t>Net product sales recorded by Regeneron</w:t>
            </w:r>
          </w:p>
        </w:tc>
        <w:tc>
          <w:tcPr>
            <w:tcW w:w="4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1,205.3</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996.4</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r>
      <w:tr>
        <w:trPr>
          <w:trHeight w:val="311"/>
        </w:trPr>
        <w:tc>
          <w:tcPr>
            <w:tcW w:w="140" w:type="dxa"/>
            <w:vAlign w:val="bottom"/>
          </w:tcPr>
          <w:p>
            <w:pPr>
              <w:spacing w:after="0"/>
              <w:rPr>
                <w:sz w:val="24"/>
                <w:szCs w:val="24"/>
                <w:color w:val="auto"/>
              </w:rPr>
            </w:pPr>
          </w:p>
        </w:tc>
        <w:tc>
          <w:tcPr>
            <w:tcW w:w="34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70"/>
        </w:trPr>
        <w:tc>
          <w:tcPr>
            <w:tcW w:w="140" w:type="dxa"/>
            <w:vAlign w:val="bottom"/>
          </w:tcPr>
          <w:p>
            <w:pPr>
              <w:spacing w:after="0"/>
              <w:rPr>
                <w:sz w:val="23"/>
                <w:szCs w:val="23"/>
                <w:color w:val="auto"/>
              </w:rPr>
            </w:pPr>
          </w:p>
        </w:tc>
        <w:tc>
          <w:tcPr>
            <w:tcW w:w="3480" w:type="dxa"/>
            <w:vAlign w:val="bottom"/>
          </w:tcPr>
          <w:p>
            <w:pPr>
              <w:ind w:left="40"/>
              <w:spacing w:after="0" w:line="270" w:lineRule="exact"/>
              <w:rPr>
                <w:sz w:val="20"/>
                <w:szCs w:val="20"/>
                <w:color w:val="auto"/>
              </w:rPr>
            </w:pPr>
            <w:r>
              <w:rPr>
                <w:rFonts w:ascii="Arial" w:cs="Arial" w:eastAsia="Arial" w:hAnsi="Arial"/>
                <w:sz w:val="18"/>
                <w:szCs w:val="18"/>
                <w:i w:val="1"/>
                <w:iCs w:val="1"/>
                <w:color w:val="auto"/>
              </w:rPr>
              <w:t>Net product sales recorded by Sanofi</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w:t>
            </w: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140" w:type="dxa"/>
            <w:vAlign w:val="bottom"/>
          </w:tcPr>
          <w:p>
            <w:pPr>
              <w:spacing w:after="0"/>
              <w:rPr>
                <w:sz w:val="21"/>
                <w:szCs w:val="21"/>
                <w:color w:val="auto"/>
              </w:rPr>
            </w:pPr>
          </w:p>
        </w:tc>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Dupixent</w:t>
            </w:r>
          </w:p>
        </w:tc>
        <w:tc>
          <w:tcPr>
            <w:tcW w:w="6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454.7</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180.9</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209.2</w:t>
            </w:r>
          </w:p>
        </w:tc>
      </w:tr>
      <w:tr>
        <w:trPr>
          <w:trHeight w:val="243"/>
        </w:trPr>
        <w:tc>
          <w:tcPr>
            <w:tcW w:w="140" w:type="dxa"/>
            <w:vAlign w:val="bottom"/>
          </w:tcPr>
          <w:p>
            <w:pPr>
              <w:spacing w:after="0"/>
              <w:rPr>
                <w:sz w:val="21"/>
                <w:szCs w:val="21"/>
                <w:color w:val="auto"/>
              </w:rPr>
            </w:pPr>
          </w:p>
        </w:tc>
        <w:tc>
          <w:tcPr>
            <w:tcW w:w="3480" w:type="dxa"/>
            <w:vAlign w:val="bottom"/>
          </w:tcPr>
          <w:p>
            <w:pPr>
              <w:ind w:left="40"/>
              <w:spacing w:after="0"/>
              <w:rPr>
                <w:sz w:val="20"/>
                <w:szCs w:val="20"/>
                <w:color w:val="auto"/>
              </w:rPr>
            </w:pPr>
            <w:r>
              <w:rPr>
                <w:rFonts w:ascii="Arial" w:cs="Arial" w:eastAsia="Arial" w:hAnsi="Arial"/>
                <w:sz w:val="18"/>
                <w:szCs w:val="18"/>
                <w:color w:val="auto"/>
              </w:rPr>
              <w:t>Praluent</w:t>
            </w: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73.5</w:t>
            </w:r>
          </w:p>
        </w:tc>
      </w:tr>
      <w:tr>
        <w:trPr>
          <w:trHeight w:val="27"/>
        </w:trPr>
        <w:tc>
          <w:tcPr>
            <w:tcW w:w="1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Kevzara</w:t>
            </w:r>
          </w:p>
        </w:tc>
        <w:tc>
          <w:tcPr>
            <w:tcW w:w="6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r>
      <w:tr>
        <w:trPr>
          <w:trHeight w:val="243"/>
        </w:trPr>
        <w:tc>
          <w:tcPr>
            <w:tcW w:w="140" w:type="dxa"/>
            <w:vAlign w:val="bottom"/>
          </w:tcPr>
          <w:p>
            <w:pPr>
              <w:spacing w:after="0"/>
              <w:rPr>
                <w:sz w:val="21"/>
                <w:szCs w:val="21"/>
                <w:color w:val="auto"/>
              </w:rPr>
            </w:pPr>
          </w:p>
        </w:tc>
        <w:tc>
          <w:tcPr>
            <w:tcW w:w="3480" w:type="dxa"/>
            <w:vAlign w:val="bottom"/>
          </w:tcPr>
          <w:p>
            <w:pPr>
              <w:ind w:left="40"/>
              <w:spacing w:after="0"/>
              <w:rPr>
                <w:sz w:val="20"/>
                <w:szCs w:val="20"/>
                <w:color w:val="auto"/>
              </w:rPr>
            </w:pPr>
            <w:r>
              <w:rPr>
                <w:rFonts w:ascii="Arial" w:cs="Arial" w:eastAsia="Arial" w:hAnsi="Arial"/>
                <w:sz w:val="18"/>
                <w:szCs w:val="18"/>
                <w:color w:val="auto"/>
              </w:rPr>
              <w:t>ZALTRAP</w:t>
            </w: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28.4</w:t>
            </w:r>
          </w:p>
        </w:tc>
      </w:tr>
      <w:tr>
        <w:trPr>
          <w:trHeight w:val="441"/>
        </w:trPr>
        <w:tc>
          <w:tcPr>
            <w:tcW w:w="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1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1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1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ROW</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34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rPr>
              <w:t>U.S.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ROW</w:t>
            </w:r>
          </w:p>
        </w:tc>
        <w:tc>
          <w:tcPr>
            <w:tcW w:w="2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7"/>
        </w:trPr>
        <w:tc>
          <w:tcPr>
            <w:tcW w:w="140" w:type="dxa"/>
            <w:vAlign w:val="bottom"/>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140" w:type="dxa"/>
            <w:vAlign w:val="bottom"/>
          </w:tcPr>
          <w:p>
            <w:pPr>
              <w:spacing w:after="0"/>
              <w:rPr>
                <w:sz w:val="22"/>
                <w:szCs w:val="22"/>
                <w:color w:val="auto"/>
              </w:rPr>
            </w:pPr>
          </w:p>
        </w:tc>
        <w:tc>
          <w:tcPr>
            <w:tcW w:w="34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w:t>
            </w: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2,234.4</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1,384.7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3,619.1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1,976.0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1,289.9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3,265.9</w:t>
            </w:r>
          </w:p>
        </w:tc>
      </w:tr>
      <w:tr>
        <w:trPr>
          <w:trHeight w:val="243"/>
        </w:trPr>
        <w:tc>
          <w:tcPr>
            <w:tcW w:w="140" w:type="dxa"/>
            <w:vAlign w:val="bottom"/>
          </w:tcPr>
          <w:p>
            <w:pPr>
              <w:spacing w:after="0"/>
              <w:rPr>
                <w:sz w:val="21"/>
                <w:szCs w:val="21"/>
                <w:color w:val="auto"/>
              </w:rPr>
            </w:pPr>
          </w:p>
        </w:tc>
        <w:tc>
          <w:tcPr>
            <w:tcW w:w="3480" w:type="dxa"/>
            <w:vAlign w:val="bottom"/>
          </w:tcPr>
          <w:p>
            <w:pPr>
              <w:ind w:left="40"/>
              <w:spacing w:after="0"/>
              <w:rPr>
                <w:sz w:val="20"/>
                <w:szCs w:val="20"/>
                <w:color w:val="auto"/>
              </w:rPr>
            </w:pPr>
            <w:r>
              <w:rPr>
                <w:rFonts w:ascii="Arial" w:cs="Arial" w:eastAsia="Arial" w:hAnsi="Arial"/>
                <w:sz w:val="18"/>
                <w:szCs w:val="18"/>
                <w:color w:val="auto"/>
              </w:rPr>
              <w:t>Libtayo</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40" w:type="dxa"/>
            <w:vAlign w:val="bottom"/>
          </w:tcPr>
          <w:p>
            <w:pPr>
              <w:spacing w:after="0"/>
              <w:rPr>
                <w:sz w:val="23"/>
                <w:szCs w:val="23"/>
                <w:color w:val="auto"/>
              </w:rPr>
            </w:pPr>
          </w:p>
        </w:tc>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ARCALYST</w:t>
            </w:r>
          </w:p>
        </w:tc>
        <w:tc>
          <w:tcPr>
            <w:tcW w:w="4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97"/>
        </w:trPr>
        <w:tc>
          <w:tcPr>
            <w:tcW w:w="140" w:type="dxa"/>
            <w:vAlign w:val="bottom"/>
          </w:tcPr>
          <w:p>
            <w:pPr>
              <w:spacing w:after="0"/>
              <w:rPr>
                <w:sz w:val="24"/>
                <w:szCs w:val="24"/>
                <w:color w:val="auto"/>
              </w:rPr>
            </w:pPr>
          </w:p>
        </w:tc>
        <w:tc>
          <w:tcPr>
            <w:tcW w:w="34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w w:val="98"/>
              </w:rPr>
              <w:t>Net product sales recorded by Regeneron</w:t>
            </w:r>
          </w:p>
        </w:tc>
        <w:tc>
          <w:tcPr>
            <w:tcW w:w="4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2,309.7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1,984.3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r>
      <w:tr>
        <w:trPr>
          <w:trHeight w:val="311"/>
        </w:trPr>
        <w:tc>
          <w:tcPr>
            <w:tcW w:w="140" w:type="dxa"/>
            <w:vAlign w:val="bottom"/>
          </w:tcPr>
          <w:p>
            <w:pPr>
              <w:spacing w:after="0"/>
              <w:rPr>
                <w:sz w:val="24"/>
                <w:szCs w:val="24"/>
                <w:color w:val="auto"/>
              </w:rPr>
            </w:pPr>
          </w:p>
        </w:tc>
        <w:tc>
          <w:tcPr>
            <w:tcW w:w="34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70"/>
        </w:trPr>
        <w:tc>
          <w:tcPr>
            <w:tcW w:w="140" w:type="dxa"/>
            <w:vAlign w:val="bottom"/>
          </w:tcPr>
          <w:p>
            <w:pPr>
              <w:spacing w:after="0"/>
              <w:rPr>
                <w:sz w:val="23"/>
                <w:szCs w:val="23"/>
                <w:color w:val="auto"/>
              </w:rPr>
            </w:pPr>
          </w:p>
        </w:tc>
        <w:tc>
          <w:tcPr>
            <w:tcW w:w="3480" w:type="dxa"/>
            <w:vAlign w:val="bottom"/>
          </w:tcPr>
          <w:p>
            <w:pPr>
              <w:ind w:left="40"/>
              <w:spacing w:after="0" w:line="270" w:lineRule="exact"/>
              <w:rPr>
                <w:sz w:val="20"/>
                <w:szCs w:val="20"/>
                <w:color w:val="auto"/>
              </w:rPr>
            </w:pPr>
            <w:r>
              <w:rPr>
                <w:rFonts w:ascii="Arial" w:cs="Arial" w:eastAsia="Arial" w:hAnsi="Arial"/>
                <w:sz w:val="18"/>
                <w:szCs w:val="18"/>
                <w:i w:val="1"/>
                <w:iCs w:val="1"/>
                <w:color w:val="auto"/>
              </w:rPr>
              <w:t>Net product sales recorded by Sanofi</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w:t>
            </w: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140" w:type="dxa"/>
            <w:vAlign w:val="bottom"/>
          </w:tcPr>
          <w:p>
            <w:pPr>
              <w:spacing w:after="0"/>
              <w:rPr>
                <w:sz w:val="21"/>
                <w:szCs w:val="21"/>
                <w:color w:val="auto"/>
              </w:rPr>
            </w:pPr>
          </w:p>
        </w:tc>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Dupixent</w:t>
            </w:r>
          </w:p>
        </w:tc>
        <w:tc>
          <w:tcPr>
            <w:tcW w:w="6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757.7</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298.1</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340.6</w:t>
            </w:r>
          </w:p>
        </w:tc>
      </w:tr>
      <w:tr>
        <w:trPr>
          <w:trHeight w:val="243"/>
        </w:trPr>
        <w:tc>
          <w:tcPr>
            <w:tcW w:w="140" w:type="dxa"/>
            <w:vAlign w:val="bottom"/>
          </w:tcPr>
          <w:p>
            <w:pPr>
              <w:spacing w:after="0"/>
              <w:rPr>
                <w:sz w:val="21"/>
                <w:szCs w:val="21"/>
                <w:color w:val="auto"/>
              </w:rPr>
            </w:pPr>
          </w:p>
        </w:tc>
        <w:tc>
          <w:tcPr>
            <w:tcW w:w="3480" w:type="dxa"/>
            <w:vAlign w:val="bottom"/>
          </w:tcPr>
          <w:p>
            <w:pPr>
              <w:ind w:left="40"/>
              <w:spacing w:after="0"/>
              <w:rPr>
                <w:sz w:val="20"/>
                <w:szCs w:val="20"/>
                <w:color w:val="auto"/>
              </w:rPr>
            </w:pPr>
            <w:r>
              <w:rPr>
                <w:rFonts w:ascii="Arial" w:cs="Arial" w:eastAsia="Arial" w:hAnsi="Arial"/>
                <w:sz w:val="18"/>
                <w:szCs w:val="18"/>
                <w:color w:val="auto"/>
              </w:rPr>
              <w:t>Praluent</w:t>
            </w: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49.4</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73.2</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133.4</w:t>
            </w:r>
          </w:p>
        </w:tc>
      </w:tr>
      <w:tr>
        <w:trPr>
          <w:trHeight w:val="27"/>
        </w:trPr>
        <w:tc>
          <w:tcPr>
            <w:tcW w:w="1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Kevzara</w:t>
            </w:r>
          </w:p>
        </w:tc>
        <w:tc>
          <w:tcPr>
            <w:tcW w:w="6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r>
      <w:tr>
        <w:trPr>
          <w:trHeight w:val="243"/>
        </w:trPr>
        <w:tc>
          <w:tcPr>
            <w:tcW w:w="140" w:type="dxa"/>
            <w:vAlign w:val="bottom"/>
          </w:tcPr>
          <w:p>
            <w:pPr>
              <w:spacing w:after="0"/>
              <w:rPr>
                <w:sz w:val="21"/>
                <w:szCs w:val="21"/>
                <w:color w:val="auto"/>
              </w:rPr>
            </w:pPr>
          </w:p>
        </w:tc>
        <w:tc>
          <w:tcPr>
            <w:tcW w:w="3480" w:type="dxa"/>
            <w:vAlign w:val="bottom"/>
          </w:tcPr>
          <w:p>
            <w:pPr>
              <w:ind w:left="40"/>
              <w:spacing w:after="0"/>
              <w:rPr>
                <w:sz w:val="20"/>
                <w:szCs w:val="20"/>
                <w:color w:val="auto"/>
              </w:rPr>
            </w:pPr>
            <w:r>
              <w:rPr>
                <w:rFonts w:ascii="Arial" w:cs="Arial" w:eastAsia="Arial" w:hAnsi="Arial"/>
                <w:sz w:val="18"/>
                <w:szCs w:val="18"/>
                <w:color w:val="auto"/>
              </w:rPr>
              <w:t>ZALTRAP</w:t>
            </w: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54.7</w:t>
            </w:r>
          </w:p>
        </w:tc>
      </w:tr>
    </w:tbl>
    <w:p>
      <w:pPr>
        <w:spacing w:after="0" w:line="202" w:lineRule="exact"/>
        <w:rPr>
          <w:sz w:val="20"/>
          <w:szCs w:val="20"/>
          <w:color w:val="auto"/>
        </w:rPr>
      </w:pPr>
    </w:p>
    <w:p>
      <w:pPr>
        <w:ind w:left="420" w:right="60" w:hanging="7"/>
        <w:spacing w:after="0" w:line="262" w:lineRule="auto"/>
        <w:tabs>
          <w:tab w:leader="none" w:pos="523"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Bayer records net product sales of EYLEA outside the United States and Sanofi records global net product sales of Dupixent, Praluent, Kevzara, and ZALTRAP. Refer to Table 4 for the Company's share of profits/losses recorded in connection with sales of EYLEA outside the United States and global sales of Dupixent, Praluent, and Kevzara. Sanofi pays the Company a percentage of aggregate net sales of ZALTRAP.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sectPr>
      <w:pgSz w:w="11900" w:h="16838" w:orient="portrait"/>
      <w:cols w:equalWidth="0" w:num="1">
        <w:col w:w="11280"/>
      </w:cols>
      <w:pgMar w:left="240" w:top="36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lowerRoman"/>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4"/>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2019-12-28T08:10:50Z</dcterms:created>
  <dcterms:modified xsi:type="dcterms:W3CDTF">2019-12-28T08:10:50Z</dcterms:modified>
</cp:coreProperties>
</file>