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7957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957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71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30,744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1,518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751.24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29,226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750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29,225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753.23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29,185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754.39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29,105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755.46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29,024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758.2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28,982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759.39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28,912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760.9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28,899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761.36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762.92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763.1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381.92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 shares of Company stock on November 1, 2022 at prices ranging from $754.20 to $754.86.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40" w:right="22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81 shares of Company stock on November 1, 2022 at prices ranging from $755.03 to $755.98.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40" w:right="22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42 shares of Company stock on November 1, 2022 at prices ranging from $758.15 to $758.67.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40" w:right="22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70 shares of Company stock on November 1, 2022 at prices ranging from $759.23 to $759.88.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40" w:right="22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 shares of Company stock on November 1, 2022 at prices ranging from $760.81 to $760.99. Upon request by the Commission staff, the Company, or a security holder of the Company, the reporting person will provide full information regarding the number of shares sold by the reporting person on November 1, 2022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119 shares of Company stock on November 1, 2022 at prices ranging from $761.19 to $761.44. Upon request by the Commission staff, the Company, or</w:t>
      </w:r>
    </w:p>
    <w:p>
      <w:pPr>
        <w:sectPr>
          <w:pgSz w:w="11900" w:h="16871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a security holder of the Company, the reporting person will provide full information regarding the number of shares sold by the reporting person on November 1, 2022 at each separate price.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8. 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11/02/2022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7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2022-11-02T15:18:23Z</dcterms:created>
  <dcterms:modified xsi:type="dcterms:W3CDTF">2022-11-02T15:18:23Z</dcterms:modified>
</cp:coreProperties>
</file>