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156210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193675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199390</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214630</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85"/>
        <w:spacing w:after="0"/>
        <w:rPr>
          <w:sz w:val="20"/>
          <w:szCs w:val="20"/>
          <w:color w:val="auto"/>
        </w:rPr>
      </w:pPr>
      <w:r>
        <w:rPr>
          <w:rFonts w:ascii="Arial" w:cs="Arial" w:eastAsia="Arial" w:hAnsi="Arial"/>
          <w:sz w:val="19"/>
          <w:szCs w:val="19"/>
          <w:b w:val="1"/>
          <w:bCs w:val="1"/>
          <w:color w:val="auto"/>
        </w:rPr>
        <w:t>CURRENT REPORT</w:t>
      </w:r>
    </w:p>
    <w:p>
      <w:pPr>
        <w:spacing w:after="0" w:line="8" w:lineRule="exact"/>
        <w:rPr>
          <w:sz w:val="24"/>
          <w:szCs w:val="24"/>
          <w:color w:val="auto"/>
        </w:rPr>
      </w:pPr>
    </w:p>
    <w:p>
      <w:pPr>
        <w:jc w:val="center"/>
        <w:ind w:right="-85"/>
        <w:spacing w:after="0"/>
        <w:rPr>
          <w:sz w:val="20"/>
          <w:szCs w:val="20"/>
          <w:color w:val="auto"/>
        </w:rPr>
      </w:pPr>
      <w:r>
        <w:rPr>
          <w:rFonts w:ascii="Arial" w:cs="Arial" w:eastAsia="Arial" w:hAnsi="Arial"/>
          <w:sz w:val="19"/>
          <w:szCs w:val="19"/>
          <w:b w:val="1"/>
          <w:bCs w:val="1"/>
          <w:color w:val="auto"/>
        </w:rPr>
        <w:t>Pursuant to Section 13 or 15(d)</w:t>
      </w:r>
    </w:p>
    <w:p>
      <w:pPr>
        <w:jc w:val="center"/>
        <w:ind w:right="-85"/>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59" w:lineRule="exact"/>
        <w:rPr>
          <w:sz w:val="24"/>
          <w:szCs w:val="24"/>
          <w:color w:val="auto"/>
        </w:rPr>
      </w:pPr>
    </w:p>
    <w:p>
      <w:pPr>
        <w:jc w:val="center"/>
        <w:ind w:right="-85"/>
        <w:spacing w:after="0"/>
        <w:rPr>
          <w:sz w:val="20"/>
          <w:szCs w:val="20"/>
          <w:color w:val="auto"/>
        </w:rPr>
      </w:pPr>
      <w:r>
        <w:rPr>
          <w:rFonts w:ascii="Arial" w:cs="Arial" w:eastAsia="Arial" w:hAnsi="Arial"/>
          <w:sz w:val="19"/>
          <w:szCs w:val="19"/>
          <w:b w:val="1"/>
          <w:bCs w:val="1"/>
          <w:color w:val="auto"/>
        </w:rPr>
        <w:t>Date of Report (Date of earliest event reported): January 14, 2014 (January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205740</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85"/>
        <w:spacing w:after="0"/>
        <w:rPr>
          <w:sz w:val="20"/>
          <w:szCs w:val="20"/>
          <w:color w:val="auto"/>
        </w:rPr>
      </w:pPr>
      <w:r>
        <w:rPr>
          <w:rFonts w:ascii="Arial" w:cs="Arial" w:eastAsia="Arial" w:hAnsi="Arial"/>
          <w:sz w:val="38"/>
          <w:szCs w:val="38"/>
          <w:b w:val="1"/>
          <w:bCs w:val="1"/>
          <w:color w:val="auto"/>
        </w:rPr>
        <w:t>REGENERON PHARMACEUTICALS, INC.</w:t>
      </w:r>
    </w:p>
    <w:p>
      <w:pPr>
        <w:spacing w:after="0" w:line="38" w:lineRule="exact"/>
        <w:rPr>
          <w:sz w:val="24"/>
          <w:szCs w:val="24"/>
          <w:color w:val="auto"/>
        </w:rPr>
      </w:pPr>
    </w:p>
    <w:p>
      <w:pPr>
        <w:jc w:val="center"/>
        <w:ind w:right="-85"/>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203200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ind w:right="-85"/>
        <w:spacing w:after="0"/>
        <w:rPr>
          <w:sz w:val="20"/>
          <w:szCs w:val="20"/>
          <w:color w:val="auto"/>
        </w:rPr>
      </w:pPr>
      <w:r>
        <w:rPr>
          <w:rFonts w:ascii="Arial" w:cs="Arial" w:eastAsia="Arial" w:hAnsi="Arial"/>
          <w:sz w:val="16"/>
          <w:szCs w:val="16"/>
          <w:b w:val="1"/>
          <w:bCs w:val="1"/>
          <w:color w:val="auto"/>
        </w:rPr>
        <w:t>New York</w:t>
      </w:r>
    </w:p>
    <w:p>
      <w:pPr>
        <w:jc w:val="center"/>
        <w:ind w:right="-85"/>
        <w:spacing w:after="0" w:line="231" w:lineRule="auto"/>
        <w:rPr>
          <w:sz w:val="20"/>
          <w:szCs w:val="20"/>
          <w:color w:val="auto"/>
        </w:rPr>
      </w:pPr>
      <w:r>
        <w:rPr>
          <w:rFonts w:ascii="Arial" w:cs="Arial" w:eastAsia="Arial" w:hAnsi="Arial"/>
          <w:sz w:val="13"/>
          <w:szCs w:val="13"/>
          <w:b w:val="1"/>
          <w:bCs w:val="1"/>
          <w:color w:val="auto"/>
        </w:rPr>
        <w:t>(State or other jurisdiction</w:t>
      </w:r>
    </w:p>
    <w:p>
      <w:pPr>
        <w:jc w:val="center"/>
        <w:ind w:right="-85"/>
        <w:spacing w:after="0" w:line="237" w:lineRule="auto"/>
        <w:rPr>
          <w:sz w:val="20"/>
          <w:szCs w:val="20"/>
          <w:color w:val="auto"/>
        </w:rPr>
      </w:pPr>
      <w:r>
        <w:rPr>
          <w:rFonts w:ascii="Arial" w:cs="Arial" w:eastAsia="Arial" w:hAnsi="Arial"/>
          <w:sz w:val="13"/>
          <w:szCs w:val="13"/>
          <w:b w:val="1"/>
          <w:bCs w:val="1"/>
          <w:color w:val="auto"/>
        </w:rPr>
        <w:t>of incorporation)</w:t>
      </w:r>
    </w:p>
    <w:p>
      <w:pPr>
        <w:spacing w:after="0" w:line="183" w:lineRule="exact"/>
        <w:rPr>
          <w:sz w:val="24"/>
          <w:szCs w:val="24"/>
          <w:color w:val="auto"/>
        </w:rPr>
      </w:pPr>
    </w:p>
    <w:tbl>
      <w:tblPr>
        <w:tblLayout w:type="fixed"/>
        <w:tblInd w:w="1126" w:type="dxa"/>
        <w:tblCellMar>
          <w:top w:w="0" w:type="dxa"/>
          <w:left w:w="0" w:type="dxa"/>
          <w:bottom w:w="0" w:type="dxa"/>
          <w:right w:w="0" w:type="dxa"/>
        </w:tblCellMar>
      </w:tblPr>
      <w:tr>
        <w:trPr>
          <w:trHeight w:val="185"/>
        </w:trPr>
        <w:tc>
          <w:tcPr>
            <w:tcW w:w="6940" w:type="dxa"/>
            <w:vAlign w:val="bottom"/>
          </w:tcPr>
          <w:p>
            <w:pPr>
              <w:jc w:val="center"/>
              <w:ind w:right="3349"/>
              <w:spacing w:after="0"/>
              <w:rPr>
                <w:sz w:val="20"/>
                <w:szCs w:val="20"/>
                <w:color w:val="auto"/>
              </w:rPr>
            </w:pPr>
            <w:r>
              <w:rPr>
                <w:rFonts w:ascii="Arial" w:cs="Arial" w:eastAsia="Arial" w:hAnsi="Arial"/>
                <w:sz w:val="16"/>
                <w:szCs w:val="16"/>
                <w:b w:val="1"/>
                <w:bCs w:val="1"/>
                <w:color w:val="auto"/>
                <w:w w:val="88"/>
              </w:rPr>
              <w:t>000-19034</w:t>
            </w:r>
          </w:p>
        </w:tc>
        <w:tc>
          <w:tcPr>
            <w:tcW w:w="1080" w:type="dxa"/>
            <w:vAlign w:val="bottom"/>
          </w:tcPr>
          <w:p>
            <w:pPr>
              <w:jc w:val="center"/>
              <w:ind w:left="51"/>
              <w:spacing w:after="0"/>
              <w:rPr>
                <w:sz w:val="20"/>
                <w:szCs w:val="20"/>
                <w:color w:val="auto"/>
              </w:rPr>
            </w:pPr>
            <w:r>
              <w:rPr>
                <w:rFonts w:ascii="Arial" w:cs="Arial" w:eastAsia="Arial" w:hAnsi="Arial"/>
                <w:sz w:val="16"/>
                <w:szCs w:val="16"/>
                <w:b w:val="1"/>
                <w:bCs w:val="1"/>
                <w:color w:val="auto"/>
                <w:w w:val="88"/>
              </w:rPr>
              <w:t>13-3444607</w:t>
            </w:r>
          </w:p>
        </w:tc>
      </w:tr>
      <w:tr>
        <w:trPr>
          <w:trHeight w:val="129"/>
        </w:trPr>
        <w:tc>
          <w:tcPr>
            <w:tcW w:w="6940" w:type="dxa"/>
            <w:vAlign w:val="bottom"/>
          </w:tcPr>
          <w:p>
            <w:pPr>
              <w:jc w:val="center"/>
              <w:ind w:right="3349"/>
              <w:spacing w:after="0" w:line="129" w:lineRule="exact"/>
              <w:rPr>
                <w:sz w:val="20"/>
                <w:szCs w:val="20"/>
                <w:color w:val="auto"/>
              </w:rPr>
            </w:pPr>
            <w:r>
              <w:rPr>
                <w:rFonts w:ascii="Arial" w:cs="Arial" w:eastAsia="Arial" w:hAnsi="Arial"/>
                <w:sz w:val="13"/>
                <w:szCs w:val="13"/>
                <w:b w:val="1"/>
                <w:bCs w:val="1"/>
                <w:color w:val="auto"/>
                <w:w w:val="87"/>
              </w:rPr>
              <w:t>(Commission</w:t>
            </w:r>
          </w:p>
        </w:tc>
        <w:tc>
          <w:tcPr>
            <w:tcW w:w="1080" w:type="dxa"/>
            <w:vAlign w:val="bottom"/>
          </w:tcPr>
          <w:p>
            <w:pPr>
              <w:jc w:val="center"/>
              <w:ind w:left="31"/>
              <w:spacing w:after="0" w:line="129" w:lineRule="exact"/>
              <w:rPr>
                <w:sz w:val="20"/>
                <w:szCs w:val="20"/>
                <w:color w:val="auto"/>
              </w:rPr>
            </w:pPr>
            <w:r>
              <w:rPr>
                <w:rFonts w:ascii="Arial" w:cs="Arial" w:eastAsia="Arial" w:hAnsi="Arial"/>
                <w:sz w:val="13"/>
                <w:szCs w:val="13"/>
                <w:b w:val="1"/>
                <w:bCs w:val="1"/>
                <w:color w:val="auto"/>
                <w:w w:val="90"/>
              </w:rPr>
              <w:t>(I.R.S. Employer</w:t>
            </w:r>
          </w:p>
        </w:tc>
      </w:tr>
      <w:tr>
        <w:trPr>
          <w:trHeight w:val="162"/>
        </w:trPr>
        <w:tc>
          <w:tcPr>
            <w:tcW w:w="6940" w:type="dxa"/>
            <w:vAlign w:val="bottom"/>
          </w:tcPr>
          <w:p>
            <w:pPr>
              <w:jc w:val="center"/>
              <w:ind w:right="3349"/>
              <w:spacing w:after="0"/>
              <w:rPr>
                <w:sz w:val="20"/>
                <w:szCs w:val="20"/>
                <w:color w:val="auto"/>
              </w:rPr>
            </w:pPr>
            <w:r>
              <w:rPr>
                <w:rFonts w:ascii="Arial" w:cs="Arial" w:eastAsia="Arial" w:hAnsi="Arial"/>
                <w:sz w:val="13"/>
                <w:szCs w:val="13"/>
                <w:b w:val="1"/>
                <w:bCs w:val="1"/>
                <w:color w:val="auto"/>
                <w:w w:val="90"/>
              </w:rPr>
              <w:t>File Number)</w:t>
            </w:r>
          </w:p>
        </w:tc>
        <w:tc>
          <w:tcPr>
            <w:tcW w:w="1080" w:type="dxa"/>
            <w:vAlign w:val="bottom"/>
          </w:tcPr>
          <w:p>
            <w:pPr>
              <w:jc w:val="center"/>
              <w:ind w:left="31"/>
              <w:spacing w:after="0"/>
              <w:rPr>
                <w:sz w:val="20"/>
                <w:szCs w:val="20"/>
                <w:color w:val="auto"/>
              </w:rPr>
            </w:pPr>
            <w:r>
              <w:rPr>
                <w:rFonts w:ascii="Arial" w:cs="Arial" w:eastAsia="Arial" w:hAnsi="Arial"/>
                <w:sz w:val="13"/>
                <w:szCs w:val="13"/>
                <w:b w:val="1"/>
                <w:bCs w:val="1"/>
                <w:color w:val="auto"/>
                <w:w w:val="89"/>
              </w:rPr>
              <w:t>Identification No.)</w:t>
            </w:r>
          </w:p>
        </w:tc>
      </w:tr>
      <w:tr>
        <w:trPr>
          <w:trHeight w:val="379"/>
        </w:trPr>
        <w:tc>
          <w:tcPr>
            <w:tcW w:w="6940" w:type="dxa"/>
            <w:vAlign w:val="bottom"/>
          </w:tcPr>
          <w:p>
            <w:pPr>
              <w:jc w:val="center"/>
              <w:ind w:right="3349"/>
              <w:spacing w:after="0"/>
              <w:rPr>
                <w:sz w:val="20"/>
                <w:szCs w:val="20"/>
                <w:color w:val="auto"/>
              </w:rPr>
            </w:pPr>
            <w:r>
              <w:rPr>
                <w:rFonts w:ascii="Arial" w:cs="Arial" w:eastAsia="Arial" w:hAnsi="Arial"/>
                <w:sz w:val="16"/>
                <w:szCs w:val="16"/>
                <w:b w:val="1"/>
                <w:bCs w:val="1"/>
                <w:color w:val="auto"/>
                <w:w w:val="92"/>
              </w:rPr>
              <w:t>777 Old Saw Mill River Road, Tarrytown, New York</w:t>
            </w:r>
          </w:p>
        </w:tc>
        <w:tc>
          <w:tcPr>
            <w:tcW w:w="1080" w:type="dxa"/>
            <w:vAlign w:val="bottom"/>
          </w:tcPr>
          <w:p>
            <w:pPr>
              <w:jc w:val="center"/>
              <w:ind w:left="51"/>
              <w:spacing w:after="0"/>
              <w:rPr>
                <w:sz w:val="20"/>
                <w:szCs w:val="20"/>
                <w:color w:val="auto"/>
              </w:rPr>
            </w:pPr>
            <w:r>
              <w:rPr>
                <w:rFonts w:ascii="Arial" w:cs="Arial" w:eastAsia="Arial" w:hAnsi="Arial"/>
                <w:sz w:val="16"/>
                <w:szCs w:val="16"/>
                <w:b w:val="1"/>
                <w:bCs w:val="1"/>
                <w:color w:val="auto"/>
                <w:w w:val="88"/>
              </w:rPr>
              <w:t>10591-6707</w:t>
            </w:r>
          </w:p>
        </w:tc>
      </w:tr>
      <w:tr>
        <w:trPr>
          <w:trHeight w:val="162"/>
        </w:trPr>
        <w:tc>
          <w:tcPr>
            <w:tcW w:w="6940" w:type="dxa"/>
            <w:vAlign w:val="bottom"/>
          </w:tcPr>
          <w:p>
            <w:pPr>
              <w:jc w:val="center"/>
              <w:ind w:right="334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80" w:type="dxa"/>
            <w:vAlign w:val="bottom"/>
          </w:tcPr>
          <w:p>
            <w:pPr>
              <w:jc w:val="center"/>
              <w:ind w:left="31"/>
              <w:spacing w:after="0"/>
              <w:rPr>
                <w:sz w:val="20"/>
                <w:szCs w:val="20"/>
                <w:color w:val="auto"/>
              </w:rPr>
            </w:pPr>
            <w:r>
              <w:rPr>
                <w:rFonts w:ascii="Arial" w:cs="Arial" w:eastAsia="Arial" w:hAnsi="Arial"/>
                <w:sz w:val="13"/>
                <w:szCs w:val="13"/>
                <w:b w:val="1"/>
                <w:bCs w:val="1"/>
                <w:color w:val="auto"/>
                <w:w w:val="90"/>
              </w:rPr>
              <w:t>(Zip Code)</w:t>
            </w:r>
          </w:p>
        </w:tc>
      </w:tr>
      <w:tr>
        <w:trPr>
          <w:trHeight w:val="363"/>
        </w:trPr>
        <w:tc>
          <w:tcPr>
            <w:tcW w:w="6940" w:type="dxa"/>
            <w:vAlign w:val="bottom"/>
          </w:tcPr>
          <w:p>
            <w:pPr>
              <w:ind w:left="2340"/>
              <w:spacing w:after="0"/>
              <w:rPr>
                <w:sz w:val="20"/>
                <w:szCs w:val="20"/>
                <w:color w:val="auto"/>
              </w:rPr>
            </w:pPr>
            <w:r>
              <w:rPr>
                <w:rFonts w:ascii="Arial" w:cs="Arial" w:eastAsia="Arial" w:hAnsi="Arial"/>
                <w:sz w:val="16"/>
                <w:szCs w:val="16"/>
                <w:b w:val="1"/>
                <w:bCs w:val="1"/>
                <w:color w:val="auto"/>
                <w:w w:val="89"/>
              </w:rPr>
              <w:t>Registrant’s telephone number, including area code: (914) 847-7000</w:t>
            </w:r>
          </w:p>
        </w:tc>
        <w:tc>
          <w:tcPr>
            <w:tcW w:w="10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194945</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6"/>
        <w:spacing w:after="0" w:line="26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346"/>
          </w:cols>
          <w:pgMar w:left="234" w:top="33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2.02. Results of Operations and Financial Condition.</w:t>
      </w:r>
    </w:p>
    <w:p>
      <w:pPr>
        <w:spacing w:after="0" w:line="102" w:lineRule="exact"/>
        <w:rPr>
          <w:sz w:val="20"/>
          <w:szCs w:val="20"/>
          <w:color w:val="auto"/>
        </w:rPr>
      </w:pPr>
    </w:p>
    <w:p>
      <w:pPr>
        <w:ind w:firstLine="457"/>
        <w:spacing w:after="0" w:line="252" w:lineRule="auto"/>
        <w:rPr>
          <w:sz w:val="20"/>
          <w:szCs w:val="20"/>
          <w:color w:val="auto"/>
        </w:rPr>
      </w:pPr>
      <w:r>
        <w:rPr>
          <w:rFonts w:ascii="Arial" w:cs="Arial" w:eastAsia="Arial" w:hAnsi="Arial"/>
          <w:sz w:val="16"/>
          <w:szCs w:val="16"/>
          <w:color w:val="auto"/>
        </w:rPr>
        <w:t>On January 14, 2014, at the 32</w:t>
      </w:r>
      <w:r>
        <w:rPr>
          <w:rFonts w:ascii="Arial" w:cs="Arial" w:eastAsia="Arial" w:hAnsi="Arial"/>
          <w:sz w:val="13"/>
          <w:szCs w:val="13"/>
          <w:color w:val="auto"/>
        </w:rPr>
        <w:t>nd</w:t>
      </w:r>
      <w:r>
        <w:rPr>
          <w:rFonts w:ascii="Arial" w:cs="Arial" w:eastAsia="Arial" w:hAnsi="Arial"/>
          <w:sz w:val="16"/>
          <w:szCs w:val="16"/>
          <w:color w:val="auto"/>
        </w:rPr>
        <w:t xml:space="preserve"> Annual J.P. Morgan Healthcare Conference in San Francisco, California, Leonard S. Schleifer, M.D., Ph.D., President and Chief Executive Officer of Regeneron Pharmaceuticals, Inc., is providing a corporate update. Dr. Schleifer’s presentation includes information regarding the Company’s preliminary U.S. net sales of EYLEA</w:t>
      </w:r>
      <w:r>
        <w:rPr>
          <w:rFonts w:ascii="Arial" w:cs="Arial" w:eastAsia="Arial" w:hAnsi="Arial"/>
          <w:sz w:val="13"/>
          <w:szCs w:val="13"/>
          <w:color w:val="auto"/>
        </w:rPr>
        <w:t>®</w:t>
      </w:r>
      <w:r>
        <w:rPr>
          <w:rFonts w:ascii="Arial" w:cs="Arial" w:eastAsia="Arial" w:hAnsi="Arial"/>
          <w:sz w:val="16"/>
          <w:szCs w:val="16"/>
          <w:color w:val="auto"/>
        </w:rPr>
        <w:t xml:space="preserve"> (aflibercept) Injection for the fourth quarter and full year 2013. A copy of the presentation is furnished as Exhibit 99.1 to this Current Report on Form 8-K and is incorporated by reference herein.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14" w:lineRule="exact"/>
        <w:rPr>
          <w:sz w:val="20"/>
          <w:szCs w:val="20"/>
          <w:color w:val="auto"/>
        </w:rPr>
      </w:pPr>
    </w:p>
    <w:p>
      <w:pPr>
        <w:ind w:left="880" w:hanging="439"/>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98" w:lineRule="exact"/>
        <w:rPr>
          <w:sz w:val="20"/>
          <w:szCs w:val="20"/>
          <w:color w:val="auto"/>
        </w:rPr>
      </w:pPr>
    </w:p>
    <w:p>
      <w:pPr>
        <w:ind w:left="1220" w:right="200" w:hanging="763"/>
        <w:spacing w:after="0" w:line="265" w:lineRule="auto"/>
        <w:tabs>
          <w:tab w:leader="none" w:pos="12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Presentation by Leonard S. Schleifer, M.D., Ph.D., President and Chief Executive Officer of Regeneron Pharmaceuticals, Inc., at the 32</w:t>
      </w:r>
      <w:r>
        <w:rPr>
          <w:rFonts w:ascii="Arial" w:cs="Arial" w:eastAsia="Arial" w:hAnsi="Arial"/>
          <w:sz w:val="13"/>
          <w:szCs w:val="13"/>
          <w:color w:val="auto"/>
        </w:rPr>
        <w:t>nd</w:t>
      </w:r>
      <w:r>
        <w:rPr>
          <w:rFonts w:ascii="Arial" w:cs="Arial" w:eastAsia="Arial" w:hAnsi="Arial"/>
          <w:sz w:val="16"/>
          <w:szCs w:val="16"/>
          <w:color w:val="auto"/>
        </w:rPr>
        <w:t xml:space="preserve"> Annual J.P. Morgan Healthcare Conference.</w:t>
      </w:r>
    </w:p>
    <w:p>
      <w:pPr>
        <w:sectPr>
          <w:pgSz w:w="11900" w:h="16838" w:orient="portrait"/>
          <w:cols w:equalWidth="0" w:num="1">
            <w:col w:w="11340"/>
          </w:cols>
          <w:pgMar w:left="240" w:top="252" w:right="31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SIGNATURES</w:t>
      </w:r>
    </w:p>
    <w:p>
      <w:pPr>
        <w:spacing w:after="0" w:line="196"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REGENERON PHARMACEUTICALS, INC.</w:t>
      </w:r>
    </w:p>
    <w:p>
      <w:pPr>
        <w:spacing w:after="0" w:line="19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4356100</wp:posOffset>
            </wp:positionH>
            <wp:positionV relativeFrom="paragraph">
              <wp:posOffset>10795</wp:posOffset>
            </wp:positionV>
            <wp:extent cx="29044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Joseph J. LaRosa</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General Counsel and Secretary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January 14, 2014</w:t>
      </w:r>
    </w:p>
    <w:p>
      <w:pPr>
        <w:sectPr>
          <w:pgSz w:w="11900" w:h="16838" w:orient="portrait"/>
          <w:cols w:equalWidth="0" w:num="1">
            <w:col w:w="11160"/>
          </w:cols>
          <w:pgMar w:left="240" w:top="252"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40" w:type="dxa"/>
            <w:vAlign w:val="bottom"/>
          </w:tcPr>
          <w:p>
            <w:pPr>
              <w:spacing w:after="0"/>
              <w:rPr>
                <w:sz w:val="17"/>
                <w:szCs w:val="17"/>
                <w:color w:val="auto"/>
              </w:rPr>
            </w:pPr>
          </w:p>
        </w:tc>
        <w:tc>
          <w:tcPr>
            <w:tcW w:w="10460" w:type="dxa"/>
            <w:vAlign w:val="bottom"/>
            <w:gridSpan w:val="3"/>
          </w:tcPr>
          <w:p>
            <w:pPr>
              <w:ind w:left="4660"/>
              <w:spacing w:after="0"/>
              <w:rPr>
                <w:sz w:val="20"/>
                <w:szCs w:val="20"/>
                <w:color w:val="auto"/>
              </w:rPr>
            </w:pPr>
            <w:r>
              <w:rPr>
                <w:rFonts w:ascii="Arial" w:cs="Arial" w:eastAsia="Arial" w:hAnsi="Arial"/>
                <w:sz w:val="16"/>
                <w:szCs w:val="16"/>
                <w:b w:val="1"/>
                <w:bCs w:val="1"/>
                <w:color w:val="auto"/>
              </w:rPr>
              <w:t>EXHIBIT INDEX</w:t>
            </w:r>
          </w:p>
        </w:tc>
      </w:tr>
      <w:tr>
        <w:trPr>
          <w:trHeight w:val="342"/>
        </w:trPr>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9"/>
              </w:rPr>
              <w:t>Number</w:t>
            </w:r>
          </w:p>
        </w:tc>
        <w:tc>
          <w:tcPr>
            <w:tcW w:w="546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61"/>
        </w:trPr>
        <w:tc>
          <w:tcPr>
            <w:tcW w:w="440" w:type="dxa"/>
            <w:vAlign w:val="bottom"/>
          </w:tcPr>
          <w:p>
            <w:pPr>
              <w:jc w:val="right"/>
              <w:ind w:right="9"/>
              <w:spacing w:after="0"/>
              <w:rPr>
                <w:sz w:val="20"/>
                <w:szCs w:val="20"/>
                <w:color w:val="auto"/>
              </w:rPr>
            </w:pPr>
            <w:r>
              <w:rPr>
                <w:rFonts w:ascii="Arial" w:cs="Arial" w:eastAsia="Arial" w:hAnsi="Arial"/>
                <w:sz w:val="16"/>
                <w:szCs w:val="16"/>
                <w:color w:val="auto"/>
              </w:rPr>
              <w:t>99.1</w:t>
            </w:r>
          </w:p>
        </w:tc>
        <w:tc>
          <w:tcPr>
            <w:tcW w:w="10460" w:type="dxa"/>
            <w:vAlign w:val="bottom"/>
            <w:gridSpan w:val="3"/>
          </w:tcPr>
          <w:p>
            <w:pPr>
              <w:ind w:left="560"/>
              <w:spacing w:after="0"/>
              <w:rPr>
                <w:sz w:val="20"/>
                <w:szCs w:val="20"/>
                <w:color w:val="auto"/>
              </w:rPr>
            </w:pPr>
            <w:r>
              <w:rPr>
                <w:rFonts w:ascii="Arial" w:cs="Arial" w:eastAsia="Arial" w:hAnsi="Arial"/>
                <w:sz w:val="16"/>
                <w:szCs w:val="16"/>
                <w:color w:val="auto"/>
                <w:w w:val="88"/>
              </w:rPr>
              <w:t>Presentation by Leonard S. Schleifer, M.D., Ph.D., President and Chief Executive Officer of Regeneron Pharmaceuticals, Inc., at the 32</w:t>
            </w:r>
            <w:r>
              <w:rPr>
                <w:rFonts w:ascii="Arial" w:cs="Arial" w:eastAsia="Arial" w:hAnsi="Arial"/>
                <w:sz w:val="13"/>
                <w:szCs w:val="13"/>
                <w:color w:val="auto"/>
                <w:w w:val="88"/>
              </w:rPr>
              <w:t>nd</w:t>
            </w:r>
            <w:r>
              <w:rPr>
                <w:rFonts w:ascii="Arial" w:cs="Arial" w:eastAsia="Arial" w:hAnsi="Arial"/>
                <w:sz w:val="16"/>
                <w:szCs w:val="16"/>
                <w:color w:val="auto"/>
                <w:w w:val="88"/>
              </w:rPr>
              <w:t xml:space="preserve"> Annual J.P. Morgan</w:t>
            </w:r>
          </w:p>
        </w:tc>
      </w:tr>
      <w:tr>
        <w:trPr>
          <w:trHeight w:val="200"/>
        </w:trPr>
        <w:tc>
          <w:tcPr>
            <w:tcW w:w="440" w:type="dxa"/>
            <w:vAlign w:val="bottom"/>
          </w:tcPr>
          <w:p>
            <w:pPr>
              <w:spacing w:after="0"/>
              <w:rPr>
                <w:sz w:val="17"/>
                <w:szCs w:val="17"/>
                <w:color w:val="auto"/>
              </w:rPr>
            </w:pPr>
          </w:p>
        </w:tc>
        <w:tc>
          <w:tcPr>
            <w:tcW w:w="10460" w:type="dxa"/>
            <w:vAlign w:val="bottom"/>
            <w:gridSpan w:val="3"/>
          </w:tcPr>
          <w:p>
            <w:pPr>
              <w:ind w:left="560"/>
              <w:spacing w:after="0"/>
              <w:rPr>
                <w:sz w:val="20"/>
                <w:szCs w:val="20"/>
                <w:color w:val="auto"/>
              </w:rPr>
            </w:pPr>
            <w:r>
              <w:rPr>
                <w:rFonts w:ascii="Arial" w:cs="Arial" w:eastAsia="Arial" w:hAnsi="Arial"/>
                <w:sz w:val="16"/>
                <w:szCs w:val="16"/>
                <w:color w:val="auto"/>
              </w:rPr>
              <w:t>Healthcare Conference.</w:t>
            </w:r>
          </w:p>
        </w:tc>
      </w:tr>
    </w:tbl>
    <w:p>
      <w:pPr>
        <w:ind w:left="560"/>
        <w:spacing w:after="0"/>
        <w:rPr>
          <w:sz w:val="20"/>
          <w:szCs w:val="20"/>
          <w:color w:val="auto"/>
        </w:rPr>
        <w:sectPr>
          <w:pgSz w:w="11900" w:h="16838" w:orient="portrait"/>
          <w:cols w:equalWidth="0" w:num="1">
            <w:col w:w="10900"/>
          </w:cols>
          <w:pgMar w:left="240" w:top="252" w:right="759" w:bottom="1440" w:gutter="0" w:footer="0" w:header="0"/>
        </w:sect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38"/>
          <w:szCs w:val="38"/>
          <w:b w:val="1"/>
          <w:bCs w:val="1"/>
          <w:color w:val="FFFFFF"/>
        </w:rPr>
        <w:t>J.P. Morgan Healthcare Conference</w:t>
      </w:r>
    </w:p>
    <w:p>
      <w:pPr>
        <w:spacing w:after="0" w:line="61" w:lineRule="exact"/>
        <w:rPr>
          <w:sz w:val="20"/>
          <w:szCs w:val="20"/>
          <w:color w:val="auto"/>
        </w:rPr>
      </w:pPr>
    </w:p>
    <w:p>
      <w:pPr>
        <w:spacing w:after="0"/>
        <w:rPr>
          <w:sz w:val="20"/>
          <w:szCs w:val="20"/>
          <w:color w:val="auto"/>
        </w:rPr>
      </w:pPr>
      <w:r>
        <w:rPr>
          <w:rFonts w:ascii="Arial" w:cs="Arial" w:eastAsia="Arial" w:hAnsi="Arial"/>
          <w:sz w:val="28"/>
          <w:szCs w:val="28"/>
          <w:color w:val="FFFFFF"/>
        </w:rPr>
        <w:t>January 2014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Leonard S. Schleifer, M.D., Ph.D.</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FFFFFF"/>
        </w:rPr>
        <w:t>Chief Executive Officer</w:t>
      </w:r>
    </w:p>
    <w:p>
      <w:pPr>
        <w:sectPr>
          <w:pgSz w:w="11900" w:h="16838" w:orient="portrait"/>
          <w:cols w:equalWidth="0" w:num="1">
            <w:col w:w="10220"/>
          </w:cols>
          <w:pgMar w:left="1320" w:top="298" w:right="359" w:bottom="1440" w:gutter="0" w:footer="0" w:header="0"/>
        </w:sectPr>
      </w:pPr>
    </w:p>
    <w:bookmarkStart w:id="5" w:name="page6"/>
    <w:bookmarkEnd w:id="5"/>
    <w:p>
      <w:pPr>
        <w:ind w:left="480"/>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219" w:firstLine="12"/>
        <w:spacing w:after="0" w:line="267" w:lineRule="auto"/>
        <w:rPr>
          <w:sz w:val="20"/>
          <w:szCs w:val="20"/>
          <w:color w:val="auto"/>
        </w:rPr>
      </w:pPr>
      <w:r>
        <w:rPr>
          <w:rFonts w:ascii="Arial" w:cs="Arial" w:eastAsia="Arial" w:hAnsi="Arial"/>
          <w:sz w:val="12"/>
          <w:szCs w:val="12"/>
          <w:color w:val="093169"/>
        </w:rPr>
        <w:t>This presentation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limitationEYLEA</w:t>
      </w:r>
      <w:r>
        <w:rPr>
          <w:rFonts w:ascii="Arial" w:cs="Arial" w:eastAsia="Arial" w:hAnsi="Arial"/>
          <w:sz w:val="7"/>
          <w:szCs w:val="7"/>
          <w:color w:val="093169"/>
        </w:rPr>
        <w:t>®</w:t>
      </w:r>
      <w:r>
        <w:rPr>
          <w:rFonts w:ascii="Arial" w:cs="Arial" w:eastAsia="Arial" w:hAnsi="Arial"/>
          <w:sz w:val="12"/>
          <w:szCs w:val="12"/>
          <w:color w:val="093169"/>
        </w:rPr>
        <w:t>, Alirocumab, Sarilumab, and Dupilumab; ongoing regulatory obligations and oversight and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non-GAAP unreimbursed R&amp;D, non-GAAP SG&amp;A and capital expenditures, the potential for any license or collaboration agreement, including Regeneron's agreements with Sanofi and Bayer HealthCare, to be cancelled or terminated without any further product success; and risks associated with third party intellectual property and pending or future litigation relating thereto. A more complete description of these and other material risks can be found in Regeneron's filings with the U.S. Securities and Exchange Commission, including its Form 10-K for the fiscal year ended December 31, 2012 and its Form 10-Q for the quarterly period ended September 30, 2013, in each case including in the sections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139" w:lineRule="exact"/>
        <w:rPr>
          <w:sz w:val="20"/>
          <w:szCs w:val="20"/>
          <w:color w:val="auto"/>
        </w:rPr>
      </w:pPr>
    </w:p>
    <w:p>
      <w:pPr>
        <w:ind w:left="40" w:right="179"/>
        <w:spacing w:after="0" w:line="244" w:lineRule="auto"/>
        <w:rPr>
          <w:sz w:val="20"/>
          <w:szCs w:val="20"/>
          <w:color w:val="auto"/>
        </w:rPr>
      </w:pPr>
      <w:r>
        <w:rPr>
          <w:rFonts w:ascii="Arial" w:cs="Arial" w:eastAsia="Arial" w:hAnsi="Arial"/>
          <w:sz w:val="13"/>
          <w:szCs w:val="13"/>
          <w:color w:val="093169"/>
        </w:rPr>
        <w:t>This presentation uses non-GAAP net income, non-GAAP unreimbursed R&amp;D, and non-GAAP SG&amp;A, which are financial measures that are not calculated in accordance with the U.S. Generally Accepted Accounting Principles (“GAAP”). Regeneron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(iii) non-cash income tax expense, since the Company does not currently pay, or expect to pay in the near future, significant cash income taxes due primarily to the utilization of net operating loss and tax credit carry-forwards; therefore, non-cash income tax expense is not deemed useful in evaluating the Company's operating performance, and (iv) a non-cash tax benefit as a result of releasing substantially all of the valuation allowance associated with the Company’s deferred tax assets.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GAAP to non-GAAP results is included at the end of this presentation</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2 | Copyright Regeneron 2014</w:t>
      </w:r>
    </w:p>
    <w:p>
      <w:pPr>
        <w:sectPr>
          <w:pgSz w:w="11900" w:h="16838" w:orient="portrait"/>
          <w:cols w:equalWidth="0" w:num="1">
            <w:col w:w="9439"/>
          </w:cols>
          <w:pgMar w:left="1020" w:top="691" w:right="1440" w:bottom="1440" w:gutter="0" w:footer="0" w:header="0"/>
        </w:sectPr>
      </w:pPr>
    </w:p>
    <w:bookmarkStart w:id="6" w:name="page7"/>
    <w:bookmarkEnd w:id="6"/>
    <w:p>
      <w:pPr>
        <w:ind w:left="360"/>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FFFFFF"/>
        </w:rPr>
        <w:t>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40" w:right="59"/>
        <w:spacing w:after="0" w:line="294" w:lineRule="auto"/>
        <w:rPr>
          <w:sz w:val="20"/>
          <w:szCs w:val="20"/>
          <w:color w:val="auto"/>
        </w:rPr>
      </w:pPr>
      <w:r>
        <w:rPr>
          <w:rFonts w:ascii="Arial" w:cs="Arial" w:eastAsia="Arial" w:hAnsi="Arial"/>
          <w:sz w:val="20"/>
          <w:szCs w:val="20"/>
          <w:b w:val="1"/>
          <w:bCs w:val="1"/>
          <w:color w:val="4B5457"/>
        </w:rPr>
        <w:t>Three approved products with sales in 50+ countries around the world*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vMerge w:val="restart"/>
          </w:tcPr>
          <w:p>
            <w:pPr>
              <w:spacing w:after="0"/>
              <w:rPr>
                <w:sz w:val="20"/>
                <w:szCs w:val="20"/>
                <w:color w:val="auto"/>
              </w:rPr>
            </w:pPr>
            <w:r>
              <w:rPr>
                <w:rFonts w:ascii="Arial" w:cs="Arial" w:eastAsia="Arial" w:hAnsi="Arial"/>
                <w:sz w:val="13"/>
                <w:szCs w:val="13"/>
                <w:b w:val="1"/>
                <w:bCs w:val="1"/>
                <w:color w:val="FFFFFF"/>
              </w:rPr>
              <w:t>Page 3 | Copyright Regeneron 2014</w:t>
            </w:r>
          </w:p>
        </w:tc>
        <w:tc>
          <w:tcPr>
            <w:tcW w:w="1400" w:type="dxa"/>
            <w:vAlign w:val="bottom"/>
          </w:tcPr>
          <w:p>
            <w:pPr>
              <w:ind w:left="720"/>
              <w:spacing w:after="0"/>
              <w:rPr>
                <w:sz w:val="20"/>
                <w:szCs w:val="20"/>
                <w:color w:val="auto"/>
              </w:rPr>
            </w:pPr>
            <w:r>
              <w:rPr>
                <w:rFonts w:ascii="Arial" w:cs="Arial" w:eastAsia="Arial" w:hAnsi="Arial"/>
                <w:sz w:val="15"/>
                <w:szCs w:val="15"/>
                <w:i w:val="1"/>
                <w:iCs w:val="1"/>
                <w:color w:val="FFFFFF"/>
              </w:rPr>
              <w:t>*EYLEA</w:t>
            </w:r>
          </w:p>
        </w:tc>
        <w:tc>
          <w:tcPr>
            <w:tcW w:w="2940" w:type="dxa"/>
            <w:vAlign w:val="bottom"/>
          </w:tcPr>
          <w:p>
            <w:pPr>
              <w:spacing w:after="0"/>
              <w:rPr>
                <w:sz w:val="20"/>
                <w:szCs w:val="20"/>
                <w:color w:val="auto"/>
              </w:rPr>
            </w:pPr>
            <w:r>
              <w:rPr>
                <w:rFonts w:ascii="Arial" w:cs="Arial" w:eastAsia="Arial" w:hAnsi="Arial"/>
                <w:sz w:val="15"/>
                <w:szCs w:val="15"/>
                <w:i w:val="1"/>
                <w:iCs w:val="1"/>
                <w:color w:val="FFFFFF"/>
              </w:rPr>
              <w:t>ex-U.S is partnered with Bayer HealthCare.</w:t>
            </w:r>
          </w:p>
        </w:tc>
        <w:tc>
          <w:tcPr>
            <w:tcW w:w="0" w:type="dxa"/>
            <w:vAlign w:val="bottom"/>
          </w:tcPr>
          <w:p>
            <w:pPr>
              <w:spacing w:after="0"/>
              <w:rPr>
                <w:sz w:val="1"/>
                <w:szCs w:val="1"/>
                <w:color w:val="auto"/>
              </w:rPr>
            </w:pPr>
          </w:p>
        </w:tc>
      </w:tr>
      <w:tr>
        <w:trPr>
          <w:trHeight w:val="200"/>
        </w:trPr>
        <w:tc>
          <w:tcPr>
            <w:tcW w:w="2960" w:type="dxa"/>
            <w:vAlign w:val="bottom"/>
            <w:vMerge w:val="continue"/>
          </w:tcPr>
          <w:p>
            <w:pPr>
              <w:spacing w:after="0"/>
              <w:rPr>
                <w:sz w:val="17"/>
                <w:szCs w:val="17"/>
                <w:color w:val="auto"/>
              </w:rPr>
            </w:pPr>
          </w:p>
        </w:tc>
        <w:tc>
          <w:tcPr>
            <w:tcW w:w="1400" w:type="dxa"/>
            <w:vAlign w:val="bottom"/>
          </w:tcPr>
          <w:p>
            <w:pPr>
              <w:ind w:left="720"/>
              <w:spacing w:after="0"/>
              <w:rPr>
                <w:sz w:val="20"/>
                <w:szCs w:val="20"/>
                <w:color w:val="auto"/>
              </w:rPr>
            </w:pPr>
            <w:r>
              <w:rPr>
                <w:rFonts w:ascii="Arial" w:cs="Arial" w:eastAsia="Arial" w:hAnsi="Arial"/>
                <w:sz w:val="15"/>
                <w:szCs w:val="15"/>
                <w:i w:val="1"/>
                <w:iCs w:val="1"/>
                <w:color w:val="FFFFFF"/>
                <w:w w:val="97"/>
              </w:rPr>
              <w:t>ZALTRAP</w:t>
            </w:r>
          </w:p>
        </w:tc>
        <w:tc>
          <w:tcPr>
            <w:tcW w:w="2940" w:type="dxa"/>
            <w:vAlign w:val="bottom"/>
          </w:tcPr>
          <w:p>
            <w:pPr>
              <w:ind w:left="120"/>
              <w:spacing w:after="0"/>
              <w:rPr>
                <w:sz w:val="20"/>
                <w:szCs w:val="20"/>
                <w:color w:val="auto"/>
              </w:rPr>
            </w:pPr>
            <w:r>
              <w:rPr>
                <w:rFonts w:ascii="Arial" w:cs="Arial" w:eastAsia="Arial" w:hAnsi="Arial"/>
                <w:sz w:val="15"/>
                <w:szCs w:val="15"/>
                <w:i w:val="1"/>
                <w:iCs w:val="1"/>
                <w:color w:val="FFFFFF"/>
              </w:rPr>
              <w:t>is partnered with Sanofi</w:t>
            </w:r>
          </w:p>
        </w:tc>
        <w:tc>
          <w:tcPr>
            <w:tcW w:w="0" w:type="dxa"/>
            <w:vAlign w:val="bottom"/>
          </w:tcPr>
          <w:p>
            <w:pPr>
              <w:spacing w:after="0"/>
              <w:rPr>
                <w:sz w:val="1"/>
                <w:szCs w:val="1"/>
                <w:color w:val="auto"/>
              </w:rPr>
            </w:pPr>
          </w:p>
        </w:tc>
      </w:tr>
    </w:tbl>
    <w:p>
      <w:pPr>
        <w:sectPr>
          <w:pgSz w:w="11900" w:h="16838" w:orient="portrait"/>
          <w:cols w:equalWidth="0" w:num="1">
            <w:col w:w="9439"/>
          </w:cols>
          <w:pgMar w:left="1020" w:top="627" w:right="1440" w:bottom="1440" w:gutter="0" w:footer="0" w:header="0"/>
        </w:sectPr>
      </w:pPr>
    </w:p>
    <w:bookmarkStart w:id="7" w:name="page8"/>
    <w:bookmarkEnd w:id="7"/>
    <w:p>
      <w:pPr>
        <w:ind w:left="360"/>
        <w:spacing w:after="0"/>
        <w:rPr>
          <w:sz w:val="20"/>
          <w:szCs w:val="20"/>
          <w:color w:val="auto"/>
        </w:rPr>
      </w:pPr>
      <w:r>
        <w:rPr>
          <w:rFonts w:ascii="Arial" w:cs="Arial" w:eastAsia="Arial" w:hAnsi="Arial"/>
          <w:sz w:val="55"/>
          <w:szCs w:val="55"/>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Regeneron Today</w:t>
      </w:r>
    </w:p>
    <w:p>
      <w:pPr>
        <w:sectPr>
          <w:pgSz w:w="11900" w:h="16838" w:orient="portrait"/>
          <w:cols w:equalWidth="0" w:num="1">
            <w:col w:w="9800"/>
          </w:cols>
          <w:pgMar w:left="1020" w:top="627"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37"/>
          <w:szCs w:val="37"/>
          <w:b w:val="1"/>
          <w:bCs w:val="1"/>
          <w:color w:val="A5D5F3"/>
        </w:rPr>
        <w:t>Products</w:t>
      </w:r>
    </w:p>
    <w:p>
      <w:pPr>
        <w:spacing w:after="0" w:line="200" w:lineRule="exact"/>
        <w:rPr>
          <w:sz w:val="20"/>
          <w:szCs w:val="20"/>
          <w:color w:val="auto"/>
        </w:rPr>
      </w:pPr>
    </w:p>
    <w:p>
      <w:pPr>
        <w:spacing w:after="0" w:line="362"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FFFFFF"/>
        </w:rPr>
        <w:t>Pipeline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tabs>
          <w:tab w:leader="none" w:pos="1400" w:val="left"/>
          <w:tab w:leader="none" w:pos="540" w:val="left"/>
        </w:tabs>
        <w:rPr>
          <w:sz w:val="20"/>
          <w:szCs w:val="20"/>
          <w:color w:val="auto"/>
        </w:rPr>
      </w:pPr>
      <w:r>
        <w:rPr>
          <w:rFonts w:ascii="Arial" w:cs="Arial" w:eastAsia="Arial" w:hAnsi="Arial"/>
          <w:sz w:val="15"/>
          <w:szCs w:val="15"/>
          <w:b w:val="1"/>
          <w:bCs w:val="1"/>
          <w:color w:val="FFFFFF"/>
        </w:rPr>
        <w:t>Phase 1</w:t>
      </w:r>
      <w:r>
        <w:rPr>
          <w:sz w:val="20"/>
          <w:szCs w:val="20"/>
          <w:color w:val="auto"/>
        </w:rPr>
        <w:tab/>
      </w:r>
      <w:r>
        <w:rPr>
          <w:rFonts w:ascii="Arial" w:cs="Arial" w:eastAsia="Arial" w:hAnsi="Arial"/>
          <w:sz w:val="15"/>
          <w:szCs w:val="15"/>
          <w:b w:val="1"/>
          <w:bCs w:val="1"/>
          <w:color w:val="FFFFFF"/>
        </w:rPr>
        <w:t>Phase 2</w:t>
      </w:r>
      <w:r>
        <w:rPr>
          <w:sz w:val="20"/>
          <w:szCs w:val="20"/>
          <w:color w:val="auto"/>
        </w:rPr>
        <w:tab/>
      </w:r>
      <w:r>
        <w:rPr>
          <w:rFonts w:ascii="Arial" w:cs="Arial" w:eastAsia="Arial" w:hAnsi="Arial"/>
          <w:sz w:val="14"/>
          <w:szCs w:val="14"/>
          <w:b w:val="1"/>
          <w:bCs w:val="1"/>
          <w:color w:val="FFFFFF"/>
        </w:rPr>
        <w:t>Phase 3</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Alirocumab </w:t>
      </w:r>
      <w:r>
        <w:rPr>
          <w:rFonts w:ascii="Arial" w:cs="Arial" w:eastAsia="Arial" w:hAnsi="Arial"/>
          <w:sz w:val="15"/>
          <w:szCs w:val="15"/>
          <w:color w:val="FFFFFF"/>
        </w:rPr>
        <w:t>(REGN727)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FFFFFF"/>
        </w:rPr>
        <w:t>PSCK9 Antibody for LDL cholesterol reduction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Sarilumab </w:t>
      </w:r>
      <w:r>
        <w:rPr>
          <w:rFonts w:ascii="Arial" w:cs="Arial" w:eastAsia="Arial" w:hAnsi="Arial"/>
          <w:sz w:val="15"/>
          <w:szCs w:val="15"/>
          <w:color w:val="FFFFFF"/>
        </w:rPr>
        <w:t>(REGN88)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FFFFFF"/>
        </w:rPr>
        <w:t>IL-6R Antibody for Rheumatoid arthritis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Dupilumab </w:t>
      </w:r>
      <w:r>
        <w:rPr>
          <w:rFonts w:ascii="Arial" w:cs="Arial" w:eastAsia="Arial" w:hAnsi="Arial"/>
          <w:sz w:val="15"/>
          <w:szCs w:val="15"/>
          <w:color w:val="FFFFFF"/>
        </w:rPr>
        <w:t>(REGN668)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FFFFFF"/>
        </w:rPr>
        <w:t>IL-4R Antibody for asthma, atopic dermatitis, nasal polyposis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Sarilumab </w:t>
      </w:r>
      <w:r>
        <w:rPr>
          <w:rFonts w:ascii="Arial" w:cs="Arial" w:eastAsia="Arial" w:hAnsi="Arial"/>
          <w:sz w:val="15"/>
          <w:szCs w:val="15"/>
          <w:color w:val="FFFFFF"/>
        </w:rPr>
        <w:t>(REGN88)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FFFFFF"/>
        </w:rPr>
        <w:t>IL-6R Antibody for Non-infectious Uveitis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REGN1033 </w:t>
      </w:r>
      <w:r>
        <w:rPr>
          <w:rFonts w:ascii="Arial" w:cs="Arial" w:eastAsia="Arial" w:hAnsi="Arial"/>
          <w:sz w:val="15"/>
          <w:szCs w:val="15"/>
          <w:color w:val="FFFFFF"/>
        </w:rPr>
        <w:t>(GDF8)</w:t>
      </w:r>
      <w:r>
        <w:rPr>
          <w:rFonts w:ascii="Arial" w:cs="Arial" w:eastAsia="Arial" w:hAnsi="Arial"/>
          <w:sz w:val="15"/>
          <w:szCs w:val="15"/>
          <w:b w:val="1"/>
          <w:bCs w:val="1"/>
          <w:color w:val="FFFFFF"/>
        </w:rPr>
        <w:t xml:space="preserve"> </w:t>
      </w:r>
      <w:r>
        <w:rPr>
          <w:rFonts w:ascii="Arial" w:cs="Arial" w:eastAsia="Arial" w:hAnsi="Arial"/>
          <w:sz w:val="12"/>
          <w:szCs w:val="12"/>
          <w:color w:val="FFFFFF"/>
        </w:rPr>
        <w:t>Antibody for Metabolic disorders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Fasinumab </w:t>
      </w:r>
      <w:r>
        <w:rPr>
          <w:rFonts w:ascii="Arial" w:cs="Arial" w:eastAsia="Arial" w:hAnsi="Arial"/>
          <w:sz w:val="15"/>
          <w:szCs w:val="15"/>
          <w:color w:val="FFFFFF"/>
        </w:rPr>
        <w:t>(NGF antibody)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i w:val="1"/>
          <w:iCs w:val="1"/>
          <w:color w:val="FFFFFF"/>
        </w:rPr>
        <w:t>on clinical hold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Enoticumab </w:t>
      </w:r>
      <w:r>
        <w:rPr>
          <w:rFonts w:ascii="Arial" w:cs="Arial" w:eastAsia="Arial" w:hAnsi="Arial"/>
          <w:sz w:val="15"/>
          <w:szCs w:val="15"/>
          <w:color w:val="FFFFFF"/>
        </w:rPr>
        <w:t>(REGN421)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FFFFFF"/>
        </w:rPr>
        <w:t>DII4 Antibody for Advanced malignancies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Nesvacumab </w:t>
      </w:r>
      <w:r>
        <w:rPr>
          <w:rFonts w:ascii="Arial" w:cs="Arial" w:eastAsia="Arial" w:hAnsi="Arial"/>
          <w:sz w:val="15"/>
          <w:szCs w:val="15"/>
          <w:color w:val="FFFFFF"/>
        </w:rPr>
        <w:t>(REGN910)</w:t>
      </w:r>
    </w:p>
    <w:p>
      <w:pPr>
        <w:spacing w:after="0"/>
        <w:rPr>
          <w:sz w:val="20"/>
          <w:szCs w:val="20"/>
          <w:color w:val="auto"/>
        </w:rPr>
      </w:pPr>
      <w:r>
        <w:rPr>
          <w:rFonts w:ascii="Arial" w:cs="Arial" w:eastAsia="Arial" w:hAnsi="Arial"/>
          <w:sz w:val="13"/>
          <w:szCs w:val="13"/>
          <w:color w:val="FFFFFF"/>
        </w:rPr>
        <w:t>Ang2 Antibody for Advanced malignancies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REGN1400 </w:t>
      </w:r>
      <w:r>
        <w:rPr>
          <w:rFonts w:ascii="Arial" w:cs="Arial" w:eastAsia="Arial" w:hAnsi="Arial"/>
          <w:sz w:val="15"/>
          <w:szCs w:val="15"/>
          <w:color w:val="FFFFFF"/>
        </w:rPr>
        <w:t>(ErbB3)</w:t>
      </w:r>
      <w:r>
        <w:rPr>
          <w:rFonts w:ascii="Arial" w:cs="Arial" w:eastAsia="Arial" w:hAnsi="Arial"/>
          <w:sz w:val="15"/>
          <w:szCs w:val="15"/>
          <w:b w:val="1"/>
          <w:bCs w:val="1"/>
          <w:color w:val="FFFFFF"/>
        </w:rPr>
        <w:t xml:space="preserve"> </w:t>
      </w:r>
      <w:r>
        <w:rPr>
          <w:rFonts w:ascii="Arial" w:cs="Arial" w:eastAsia="Arial" w:hAnsi="Arial"/>
          <w:sz w:val="12"/>
          <w:szCs w:val="12"/>
          <w:color w:val="FFFFFF"/>
        </w:rPr>
        <w:t>Antibody for Advanced malignancies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REGN1154 </w:t>
      </w:r>
      <w:r>
        <w:rPr>
          <w:rFonts w:ascii="Arial" w:cs="Arial" w:eastAsia="Arial" w:hAnsi="Arial"/>
          <w:sz w:val="12"/>
          <w:szCs w:val="12"/>
          <w:color w:val="FFFFFF"/>
        </w:rPr>
        <w:t>(undisclosed target)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REGN1500 </w:t>
      </w:r>
      <w:r>
        <w:rPr>
          <w:rFonts w:ascii="Arial" w:cs="Arial" w:eastAsia="Arial" w:hAnsi="Arial"/>
          <w:sz w:val="12"/>
          <w:szCs w:val="12"/>
          <w:color w:val="FFFFFF"/>
        </w:rPr>
        <w:t>(undisclosed target)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REGN1193 </w:t>
      </w:r>
      <w:r>
        <w:rPr>
          <w:rFonts w:ascii="Arial" w:cs="Arial" w:eastAsia="Arial" w:hAnsi="Arial"/>
          <w:sz w:val="12"/>
          <w:szCs w:val="12"/>
          <w:color w:val="FFFFFF"/>
        </w:rPr>
        <w:t>(undisclosed target)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REGN1908-1909 </w:t>
      </w:r>
      <w:r>
        <w:rPr>
          <w:rFonts w:ascii="Arial" w:cs="Arial" w:eastAsia="Arial" w:hAnsi="Arial"/>
          <w:sz w:val="12"/>
          <w:szCs w:val="12"/>
          <w:color w:val="FFFFFF"/>
        </w:rPr>
        <w:t>(undisclosed target)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 xml:space="preserve">REGN2009 </w:t>
      </w:r>
      <w:r>
        <w:rPr>
          <w:rFonts w:ascii="Arial" w:cs="Arial" w:eastAsia="Arial" w:hAnsi="Arial"/>
          <w:sz w:val="12"/>
          <w:szCs w:val="12"/>
          <w:color w:val="FFFFFF"/>
        </w:rPr>
        <w:t>(undisclosed target)</w:t>
      </w:r>
    </w:p>
    <w:p>
      <w:pPr>
        <w:spacing w:after="0" w:line="200" w:lineRule="exact"/>
        <w:rPr>
          <w:sz w:val="20"/>
          <w:szCs w:val="20"/>
          <w:color w:val="auto"/>
        </w:rPr>
      </w:pPr>
    </w:p>
    <w:p>
      <w:pPr>
        <w:sectPr>
          <w:pgSz w:w="11900" w:h="16838" w:orient="portrait"/>
          <w:cols w:equalWidth="0" w:num="2">
            <w:col w:w="2780" w:space="720"/>
            <w:col w:w="6300"/>
          </w:cols>
          <w:pgMar w:left="1020" w:top="627" w:right="107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4 | Copyright Regeneron 2014</w:t>
      </w:r>
    </w:p>
    <w:p>
      <w:pPr>
        <w:sectPr>
          <w:pgSz w:w="11900" w:h="16838" w:orient="portrait"/>
          <w:cols w:equalWidth="0" w:num="1">
            <w:col w:w="9800"/>
          </w:cols>
          <w:pgMar w:left="1020" w:top="627" w:right="1079" w:bottom="1440" w:gutter="0" w:footer="0" w:header="0"/>
          <w:type w:val="continuous"/>
        </w:sectPr>
      </w:pPr>
    </w:p>
    <w:bookmarkStart w:id="8" w:name="page9"/>
    <w:bookmarkEnd w:id="8"/>
    <w:p>
      <w:pPr>
        <w:ind w:left="360"/>
        <w:spacing w:after="0"/>
        <w:rPr>
          <w:sz w:val="20"/>
          <w:szCs w:val="20"/>
          <w:color w:val="auto"/>
        </w:rPr>
      </w:pPr>
      <w:r>
        <w:rPr>
          <w:rFonts w:ascii="Arial" w:cs="Arial" w:eastAsia="Arial" w:hAnsi="Arial"/>
          <w:sz w:val="55"/>
          <w:szCs w:val="55"/>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 Today</w:t>
      </w:r>
    </w:p>
    <w:p>
      <w:pPr>
        <w:sectPr>
          <w:pgSz w:w="11900" w:h="16838" w:orient="portrait"/>
          <w:cols w:equalWidth="0" w:num="1">
            <w:col w:w="9580"/>
          </w:cols>
          <w:pgMar w:left="1020" w:top="62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37"/>
          <w:szCs w:val="37"/>
          <w:b w:val="1"/>
          <w:bCs w:val="1"/>
          <w:color w:val="A5D5F3"/>
        </w:rPr>
        <w:t>Products</w:t>
      </w:r>
    </w:p>
    <w:p>
      <w:pPr>
        <w:spacing w:after="0" w:line="200" w:lineRule="exact"/>
        <w:rPr>
          <w:sz w:val="20"/>
          <w:szCs w:val="20"/>
          <w:color w:val="auto"/>
        </w:rPr>
      </w:pPr>
    </w:p>
    <w:p>
      <w:pPr>
        <w:spacing w:after="0" w:line="362"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A5D5F3"/>
        </w:rPr>
        <w:t>Pipeline</w:t>
      </w:r>
    </w:p>
    <w:p>
      <w:pPr>
        <w:spacing w:after="0" w:line="200" w:lineRule="exact"/>
        <w:rPr>
          <w:sz w:val="20"/>
          <w:szCs w:val="20"/>
          <w:color w:val="auto"/>
        </w:rPr>
      </w:pPr>
    </w:p>
    <w:p>
      <w:pPr>
        <w:spacing w:after="0" w:line="362"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FFFFFF"/>
        </w:rPr>
        <w:t>Profits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4B5457"/>
        </w:rPr>
        <w:t>300</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28"/>
          <w:szCs w:val="28"/>
          <w:b w:val="1"/>
          <w:bCs w:val="1"/>
          <w:color w:val="1F95E0"/>
        </w:rPr>
        <w:t>Non-GAAP Net Income*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4B5457"/>
        </w:rPr>
        <w:t>250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4B5457"/>
        </w:rPr>
        <w:t>200</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4B5457"/>
        </w:rPr>
        <w:t>150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4B5457"/>
        </w:rPr>
        <w:t>100</w:t>
      </w: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15"/>
          <w:szCs w:val="15"/>
          <w:color w:val="4B5457"/>
        </w:rPr>
        <w:t>50</w:t>
      </w: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15"/>
          <w:szCs w:val="15"/>
          <w:color w:val="4B5457"/>
        </w:rPr>
        <w:t>0</w:t>
      </w:r>
    </w:p>
    <w:p>
      <w:pPr>
        <w:spacing w:after="0" w:line="12" w:lineRule="exact"/>
        <w:rPr>
          <w:sz w:val="20"/>
          <w:szCs w:val="20"/>
          <w:color w:val="auto"/>
        </w:rPr>
      </w:pPr>
    </w:p>
    <w:p>
      <w:pPr>
        <w:ind w:left="560"/>
        <w:spacing w:after="0"/>
        <w:tabs>
          <w:tab w:leader="none" w:pos="1360" w:val="left"/>
          <w:tab w:leader="none" w:pos="2160" w:val="left"/>
          <w:tab w:leader="none" w:pos="2980" w:val="left"/>
          <w:tab w:leader="none" w:pos="3800" w:val="left"/>
          <w:tab w:leader="none" w:pos="4600" w:val="left"/>
          <w:tab w:leader="none" w:pos="5420" w:val="left"/>
        </w:tabs>
        <w:rPr>
          <w:sz w:val="20"/>
          <w:szCs w:val="20"/>
          <w:color w:val="auto"/>
        </w:rPr>
      </w:pPr>
      <w:r>
        <w:rPr>
          <w:rFonts w:ascii="Arial" w:cs="Arial" w:eastAsia="Arial" w:hAnsi="Arial"/>
          <w:sz w:val="19"/>
          <w:szCs w:val="19"/>
          <w:b w:val="1"/>
          <w:bCs w:val="1"/>
          <w:color w:val="FFFFFF"/>
        </w:rPr>
        <w:t>1Q12</w:t>
      </w:r>
      <w:r>
        <w:rPr>
          <w:sz w:val="20"/>
          <w:szCs w:val="20"/>
          <w:color w:val="auto"/>
        </w:rPr>
        <w:tab/>
      </w:r>
      <w:r>
        <w:rPr>
          <w:rFonts w:ascii="Arial" w:cs="Arial" w:eastAsia="Arial" w:hAnsi="Arial"/>
          <w:sz w:val="19"/>
          <w:szCs w:val="19"/>
          <w:b w:val="1"/>
          <w:bCs w:val="1"/>
          <w:color w:val="FFFFFF"/>
        </w:rPr>
        <w:t>2Q12</w:t>
      </w:r>
      <w:r>
        <w:rPr>
          <w:sz w:val="20"/>
          <w:szCs w:val="20"/>
          <w:color w:val="auto"/>
        </w:rPr>
        <w:tab/>
      </w:r>
      <w:r>
        <w:rPr>
          <w:rFonts w:ascii="Arial" w:cs="Arial" w:eastAsia="Arial" w:hAnsi="Arial"/>
          <w:sz w:val="19"/>
          <w:szCs w:val="19"/>
          <w:b w:val="1"/>
          <w:bCs w:val="1"/>
          <w:color w:val="FFFFFF"/>
        </w:rPr>
        <w:t>3Q12</w:t>
      </w:r>
      <w:r>
        <w:rPr>
          <w:sz w:val="20"/>
          <w:szCs w:val="20"/>
          <w:color w:val="auto"/>
        </w:rPr>
        <w:tab/>
      </w:r>
      <w:r>
        <w:rPr>
          <w:rFonts w:ascii="Arial" w:cs="Arial" w:eastAsia="Arial" w:hAnsi="Arial"/>
          <w:sz w:val="19"/>
          <w:szCs w:val="19"/>
          <w:b w:val="1"/>
          <w:bCs w:val="1"/>
          <w:color w:val="FFFFFF"/>
        </w:rPr>
        <w:t>4Q12</w:t>
      </w:r>
      <w:r>
        <w:rPr>
          <w:sz w:val="20"/>
          <w:szCs w:val="20"/>
          <w:color w:val="auto"/>
        </w:rPr>
        <w:tab/>
      </w:r>
      <w:r>
        <w:rPr>
          <w:rFonts w:ascii="Arial" w:cs="Arial" w:eastAsia="Arial" w:hAnsi="Arial"/>
          <w:sz w:val="19"/>
          <w:szCs w:val="19"/>
          <w:b w:val="1"/>
          <w:bCs w:val="1"/>
          <w:color w:val="FFFFFF"/>
        </w:rPr>
        <w:t>1Q13</w:t>
      </w:r>
      <w:r>
        <w:rPr>
          <w:sz w:val="20"/>
          <w:szCs w:val="20"/>
          <w:color w:val="auto"/>
        </w:rPr>
        <w:tab/>
      </w:r>
      <w:r>
        <w:rPr>
          <w:rFonts w:ascii="Arial" w:cs="Arial" w:eastAsia="Arial" w:hAnsi="Arial"/>
          <w:sz w:val="19"/>
          <w:szCs w:val="19"/>
          <w:b w:val="1"/>
          <w:bCs w:val="1"/>
          <w:color w:val="FFFFFF"/>
        </w:rPr>
        <w:t>2Q13</w:t>
      </w:r>
      <w:r>
        <w:rPr>
          <w:sz w:val="20"/>
          <w:szCs w:val="20"/>
          <w:color w:val="auto"/>
        </w:rPr>
        <w:tab/>
      </w:r>
      <w:r>
        <w:rPr>
          <w:rFonts w:ascii="Arial" w:cs="Arial" w:eastAsia="Arial" w:hAnsi="Arial"/>
          <w:sz w:val="18"/>
          <w:szCs w:val="18"/>
          <w:b w:val="1"/>
          <w:bCs w:val="1"/>
          <w:color w:val="FFFFFF"/>
        </w:rPr>
        <w:t>3Q13</w:t>
      </w:r>
    </w:p>
    <w:p>
      <w:pPr>
        <w:spacing w:after="0" w:line="200" w:lineRule="exact"/>
        <w:rPr>
          <w:sz w:val="20"/>
          <w:szCs w:val="20"/>
          <w:color w:val="auto"/>
        </w:rPr>
      </w:pPr>
    </w:p>
    <w:p>
      <w:pPr>
        <w:sectPr>
          <w:pgSz w:w="11900" w:h="16838" w:orient="portrait"/>
          <w:cols w:equalWidth="0" w:num="2">
            <w:col w:w="2960" w:space="720"/>
            <w:col w:w="5900"/>
          </w:cols>
          <w:pgMar w:left="1020" w:top="627" w:right="1299" w:bottom="1440" w:gutter="0" w:footer="0" w:header="0"/>
          <w:type w:val="continuous"/>
        </w:sectPr>
      </w:pPr>
    </w:p>
    <w:p>
      <w:pPr>
        <w:spacing w:after="0" w:line="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4B5457"/>
        </w:rPr>
        <w:t>$65M in approval milestones received in 3Q12</w:t>
      </w:r>
    </w:p>
    <w:p>
      <w:pPr>
        <w:spacing w:after="0" w:line="40" w:lineRule="exact"/>
        <w:rPr>
          <w:sz w:val="20"/>
          <w:szCs w:val="20"/>
          <w:color w:val="auto"/>
        </w:rPr>
      </w:pPr>
    </w:p>
    <w:p>
      <w:pPr>
        <w:ind w:left="3640" w:right="460"/>
        <w:spacing w:after="0" w:line="279" w:lineRule="auto"/>
        <w:rPr>
          <w:sz w:val="20"/>
          <w:szCs w:val="20"/>
          <w:color w:val="auto"/>
        </w:rPr>
      </w:pPr>
      <w:r>
        <w:rPr>
          <w:rFonts w:ascii="Arial" w:cs="Arial" w:eastAsia="Arial" w:hAnsi="Arial"/>
          <w:sz w:val="18"/>
          <w:szCs w:val="18"/>
          <w:b w:val="1"/>
          <w:bCs w:val="1"/>
          <w:color w:val="4B5457"/>
        </w:rPr>
        <w:t>$20M in upfront payments to Sanofi for rights to PDGF and ANG2 antibodies in 2Q13</w:t>
      </w:r>
    </w:p>
    <w:p>
      <w:pPr>
        <w:spacing w:after="0" w:line="1"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4B5457"/>
        </w:rPr>
        <w:t>$45M in milestonepaymentsfrom Bayer for ex-U.S. EYLEA</w:t>
      </w:r>
      <w:r>
        <w:rPr>
          <w:rFonts w:ascii="Arial" w:cs="Arial" w:eastAsia="Arial" w:hAnsi="Arial"/>
          <w:sz w:val="10"/>
          <w:szCs w:val="10"/>
          <w:b w:val="1"/>
          <w:bCs w:val="1"/>
          <w:color w:val="4B5457"/>
        </w:rPr>
        <w:t>®</w:t>
      </w:r>
      <w:r>
        <w:rPr>
          <w:rFonts w:ascii="Arial" w:cs="Arial" w:eastAsia="Arial" w:hAnsi="Arial"/>
          <w:sz w:val="18"/>
          <w:szCs w:val="18"/>
          <w:b w:val="1"/>
          <w:bCs w:val="1"/>
          <w:color w:val="4B5457"/>
        </w:rPr>
        <w:t xml:space="preserve"> in 3Q13</w:t>
      </w:r>
    </w:p>
    <w:p>
      <w:pPr>
        <w:spacing w:after="0" w:line="221" w:lineRule="exact"/>
        <w:rPr>
          <w:sz w:val="20"/>
          <w:szCs w:val="20"/>
          <w:color w:val="auto"/>
        </w:rPr>
      </w:pPr>
    </w:p>
    <w:p>
      <w:pPr>
        <w:ind w:left="100" w:right="1080"/>
        <w:spacing w:after="0" w:line="296" w:lineRule="auto"/>
        <w:rPr>
          <w:sz w:val="20"/>
          <w:szCs w:val="20"/>
          <w:color w:val="auto"/>
        </w:rPr>
      </w:pPr>
      <w:r>
        <w:rPr>
          <w:rFonts w:ascii="Arial" w:cs="Arial" w:eastAsia="Arial" w:hAnsi="Arial"/>
          <w:sz w:val="14"/>
          <w:szCs w:val="14"/>
          <w:i w:val="1"/>
          <w:iCs w:val="1"/>
          <w:color w:val="FFFFFF"/>
        </w:rPr>
        <w:t>Non-GAAP net income excludes non-cash share-based compensation expense, non-cash interest and non-cash income tax expense See page 38 for GAAP to non-GAAP reconciliation</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5 | Copyright Regeneron 2014</w:t>
      </w:r>
    </w:p>
    <w:p>
      <w:pPr>
        <w:sectPr>
          <w:pgSz w:w="11900" w:h="16838" w:orient="portrait"/>
          <w:cols w:equalWidth="0" w:num="1">
            <w:col w:w="9580"/>
          </w:cols>
          <w:pgMar w:left="1020" w:top="627" w:right="1299" w:bottom="1440" w:gutter="0" w:footer="0" w:header="0"/>
          <w:type w:val="continuous"/>
        </w:sectPr>
      </w:pPr>
    </w:p>
    <w:bookmarkStart w:id="9" w:name="page10"/>
    <w:bookmarkEnd w:id="9"/>
    <w:p>
      <w:pPr>
        <w:ind w:left="360"/>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A5D5F3"/>
        </w:rPr>
        <w:t>Products</w:t>
      </w: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A5D5F3"/>
        </w:rPr>
        <w:t>Pipeline</w:t>
      </w:r>
    </w:p>
    <w:p>
      <w:pPr>
        <w:spacing w:after="0" w:line="200" w:lineRule="exact"/>
        <w:rPr>
          <w:sz w:val="20"/>
          <w:szCs w:val="20"/>
          <w:color w:val="auto"/>
        </w:rPr>
      </w:pPr>
    </w:p>
    <w:p>
      <w:pPr>
        <w:spacing w:after="0" w:line="374"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A5D5F3"/>
        </w:rPr>
        <w:t>Profits</w:t>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FFFFFF"/>
        </w:rPr>
        <w:t>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40"/>
        <w:spacing w:after="0" w:line="302" w:lineRule="auto"/>
        <w:rPr>
          <w:sz w:val="20"/>
          <w:szCs w:val="20"/>
          <w:color w:val="auto"/>
        </w:rPr>
      </w:pPr>
      <w:r>
        <w:rPr>
          <w:rFonts w:ascii="Arial" w:cs="Arial" w:eastAsia="Arial" w:hAnsi="Arial"/>
          <w:sz w:val="15"/>
          <w:szCs w:val="15"/>
          <w:b w:val="1"/>
          <w:bCs w:val="1"/>
          <w:color w:val="4B5457"/>
        </w:rPr>
        <w:t xml:space="preserve">Regeneron named top employer in global biopharmaceutical industry by </w:t>
      </w:r>
      <w:r>
        <w:rPr>
          <w:rFonts w:ascii="Arial" w:cs="Arial" w:eastAsia="Arial" w:hAnsi="Arial"/>
          <w:sz w:val="15"/>
          <w:szCs w:val="15"/>
          <w:b w:val="1"/>
          <w:bCs w:val="1"/>
          <w:i w:val="1"/>
          <w:iCs w:val="1"/>
          <w:color w:val="4B5457"/>
        </w:rPr>
        <w:t>Science</w:t>
      </w:r>
      <w:r>
        <w:rPr>
          <w:rFonts w:ascii="Arial" w:cs="Arial" w:eastAsia="Arial" w:hAnsi="Arial"/>
          <w:sz w:val="15"/>
          <w:szCs w:val="15"/>
          <w:b w:val="1"/>
          <w:bCs w:val="1"/>
          <w:color w:val="4B5457"/>
        </w:rPr>
        <w:t xml:space="preserve"> </w:t>
      </w:r>
      <w:r>
        <w:rPr>
          <w:rFonts w:ascii="Arial" w:cs="Arial" w:eastAsia="Arial" w:hAnsi="Arial"/>
          <w:sz w:val="15"/>
          <w:szCs w:val="15"/>
          <w:b w:val="1"/>
          <w:bCs w:val="1"/>
          <w:i w:val="1"/>
          <w:iCs w:val="1"/>
          <w:color w:val="4B5457"/>
        </w:rPr>
        <w:t xml:space="preserve">Magazine </w:t>
      </w:r>
      <w:r>
        <w:rPr>
          <w:rFonts w:ascii="Arial" w:cs="Arial" w:eastAsia="Arial" w:hAnsi="Arial"/>
          <w:sz w:val="15"/>
          <w:szCs w:val="15"/>
          <w:b w:val="1"/>
          <w:bCs w:val="1"/>
          <w:color w:val="4B5457"/>
        </w:rPr>
        <w:t>for second year in a row</w:t>
      </w:r>
    </w:p>
    <w:p>
      <w:pPr>
        <w:spacing w:after="0" w:line="1"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4B5457"/>
        </w:rPr>
        <w:t xml:space="preserve">Named the best place to work by </w:t>
      </w:r>
      <w:r>
        <w:rPr>
          <w:rFonts w:ascii="Arial" w:cs="Arial" w:eastAsia="Arial" w:hAnsi="Arial"/>
          <w:sz w:val="15"/>
          <w:szCs w:val="15"/>
          <w:b w:val="1"/>
          <w:bCs w:val="1"/>
          <w:i w:val="1"/>
          <w:iCs w:val="1"/>
          <w:color w:val="4B5457"/>
        </w:rPr>
        <w:t>The Scientist</w:t>
      </w:r>
      <w:r>
        <w:rPr>
          <w:rFonts w:ascii="Arial" w:cs="Arial" w:eastAsia="Arial" w:hAnsi="Arial"/>
          <w:sz w:val="15"/>
          <w:szCs w:val="15"/>
          <w:b w:val="1"/>
          <w:bCs w:val="1"/>
          <w:color w:val="4B5457"/>
        </w:rPr>
        <w:t xml:space="preserve"> in 2013</w:t>
      </w:r>
    </w:p>
    <w:p>
      <w:pPr>
        <w:spacing w:after="0" w:line="86"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4B5457"/>
        </w:rPr>
        <w:t>CEO and CSO named "Management Team of the Year" by Scrip Intelligence</w:t>
      </w:r>
    </w:p>
    <w:p>
      <w:pPr>
        <w:spacing w:after="0" w:line="74"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4B5457"/>
        </w:rPr>
        <w:t>Dupilumab named “Clinical Advance of the Year” by Scrip Intelligence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6 | Copyright Regeneron 2014</w:t>
      </w:r>
    </w:p>
    <w:p>
      <w:pPr>
        <w:sectPr>
          <w:pgSz w:w="11900" w:h="16838" w:orient="portrait"/>
          <w:cols w:equalWidth="0" w:num="1">
            <w:col w:w="9540"/>
          </w:cols>
          <w:pgMar w:left="1020" w:top="627" w:right="1339" w:bottom="1440" w:gutter="0" w:footer="0" w:header="0"/>
        </w:sectPr>
      </w:pPr>
    </w:p>
    <w:bookmarkStart w:id="10" w:name="page11"/>
    <w:bookmarkEnd w:id="10"/>
    <w:p>
      <w:pPr>
        <w:ind w:left="3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Regeneron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A5D5F3"/>
        </w:rPr>
        <w:t>Products</w:t>
      </w: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38"/>
          <w:szCs w:val="38"/>
          <w:b w:val="1"/>
          <w:bCs w:val="1"/>
          <w:color w:val="A5D5F3"/>
        </w:rPr>
        <w:t>Pipeline</w:t>
      </w:r>
    </w:p>
    <w:p>
      <w:pPr>
        <w:spacing w:after="0" w:line="200" w:lineRule="exact"/>
        <w:rPr>
          <w:sz w:val="20"/>
          <w:szCs w:val="20"/>
          <w:color w:val="auto"/>
        </w:rPr>
      </w:pPr>
    </w:p>
    <w:p>
      <w:pPr>
        <w:spacing w:after="0" w:line="398" w:lineRule="exact"/>
        <w:rPr>
          <w:sz w:val="20"/>
          <w:szCs w:val="20"/>
          <w:color w:val="auto"/>
        </w:rPr>
      </w:pPr>
    </w:p>
    <w:p>
      <w:pPr>
        <w:ind w:left="360"/>
        <w:spacing w:after="0"/>
        <w:rPr>
          <w:sz w:val="20"/>
          <w:szCs w:val="20"/>
          <w:color w:val="auto"/>
        </w:rPr>
      </w:pPr>
      <w:r>
        <w:rPr>
          <w:rFonts w:ascii="Arial" w:cs="Arial" w:eastAsia="Arial" w:hAnsi="Arial"/>
          <w:sz w:val="38"/>
          <w:szCs w:val="38"/>
          <w:b w:val="1"/>
          <w:bCs w:val="1"/>
          <w:color w:val="A5D5F3"/>
        </w:rPr>
        <w:t>Profits</w:t>
      </w: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38"/>
          <w:szCs w:val="38"/>
          <w:b w:val="1"/>
          <w:bCs w:val="1"/>
          <w:color w:val="A5D5F3"/>
        </w:rPr>
        <w:t>Awards</w:t>
      </w: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38"/>
          <w:szCs w:val="38"/>
          <w:b w:val="1"/>
          <w:bCs w:val="1"/>
          <w:color w:val="FFFFFF"/>
        </w:rPr>
        <w:t>People</w:t>
      </w:r>
    </w:p>
    <w:p>
      <w:pPr>
        <w:spacing w:after="0" w:line="39" w:lineRule="exact"/>
        <w:rPr>
          <w:sz w:val="20"/>
          <w:szCs w:val="20"/>
          <w:color w:val="auto"/>
        </w:rPr>
      </w:pPr>
    </w:p>
    <w:p>
      <w:pPr>
        <w:ind w:left="3680" w:right="699"/>
        <w:spacing w:after="0" w:line="265" w:lineRule="auto"/>
        <w:rPr>
          <w:sz w:val="20"/>
          <w:szCs w:val="20"/>
          <w:color w:val="auto"/>
        </w:rPr>
      </w:pPr>
      <w:r>
        <w:rPr>
          <w:rFonts w:ascii="Arial" w:cs="Arial" w:eastAsia="Arial" w:hAnsi="Arial"/>
          <w:sz w:val="17"/>
          <w:szCs w:val="17"/>
          <w:b w:val="1"/>
          <w:bCs w:val="1"/>
          <w:color w:val="383F41"/>
        </w:rPr>
        <w:t xml:space="preserve">Regeneron named top employer in global biopharmaceutical industry by </w:t>
      </w:r>
      <w:r>
        <w:rPr>
          <w:rFonts w:ascii="Arial" w:cs="Arial" w:eastAsia="Arial" w:hAnsi="Arial"/>
          <w:sz w:val="17"/>
          <w:szCs w:val="17"/>
          <w:b w:val="1"/>
          <w:bCs w:val="1"/>
          <w:i w:val="1"/>
          <w:iCs w:val="1"/>
          <w:color w:val="383F41"/>
        </w:rPr>
        <w:t>Science Magazine</w:t>
      </w:r>
      <w:r>
        <w:rPr>
          <w:rFonts w:ascii="Arial" w:cs="Arial" w:eastAsia="Arial" w:hAnsi="Arial"/>
          <w:sz w:val="17"/>
          <w:szCs w:val="17"/>
          <w:b w:val="1"/>
          <w:bCs w:val="1"/>
          <w:color w:val="383F41"/>
        </w:rPr>
        <w:t xml:space="preserve"> for second year in a row</w:t>
      </w:r>
    </w:p>
    <w:p>
      <w:pPr>
        <w:spacing w:after="0" w:line="4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383F41"/>
        </w:rPr>
        <w:t>Number of employees grew by 20 percent in 2013 to 2,340</w:t>
      </w:r>
    </w:p>
    <w:p>
      <w:pPr>
        <w:spacing w:after="0" w:line="110" w:lineRule="exact"/>
        <w:rPr>
          <w:sz w:val="20"/>
          <w:szCs w:val="20"/>
          <w:color w:val="auto"/>
        </w:rPr>
      </w:pPr>
    </w:p>
    <w:p>
      <w:pPr>
        <w:ind w:left="3680" w:right="459"/>
        <w:spacing w:after="0" w:line="276" w:lineRule="auto"/>
        <w:rPr>
          <w:sz w:val="20"/>
          <w:szCs w:val="20"/>
          <w:color w:val="auto"/>
        </w:rPr>
      </w:pPr>
      <w:r>
        <w:rPr>
          <w:rFonts w:ascii="Arial" w:cs="Arial" w:eastAsia="Arial" w:hAnsi="Arial"/>
          <w:sz w:val="18"/>
          <w:szCs w:val="18"/>
          <w:b w:val="1"/>
          <w:bCs w:val="1"/>
          <w:color w:val="383F41"/>
        </w:rPr>
        <w:t>In four locations: Tarrytown, NY; Basking Ridge, NJ; Rensselaer, NY; and Limerick, Ireland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7 | Copyright Regeneron 2014</w:t>
      </w:r>
    </w:p>
    <w:p>
      <w:pPr>
        <w:sectPr>
          <w:pgSz w:w="11900" w:h="16838" w:orient="portrait"/>
          <w:cols w:equalWidth="0" w:num="1">
            <w:col w:w="9439"/>
          </w:cols>
          <w:pgMar w:left="1020" w:top="685" w:right="1440" w:bottom="1440" w:gutter="0" w:footer="0" w:header="0"/>
        </w:sectPr>
      </w:pPr>
    </w:p>
    <w:bookmarkStart w:id="11" w:name="page12"/>
    <w:bookmarkEnd w:id="11"/>
    <w:p>
      <w:pPr>
        <w:spacing w:after="0"/>
        <w:tabs>
          <w:tab w:leader="none" w:pos="3400" w:val="left"/>
        </w:tabs>
        <w:rPr>
          <w:sz w:val="20"/>
          <w:szCs w:val="20"/>
          <w:color w:val="auto"/>
        </w:rPr>
      </w:pPr>
      <w:r>
        <w:rPr>
          <w:rFonts w:ascii="Arial" w:cs="Arial" w:eastAsia="Arial" w:hAnsi="Arial"/>
          <w:sz w:val="51"/>
          <w:szCs w:val="51"/>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Building 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435"/>
        </w:trPr>
        <w:tc>
          <w:tcPr>
            <w:tcW w:w="3280" w:type="dxa"/>
            <w:vAlign w:val="bottom"/>
          </w:tcPr>
          <w:p>
            <w:pPr>
              <w:jc w:val="center"/>
              <w:ind w:right="218"/>
              <w:spacing w:after="0"/>
              <w:rPr>
                <w:sz w:val="20"/>
                <w:szCs w:val="20"/>
                <w:color w:val="auto"/>
              </w:rPr>
            </w:pPr>
            <w:r>
              <w:rPr>
                <w:rFonts w:ascii="Arial" w:cs="Arial" w:eastAsia="Arial" w:hAnsi="Arial"/>
                <w:sz w:val="36"/>
                <w:szCs w:val="36"/>
                <w:b w:val="1"/>
                <w:bCs w:val="1"/>
                <w:color w:val="FFFFFF"/>
              </w:rPr>
              <w:t>Continuing</w:t>
            </w:r>
          </w:p>
        </w:tc>
        <w:tc>
          <w:tcPr>
            <w:tcW w:w="3220" w:type="dxa"/>
            <w:vAlign w:val="bottom"/>
          </w:tcPr>
          <w:p>
            <w:pPr>
              <w:jc w:val="center"/>
              <w:spacing w:after="0"/>
              <w:rPr>
                <w:sz w:val="20"/>
                <w:szCs w:val="20"/>
                <w:color w:val="auto"/>
              </w:rPr>
            </w:pPr>
            <w:r>
              <w:rPr>
                <w:rFonts w:ascii="Arial" w:cs="Arial" w:eastAsia="Arial" w:hAnsi="Arial"/>
                <w:sz w:val="36"/>
                <w:szCs w:val="36"/>
                <w:b w:val="1"/>
                <w:bCs w:val="1"/>
                <w:color w:val="FFFFFF"/>
              </w:rPr>
              <w:t>Investment in</w:t>
            </w:r>
          </w:p>
        </w:tc>
        <w:tc>
          <w:tcPr>
            <w:tcW w:w="3220" w:type="dxa"/>
            <w:vAlign w:val="bottom"/>
            <w:vMerge w:val="restart"/>
          </w:tcPr>
          <w:p>
            <w:pPr>
              <w:ind w:left="460"/>
              <w:spacing w:after="0"/>
              <w:rPr>
                <w:sz w:val="20"/>
                <w:szCs w:val="20"/>
                <w:color w:val="auto"/>
              </w:rPr>
            </w:pPr>
            <w:r>
              <w:rPr>
                <w:rFonts w:ascii="Arial" w:cs="Arial" w:eastAsia="Arial" w:hAnsi="Arial"/>
                <w:sz w:val="36"/>
                <w:szCs w:val="36"/>
                <w:b w:val="1"/>
                <w:bCs w:val="1"/>
                <w:color w:val="FFFFFF"/>
              </w:rPr>
              <w:t>Organic Growth</w:t>
            </w:r>
          </w:p>
        </w:tc>
        <w:tc>
          <w:tcPr>
            <w:tcW w:w="0" w:type="dxa"/>
            <w:vAlign w:val="bottom"/>
          </w:tcPr>
          <w:p>
            <w:pPr>
              <w:spacing w:after="0"/>
              <w:rPr>
                <w:sz w:val="1"/>
                <w:szCs w:val="1"/>
                <w:color w:val="auto"/>
              </w:rPr>
            </w:pPr>
          </w:p>
        </w:tc>
      </w:tr>
      <w:tr>
        <w:trPr>
          <w:trHeight w:val="435"/>
        </w:trPr>
        <w:tc>
          <w:tcPr>
            <w:tcW w:w="3280" w:type="dxa"/>
            <w:vAlign w:val="bottom"/>
          </w:tcPr>
          <w:p>
            <w:pPr>
              <w:jc w:val="center"/>
              <w:ind w:right="238"/>
              <w:spacing w:after="0"/>
              <w:rPr>
                <w:sz w:val="20"/>
                <w:szCs w:val="20"/>
                <w:color w:val="auto"/>
              </w:rPr>
            </w:pPr>
            <w:r>
              <w:rPr>
                <w:rFonts w:ascii="Arial" w:cs="Arial" w:eastAsia="Arial" w:hAnsi="Arial"/>
                <w:sz w:val="36"/>
                <w:szCs w:val="36"/>
                <w:b w:val="1"/>
                <w:bCs w:val="1"/>
                <w:color w:val="FFFFFF"/>
                <w:w w:val="99"/>
              </w:rPr>
              <w:t>Top Line Growth</w:t>
            </w:r>
          </w:p>
        </w:tc>
        <w:tc>
          <w:tcPr>
            <w:tcW w:w="3220" w:type="dxa"/>
            <w:vAlign w:val="bottom"/>
          </w:tcPr>
          <w:p>
            <w:pPr>
              <w:jc w:val="center"/>
              <w:spacing w:after="0"/>
              <w:rPr>
                <w:sz w:val="20"/>
                <w:szCs w:val="20"/>
                <w:color w:val="auto"/>
              </w:rPr>
            </w:pPr>
            <w:r>
              <w:rPr>
                <w:rFonts w:ascii="Arial" w:cs="Arial" w:eastAsia="Arial" w:hAnsi="Arial"/>
                <w:sz w:val="36"/>
                <w:szCs w:val="36"/>
                <w:b w:val="1"/>
                <w:bCs w:val="1"/>
                <w:color w:val="FFFFFF"/>
              </w:rPr>
              <w:t>R&amp;D and</w:t>
            </w:r>
          </w:p>
        </w:tc>
        <w:tc>
          <w:tcPr>
            <w:tcW w:w="3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36"/>
                <w:szCs w:val="36"/>
                <w:b w:val="1"/>
                <w:bCs w:val="1"/>
                <w:color w:val="FFFFFF"/>
                <w:w w:val="98"/>
              </w:rPr>
              <w:t>Technology</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Page 8 | Copyright Regeneron 2014</w:t>
      </w:r>
    </w:p>
    <w:p>
      <w:pPr>
        <w:sectPr>
          <w:pgSz w:w="11900" w:h="16838" w:orient="portrait"/>
          <w:cols w:equalWidth="0" w:num="1">
            <w:col w:w="9980"/>
          </w:cols>
          <w:pgMar w:left="920" w:top="664" w:right="999" w:bottom="1440" w:gutter="0" w:footer="0" w:header="0"/>
        </w:sectPr>
      </w:pPr>
    </w:p>
    <w:bookmarkStart w:id="12" w:name="page13"/>
    <w:bookmarkEnd w:id="12"/>
    <w:p>
      <w:pPr>
        <w:spacing w:after="0"/>
        <w:tabs>
          <w:tab w:leader="none" w:pos="2980" w:val="left"/>
        </w:tabs>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r>
      <w:r>
        <w:rPr>
          <w:sz w:val="20"/>
          <w:szCs w:val="20"/>
          <w:color w:val="auto"/>
        </w:rPr>
        <w:tab/>
      </w:r>
      <w:r>
        <w:rPr>
          <w:rFonts w:ascii="Arial" w:cs="Arial" w:eastAsia="Arial" w:hAnsi="Arial"/>
          <w:sz w:val="42"/>
          <w:szCs w:val="42"/>
          <w:b w:val="1"/>
          <w:bCs w:val="1"/>
          <w:color w:val="FFFFFF"/>
        </w:rPr>
        <w:t>Building on Success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D2EAF9"/>
        </w:rPr>
        <w:t>Significant News January 2014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Arial" w:cs="Arial" w:eastAsia="Arial" w:hAnsi="Arial"/>
          <w:sz w:val="34"/>
          <w:szCs w:val="34"/>
          <w:b w:val="1"/>
          <w:bCs w:val="1"/>
          <w:color w:val="156DC3"/>
        </w:rPr>
        <w:t>What’s New for Regeneron</w:t>
      </w:r>
    </w:p>
    <w:p>
      <w:pPr>
        <w:sectPr>
          <w:pgSz w:w="11900" w:h="16838" w:orient="portrait"/>
          <w:cols w:equalWidth="0" w:num="1">
            <w:col w:w="9700"/>
          </w:cols>
          <w:pgMar w:left="900" w:top="515" w:right="12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220"/>
        <w:spacing w:after="0" w:line="293" w:lineRule="auto"/>
        <w:rPr>
          <w:sz w:val="20"/>
          <w:szCs w:val="20"/>
          <w:color w:val="auto"/>
        </w:rPr>
      </w:pPr>
      <w:r>
        <w:rPr>
          <w:rFonts w:ascii="Arial" w:cs="Arial" w:eastAsia="Arial" w:hAnsi="Arial"/>
          <w:sz w:val="28"/>
          <w:szCs w:val="28"/>
          <w:b w:val="1"/>
          <w:bCs w:val="1"/>
          <w:color w:val="FFFFFF"/>
        </w:rPr>
        <w:t>EYLEA</w:t>
      </w:r>
      <w:r>
        <w:rPr>
          <w:rFonts w:ascii="Arial" w:cs="Arial" w:eastAsia="Arial" w:hAnsi="Arial"/>
          <w:sz w:val="18"/>
          <w:szCs w:val="18"/>
          <w:b w:val="1"/>
          <w:bCs w:val="1"/>
          <w:color w:val="FFFFFF"/>
        </w:rPr>
        <w:t>®</w:t>
      </w:r>
      <w:r>
        <w:rPr>
          <w:rFonts w:ascii="Arial" w:cs="Arial" w:eastAsia="Arial" w:hAnsi="Arial"/>
          <w:sz w:val="28"/>
          <w:szCs w:val="28"/>
          <w:b w:val="1"/>
          <w:bCs w:val="1"/>
          <w:color w:val="FFFFFF"/>
        </w:rPr>
        <w:t xml:space="preserve"> &amp; Ophthalmology Franchise</w:t>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FFFFFF"/>
        </w:rPr>
        <w:t>Alirocumab</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FFFFFF"/>
        </w:rPr>
        <w:t>Sarilumab</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FFFFFF"/>
        </w:rPr>
        <w:t>Dupilumab</w:t>
      </w:r>
    </w:p>
    <w:p>
      <w:pPr>
        <w:spacing w:after="0" w:line="384"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FFFFFF"/>
        </w:rPr>
        <w:t>Sanofi Collaboration</w:t>
      </w: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FFFFFF"/>
        </w:rPr>
        <w:t>Early R&amp;D</w:t>
      </w: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FFFFFF"/>
        </w:rPr>
        <w:t>2014 Financial Guidance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right="600"/>
        <w:spacing w:after="0" w:line="267" w:lineRule="auto"/>
        <w:rPr>
          <w:sz w:val="20"/>
          <w:szCs w:val="20"/>
          <w:color w:val="auto"/>
        </w:rPr>
      </w:pPr>
      <w:r>
        <w:rPr>
          <w:rFonts w:ascii="Arial" w:cs="Arial" w:eastAsia="Arial" w:hAnsi="Arial"/>
          <w:sz w:val="28"/>
          <w:szCs w:val="28"/>
          <w:color w:val="4B5457"/>
        </w:rPr>
        <w:t>4Q13 and full year 2013 U.S.net sales PDGFR- clinical and business update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8"/>
          <w:szCs w:val="28"/>
          <w:color w:val="4B5457"/>
        </w:rPr>
        <w:t>Update on data and filing timelines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8"/>
          <w:szCs w:val="28"/>
          <w:color w:val="4B5457"/>
        </w:rPr>
        <w:t>Amended investor agreement</w:t>
      </w:r>
    </w:p>
    <w:p>
      <w:pPr>
        <w:spacing w:after="0" w:line="395" w:lineRule="exact"/>
        <w:rPr>
          <w:sz w:val="20"/>
          <w:szCs w:val="20"/>
          <w:color w:val="auto"/>
        </w:rPr>
      </w:pPr>
    </w:p>
    <w:p>
      <w:pPr>
        <w:ind w:right="1900"/>
        <w:spacing w:after="0" w:line="267" w:lineRule="auto"/>
        <w:rPr>
          <w:sz w:val="20"/>
          <w:szCs w:val="20"/>
          <w:color w:val="auto"/>
        </w:rPr>
      </w:pPr>
      <w:r>
        <w:rPr>
          <w:rFonts w:ascii="Arial" w:cs="Arial" w:eastAsia="Arial" w:hAnsi="Arial"/>
          <w:sz w:val="28"/>
          <w:szCs w:val="28"/>
          <w:color w:val="4B5457"/>
        </w:rPr>
        <w:t>Regeneron Genetics Center Immuno-Oncology</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28"/>
          <w:szCs w:val="28"/>
          <w:color w:val="4B5457"/>
        </w:rPr>
        <w:t>Non-GAAP SG&amp;A, unreimbursed R&amp;D, and capital expenditures</w:t>
      </w:r>
    </w:p>
    <w:p>
      <w:pPr>
        <w:spacing w:after="0" w:line="200" w:lineRule="exact"/>
        <w:rPr>
          <w:sz w:val="20"/>
          <w:szCs w:val="20"/>
          <w:color w:val="auto"/>
        </w:rPr>
      </w:pPr>
    </w:p>
    <w:p>
      <w:pPr>
        <w:sectPr>
          <w:pgSz w:w="11900" w:h="16838" w:orient="portrait"/>
          <w:cols w:equalWidth="0" w:num="2">
            <w:col w:w="3720" w:space="560"/>
            <w:col w:w="5420"/>
          </w:cols>
          <w:pgMar w:left="900" w:top="515" w:right="1299" w:bottom="1440" w:gutter="0" w:footer="0" w:header="0"/>
          <w:type w:val="continuous"/>
        </w:sect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5D5D5D"/>
        </w:rPr>
        <w:t>Page 9 | Copyright Regeneron 2014</w:t>
      </w:r>
    </w:p>
    <w:p>
      <w:pPr>
        <w:sectPr>
          <w:pgSz w:w="11900" w:h="16838" w:orient="portrait"/>
          <w:cols w:equalWidth="0" w:num="1">
            <w:col w:w="9700"/>
          </w:cols>
          <w:pgMar w:left="900" w:top="515" w:right="1299" w:bottom="1440" w:gutter="0" w:footer="0" w:header="0"/>
          <w:type w:val="continuous"/>
        </w:sectPr>
      </w:pPr>
    </w:p>
    <w:bookmarkStart w:id="13" w:name="page14"/>
    <w:bookmarkEnd w:id="13"/>
    <w:p>
      <w:pPr>
        <w:spacing w:after="0"/>
        <w:tabs>
          <w:tab w:leader="none" w:pos="3400" w:val="left"/>
        </w:tabs>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Building on Success</w:t>
      </w:r>
    </w:p>
    <w:p>
      <w:pPr>
        <w:sectPr>
          <w:pgSz w:w="11900" w:h="16838" w:orient="portrait"/>
          <w:cols w:equalWidth="0" w:num="1">
            <w:col w:w="9539"/>
          </w:cols>
          <w:pgMar w:left="920" w:top="6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239"/>
        <w:spacing w:after="0"/>
        <w:rPr>
          <w:sz w:val="20"/>
          <w:szCs w:val="20"/>
          <w:color w:val="auto"/>
        </w:rPr>
      </w:pPr>
      <w:r>
        <w:rPr>
          <w:rFonts w:ascii="Arial" w:cs="Arial" w:eastAsia="Arial" w:hAnsi="Arial"/>
          <w:sz w:val="36"/>
          <w:szCs w:val="36"/>
          <w:b w:val="1"/>
          <w:bCs w:val="1"/>
          <w:color w:val="FFFFFF"/>
        </w:rPr>
        <w:t>Continuing</w:t>
      </w:r>
    </w:p>
    <w:p>
      <w:pPr>
        <w:spacing w:after="0" w:line="67" w:lineRule="exact"/>
        <w:rPr>
          <w:sz w:val="20"/>
          <w:szCs w:val="20"/>
          <w:color w:val="auto"/>
        </w:rPr>
      </w:pPr>
    </w:p>
    <w:p>
      <w:pPr>
        <w:jc w:val="center"/>
        <w:ind w:right="6259"/>
        <w:spacing w:after="0"/>
        <w:rPr>
          <w:sz w:val="20"/>
          <w:szCs w:val="20"/>
          <w:color w:val="auto"/>
        </w:rPr>
      </w:pPr>
      <w:r>
        <w:rPr>
          <w:rFonts w:ascii="Arial" w:cs="Arial" w:eastAsia="Arial" w:hAnsi="Arial"/>
          <w:sz w:val="36"/>
          <w:szCs w:val="36"/>
          <w:b w:val="1"/>
          <w:bCs w:val="1"/>
          <w:color w:val="FFFFFF"/>
        </w:rPr>
        <w:t>Top Line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Page 10 | Copyright Regeneron 2014</w:t>
      </w:r>
    </w:p>
    <w:p>
      <w:pPr>
        <w:sectPr>
          <w:pgSz w:w="11900" w:h="16838" w:orient="portrait"/>
          <w:cols w:equalWidth="0" w:num="1">
            <w:col w:w="9539"/>
          </w:cols>
          <w:pgMar w:left="920" w:top="664" w:right="1440" w:bottom="1440" w:gutter="0" w:footer="0" w:header="0"/>
          <w:type w:val="continuous"/>
        </w:sectPr>
      </w:pPr>
    </w:p>
    <w:bookmarkStart w:id="14" w:name="page15"/>
    <w:bookmarkEnd w:id="14"/>
    <w:p>
      <w:pPr>
        <w:ind w:left="400"/>
        <w:spacing w:after="0"/>
        <w:tabs>
          <w:tab w:leader="none" w:pos="3780" w:val="left"/>
        </w:tabs>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Building 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80"/>
        <w:spacing w:after="0"/>
        <w:rPr>
          <w:sz w:val="20"/>
          <w:szCs w:val="20"/>
          <w:color w:val="auto"/>
        </w:rPr>
      </w:pPr>
      <w:r>
        <w:rPr>
          <w:rFonts w:ascii="Arial" w:cs="Arial" w:eastAsia="Arial" w:hAnsi="Arial"/>
          <w:sz w:val="32"/>
          <w:szCs w:val="32"/>
          <w:b w:val="1"/>
          <w:bCs w:val="1"/>
          <w:color w:val="FFFFFF"/>
        </w:rPr>
        <w:t>EYLEA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719"/>
        <w:spacing w:after="0" w:line="263" w:lineRule="auto"/>
        <w:rPr>
          <w:sz w:val="20"/>
          <w:szCs w:val="20"/>
          <w:color w:val="auto"/>
        </w:rPr>
      </w:pPr>
      <w:r>
        <w:rPr>
          <w:rFonts w:ascii="Arial" w:cs="Arial" w:eastAsia="Arial" w:hAnsi="Arial"/>
          <w:sz w:val="51"/>
          <w:szCs w:val="51"/>
          <w:b w:val="1"/>
          <w:bCs w:val="1"/>
          <w:color w:val="FFFFFF"/>
        </w:rPr>
        <w:t>Potential for five major regulatory submissions or approvals in next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FFFFFF"/>
        </w:rPr>
        <w:t>Page 11 | Copyright Regeneron 2014</w:t>
      </w:r>
    </w:p>
    <w:p>
      <w:pPr>
        <w:sectPr>
          <w:pgSz w:w="11900" w:h="16838" w:orient="portrait"/>
          <w:cols w:equalWidth="0" w:num="1">
            <w:col w:w="9799"/>
          </w:cols>
          <w:pgMar w:left="660" w:top="711"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56"/>
          <w:szCs w:val="56"/>
          <w:b w:val="1"/>
          <w:bCs w:val="1"/>
          <w:color w:val="FFFFFF"/>
        </w:rPr>
        <w:t>EYLEA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12 | Copyright Regeneron 2014</w:t>
      </w:r>
    </w:p>
    <w:p>
      <w:pPr>
        <w:sectPr>
          <w:pgSz w:w="11900" w:h="16838" w:orient="portrait"/>
          <w:cols w:equalWidth="0" w:num="1">
            <w:col w:w="9439"/>
          </w:cols>
          <w:pgMar w:left="1020" w:top="1440" w:right="1440" w:bottom="1440" w:gutter="0" w:footer="0" w:header="0"/>
        </w:sectPr>
      </w:pPr>
    </w:p>
    <w:bookmarkStart w:id="16" w:name="page17"/>
    <w:bookmarkEnd w:id="16"/>
    <w:p>
      <w:pPr>
        <w:ind w:left="480"/>
        <w:spacing w:after="0"/>
        <w:tabs>
          <w:tab w:leader="none" w:pos="344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Optimize and Extend EYLEA</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26"/>
          <w:szCs w:val="26"/>
          <w:b w:val="1"/>
          <w:bCs w:val="1"/>
          <w:color w:val="D2EAF9"/>
        </w:rPr>
        <w:t>U.S. EYLEA : Demographics, Market Share, New Indications to Drive Growth</w:t>
      </w:r>
    </w:p>
    <w:p>
      <w:pPr>
        <w:sectPr>
          <w:pgSz w:w="11900" w:h="16838" w:orient="portrait"/>
          <w:cols w:equalWidth="0" w:num="1">
            <w:col w:w="10240"/>
          </w:cols>
          <w:pgMar w:left="1020" w:top="51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8"/>
          <w:szCs w:val="28"/>
          <w:b w:val="1"/>
          <w:bCs w:val="1"/>
          <w:color w:val="4B5457"/>
        </w:rPr>
        <w:t>U.S.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4B5457"/>
        </w:rPr>
        <w:t>2013 U.S. Net Sales</w:t>
      </w:r>
      <w:r>
        <w:rPr>
          <w:rFonts w:ascii="Arial" w:cs="Arial" w:eastAsia="Arial" w:hAnsi="Arial"/>
          <w:sz w:val="25"/>
          <w:szCs w:val="25"/>
          <w:b w:val="1"/>
          <w:bCs w:val="1"/>
          <w:color w:val="093169"/>
        </w:rPr>
        <w:t>:</w:t>
      </w:r>
      <w:r>
        <w:rPr>
          <w:rFonts w:ascii="Arial" w:cs="Arial" w:eastAsia="Arial" w:hAnsi="Arial"/>
          <w:sz w:val="25"/>
          <w:szCs w:val="25"/>
          <w:b w:val="1"/>
          <w:bCs w:val="1"/>
          <w:color w:val="4B5457"/>
        </w:rPr>
        <w:t xml:space="preserve"> </w:t>
      </w:r>
      <w:r>
        <w:rPr>
          <w:rFonts w:ascii="Arial" w:cs="Arial" w:eastAsia="Arial" w:hAnsi="Arial"/>
          <w:sz w:val="25"/>
          <w:szCs w:val="25"/>
          <w:b w:val="1"/>
          <w:bCs w:val="1"/>
          <w:color w:val="FF0000"/>
        </w:rPr>
        <w:t>~$1.4 Billion*</w:t>
      </w:r>
    </w:p>
    <w:p>
      <w:pPr>
        <w:spacing w:after="0" w:line="148" w:lineRule="exact"/>
        <w:rPr>
          <w:sz w:val="20"/>
          <w:szCs w:val="20"/>
          <w:color w:val="auto"/>
        </w:rPr>
      </w:pPr>
    </w:p>
    <w:p>
      <w:pPr>
        <w:spacing w:after="0"/>
        <w:rPr>
          <w:sz w:val="20"/>
          <w:szCs w:val="20"/>
          <w:color w:val="auto"/>
        </w:rPr>
      </w:pPr>
      <w:r>
        <w:rPr>
          <w:rFonts w:ascii="Arial" w:cs="Arial" w:eastAsia="Arial" w:hAnsi="Arial"/>
          <w:sz w:val="24"/>
          <w:szCs w:val="24"/>
          <w:b w:val="1"/>
          <w:bCs w:val="1"/>
          <w:color w:val="4B5457"/>
        </w:rPr>
        <w:t>4Q13 U.S. Net Sales</w:t>
      </w:r>
      <w:r>
        <w:rPr>
          <w:rFonts w:ascii="Arial" w:cs="Arial" w:eastAsia="Arial" w:hAnsi="Arial"/>
          <w:sz w:val="24"/>
          <w:szCs w:val="24"/>
          <w:b w:val="1"/>
          <w:bCs w:val="1"/>
          <w:color w:val="FF0000"/>
        </w:rPr>
        <w:t>: ~$400 Million*</w:t>
      </w:r>
    </w:p>
    <w:p>
      <w:pPr>
        <w:spacing w:after="0" w:line="166" w:lineRule="exact"/>
        <w:rPr>
          <w:sz w:val="20"/>
          <w:szCs w:val="20"/>
          <w:color w:val="auto"/>
        </w:rPr>
      </w:pPr>
    </w:p>
    <w:p>
      <w:pPr>
        <w:sectPr>
          <w:pgSz w:w="11900" w:h="16838" w:orient="portrait"/>
          <w:cols w:equalWidth="0" w:num="2">
            <w:col w:w="4440" w:space="720"/>
            <w:col w:w="5080"/>
          </w:cols>
          <w:pgMar w:left="1020" w:top="515" w:right="639" w:bottom="1440" w:gutter="0" w:footer="0" w:header="0"/>
          <w:type w:val="continuous"/>
        </w:sectPr>
      </w:pPr>
    </w:p>
    <w:p>
      <w:pPr>
        <w:ind w:left="5860" w:right="760" w:hanging="1202"/>
        <w:spacing w:after="0" w:line="182" w:lineRule="auto"/>
        <w:tabs>
          <w:tab w:leader="none" w:pos="5860" w:val="left"/>
        </w:tabs>
        <w:numPr>
          <w:ilvl w:val="0"/>
          <w:numId w:val="3"/>
        </w:numPr>
        <w:rPr>
          <w:rFonts w:ascii="Arial" w:cs="Arial" w:eastAsia="Arial" w:hAnsi="Arial"/>
          <w:sz w:val="47"/>
          <w:szCs w:val="47"/>
          <w:color w:val="161616"/>
          <w:vertAlign w:val="superscript"/>
        </w:rPr>
      </w:pPr>
      <w:r>
        <w:rPr>
          <w:rFonts w:ascii="Arial" w:cs="Arial" w:eastAsia="Arial" w:hAnsi="Arial"/>
          <w:sz w:val="22"/>
          <w:szCs w:val="22"/>
          <w:color w:val="4B5457"/>
        </w:rPr>
        <w:t>Distributor inventory increased to slightly more than two weeks</w:t>
      </w:r>
    </w:p>
    <w:p>
      <w:pPr>
        <w:spacing w:after="0" w:line="92" w:lineRule="exact"/>
        <w:rPr>
          <w:sz w:val="20"/>
          <w:szCs w:val="20"/>
          <w:color w:val="auto"/>
        </w:rPr>
      </w:pPr>
    </w:p>
    <w:p>
      <w:pPr>
        <w:ind w:left="6140"/>
        <w:spacing w:after="0"/>
        <w:rPr>
          <w:sz w:val="20"/>
          <w:szCs w:val="20"/>
          <w:color w:val="auto"/>
        </w:rPr>
      </w:pPr>
      <w:r>
        <w:rPr>
          <w:rFonts w:ascii="Arial" w:cs="Arial" w:eastAsia="Arial" w:hAnsi="Arial"/>
          <w:sz w:val="25"/>
          <w:szCs w:val="25"/>
          <w:color w:val="4B5457"/>
        </w:rPr>
        <w:t>Inventory has historically been</w:t>
      </w:r>
    </w:p>
    <w:p>
      <w:pPr>
        <w:spacing w:after="0" w:line="18" w:lineRule="exact"/>
        <w:rPr>
          <w:sz w:val="20"/>
          <w:szCs w:val="20"/>
          <w:color w:val="auto"/>
        </w:rPr>
      </w:pPr>
    </w:p>
    <w:p>
      <w:pPr>
        <w:ind w:left="6140"/>
        <w:spacing w:after="0"/>
        <w:rPr>
          <w:sz w:val="20"/>
          <w:szCs w:val="20"/>
          <w:color w:val="auto"/>
        </w:rPr>
      </w:pPr>
      <w:r>
        <w:rPr>
          <w:rFonts w:ascii="Arial" w:cs="Arial" w:eastAsia="Arial" w:hAnsi="Arial"/>
          <w:sz w:val="25"/>
          <w:szCs w:val="25"/>
          <w:color w:val="4B5457"/>
        </w:rPr>
        <w:t>1-2 weeks</w:t>
      </w:r>
    </w:p>
    <w:p>
      <w:pPr>
        <w:spacing w:after="0" w:line="112" w:lineRule="exact"/>
        <w:rPr>
          <w:sz w:val="20"/>
          <w:szCs w:val="20"/>
          <w:color w:val="auto"/>
        </w:rPr>
      </w:pPr>
    </w:p>
    <w:p>
      <w:pPr>
        <w:ind w:left="6140"/>
        <w:spacing w:after="0"/>
        <w:rPr>
          <w:sz w:val="20"/>
          <w:szCs w:val="20"/>
          <w:color w:val="auto"/>
        </w:rPr>
      </w:pPr>
      <w:r>
        <w:rPr>
          <w:rFonts w:ascii="Arial" w:cs="Arial" w:eastAsia="Arial" w:hAnsi="Arial"/>
          <w:sz w:val="25"/>
          <w:szCs w:val="25"/>
          <w:color w:val="4B5457"/>
        </w:rPr>
        <w:t>Commercial terms tightened in</w:t>
      </w:r>
    </w:p>
    <w:p>
      <w:pPr>
        <w:spacing w:after="0" w:line="6" w:lineRule="exact"/>
        <w:rPr>
          <w:sz w:val="20"/>
          <w:szCs w:val="20"/>
          <w:color w:val="auto"/>
        </w:rPr>
      </w:pPr>
    </w:p>
    <w:p>
      <w:pPr>
        <w:ind w:left="6140"/>
        <w:spacing w:after="0"/>
        <w:rPr>
          <w:sz w:val="20"/>
          <w:szCs w:val="20"/>
          <w:color w:val="auto"/>
        </w:rPr>
      </w:pPr>
      <w:r>
        <w:rPr>
          <w:rFonts w:ascii="Arial" w:cs="Arial" w:eastAsia="Arial" w:hAnsi="Arial"/>
          <w:sz w:val="25"/>
          <w:szCs w:val="25"/>
          <w:color w:val="4B5457"/>
        </w:rPr>
        <w:t>January 2014</w:t>
      </w:r>
    </w:p>
    <w:p>
      <w:pPr>
        <w:spacing w:after="0" w:line="71"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4B5457"/>
        </w:rPr>
        <w:t>Full year guidance during 4Q13 call</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4B5457"/>
        </w:rPr>
        <w:t xml:space="preserve">DME: </w:t>
      </w:r>
      <w:r>
        <w:rPr>
          <w:rFonts w:ascii="Arial" w:cs="Arial" w:eastAsia="Arial" w:hAnsi="Arial"/>
          <w:sz w:val="25"/>
          <w:szCs w:val="25"/>
          <w:color w:val="4B5457"/>
        </w:rPr>
        <w:t>PDUFA date of August 18, 2014</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4B5457"/>
        </w:rPr>
        <w:t>BRVO regulatory filing expected in</w:t>
      </w:r>
    </w:p>
    <w:p>
      <w:pPr>
        <w:ind w:left="5160"/>
        <w:spacing w:after="0" w:line="216" w:lineRule="auto"/>
        <w:rPr>
          <w:sz w:val="20"/>
          <w:szCs w:val="20"/>
          <w:color w:val="auto"/>
        </w:rPr>
      </w:pPr>
      <w:r>
        <w:rPr>
          <w:rFonts w:ascii="Arial" w:cs="Arial" w:eastAsia="Arial" w:hAnsi="Arial"/>
          <w:sz w:val="25"/>
          <w:szCs w:val="25"/>
          <w:b w:val="1"/>
          <w:bCs w:val="1"/>
          <w:color w:val="4B5457"/>
        </w:rPr>
        <w:t>1Q14</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4B5457"/>
        </w:rPr>
        <w:t>Impact of compounding legislation</w:t>
      </w:r>
    </w:p>
    <w:p>
      <w:pPr>
        <w:spacing w:after="0" w:line="10"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4B5457"/>
        </w:rPr>
        <w:t>uncertain</w:t>
      </w:r>
    </w:p>
    <w:p>
      <w:pPr>
        <w:spacing w:after="0" w:line="92" w:lineRule="exact"/>
        <w:rPr>
          <w:sz w:val="20"/>
          <w:szCs w:val="20"/>
          <w:color w:val="auto"/>
        </w:rPr>
      </w:pPr>
    </w:p>
    <w:p>
      <w:pPr>
        <w:jc w:val="right"/>
        <w:ind w:right="220"/>
        <w:spacing w:after="0"/>
        <w:tabs>
          <w:tab w:leader="none" w:pos="2120" w:val="left"/>
        </w:tabs>
        <w:rPr>
          <w:sz w:val="20"/>
          <w:szCs w:val="20"/>
          <w:color w:val="auto"/>
        </w:rPr>
      </w:pPr>
      <w:r>
        <w:rPr>
          <w:rFonts w:ascii="Arial" w:cs="Arial" w:eastAsia="Arial" w:hAnsi="Arial"/>
          <w:sz w:val="18"/>
          <w:szCs w:val="18"/>
          <w:b w:val="1"/>
          <w:bCs w:val="1"/>
          <w:i w:val="1"/>
          <w:iCs w:val="1"/>
          <w:color w:val="4B5457"/>
        </w:rPr>
        <w:t>*Preliminary unaudited numbers</w:t>
      </w:r>
      <w:r>
        <w:rPr>
          <w:sz w:val="20"/>
          <w:szCs w:val="20"/>
          <w:color w:val="auto"/>
        </w:rPr>
        <w:tab/>
      </w:r>
      <w:r>
        <w:rPr>
          <w:rFonts w:ascii="Arial" w:cs="Arial" w:eastAsia="Arial" w:hAnsi="Arial"/>
          <w:sz w:val="15"/>
          <w:szCs w:val="15"/>
          <w:color w:val="4B5457"/>
        </w:rPr>
        <w:t>DME : Diabetic Macular Edema</w:t>
      </w:r>
    </w:p>
    <w:p>
      <w:pPr>
        <w:spacing w:after="0" w:line="1" w:lineRule="exact"/>
        <w:rPr>
          <w:sz w:val="20"/>
          <w:szCs w:val="20"/>
          <w:color w:val="auto"/>
        </w:rPr>
      </w:pPr>
    </w:p>
    <w:p>
      <w:pPr>
        <w:jc w:val="right"/>
        <w:ind w:right="240"/>
        <w:spacing w:after="0"/>
        <w:rPr>
          <w:sz w:val="20"/>
          <w:szCs w:val="20"/>
          <w:color w:val="auto"/>
        </w:rPr>
      </w:pPr>
      <w:r>
        <w:rPr>
          <w:rFonts w:ascii="Arial" w:cs="Arial" w:eastAsia="Arial" w:hAnsi="Arial"/>
          <w:sz w:val="15"/>
          <w:szCs w:val="15"/>
          <w:color w:val="4B5457"/>
        </w:rPr>
        <w:t>BRVO : Branch Retinal vein Occlusion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13 | Copyright Regeneron 2014</w:t>
      </w:r>
    </w:p>
    <w:p>
      <w:pPr>
        <w:sectPr>
          <w:pgSz w:w="11900" w:h="16838" w:orient="portrait"/>
          <w:cols w:equalWidth="0" w:num="1">
            <w:col w:w="10240"/>
          </w:cols>
          <w:pgMar w:left="1020" w:top="515" w:right="639" w:bottom="1440" w:gutter="0" w:footer="0" w:header="0"/>
          <w:type w:val="continuous"/>
        </w:sectPr>
      </w:pPr>
    </w:p>
    <w:bookmarkStart w:id="17" w:name="page18"/>
    <w:bookmarkEnd w:id="17"/>
    <w:p>
      <w:pPr>
        <w:ind w:left="460"/>
        <w:spacing w:after="0"/>
        <w:tabs>
          <w:tab w:leader="none" w:pos="342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Optimize and Extend EYLEA</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28"/>
          <w:szCs w:val="28"/>
          <w:b w:val="1"/>
          <w:bCs w:val="1"/>
          <w:color w:val="D2EAF9"/>
        </w:rPr>
        <w:t>Ex-U.S. EYLEA: Launch is Still in Early Innings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60"/>
        <w:spacing w:after="0"/>
        <w:rPr>
          <w:sz w:val="20"/>
          <w:szCs w:val="20"/>
          <w:color w:val="auto"/>
        </w:rPr>
      </w:pPr>
      <w:r>
        <w:rPr>
          <w:rFonts w:ascii="Arial" w:cs="Arial" w:eastAsia="Arial" w:hAnsi="Arial"/>
          <w:sz w:val="25"/>
          <w:szCs w:val="25"/>
          <w:b w:val="1"/>
          <w:bCs w:val="1"/>
          <w:color w:val="4B5457"/>
        </w:rPr>
        <w:t>Ex-U.S. launch by partner, Bayer</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25"/>
          <w:szCs w:val="25"/>
          <w:b w:val="1"/>
          <w:bCs w:val="1"/>
          <w:color w:val="4B5457"/>
        </w:rPr>
        <w:t>HealthCare, continues to do well</w:t>
      </w:r>
    </w:p>
    <w:p>
      <w:pPr>
        <w:spacing w:after="0" w:line="159" w:lineRule="exact"/>
        <w:rPr>
          <w:sz w:val="20"/>
          <w:szCs w:val="20"/>
          <w:color w:val="auto"/>
        </w:rPr>
      </w:pPr>
    </w:p>
    <w:p>
      <w:pPr>
        <w:ind w:left="5660"/>
        <w:spacing w:after="0"/>
        <w:rPr>
          <w:sz w:val="20"/>
          <w:szCs w:val="20"/>
          <w:color w:val="auto"/>
        </w:rPr>
      </w:pPr>
      <w:r>
        <w:rPr>
          <w:rFonts w:ascii="Arial" w:cs="Arial" w:eastAsia="Arial" w:hAnsi="Arial"/>
          <w:sz w:val="24"/>
          <w:szCs w:val="24"/>
          <w:color w:val="4B5457"/>
        </w:rPr>
        <w:t>In wet-AMD, 40%-50% market share in</w:t>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25"/>
          <w:szCs w:val="25"/>
          <w:color w:val="4B5457"/>
        </w:rPr>
        <w:t>Australia, Japan and Germany</w:t>
      </w:r>
    </w:p>
    <w:p>
      <w:pPr>
        <w:spacing w:after="0" w:line="101" w:lineRule="exact"/>
        <w:rPr>
          <w:sz w:val="20"/>
          <w:szCs w:val="20"/>
          <w:color w:val="auto"/>
        </w:rPr>
      </w:pPr>
    </w:p>
    <w:p>
      <w:pPr>
        <w:ind w:left="5660"/>
        <w:spacing w:after="0"/>
        <w:rPr>
          <w:sz w:val="20"/>
          <w:szCs w:val="20"/>
          <w:color w:val="auto"/>
        </w:rPr>
      </w:pPr>
      <w:r>
        <w:rPr>
          <w:rFonts w:ascii="Arial" w:cs="Arial" w:eastAsia="Arial" w:hAnsi="Arial"/>
          <w:sz w:val="24"/>
          <w:szCs w:val="24"/>
          <w:color w:val="4B5457"/>
        </w:rPr>
        <w:t>Approved for macular edema following</w:t>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25"/>
          <w:szCs w:val="25"/>
          <w:color w:val="4B5457"/>
        </w:rPr>
        <w:t>CRVO in EU and Japan</w:t>
      </w:r>
    </w:p>
    <w:p>
      <w:pPr>
        <w:spacing w:after="0" w:line="259"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4B5457"/>
        </w:rPr>
        <w:t>Ex-U.S. sales contributing to bottom line</w:t>
      </w:r>
    </w:p>
    <w:p>
      <w:pPr>
        <w:spacing w:after="0" w:line="183" w:lineRule="exact"/>
        <w:rPr>
          <w:sz w:val="20"/>
          <w:szCs w:val="20"/>
          <w:color w:val="auto"/>
        </w:rPr>
      </w:pPr>
    </w:p>
    <w:p>
      <w:pPr>
        <w:ind w:left="5120"/>
        <w:spacing w:after="0"/>
        <w:rPr>
          <w:sz w:val="20"/>
          <w:szCs w:val="20"/>
          <w:color w:val="auto"/>
        </w:rPr>
      </w:pPr>
      <w:r>
        <w:rPr>
          <w:rFonts w:ascii="Arial" w:cs="Arial" w:eastAsia="Arial" w:hAnsi="Arial"/>
          <w:sz w:val="25"/>
          <w:szCs w:val="25"/>
          <w:b w:val="1"/>
          <w:bCs w:val="1"/>
          <w:color w:val="4B5457"/>
        </w:rPr>
        <w:t>DME submitted in EU</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25"/>
          <w:szCs w:val="25"/>
          <w:b w:val="1"/>
          <w:bCs w:val="1"/>
          <w:color w:val="4B5457"/>
        </w:rPr>
        <w:t>Myopic CNV filed in Japan</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25"/>
          <w:szCs w:val="25"/>
          <w:b w:val="1"/>
          <w:bCs w:val="1"/>
          <w:color w:val="4B5457"/>
        </w:rPr>
        <w:t>Global macular edema following BRVO</w:t>
      </w:r>
    </w:p>
    <w:p>
      <w:pPr>
        <w:spacing w:after="0" w:line="40" w:lineRule="exact"/>
        <w:rPr>
          <w:sz w:val="20"/>
          <w:szCs w:val="20"/>
          <w:color w:val="auto"/>
        </w:rPr>
      </w:pPr>
    </w:p>
    <w:p>
      <w:pPr>
        <w:ind w:left="5120"/>
        <w:spacing w:after="0"/>
        <w:rPr>
          <w:sz w:val="20"/>
          <w:szCs w:val="20"/>
          <w:color w:val="auto"/>
        </w:rPr>
      </w:pPr>
      <w:r>
        <w:rPr>
          <w:rFonts w:ascii="Arial" w:cs="Arial" w:eastAsia="Arial" w:hAnsi="Arial"/>
          <w:sz w:val="25"/>
          <w:szCs w:val="25"/>
          <w:b w:val="1"/>
          <w:bCs w:val="1"/>
          <w:color w:val="4B5457"/>
        </w:rPr>
        <w:t>submission expected in 2014</w:t>
      </w:r>
    </w:p>
    <w:p>
      <w:pPr>
        <w:spacing w:after="0" w:line="135"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4B5457"/>
        </w:rPr>
        <w:t>DME : Diabetic Macular Edema</w:t>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4B5457"/>
        </w:rPr>
        <w:t>AMD: Age-related macular degeneration</w:t>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4B5457"/>
        </w:rPr>
        <w:t>CRVO : Central Retinal Vein Occlusion</w:t>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4B5457"/>
        </w:rPr>
        <w:t>BRVO : Branch Retinal vein Occlusion</w:t>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4B5457"/>
        </w:rPr>
        <w:t>CNV : Choroidal Neovascularization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14 | Copyright Regeneron 2014</w:t>
      </w:r>
    </w:p>
    <w:p>
      <w:pPr>
        <w:sectPr>
          <w:pgSz w:w="11900" w:h="16838" w:orient="portrait"/>
          <w:cols w:equalWidth="0" w:num="1">
            <w:col w:w="9920"/>
          </w:cols>
          <w:pgMar w:left="1040" w:top="515" w:right="939" w:bottom="1440" w:gutter="0" w:footer="0" w:header="0"/>
        </w:sectPr>
      </w:pPr>
    </w:p>
    <w:bookmarkStart w:id="18" w:name="page19"/>
    <w:bookmarkEnd w:id="18"/>
    <w:p>
      <w:pPr>
        <w:ind w:left="480"/>
        <w:spacing w:after="0"/>
        <w:tabs>
          <w:tab w:leader="none" w:pos="3440" w:val="left"/>
        </w:tabs>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r>
      <w:r>
        <w:rPr>
          <w:sz w:val="20"/>
          <w:szCs w:val="20"/>
          <w:color w:val="auto"/>
        </w:rPr>
        <w:tab/>
      </w:r>
      <w:r>
        <w:rPr>
          <w:rFonts w:ascii="Arial" w:cs="Arial" w:eastAsia="Arial" w:hAnsi="Arial"/>
          <w:sz w:val="42"/>
          <w:szCs w:val="42"/>
          <w:b w:val="1"/>
          <w:bCs w:val="1"/>
          <w:color w:val="FFFFFF"/>
        </w:rPr>
        <w:t>Optimize and Extend EYLEA</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Protecting the Long Term Value of The Retina Franchise</w:t>
      </w:r>
    </w:p>
    <w:p>
      <w:pPr>
        <w:sectPr>
          <w:pgSz w:w="11900" w:h="16838" w:orient="portrait"/>
          <w:cols w:equalWidth="0" w:num="1">
            <w:col w:w="9740"/>
          </w:cols>
          <w:pgMar w:left="1020" w:top="51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80"/>
        <w:spacing w:after="0"/>
        <w:rPr>
          <w:sz w:val="20"/>
          <w:szCs w:val="20"/>
          <w:color w:val="auto"/>
        </w:rPr>
      </w:pPr>
      <w:r>
        <w:rPr>
          <w:rFonts w:ascii="Arial" w:cs="Arial" w:eastAsia="Arial" w:hAnsi="Arial"/>
          <w:sz w:val="28"/>
          <w:szCs w:val="28"/>
          <w:b w:val="1"/>
          <w:bCs w:val="1"/>
          <w:color w:val="0070C0"/>
        </w:rPr>
        <w:t>PDGFR-</w:t>
      </w:r>
    </w:p>
    <w:p>
      <w:pPr>
        <w:spacing w:after="0" w:line="279" w:lineRule="exact"/>
        <w:rPr>
          <w:sz w:val="20"/>
          <w:szCs w:val="20"/>
          <w:color w:val="auto"/>
        </w:rPr>
      </w:pPr>
    </w:p>
    <w:p>
      <w:pPr>
        <w:ind w:left="200" w:right="460"/>
        <w:spacing w:after="0" w:line="207" w:lineRule="auto"/>
        <w:rPr>
          <w:sz w:val="20"/>
          <w:szCs w:val="20"/>
          <w:color w:val="auto"/>
        </w:rPr>
      </w:pPr>
      <w:r>
        <w:rPr>
          <w:rFonts w:ascii="Arial" w:cs="Arial" w:eastAsia="Arial" w:hAnsi="Arial"/>
          <w:sz w:val="24"/>
          <w:szCs w:val="24"/>
          <w:b w:val="1"/>
          <w:bCs w:val="1"/>
          <w:color w:val="4B5457"/>
        </w:rPr>
        <w:t>PDGFR- /EYLEA</w:t>
      </w:r>
      <w:r>
        <w:rPr>
          <w:rFonts w:ascii="Arial" w:cs="Arial" w:eastAsia="Arial" w:hAnsi="Arial"/>
          <w:sz w:val="30"/>
          <w:szCs w:val="30"/>
          <w:b w:val="1"/>
          <w:bCs w:val="1"/>
          <w:color w:val="4B5457"/>
          <w:vertAlign w:val="superscript"/>
        </w:rPr>
        <w:t>®</w:t>
      </w:r>
      <w:r>
        <w:rPr>
          <w:rFonts w:ascii="Arial" w:cs="Arial" w:eastAsia="Arial" w:hAnsi="Arial"/>
          <w:sz w:val="24"/>
          <w:szCs w:val="24"/>
          <w:b w:val="1"/>
          <w:bCs w:val="1"/>
          <w:color w:val="4B5457"/>
        </w:rPr>
        <w:t xml:space="preserve"> co-formulation IND submitted in December 2013</w:t>
      </w:r>
    </w:p>
    <w:p>
      <w:pPr>
        <w:spacing w:after="0" w:line="64" w:lineRule="exact"/>
        <w:rPr>
          <w:sz w:val="20"/>
          <w:szCs w:val="20"/>
          <w:color w:val="auto"/>
        </w:rPr>
      </w:pPr>
    </w:p>
    <w:p>
      <w:pPr>
        <w:ind w:left="200" w:right="1080"/>
        <w:spacing w:after="0" w:line="233" w:lineRule="auto"/>
        <w:rPr>
          <w:sz w:val="20"/>
          <w:szCs w:val="20"/>
          <w:color w:val="auto"/>
        </w:rPr>
      </w:pPr>
      <w:r>
        <w:rPr>
          <w:rFonts w:ascii="Arial" w:cs="Arial" w:eastAsia="Arial" w:hAnsi="Arial"/>
          <w:sz w:val="24"/>
          <w:szCs w:val="24"/>
          <w:b w:val="1"/>
          <w:bCs w:val="1"/>
          <w:color w:val="4B5457"/>
        </w:rPr>
        <w:t>First patient enrolled in Phase 1 expected in 1Q14</w:t>
      </w:r>
    </w:p>
    <w:p>
      <w:pPr>
        <w:spacing w:after="0" w:line="64" w:lineRule="exact"/>
        <w:rPr>
          <w:sz w:val="20"/>
          <w:szCs w:val="20"/>
          <w:color w:val="auto"/>
        </w:rPr>
      </w:pPr>
    </w:p>
    <w:p>
      <w:pPr>
        <w:ind w:left="200" w:right="700"/>
        <w:spacing w:after="0" w:line="238" w:lineRule="auto"/>
        <w:rPr>
          <w:sz w:val="20"/>
          <w:szCs w:val="20"/>
          <w:color w:val="auto"/>
        </w:rPr>
      </w:pPr>
      <w:r>
        <w:rPr>
          <w:rFonts w:ascii="Arial" w:cs="Arial" w:eastAsia="Arial" w:hAnsi="Arial"/>
          <w:sz w:val="24"/>
          <w:szCs w:val="24"/>
          <w:b w:val="1"/>
          <w:bCs w:val="1"/>
          <w:color w:val="4B5457"/>
        </w:rPr>
        <w:t>Regeneron owns 100% commercial rights in U.S.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4"/>
          <w:szCs w:val="24"/>
          <w:b w:val="1"/>
          <w:bCs w:val="1"/>
          <w:color w:val="4B5457"/>
        </w:rPr>
        <w:t>Bayer collaborating outside the U.S.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4B5457"/>
        </w:rPr>
        <w:t>$25.5M upfront</w:t>
      </w:r>
    </w:p>
    <w:p>
      <w:pPr>
        <w:spacing w:after="0" w:line="100" w:lineRule="exact"/>
        <w:rPr>
          <w:sz w:val="20"/>
          <w:szCs w:val="20"/>
          <w:color w:val="auto"/>
        </w:rPr>
      </w:pPr>
    </w:p>
    <w:p>
      <w:pPr>
        <w:ind w:left="420" w:right="1140"/>
        <w:spacing w:after="0" w:line="260" w:lineRule="auto"/>
        <w:rPr>
          <w:sz w:val="20"/>
          <w:szCs w:val="20"/>
          <w:color w:val="auto"/>
        </w:rPr>
      </w:pPr>
      <w:r>
        <w:rPr>
          <w:rFonts w:ascii="Arial" w:cs="Arial" w:eastAsia="Arial" w:hAnsi="Arial"/>
          <w:sz w:val="24"/>
          <w:szCs w:val="24"/>
          <w:b w:val="1"/>
          <w:bCs w:val="1"/>
          <w:color w:val="4B5457"/>
        </w:rPr>
        <w:t>$40M in option and milestone payments</w:t>
      </w:r>
    </w:p>
    <w:p>
      <w:pPr>
        <w:spacing w:after="0" w:line="2" w:lineRule="exact"/>
        <w:rPr>
          <w:sz w:val="20"/>
          <w:szCs w:val="20"/>
          <w:color w:val="auto"/>
        </w:rPr>
      </w:pPr>
    </w:p>
    <w:p>
      <w:pPr>
        <w:ind w:left="420" w:right="1580"/>
        <w:spacing w:after="0" w:line="306" w:lineRule="auto"/>
        <w:rPr>
          <w:sz w:val="20"/>
          <w:szCs w:val="20"/>
          <w:color w:val="auto"/>
        </w:rPr>
      </w:pPr>
      <w:r>
        <w:rPr>
          <w:rFonts w:ascii="Arial" w:cs="Arial" w:eastAsia="Arial" w:hAnsi="Arial"/>
          <w:sz w:val="22"/>
          <w:szCs w:val="22"/>
          <w:b w:val="1"/>
          <w:bCs w:val="1"/>
          <w:color w:val="4B5457"/>
        </w:rPr>
        <w:t>Bayer/REGN share global development expenses</w:t>
      </w:r>
    </w:p>
    <w:p>
      <w:pPr>
        <w:spacing w:after="0" w:line="2" w:lineRule="exact"/>
        <w:rPr>
          <w:sz w:val="20"/>
          <w:szCs w:val="20"/>
          <w:color w:val="auto"/>
        </w:rPr>
      </w:pPr>
    </w:p>
    <w:p>
      <w:pPr>
        <w:ind w:left="400" w:right="600"/>
        <w:spacing w:after="0" w:line="250" w:lineRule="auto"/>
        <w:rPr>
          <w:sz w:val="20"/>
          <w:szCs w:val="20"/>
          <w:color w:val="auto"/>
        </w:rPr>
      </w:pPr>
      <w:r>
        <w:rPr>
          <w:rFonts w:ascii="Arial" w:cs="Arial" w:eastAsia="Arial" w:hAnsi="Arial"/>
          <w:sz w:val="24"/>
          <w:szCs w:val="24"/>
          <w:b w:val="1"/>
          <w:bCs w:val="1"/>
          <w:color w:val="4B5457"/>
        </w:rPr>
        <w:t>Bayer responsible for certain third party royalties and share of milestones</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4"/>
          <w:szCs w:val="24"/>
          <w:b w:val="1"/>
          <w:bCs w:val="1"/>
          <w:color w:val="4B5457"/>
        </w:rPr>
        <w:t>Companies share profits equally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0070C0"/>
        </w:rPr>
        <w:t>ANG2</w:t>
      </w:r>
    </w:p>
    <w:p>
      <w:pPr>
        <w:spacing w:after="0" w:line="339" w:lineRule="exact"/>
        <w:rPr>
          <w:sz w:val="20"/>
          <w:szCs w:val="20"/>
          <w:color w:val="auto"/>
        </w:rPr>
      </w:pPr>
    </w:p>
    <w:p>
      <w:pPr>
        <w:ind w:left="100" w:right="460"/>
        <w:spacing w:after="0" w:line="230" w:lineRule="auto"/>
        <w:rPr>
          <w:sz w:val="20"/>
          <w:szCs w:val="20"/>
          <w:color w:val="auto"/>
        </w:rPr>
      </w:pPr>
      <w:r>
        <w:rPr>
          <w:rFonts w:ascii="Arial" w:cs="Arial" w:eastAsia="Arial" w:hAnsi="Arial"/>
          <w:sz w:val="25"/>
          <w:szCs w:val="25"/>
          <w:b w:val="1"/>
          <w:bCs w:val="1"/>
          <w:color w:val="4F5457"/>
        </w:rPr>
        <w:t>Intravitreal co-formulation with EYLEA</w:t>
      </w:r>
      <w:r>
        <w:rPr>
          <w:rFonts w:ascii="Arial" w:cs="Arial" w:eastAsia="Arial" w:hAnsi="Arial"/>
          <w:sz w:val="35"/>
          <w:szCs w:val="35"/>
          <w:b w:val="1"/>
          <w:bCs w:val="1"/>
          <w:color w:val="4F5457"/>
          <w:vertAlign w:val="superscript"/>
        </w:rPr>
        <w:t>®</w:t>
      </w:r>
      <w:r>
        <w:rPr>
          <w:rFonts w:ascii="Arial" w:cs="Arial" w:eastAsia="Arial" w:hAnsi="Arial"/>
          <w:sz w:val="25"/>
          <w:szCs w:val="25"/>
          <w:b w:val="1"/>
          <w:bCs w:val="1"/>
          <w:color w:val="4F5457"/>
        </w:rPr>
        <w:t xml:space="preserve"> : IND expected to be submitted in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4"/>
          <w:szCs w:val="34"/>
          <w:b w:val="1"/>
          <w:bCs w:val="1"/>
          <w:color w:val="0070C0"/>
        </w:rPr>
        <w:t>Ophthalmology Research</w:t>
      </w:r>
    </w:p>
    <w:p>
      <w:pPr>
        <w:spacing w:after="0" w:line="200" w:lineRule="exact"/>
        <w:rPr>
          <w:sz w:val="20"/>
          <w:szCs w:val="20"/>
          <w:color w:val="auto"/>
        </w:rPr>
      </w:pPr>
    </w:p>
    <w:p>
      <w:pPr>
        <w:spacing w:after="0" w:line="364" w:lineRule="exact"/>
        <w:rPr>
          <w:sz w:val="20"/>
          <w:szCs w:val="20"/>
          <w:color w:val="auto"/>
        </w:rPr>
      </w:pPr>
    </w:p>
    <w:p>
      <w:pPr>
        <w:ind w:left="20" w:right="180"/>
        <w:spacing w:after="0" w:line="288" w:lineRule="auto"/>
        <w:rPr>
          <w:sz w:val="20"/>
          <w:szCs w:val="20"/>
          <w:color w:val="auto"/>
        </w:rPr>
      </w:pPr>
      <w:r>
        <w:rPr>
          <w:rFonts w:ascii="Arial" w:cs="Arial" w:eastAsia="Arial" w:hAnsi="Arial"/>
          <w:sz w:val="25"/>
          <w:szCs w:val="25"/>
          <w:b w:val="1"/>
          <w:bCs w:val="1"/>
          <w:color w:val="4B5457"/>
        </w:rPr>
        <w:t>Commitment to remain a leader in retinal diseases</w:t>
      </w:r>
    </w:p>
    <w:p>
      <w:pPr>
        <w:spacing w:after="0" w:line="27" w:lineRule="exact"/>
        <w:rPr>
          <w:sz w:val="20"/>
          <w:szCs w:val="20"/>
          <w:color w:val="auto"/>
        </w:rPr>
      </w:pPr>
    </w:p>
    <w:p>
      <w:pPr>
        <w:ind w:left="20"/>
        <w:spacing w:after="0" w:line="288" w:lineRule="auto"/>
        <w:rPr>
          <w:sz w:val="20"/>
          <w:szCs w:val="20"/>
          <w:color w:val="auto"/>
        </w:rPr>
      </w:pPr>
      <w:r>
        <w:rPr>
          <w:rFonts w:ascii="Arial" w:cs="Arial" w:eastAsia="Arial" w:hAnsi="Arial"/>
          <w:sz w:val="25"/>
          <w:szCs w:val="25"/>
          <w:b w:val="1"/>
          <w:bCs w:val="1"/>
          <w:color w:val="4B5457"/>
        </w:rPr>
        <w:t>Investment in internal research and external collaborations</w:t>
      </w:r>
    </w:p>
    <w:p>
      <w:pPr>
        <w:spacing w:after="0" w:line="473" w:lineRule="exact"/>
        <w:rPr>
          <w:sz w:val="20"/>
          <w:szCs w:val="20"/>
          <w:color w:val="auto"/>
        </w:rPr>
      </w:pPr>
    </w:p>
    <w:p>
      <w:pPr>
        <w:sectPr>
          <w:pgSz w:w="11900" w:h="16838" w:orient="portrait"/>
          <w:cols w:equalWidth="0" w:num="2">
            <w:col w:w="4840" w:space="720"/>
            <w:col w:w="4180"/>
          </w:cols>
          <w:pgMar w:left="1020" w:top="515" w:right="11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15 | Copyright Regeneron 2014</w:t>
      </w:r>
    </w:p>
    <w:p>
      <w:pPr>
        <w:sectPr>
          <w:pgSz w:w="11900" w:h="16838" w:orient="portrait"/>
          <w:cols w:equalWidth="0" w:num="1">
            <w:col w:w="9740"/>
          </w:cols>
          <w:pgMar w:left="1020" w:top="515" w:right="113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56"/>
          <w:szCs w:val="56"/>
          <w:b w:val="1"/>
          <w:bCs w:val="1"/>
          <w:color w:val="FFFFFF"/>
        </w:rPr>
        <w:t>Late Stage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16 | Copyright Regeneron 2014</w:t>
      </w:r>
    </w:p>
    <w:p>
      <w:pPr>
        <w:sectPr>
          <w:pgSz w:w="11900" w:h="16838" w:orient="portrait"/>
          <w:cols w:equalWidth="0" w:num="1">
            <w:col w:w="9439"/>
          </w:cols>
          <w:pgMar w:left="1020" w:top="1440" w:right="1440" w:bottom="1440" w:gutter="0" w:footer="0" w:header="0"/>
        </w:sectPr>
      </w:pPr>
    </w:p>
    <w:bookmarkStart w:id="20" w:name="page21"/>
    <w:bookmarkEnd w:id="20"/>
    <w:p>
      <w:pPr>
        <w:ind w:left="480"/>
        <w:spacing w:after="0"/>
        <w:tabs>
          <w:tab w:leader="none" w:pos="3440" w:val="left"/>
        </w:tabs>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r>
      <w:r>
        <w:rPr>
          <w:sz w:val="20"/>
          <w:szCs w:val="20"/>
          <w:color w:val="auto"/>
        </w:rPr>
        <w:tab/>
      </w:r>
      <w:r>
        <w:rPr>
          <w:rFonts w:ascii="Arial" w:cs="Arial" w:eastAsia="Arial" w:hAnsi="Arial"/>
          <w:sz w:val="42"/>
          <w:szCs w:val="42"/>
          <w:b w:val="1"/>
          <w:bCs w:val="1"/>
          <w:color w:val="FFFFFF"/>
        </w:rPr>
        <w:t>Advance Late Stage Pipeline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Late Stage Pipeline Expected to Drive Continued Top-Line Growth</w:t>
      </w:r>
    </w:p>
    <w:p>
      <w:pPr>
        <w:sectPr>
          <w:pgSz w:w="11900" w:h="16838" w:orient="portrait"/>
          <w:cols w:equalWidth="0" w:num="1">
            <w:col w:w="9960"/>
          </w:cols>
          <w:pgMar w:left="1020" w:top="51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0C0"/>
        </w:rPr>
        <w:t>Three Late Stage Programs</w:t>
      </w:r>
    </w:p>
    <w:p>
      <w:pPr>
        <w:spacing w:after="0" w:line="288" w:lineRule="exact"/>
        <w:rPr>
          <w:sz w:val="20"/>
          <w:szCs w:val="20"/>
          <w:color w:val="auto"/>
        </w:rPr>
      </w:pPr>
    </w:p>
    <w:p>
      <w:pPr>
        <w:ind w:left="220" w:right="100"/>
        <w:spacing w:after="0" w:line="286" w:lineRule="auto"/>
        <w:rPr>
          <w:sz w:val="20"/>
          <w:szCs w:val="20"/>
          <w:color w:val="auto"/>
        </w:rPr>
      </w:pPr>
      <w:r>
        <w:rPr>
          <w:rFonts w:ascii="Arial" w:cs="Arial" w:eastAsia="Arial" w:hAnsi="Arial"/>
          <w:sz w:val="22"/>
          <w:szCs w:val="22"/>
          <w:b w:val="1"/>
          <w:bCs w:val="1"/>
          <w:color w:val="4B5457"/>
        </w:rPr>
        <w:t>All three programs—alirocumab, sarilumab and dupilumab—are part of Sanofi collaboration</w:t>
      </w:r>
    </w:p>
    <w:p>
      <w:pPr>
        <w:spacing w:after="0" w:line="67" w:lineRule="exact"/>
        <w:rPr>
          <w:sz w:val="20"/>
          <w:szCs w:val="20"/>
          <w:color w:val="auto"/>
        </w:rPr>
      </w:pPr>
    </w:p>
    <w:p>
      <w:pPr>
        <w:ind w:left="220" w:right="520"/>
        <w:spacing w:after="0" w:line="286" w:lineRule="auto"/>
        <w:rPr>
          <w:sz w:val="20"/>
          <w:szCs w:val="20"/>
          <w:color w:val="auto"/>
        </w:rPr>
      </w:pPr>
      <w:r>
        <w:rPr>
          <w:rFonts w:ascii="Arial" w:cs="Arial" w:eastAsia="Arial" w:hAnsi="Arial"/>
          <w:sz w:val="22"/>
          <w:szCs w:val="22"/>
          <w:b w:val="1"/>
          <w:bCs w:val="1"/>
          <w:color w:val="4B5457"/>
        </w:rPr>
        <w:t>Two programs with positive Phase 3 data in 2013: alirocumab &amp; sarilumab</w:t>
      </w:r>
    </w:p>
    <w:p>
      <w:pPr>
        <w:spacing w:after="0" w:line="67" w:lineRule="exact"/>
        <w:rPr>
          <w:sz w:val="20"/>
          <w:szCs w:val="20"/>
          <w:color w:val="auto"/>
        </w:rPr>
      </w:pPr>
    </w:p>
    <w:p>
      <w:pPr>
        <w:ind w:left="220" w:right="100"/>
        <w:spacing w:after="0" w:line="297" w:lineRule="auto"/>
        <w:rPr>
          <w:sz w:val="20"/>
          <w:szCs w:val="20"/>
          <w:color w:val="auto"/>
        </w:rPr>
      </w:pPr>
      <w:r>
        <w:rPr>
          <w:rFonts w:ascii="Arial" w:cs="Arial" w:eastAsia="Arial" w:hAnsi="Arial"/>
          <w:sz w:val="22"/>
          <w:szCs w:val="22"/>
          <w:b w:val="1"/>
          <w:bCs w:val="1"/>
          <w:color w:val="4B5457"/>
        </w:rPr>
        <w:t>Potential for four major regulatory submissions or approvals in next five years*: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22"/>
          <w:szCs w:val="22"/>
          <w:color w:val="4B5457"/>
        </w:rPr>
        <w:t>Alirocumab for LDL lowering</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2"/>
          <w:szCs w:val="22"/>
          <w:color w:val="4B5457"/>
        </w:rPr>
        <w:t>Sarilumab for rheumatoid arthritis</w:t>
      </w:r>
    </w:p>
    <w:p>
      <w:pPr>
        <w:spacing w:after="0" w:line="147" w:lineRule="exact"/>
        <w:rPr>
          <w:sz w:val="20"/>
          <w:szCs w:val="20"/>
          <w:color w:val="auto"/>
        </w:rPr>
      </w:pPr>
    </w:p>
    <w:p>
      <w:pPr>
        <w:ind w:left="500" w:right="1780"/>
        <w:spacing w:after="0" w:line="382" w:lineRule="auto"/>
        <w:rPr>
          <w:sz w:val="20"/>
          <w:szCs w:val="20"/>
          <w:color w:val="auto"/>
        </w:rPr>
      </w:pPr>
      <w:r>
        <w:rPr>
          <w:rFonts w:ascii="Arial" w:cs="Arial" w:eastAsia="Arial" w:hAnsi="Arial"/>
          <w:sz w:val="22"/>
          <w:szCs w:val="22"/>
          <w:color w:val="4B5457"/>
        </w:rPr>
        <w:t>Dupilumab for atopic dermatitis Dupilumab for asthma</w:t>
      </w:r>
    </w:p>
    <w:p>
      <w:pPr>
        <w:spacing w:after="0" w:line="366" w:lineRule="exact"/>
        <w:rPr>
          <w:sz w:val="20"/>
          <w:szCs w:val="20"/>
          <w:color w:val="auto"/>
        </w:rPr>
      </w:pPr>
    </w:p>
    <w:p>
      <w:pPr>
        <w:ind w:left="220" w:hanging="7"/>
        <w:spacing w:after="0" w:line="265" w:lineRule="auto"/>
        <w:tabs>
          <w:tab w:leader="none" w:pos="369" w:val="left"/>
        </w:tabs>
        <w:numPr>
          <w:ilvl w:val="0"/>
          <w:numId w:val="4"/>
        </w:numPr>
        <w:rPr>
          <w:rFonts w:ascii="Arial" w:cs="Arial" w:eastAsia="Arial" w:hAnsi="Arial"/>
          <w:sz w:val="22"/>
          <w:szCs w:val="22"/>
          <w:b w:val="1"/>
          <w:bCs w:val="1"/>
          <w:color w:val="1F95E0"/>
        </w:rPr>
      </w:pPr>
      <w:r>
        <w:rPr>
          <w:rFonts w:ascii="Arial" w:cs="Arial" w:eastAsia="Arial" w:hAnsi="Arial"/>
          <w:sz w:val="22"/>
          <w:szCs w:val="22"/>
          <w:b w:val="1"/>
          <w:bCs w:val="1"/>
          <w:color w:val="1F95E0"/>
        </w:rPr>
        <w:t>Including EYLEA</w:t>
      </w:r>
      <w:r>
        <w:rPr>
          <w:rFonts w:ascii="Arial" w:cs="Arial" w:eastAsia="Arial" w:hAnsi="Arial"/>
          <w:sz w:val="14"/>
          <w:szCs w:val="14"/>
          <w:b w:val="1"/>
          <w:bCs w:val="1"/>
          <w:color w:val="1F95E0"/>
        </w:rPr>
        <w:t>®</w:t>
      </w:r>
      <w:r>
        <w:rPr>
          <w:rFonts w:ascii="Arial" w:cs="Arial" w:eastAsia="Arial" w:hAnsi="Arial"/>
          <w:sz w:val="22"/>
          <w:szCs w:val="22"/>
          <w:b w:val="1"/>
          <w:bCs w:val="1"/>
          <w:color w:val="1F95E0"/>
        </w:rPr>
        <w:t xml:space="preserve"> for DME, five major regulatory submissions or approvals in next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60"/>
        <w:spacing w:after="0"/>
        <w:tabs>
          <w:tab w:leader="none" w:pos="3120" w:val="left"/>
        </w:tabs>
        <w:rPr>
          <w:sz w:val="20"/>
          <w:szCs w:val="20"/>
          <w:color w:val="auto"/>
        </w:rPr>
      </w:pPr>
      <w:r>
        <w:rPr>
          <w:rFonts w:ascii="Arial" w:cs="Arial" w:eastAsia="Arial" w:hAnsi="Arial"/>
          <w:sz w:val="25"/>
          <w:szCs w:val="25"/>
          <w:b w:val="1"/>
          <w:bCs w:val="1"/>
          <w:color w:val="0070C0"/>
        </w:rPr>
        <w:t>Alirocumab</w:t>
      </w:r>
      <w:r>
        <w:rPr>
          <w:sz w:val="20"/>
          <w:szCs w:val="20"/>
          <w:color w:val="auto"/>
        </w:rPr>
        <w:tab/>
      </w:r>
      <w:r>
        <w:rPr>
          <w:rFonts w:ascii="Arial" w:cs="Arial" w:eastAsia="Arial" w:hAnsi="Arial"/>
          <w:sz w:val="19"/>
          <w:szCs w:val="19"/>
          <w:b w:val="1"/>
          <w:bCs w:val="1"/>
          <w:color w:val="FFFFFF"/>
        </w:rPr>
        <w:t>PHASE 3</w:t>
      </w:r>
    </w:p>
    <w:p>
      <w:pPr>
        <w:spacing w:after="0" w:line="326" w:lineRule="exact"/>
        <w:rPr>
          <w:sz w:val="20"/>
          <w:szCs w:val="20"/>
          <w:color w:val="auto"/>
        </w:rPr>
      </w:pPr>
    </w:p>
    <w:p>
      <w:pPr>
        <w:ind w:left="60" w:right="880"/>
        <w:spacing w:after="0" w:line="286" w:lineRule="auto"/>
        <w:rPr>
          <w:sz w:val="20"/>
          <w:szCs w:val="20"/>
          <w:color w:val="auto"/>
        </w:rPr>
      </w:pPr>
      <w:r>
        <w:rPr>
          <w:rFonts w:ascii="Arial" w:cs="Arial" w:eastAsia="Arial" w:hAnsi="Arial"/>
          <w:sz w:val="22"/>
          <w:szCs w:val="22"/>
          <w:b w:val="1"/>
          <w:bCs w:val="1"/>
          <w:color w:val="4B5457"/>
        </w:rPr>
        <w:t>PCSK9 antibody for elevated cholesterol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120" w:val="left"/>
        </w:tabs>
        <w:rPr>
          <w:sz w:val="20"/>
          <w:szCs w:val="20"/>
          <w:color w:val="auto"/>
        </w:rPr>
      </w:pPr>
      <w:r>
        <w:rPr>
          <w:rFonts w:ascii="Arial" w:cs="Arial" w:eastAsia="Arial" w:hAnsi="Arial"/>
          <w:sz w:val="25"/>
          <w:szCs w:val="25"/>
          <w:b w:val="1"/>
          <w:bCs w:val="1"/>
          <w:color w:val="0070C0"/>
        </w:rPr>
        <w:t>Sarilumab</w:t>
      </w:r>
      <w:r>
        <w:rPr>
          <w:sz w:val="20"/>
          <w:szCs w:val="20"/>
          <w:color w:val="auto"/>
        </w:rPr>
        <w:tab/>
      </w:r>
      <w:r>
        <w:rPr>
          <w:rFonts w:ascii="Arial" w:cs="Arial" w:eastAsia="Arial" w:hAnsi="Arial"/>
          <w:sz w:val="19"/>
          <w:szCs w:val="19"/>
          <w:b w:val="1"/>
          <w:bCs w:val="1"/>
          <w:color w:val="FFFFFF"/>
        </w:rPr>
        <w:t>PHASE 3</w:t>
      </w:r>
    </w:p>
    <w:p>
      <w:pPr>
        <w:spacing w:after="0" w:line="349" w:lineRule="exact"/>
        <w:rPr>
          <w:sz w:val="20"/>
          <w:szCs w:val="20"/>
          <w:color w:val="auto"/>
        </w:rPr>
      </w:pPr>
    </w:p>
    <w:p>
      <w:pPr>
        <w:ind w:right="860"/>
        <w:spacing w:after="0" w:line="297" w:lineRule="auto"/>
        <w:rPr>
          <w:sz w:val="20"/>
          <w:szCs w:val="20"/>
          <w:color w:val="auto"/>
        </w:rPr>
      </w:pPr>
      <w:r>
        <w:rPr>
          <w:rFonts w:ascii="Arial" w:cs="Arial" w:eastAsia="Arial" w:hAnsi="Arial"/>
          <w:sz w:val="22"/>
          <w:szCs w:val="22"/>
          <w:b w:val="1"/>
          <w:bCs w:val="1"/>
          <w:color w:val="4B5457"/>
        </w:rPr>
        <w:t>IL6R antibody for rheumatoid arthritis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tabs>
          <w:tab w:leader="none" w:pos="3140" w:val="left"/>
        </w:tabs>
        <w:rPr>
          <w:sz w:val="20"/>
          <w:szCs w:val="20"/>
          <w:color w:val="auto"/>
        </w:rPr>
      </w:pPr>
      <w:r>
        <w:rPr>
          <w:rFonts w:ascii="Arial" w:cs="Arial" w:eastAsia="Arial" w:hAnsi="Arial"/>
          <w:sz w:val="25"/>
          <w:szCs w:val="25"/>
          <w:b w:val="1"/>
          <w:bCs w:val="1"/>
          <w:color w:val="0070C0"/>
        </w:rPr>
        <w:t>Dupilumab</w:t>
      </w:r>
      <w:r>
        <w:rPr>
          <w:sz w:val="20"/>
          <w:szCs w:val="20"/>
          <w:color w:val="auto"/>
        </w:rPr>
        <w:tab/>
      </w:r>
      <w:r>
        <w:rPr>
          <w:rFonts w:ascii="Arial" w:cs="Arial" w:eastAsia="Arial" w:hAnsi="Arial"/>
          <w:sz w:val="19"/>
          <w:szCs w:val="19"/>
          <w:b w:val="1"/>
          <w:bCs w:val="1"/>
          <w:color w:val="FFFFFF"/>
        </w:rPr>
        <w:t>PHASE 2</w:t>
      </w:r>
    </w:p>
    <w:p>
      <w:pPr>
        <w:spacing w:after="0" w:line="314" w:lineRule="exact"/>
        <w:rPr>
          <w:sz w:val="20"/>
          <w:szCs w:val="20"/>
          <w:color w:val="auto"/>
        </w:rPr>
      </w:pPr>
    </w:p>
    <w:p>
      <w:pPr>
        <w:ind w:left="40" w:right="480"/>
        <w:spacing w:after="0" w:line="297" w:lineRule="auto"/>
        <w:rPr>
          <w:sz w:val="20"/>
          <w:szCs w:val="20"/>
          <w:color w:val="auto"/>
        </w:rPr>
      </w:pPr>
      <w:r>
        <w:rPr>
          <w:rFonts w:ascii="Arial" w:cs="Arial" w:eastAsia="Arial" w:hAnsi="Arial"/>
          <w:sz w:val="22"/>
          <w:szCs w:val="22"/>
          <w:b w:val="1"/>
          <w:bCs w:val="1"/>
          <w:color w:val="4B5457"/>
        </w:rPr>
        <w:t>IL4R antibody for asthma, atopic dermatitis and nasal polyposis</w:t>
      </w:r>
    </w:p>
    <w:p>
      <w:pPr>
        <w:spacing w:after="0" w:line="388" w:lineRule="exact"/>
        <w:rPr>
          <w:sz w:val="20"/>
          <w:szCs w:val="20"/>
          <w:color w:val="auto"/>
        </w:rPr>
      </w:pPr>
    </w:p>
    <w:p>
      <w:pPr>
        <w:sectPr>
          <w:pgSz w:w="11900" w:h="16838" w:orient="portrait"/>
          <w:cols w:equalWidth="0" w:num="2">
            <w:col w:w="5360" w:space="620"/>
            <w:col w:w="3980"/>
          </w:cols>
          <w:pgMar w:left="1020" w:top="515"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color w:val="54575E"/>
        </w:rPr>
        <w:t>Page 17 | Copyright Regeneron 2014</w:t>
      </w:r>
    </w:p>
    <w:p>
      <w:pPr>
        <w:sectPr>
          <w:pgSz w:w="11900" w:h="16838" w:orient="portrait"/>
          <w:cols w:equalWidth="0" w:num="1">
            <w:col w:w="9960"/>
          </w:cols>
          <w:pgMar w:left="1020" w:top="515" w:right="919" w:bottom="1440" w:gutter="0" w:footer="0" w:header="0"/>
          <w:type w:val="continuous"/>
        </w:sectPr>
      </w:pPr>
    </w:p>
    <w:bookmarkStart w:id="21" w:name="page22"/>
    <w:bookmarkEnd w:id="21"/>
    <w:p>
      <w:pPr>
        <w:ind w:left="480"/>
        <w:spacing w:after="0"/>
        <w:tabs>
          <w:tab w:leader="none" w:pos="346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Alirocumab</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28"/>
          <w:szCs w:val="28"/>
          <w:b w:val="1"/>
          <w:bCs w:val="1"/>
          <w:color w:val="D2EAF9"/>
        </w:rPr>
        <w:t>Advancing Late Stage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right="59"/>
        <w:spacing w:after="0" w:line="262" w:lineRule="auto"/>
        <w:rPr>
          <w:sz w:val="20"/>
          <w:szCs w:val="20"/>
          <w:color w:val="auto"/>
        </w:rPr>
      </w:pPr>
      <w:r>
        <w:rPr>
          <w:rFonts w:ascii="Arial" w:cs="Arial" w:eastAsia="Arial" w:hAnsi="Arial"/>
          <w:sz w:val="32"/>
          <w:szCs w:val="32"/>
          <w:b w:val="1"/>
          <w:bCs w:val="1"/>
          <w:color w:val="FFFFFF"/>
        </w:rPr>
        <w:t xml:space="preserve">Positive data from the alirocumab clinical trials have been published in peer-reviewed journals such as the </w:t>
      </w:r>
      <w:r>
        <w:rPr>
          <w:rFonts w:ascii="Arial" w:cs="Arial" w:eastAsia="Arial" w:hAnsi="Arial"/>
          <w:sz w:val="32"/>
          <w:szCs w:val="32"/>
          <w:b w:val="1"/>
          <w:bCs w:val="1"/>
          <w:i w:val="1"/>
          <w:iCs w:val="1"/>
          <w:color w:val="FFFFFF"/>
        </w:rPr>
        <w:t>New England</w:t>
      </w:r>
      <w:r>
        <w:rPr>
          <w:rFonts w:ascii="Arial" w:cs="Arial" w:eastAsia="Arial" w:hAnsi="Arial"/>
          <w:sz w:val="32"/>
          <w:szCs w:val="32"/>
          <w:b w:val="1"/>
          <w:bCs w:val="1"/>
          <w:color w:val="FFFFFF"/>
        </w:rPr>
        <w:t xml:space="preserve"> </w:t>
      </w:r>
      <w:r>
        <w:rPr>
          <w:rFonts w:ascii="Arial" w:cs="Arial" w:eastAsia="Arial" w:hAnsi="Arial"/>
          <w:sz w:val="32"/>
          <w:szCs w:val="32"/>
          <w:b w:val="1"/>
          <w:bCs w:val="1"/>
          <w:i w:val="1"/>
          <w:iCs w:val="1"/>
          <w:color w:val="FFFFFF"/>
        </w:rPr>
        <w:t xml:space="preserve">Journal of Medicine </w:t>
      </w:r>
      <w:r>
        <w:rPr>
          <w:rFonts w:ascii="Arial" w:cs="Arial" w:eastAsia="Arial" w:hAnsi="Arial"/>
          <w:sz w:val="28"/>
          <w:szCs w:val="28"/>
          <w:b w:val="1"/>
          <w:bCs w:val="1"/>
          <w:i w:val="1"/>
          <w:iCs w:val="1"/>
          <w:color w:val="FFFFFF"/>
        </w:rPr>
        <w:t>and</w:t>
      </w:r>
      <w:r>
        <w:rPr>
          <w:rFonts w:ascii="Arial" w:cs="Arial" w:eastAsia="Arial" w:hAnsi="Arial"/>
          <w:sz w:val="32"/>
          <w:szCs w:val="32"/>
          <w:b w:val="1"/>
          <w:bCs w:val="1"/>
          <w:i w:val="1"/>
          <w:iCs w:val="1"/>
          <w:color w:val="FFFFFF"/>
        </w:rPr>
        <w:t xml:space="preserve"> The Lancet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b w:val="1"/>
          <w:bCs w:val="1"/>
          <w:color w:val="54575E"/>
        </w:rPr>
        <w:t>Page 18 | Copyright Regeneron 2014</w:t>
      </w:r>
    </w:p>
    <w:p>
      <w:pPr>
        <w:sectPr>
          <w:pgSz w:w="11900" w:h="16838" w:orient="portrait"/>
          <w:cols w:equalWidth="0" w:num="1">
            <w:col w:w="9439"/>
          </w:cols>
          <w:pgMar w:left="1020" w:top="515" w:right="1440" w:bottom="1440" w:gutter="0" w:footer="0" w:header="0"/>
        </w:sectPr>
      </w:pPr>
    </w:p>
    <w:bookmarkStart w:id="22" w:name="page23"/>
    <w:bookmarkEnd w:id="22"/>
    <w:p>
      <w:pPr>
        <w:ind w:left="480"/>
        <w:spacing w:after="0"/>
        <w:tabs>
          <w:tab w:leader="none" w:pos="344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Sarilumab</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Advancing Late Stage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0070C0"/>
        </w:rPr>
        <w:t>Sarilumab for Rheumatoid Arthritis</w:t>
      </w: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22"/>
          <w:szCs w:val="22"/>
          <w:color w:val="4B5457"/>
        </w:rPr>
        <w:t>Positive Phase 3 data from MOBILITY (N=1,200)</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22"/>
          <w:szCs w:val="22"/>
          <w:color w:val="4B5457"/>
        </w:rPr>
        <w:t>reported 4Q13</w:t>
      </w:r>
    </w:p>
    <w:p>
      <w:pPr>
        <w:spacing w:after="0" w:line="76" w:lineRule="exact"/>
        <w:rPr>
          <w:sz w:val="20"/>
          <w:szCs w:val="20"/>
          <w:color w:val="auto"/>
        </w:rPr>
      </w:pPr>
    </w:p>
    <w:p>
      <w:pPr>
        <w:ind w:left="860" w:right="160"/>
        <w:spacing w:after="0" w:line="230" w:lineRule="auto"/>
        <w:rPr>
          <w:sz w:val="20"/>
          <w:szCs w:val="20"/>
          <w:color w:val="auto"/>
        </w:rPr>
      </w:pPr>
      <w:r>
        <w:rPr>
          <w:rFonts w:ascii="Arial" w:cs="Arial" w:eastAsia="Arial" w:hAnsi="Arial"/>
          <w:sz w:val="22"/>
          <w:szCs w:val="22"/>
          <w:color w:val="4B5457"/>
        </w:rPr>
        <w:t>Both sarilumab dose groups—150 mg and 200 mg—given subcutaneously, every other week, in combination with methotrexate (MTX) achieved all three co-primary endpoints</w:t>
      </w:r>
    </w:p>
    <w:p>
      <w:pPr>
        <w:spacing w:after="0" w:line="65" w:lineRule="exact"/>
        <w:rPr>
          <w:sz w:val="20"/>
          <w:szCs w:val="20"/>
          <w:color w:val="auto"/>
        </w:rPr>
      </w:pPr>
    </w:p>
    <w:p>
      <w:pPr>
        <w:jc w:val="both"/>
        <w:ind w:left="860" w:right="120"/>
        <w:spacing w:after="0" w:line="233" w:lineRule="auto"/>
        <w:rPr>
          <w:sz w:val="20"/>
          <w:szCs w:val="20"/>
          <w:color w:val="auto"/>
        </w:rPr>
      </w:pPr>
      <w:r>
        <w:rPr>
          <w:rFonts w:ascii="Arial" w:cs="Arial" w:eastAsia="Arial" w:hAnsi="Arial"/>
          <w:sz w:val="22"/>
          <w:szCs w:val="22"/>
          <w:color w:val="4B5457"/>
        </w:rPr>
        <w:t>Patients receiving 200 mg + MTX showed a 90% reduction in radiographic progression (mTSS) at week 52</w:t>
      </w:r>
    </w:p>
    <w:p>
      <w:pPr>
        <w:spacing w:after="0" w:line="133" w:lineRule="exact"/>
        <w:rPr>
          <w:sz w:val="20"/>
          <w:szCs w:val="20"/>
          <w:color w:val="auto"/>
        </w:rPr>
      </w:pPr>
    </w:p>
    <w:p>
      <w:pPr>
        <w:ind w:left="500" w:right="420" w:firstLine="353"/>
        <w:spacing w:after="0" w:line="360" w:lineRule="auto"/>
        <w:rPr>
          <w:sz w:val="20"/>
          <w:szCs w:val="20"/>
          <w:color w:val="auto"/>
        </w:rPr>
      </w:pPr>
      <w:r>
        <w:rPr>
          <w:rFonts w:ascii="Arial" w:cs="Arial" w:eastAsia="Arial" w:hAnsi="Arial"/>
          <w:sz w:val="22"/>
          <w:szCs w:val="22"/>
          <w:color w:val="4B5457"/>
        </w:rPr>
        <w:t>Data to be presented at a medical conference Additional Phase 3 data expected in 2015</w:t>
      </w:r>
    </w:p>
    <w:p>
      <w:pPr>
        <w:spacing w:after="0" w:line="5" w:lineRule="exact"/>
        <w:rPr>
          <w:sz w:val="20"/>
          <w:szCs w:val="20"/>
          <w:color w:val="auto"/>
        </w:rPr>
      </w:pPr>
    </w:p>
    <w:p>
      <w:pPr>
        <w:ind w:left="860" w:right="760"/>
        <w:spacing w:after="0" w:line="315" w:lineRule="auto"/>
        <w:rPr>
          <w:sz w:val="20"/>
          <w:szCs w:val="20"/>
          <w:color w:val="auto"/>
        </w:rPr>
      </w:pPr>
      <w:r>
        <w:rPr>
          <w:rFonts w:ascii="Arial" w:cs="Arial" w:eastAsia="Arial" w:hAnsi="Arial"/>
          <w:sz w:val="22"/>
          <w:szCs w:val="22"/>
          <w:color w:val="4B5457"/>
        </w:rPr>
        <w:t>Ongoing Phase 3 studies are: COMPARE, TARGET, ASCERTAIN, EXTEND</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22"/>
          <w:szCs w:val="22"/>
          <w:color w:val="4B5457"/>
        </w:rPr>
        <w:t>Regulatory submission expected in 2015</w:t>
      </w:r>
    </w:p>
    <w:p>
      <w:pPr>
        <w:spacing w:after="0" w:line="20" w:lineRule="exact"/>
        <w:rPr>
          <w:sz w:val="20"/>
          <w:szCs w:val="20"/>
          <w:color w:val="auto"/>
        </w:rPr>
      </w:pPr>
    </w:p>
    <w:p>
      <w:pPr>
        <w:spacing w:after="0" w:line="242" w:lineRule="auto"/>
        <w:rPr>
          <w:sz w:val="20"/>
          <w:szCs w:val="20"/>
          <w:color w:val="auto"/>
        </w:rPr>
      </w:pPr>
      <w:r>
        <w:rPr>
          <w:rFonts w:ascii="Arial" w:cs="Arial" w:eastAsia="Arial" w:hAnsi="Arial"/>
          <w:sz w:val="13"/>
          <w:szCs w:val="13"/>
          <w:color w:val="4B5457"/>
        </w:rPr>
        <w:t>Infections were the most frequently reported adverse events and were reported with a higher incidence in the sarilumab groups vs. placebo, all in combination with MTX (39.6% for 200 mg, 40.1% for the 150 mg group and 31.1% for pbo). The incidence of serious infections was 4.0% in the 200 mg + MTX group, 2.6% in the 150 mg + MTX group, and 2.3% in the placebo + MTX group..</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19 | Copyright Regeneron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93" w:lineRule="auto"/>
        <w:rPr>
          <w:sz w:val="20"/>
          <w:szCs w:val="20"/>
          <w:color w:val="auto"/>
        </w:rPr>
      </w:pPr>
      <w:r>
        <w:rPr>
          <w:rFonts w:ascii="Arial" w:cs="Arial" w:eastAsia="Arial" w:hAnsi="Arial"/>
          <w:sz w:val="28"/>
          <w:szCs w:val="28"/>
          <w:b w:val="1"/>
          <w:bCs w:val="1"/>
          <w:color w:val="0070C0"/>
        </w:rPr>
        <w:t>MOBILITY: ACR responses at 24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5"/>
          <w:szCs w:val="15"/>
          <w:color w:val="161616"/>
        </w:rPr>
        <w:t>*primary endpoint, p&lt;0.0001 vs. pbo</w:t>
      </w:r>
    </w:p>
    <w:p>
      <w:pPr>
        <w:sectPr>
          <w:pgSz w:w="11900" w:h="16838" w:orient="portrait"/>
          <w:cols w:equalWidth="0" w:num="2">
            <w:col w:w="5800" w:space="700"/>
            <w:col w:w="3600"/>
          </w:cols>
          <w:pgMar w:left="1020" w:top="527" w:right="779" w:bottom="1440" w:gutter="0" w:footer="0" w:header="0"/>
        </w:sectPr>
      </w:pPr>
    </w:p>
    <w:bookmarkStart w:id="23" w:name="page24"/>
    <w:bookmarkEnd w:id="23"/>
    <w:p>
      <w:pPr>
        <w:ind w:left="520"/>
        <w:spacing w:after="0"/>
        <w:tabs>
          <w:tab w:leader="none" w:pos="348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Dupilumab</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8"/>
          <w:szCs w:val="28"/>
          <w:b w:val="1"/>
          <w:bCs w:val="1"/>
          <w:color w:val="D2EAF9"/>
        </w:rPr>
        <w:t>Advancing Late Stage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right="339"/>
        <w:spacing w:after="0" w:line="296" w:lineRule="auto"/>
        <w:rPr>
          <w:sz w:val="20"/>
          <w:szCs w:val="20"/>
          <w:color w:val="auto"/>
        </w:rPr>
      </w:pPr>
      <w:r>
        <w:rPr>
          <w:rFonts w:ascii="Arial" w:cs="Arial" w:eastAsia="Arial" w:hAnsi="Arial"/>
          <w:sz w:val="31"/>
          <w:szCs w:val="31"/>
          <w:b w:val="1"/>
          <w:bCs w:val="1"/>
          <w:color w:val="FFFFFF"/>
        </w:rPr>
        <w:t xml:space="preserve">Positive data from the dupilumab asthma clinical trial have been published in the </w:t>
      </w:r>
      <w:r>
        <w:rPr>
          <w:rFonts w:ascii="Arial" w:cs="Arial" w:eastAsia="Arial" w:hAnsi="Arial"/>
          <w:sz w:val="31"/>
          <w:szCs w:val="31"/>
          <w:b w:val="1"/>
          <w:bCs w:val="1"/>
          <w:i w:val="1"/>
          <w:iCs w:val="1"/>
          <w:color w:val="FFFFFF"/>
        </w:rPr>
        <w:t>New England Journal of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20 | Copyright Regeneron 201</w:t>
      </w:r>
      <w:r>
        <w:rPr>
          <w:rFonts w:ascii="Arial" w:cs="Arial" w:eastAsia="Arial" w:hAnsi="Arial"/>
          <w:sz w:val="13"/>
          <w:szCs w:val="13"/>
          <w:b w:val="1"/>
          <w:bCs w:val="1"/>
          <w:color w:val="FFFFFF"/>
        </w:rPr>
        <w:t>4</w:t>
      </w:r>
    </w:p>
    <w:p>
      <w:pPr>
        <w:sectPr>
          <w:pgSz w:w="11900" w:h="16838" w:orient="portrait"/>
          <w:cols w:equalWidth="0" w:num="1">
            <w:col w:w="9479"/>
          </w:cols>
          <w:pgMar w:left="980" w:top="515" w:right="1440" w:bottom="1440" w:gutter="0" w:footer="0" w:header="0"/>
        </w:sectPr>
      </w:pPr>
    </w:p>
    <w:bookmarkStart w:id="24" w:name="page25"/>
    <w:bookmarkEnd w:id="24"/>
    <w:p>
      <w:pPr>
        <w:spacing w:after="0"/>
        <w:tabs>
          <w:tab w:leader="none" w:pos="3400" w:val="left"/>
        </w:tabs>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Building on Success</w:t>
      </w:r>
    </w:p>
    <w:p>
      <w:pPr>
        <w:sectPr>
          <w:pgSz w:w="11900" w:h="16838" w:orient="portrait"/>
          <w:cols w:equalWidth="0" w:num="1">
            <w:col w:w="9539"/>
          </w:cols>
          <w:pgMar w:left="920" w:top="6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20"/>
        <w:spacing w:after="0"/>
        <w:rPr>
          <w:sz w:val="20"/>
          <w:szCs w:val="20"/>
          <w:color w:val="auto"/>
        </w:rPr>
      </w:pPr>
      <w:r>
        <w:rPr>
          <w:rFonts w:ascii="Arial" w:cs="Arial" w:eastAsia="Arial" w:hAnsi="Arial"/>
          <w:sz w:val="36"/>
          <w:szCs w:val="36"/>
          <w:b w:val="1"/>
          <w:bCs w:val="1"/>
          <w:color w:val="FFFFFF"/>
        </w:rPr>
        <w:t>Investment in</w:t>
      </w:r>
    </w:p>
    <w:p>
      <w:pPr>
        <w:spacing w:after="0" w:line="67" w:lineRule="exact"/>
        <w:rPr>
          <w:sz w:val="20"/>
          <w:szCs w:val="20"/>
          <w:color w:val="auto"/>
        </w:rPr>
      </w:pPr>
    </w:p>
    <w:p>
      <w:pPr>
        <w:jc w:val="center"/>
        <w:ind w:right="-700"/>
        <w:spacing w:after="0"/>
        <w:rPr>
          <w:sz w:val="20"/>
          <w:szCs w:val="20"/>
          <w:color w:val="auto"/>
        </w:rPr>
      </w:pPr>
      <w:r>
        <w:rPr>
          <w:rFonts w:ascii="Arial" w:cs="Arial" w:eastAsia="Arial" w:hAnsi="Arial"/>
          <w:sz w:val="36"/>
          <w:szCs w:val="36"/>
          <w:b w:val="1"/>
          <w:bCs w:val="1"/>
          <w:color w:val="FFFFFF"/>
        </w:rPr>
        <w:t>R&amp;D and</w:t>
      </w:r>
    </w:p>
    <w:p>
      <w:pPr>
        <w:spacing w:after="0" w:line="21" w:lineRule="exact"/>
        <w:rPr>
          <w:sz w:val="20"/>
          <w:szCs w:val="20"/>
          <w:color w:val="auto"/>
        </w:rPr>
      </w:pPr>
    </w:p>
    <w:p>
      <w:pPr>
        <w:jc w:val="center"/>
        <w:ind w:right="-700"/>
        <w:spacing w:after="0"/>
        <w:rPr>
          <w:sz w:val="20"/>
          <w:szCs w:val="20"/>
          <w:color w:val="auto"/>
        </w:rPr>
      </w:pPr>
      <w:r>
        <w:rPr>
          <w:rFonts w:ascii="Arial" w:cs="Arial" w:eastAsia="Arial" w:hAnsi="Arial"/>
          <w:sz w:val="36"/>
          <w:szCs w:val="36"/>
          <w:b w:val="1"/>
          <w:bCs w:val="1"/>
          <w:color w:val="FFFFFF"/>
        </w:rPr>
        <w:t>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Page 21 | Copyright Regeneron 2014</w:t>
      </w:r>
    </w:p>
    <w:p>
      <w:pPr>
        <w:sectPr>
          <w:pgSz w:w="11900" w:h="16838" w:orient="portrait"/>
          <w:cols w:equalWidth="0" w:num="1">
            <w:col w:w="9539"/>
          </w:cols>
          <w:pgMar w:left="920" w:top="664" w:right="1440" w:bottom="1440" w:gutter="0" w:footer="0" w:header="0"/>
          <w:type w:val="continuous"/>
        </w:sectPr>
      </w:pPr>
    </w:p>
    <w:bookmarkStart w:id="25" w:name="page26"/>
    <w:bookmarkEnd w:id="25"/>
    <w:p>
      <w:pPr>
        <w:spacing w:after="0"/>
        <w:tabs>
          <w:tab w:leader="none" w:pos="3400" w:val="left"/>
        </w:tabs>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Building 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60"/>
        <w:spacing w:after="0"/>
        <w:rPr>
          <w:sz w:val="20"/>
          <w:szCs w:val="20"/>
          <w:color w:val="auto"/>
        </w:rPr>
      </w:pPr>
      <w:r>
        <w:rPr>
          <w:rFonts w:ascii="Arial" w:cs="Arial" w:eastAsia="Arial" w:hAnsi="Arial"/>
          <w:sz w:val="32"/>
          <w:szCs w:val="32"/>
          <w:b w:val="1"/>
          <w:bCs w:val="1"/>
          <w:color w:val="FFFFFF"/>
        </w:rPr>
        <w:t>Sanofi Collaboration</w:t>
      </w:r>
    </w:p>
    <w:p>
      <w:pPr>
        <w:sectPr>
          <w:pgSz w:w="11900" w:h="16838" w:orient="portrait"/>
          <w:cols w:equalWidth="0" w:num="1">
            <w:col w:w="10140"/>
          </w:cols>
          <w:pgMar w:left="920" w:top="664"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60"/>
        <w:spacing w:after="0"/>
        <w:rPr>
          <w:sz w:val="20"/>
          <w:szCs w:val="20"/>
          <w:color w:val="auto"/>
        </w:rPr>
      </w:pPr>
      <w:r>
        <w:rPr>
          <w:rFonts w:ascii="Arial" w:cs="Arial" w:eastAsia="Arial" w:hAnsi="Arial"/>
          <w:sz w:val="32"/>
          <w:szCs w:val="32"/>
          <w:b w:val="1"/>
          <w:bCs w:val="1"/>
          <w:color w:val="FFFFFF"/>
        </w:rPr>
        <w:t>Wholly-Owned</w:t>
      </w:r>
    </w:p>
    <w:p>
      <w:pPr>
        <w:spacing w:after="0" w:line="53" w:lineRule="exact"/>
        <w:rPr>
          <w:sz w:val="20"/>
          <w:szCs w:val="20"/>
          <w:color w:val="auto"/>
        </w:rPr>
      </w:pPr>
    </w:p>
    <w:p>
      <w:pPr>
        <w:ind w:left="3860"/>
        <w:spacing w:after="0"/>
        <w:rPr>
          <w:sz w:val="20"/>
          <w:szCs w:val="20"/>
          <w:color w:val="auto"/>
        </w:rPr>
      </w:pPr>
      <w:r>
        <w:rPr>
          <w:rFonts w:ascii="Arial" w:cs="Arial" w:eastAsia="Arial" w:hAnsi="Arial"/>
          <w:sz w:val="31"/>
          <w:szCs w:val="31"/>
          <w:b w:val="1"/>
          <w:bCs w:val="1"/>
          <w:color w:val="FFFFFF"/>
        </w:rPr>
        <w:t>Pipeline of Products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Arial" w:cs="Arial" w:eastAsia="Arial" w:hAnsi="Arial"/>
          <w:sz w:val="36"/>
          <w:szCs w:val="36"/>
          <w:b w:val="1"/>
          <w:bCs w:val="1"/>
          <w:color w:val="FFFFFF"/>
        </w:rPr>
        <w:t>Investment in</w:t>
      </w:r>
    </w:p>
    <w:tbl>
      <w:tblPr>
        <w:tblLayout w:type="fixed"/>
        <w:tblInd w:w="620" w:type="dxa"/>
        <w:tblCellMar>
          <w:top w:w="0" w:type="dxa"/>
          <w:left w:w="0" w:type="dxa"/>
          <w:bottom w:w="0" w:type="dxa"/>
          <w:right w:w="0" w:type="dxa"/>
        </w:tblCellMar>
      </w:tblPr>
      <w:tr>
        <w:trPr>
          <w:trHeight w:val="412"/>
        </w:trPr>
        <w:tc>
          <w:tcPr>
            <w:tcW w:w="2620" w:type="dxa"/>
            <w:vAlign w:val="bottom"/>
          </w:tcPr>
          <w:p>
            <w:pPr>
              <w:jc w:val="center"/>
              <w:ind w:right="418"/>
              <w:spacing w:after="0" w:line="411" w:lineRule="exact"/>
              <w:rPr>
                <w:sz w:val="20"/>
                <w:szCs w:val="20"/>
                <w:color w:val="auto"/>
              </w:rPr>
            </w:pPr>
            <w:r>
              <w:rPr>
                <w:rFonts w:ascii="Arial" w:cs="Arial" w:eastAsia="Arial" w:hAnsi="Arial"/>
                <w:sz w:val="36"/>
                <w:szCs w:val="36"/>
                <w:b w:val="1"/>
                <w:bCs w:val="1"/>
                <w:color w:val="FFFFFF"/>
              </w:rPr>
              <w:t>R&amp;D and</w:t>
            </w:r>
          </w:p>
        </w:tc>
        <w:tc>
          <w:tcPr>
            <w:tcW w:w="3700" w:type="dxa"/>
            <w:vAlign w:val="bottom"/>
          </w:tcPr>
          <w:p>
            <w:pPr>
              <w:ind w:left="620"/>
              <w:spacing w:after="0"/>
              <w:rPr>
                <w:sz w:val="20"/>
                <w:szCs w:val="20"/>
                <w:color w:val="auto"/>
              </w:rPr>
            </w:pPr>
            <w:r>
              <w:rPr>
                <w:rFonts w:ascii="Arial" w:cs="Arial" w:eastAsia="Arial" w:hAnsi="Arial"/>
                <w:sz w:val="32"/>
                <w:szCs w:val="32"/>
                <w:b w:val="1"/>
                <w:bCs w:val="1"/>
                <w:color w:val="FFFFFF"/>
                <w:w w:val="98"/>
              </w:rPr>
              <w:t>Innovative Research</w:t>
            </w:r>
          </w:p>
        </w:tc>
      </w:tr>
      <w:tr>
        <w:trPr>
          <w:trHeight w:val="550"/>
        </w:trPr>
        <w:tc>
          <w:tcPr>
            <w:tcW w:w="2620" w:type="dxa"/>
            <w:vAlign w:val="bottom"/>
          </w:tcPr>
          <w:p>
            <w:pPr>
              <w:jc w:val="center"/>
              <w:ind w:right="418"/>
              <w:spacing w:after="0"/>
              <w:rPr>
                <w:sz w:val="20"/>
                <w:szCs w:val="20"/>
                <w:color w:val="auto"/>
              </w:rPr>
            </w:pPr>
            <w:r>
              <w:rPr>
                <w:rFonts w:ascii="Arial" w:cs="Arial" w:eastAsia="Arial" w:hAnsi="Arial"/>
                <w:sz w:val="36"/>
                <w:szCs w:val="36"/>
                <w:b w:val="1"/>
                <w:bCs w:val="1"/>
                <w:color w:val="FFFFFF"/>
                <w:w w:val="99"/>
              </w:rPr>
              <w:t>Technology</w:t>
            </w:r>
          </w:p>
        </w:tc>
        <w:tc>
          <w:tcPr>
            <w:tcW w:w="3700" w:type="dxa"/>
            <w:vAlign w:val="bottom"/>
          </w:tcPr>
          <w:p>
            <w:pPr>
              <w:ind w:left="620"/>
              <w:spacing w:after="0"/>
              <w:rPr>
                <w:sz w:val="20"/>
                <w:szCs w:val="20"/>
                <w:color w:val="auto"/>
              </w:rPr>
            </w:pPr>
            <w:r>
              <w:rPr>
                <w:rFonts w:ascii="Arial" w:cs="Arial" w:eastAsia="Arial" w:hAnsi="Arial"/>
                <w:sz w:val="32"/>
                <w:szCs w:val="32"/>
                <w:b w:val="1"/>
                <w:bCs w:val="1"/>
                <w:color w:val="FFFFFF"/>
              </w:rPr>
              <w:t>&amp; Technologies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Page 22 | Copyright Regeneron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580" w:val="left"/>
        </w:tabs>
        <w:rPr>
          <w:sz w:val="20"/>
          <w:szCs w:val="20"/>
          <w:color w:val="auto"/>
        </w:rPr>
      </w:pPr>
      <w:r>
        <w:rPr>
          <w:rFonts w:ascii="Arial" w:cs="Arial" w:eastAsia="Arial" w:hAnsi="Arial"/>
          <w:sz w:val="9"/>
          <w:szCs w:val="9"/>
          <w:b w:val="1"/>
          <w:bCs w:val="1"/>
          <w:color w:val="FFFFFF"/>
        </w:rPr>
        <w:t>Fasinumab*</w:t>
      </w:r>
      <w:r>
        <w:rPr>
          <w:sz w:val="20"/>
          <w:szCs w:val="20"/>
          <w:color w:val="auto"/>
        </w:rPr>
        <w:tab/>
      </w:r>
      <w:r>
        <w:rPr>
          <w:rFonts w:ascii="Arial" w:cs="Arial" w:eastAsia="Arial" w:hAnsi="Arial"/>
          <w:sz w:val="9"/>
          <w:szCs w:val="9"/>
          <w:b w:val="1"/>
          <w:bCs w:val="1"/>
          <w:color w:val="FFFFFF"/>
        </w:rPr>
        <w:t>Phase 2</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9"/>
          <w:szCs w:val="9"/>
          <w:b w:val="1"/>
          <w:bCs w:val="1"/>
          <w:color w:val="FFFFFF"/>
        </w:rPr>
        <w:t>REGN1400</w:t>
      </w:r>
      <w:r>
        <w:rPr>
          <w:sz w:val="20"/>
          <w:szCs w:val="20"/>
          <w:color w:val="auto"/>
        </w:rPr>
        <w:tab/>
      </w:r>
      <w:r>
        <w:rPr>
          <w:rFonts w:ascii="Arial" w:cs="Arial" w:eastAsia="Arial" w:hAnsi="Arial"/>
          <w:sz w:val="9"/>
          <w:szCs w:val="9"/>
          <w:b w:val="1"/>
          <w:bCs w:val="1"/>
          <w:color w:val="FFFFFF"/>
        </w:rPr>
        <w:t>Phase 1</w:t>
      </w:r>
    </w:p>
    <w:p>
      <w:pPr>
        <w:spacing w:after="0" w:line="132" w:lineRule="exact"/>
        <w:rPr>
          <w:sz w:val="20"/>
          <w:szCs w:val="20"/>
          <w:color w:val="auto"/>
        </w:rPr>
      </w:pPr>
    </w:p>
    <w:p>
      <w:pPr>
        <w:spacing w:after="0"/>
        <w:tabs>
          <w:tab w:leader="none" w:pos="1000" w:val="left"/>
        </w:tabs>
        <w:rPr>
          <w:sz w:val="20"/>
          <w:szCs w:val="20"/>
          <w:color w:val="auto"/>
        </w:rPr>
      </w:pPr>
      <w:r>
        <w:rPr>
          <w:rFonts w:ascii="Arial" w:cs="Arial" w:eastAsia="Arial" w:hAnsi="Arial"/>
          <w:sz w:val="9"/>
          <w:szCs w:val="9"/>
          <w:b w:val="1"/>
          <w:bCs w:val="1"/>
          <w:color w:val="FFFFFF"/>
        </w:rPr>
        <w:t>REGN1154</w:t>
      </w:r>
      <w:r>
        <w:rPr>
          <w:sz w:val="20"/>
          <w:szCs w:val="20"/>
          <w:color w:val="auto"/>
        </w:rPr>
        <w:tab/>
      </w:r>
      <w:r>
        <w:rPr>
          <w:rFonts w:ascii="Arial" w:cs="Arial" w:eastAsia="Arial" w:hAnsi="Arial"/>
          <w:sz w:val="9"/>
          <w:szCs w:val="9"/>
          <w:b w:val="1"/>
          <w:bCs w:val="1"/>
          <w:color w:val="FFFFFF"/>
        </w:rPr>
        <w:t>Phase 1</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9"/>
          <w:szCs w:val="9"/>
          <w:b w:val="1"/>
          <w:bCs w:val="1"/>
          <w:color w:val="FFFFFF"/>
        </w:rPr>
        <w:t>REGN1500</w:t>
      </w:r>
      <w:r>
        <w:rPr>
          <w:sz w:val="20"/>
          <w:szCs w:val="20"/>
          <w:color w:val="auto"/>
        </w:rPr>
        <w:tab/>
      </w:r>
      <w:r>
        <w:rPr>
          <w:rFonts w:ascii="Arial" w:cs="Arial" w:eastAsia="Arial" w:hAnsi="Arial"/>
          <w:sz w:val="9"/>
          <w:szCs w:val="9"/>
          <w:b w:val="1"/>
          <w:bCs w:val="1"/>
          <w:color w:val="FFFFFF"/>
        </w:rPr>
        <w:t>Phase 1</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9"/>
          <w:szCs w:val="9"/>
          <w:b w:val="1"/>
          <w:bCs w:val="1"/>
          <w:color w:val="FFFFFF"/>
        </w:rPr>
        <w:t>REGN1193</w:t>
      </w:r>
      <w:r>
        <w:rPr>
          <w:sz w:val="20"/>
          <w:szCs w:val="20"/>
          <w:color w:val="auto"/>
        </w:rPr>
        <w:tab/>
      </w:r>
      <w:r>
        <w:rPr>
          <w:rFonts w:ascii="Arial" w:cs="Arial" w:eastAsia="Arial" w:hAnsi="Arial"/>
          <w:sz w:val="9"/>
          <w:szCs w:val="9"/>
          <w:b w:val="1"/>
          <w:bCs w:val="1"/>
          <w:color w:val="FFFFFF"/>
        </w:rPr>
        <w:t>Phase 1</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9"/>
          <w:szCs w:val="9"/>
          <w:b w:val="1"/>
          <w:bCs w:val="1"/>
          <w:color w:val="FFFFFF"/>
        </w:rPr>
        <w:t>REGN1908-1909</w:t>
      </w:r>
      <w:r>
        <w:rPr>
          <w:sz w:val="20"/>
          <w:szCs w:val="20"/>
          <w:color w:val="auto"/>
        </w:rPr>
        <w:tab/>
      </w:r>
      <w:r>
        <w:rPr>
          <w:rFonts w:ascii="Arial" w:cs="Arial" w:eastAsia="Arial" w:hAnsi="Arial"/>
          <w:sz w:val="9"/>
          <w:szCs w:val="9"/>
          <w:b w:val="1"/>
          <w:bCs w:val="1"/>
          <w:color w:val="FFFFFF"/>
        </w:rPr>
        <w:t>Phase 1</w:t>
      </w:r>
    </w:p>
    <w:p>
      <w:pPr>
        <w:sectPr>
          <w:pgSz w:w="11900" w:h="16838" w:orient="portrait"/>
          <w:cols w:equalWidth="0" w:num="2">
            <w:col w:w="7460" w:space="720"/>
            <w:col w:w="1960"/>
          </w:cols>
          <w:pgMar w:left="920" w:top="664" w:right="83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56"/>
          <w:szCs w:val="56"/>
          <w:b w:val="1"/>
          <w:bCs w:val="1"/>
          <w:color w:val="FFFFFF"/>
        </w:rPr>
        <w:t>Sanofi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23 | Copyright Regeneron 2014</w:t>
      </w:r>
    </w:p>
    <w:p>
      <w:pPr>
        <w:sectPr>
          <w:pgSz w:w="11900" w:h="16838" w:orient="portrait"/>
          <w:cols w:equalWidth="0" w:num="1">
            <w:col w:w="9439"/>
          </w:cols>
          <w:pgMar w:left="1020" w:top="1440" w:right="1440" w:bottom="1440" w:gutter="0" w:footer="0" w:header="0"/>
        </w:sectPr>
      </w:pPr>
    </w:p>
    <w:bookmarkStart w:id="27" w:name="page28"/>
    <w:bookmarkEnd w:id="27"/>
    <w:p>
      <w:pPr>
        <w:ind w:left="480"/>
        <w:spacing w:after="0"/>
        <w:tabs>
          <w:tab w:leader="none" w:pos="346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Sanofi Collaboration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Sanofi Antibody Collaboration Continues to Provide R&amp;D Leverage</w:t>
      </w: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Arial" w:cs="Arial" w:eastAsia="Arial" w:hAnsi="Arial"/>
          <w:sz w:val="38"/>
          <w:szCs w:val="38"/>
          <w:b w:val="1"/>
          <w:bCs w:val="1"/>
          <w:color w:val="156DC3"/>
        </w:rPr>
        <w:t>Sanofi Collaboration</w:t>
      </w:r>
    </w:p>
    <w:p>
      <w:pPr>
        <w:spacing w:after="0" w:line="200" w:lineRule="exact"/>
        <w:rPr>
          <w:sz w:val="20"/>
          <w:szCs w:val="20"/>
          <w:color w:val="auto"/>
        </w:rPr>
      </w:pPr>
    </w:p>
    <w:p>
      <w:pPr>
        <w:spacing w:after="0" w:line="248" w:lineRule="exact"/>
        <w:rPr>
          <w:sz w:val="20"/>
          <w:szCs w:val="20"/>
          <w:color w:val="auto"/>
        </w:rPr>
      </w:pPr>
    </w:p>
    <w:tbl>
      <w:tblPr>
        <w:tblLayout w:type="fixed"/>
        <w:tblInd w:w="420" w:type="dxa"/>
        <w:tblCellMar>
          <w:top w:w="0" w:type="dxa"/>
          <w:left w:w="0" w:type="dxa"/>
          <w:bottom w:w="0" w:type="dxa"/>
          <w:right w:w="0" w:type="dxa"/>
        </w:tblCellMar>
      </w:tblPr>
      <w:tr>
        <w:trPr>
          <w:trHeight w:val="375"/>
        </w:trPr>
        <w:tc>
          <w:tcPr>
            <w:tcW w:w="2840" w:type="dxa"/>
            <w:vAlign w:val="bottom"/>
          </w:tcPr>
          <w:p>
            <w:pPr>
              <w:spacing w:after="0"/>
              <w:rPr>
                <w:sz w:val="20"/>
                <w:szCs w:val="20"/>
                <w:color w:val="auto"/>
              </w:rPr>
            </w:pPr>
            <w:r>
              <w:rPr>
                <w:rFonts w:ascii="Arial" w:cs="Arial" w:eastAsia="Arial" w:hAnsi="Arial"/>
                <w:sz w:val="28"/>
                <w:szCs w:val="28"/>
                <w:b w:val="1"/>
                <w:bCs w:val="1"/>
                <w:color w:val="1F95E0"/>
              </w:rPr>
              <w:t>Discovery</w:t>
            </w:r>
          </w:p>
        </w:tc>
        <w:tc>
          <w:tcPr>
            <w:tcW w:w="3480" w:type="dxa"/>
            <w:vAlign w:val="bottom"/>
          </w:tcPr>
          <w:p>
            <w:pPr>
              <w:ind w:left="420"/>
              <w:spacing w:after="0"/>
              <w:rPr>
                <w:sz w:val="20"/>
                <w:szCs w:val="20"/>
                <w:color w:val="auto"/>
              </w:rPr>
            </w:pPr>
            <w:r>
              <w:rPr>
                <w:rFonts w:ascii="Arial" w:cs="Arial" w:eastAsia="Arial" w:hAnsi="Arial"/>
                <w:sz w:val="28"/>
                <w:szCs w:val="28"/>
                <w:b w:val="1"/>
                <w:bCs w:val="1"/>
                <w:color w:val="1F95E0"/>
              </w:rPr>
              <w:t>Development</w:t>
            </w:r>
          </w:p>
        </w:tc>
        <w:tc>
          <w:tcPr>
            <w:tcW w:w="2880" w:type="dxa"/>
            <w:vAlign w:val="bottom"/>
          </w:tcPr>
          <w:p>
            <w:pPr>
              <w:ind w:left="360"/>
              <w:spacing w:after="0"/>
              <w:rPr>
                <w:sz w:val="20"/>
                <w:szCs w:val="20"/>
                <w:color w:val="auto"/>
              </w:rPr>
            </w:pPr>
            <w:r>
              <w:rPr>
                <w:rFonts w:ascii="Arial" w:cs="Arial" w:eastAsia="Arial" w:hAnsi="Arial"/>
                <w:sz w:val="28"/>
                <w:szCs w:val="28"/>
                <w:b w:val="1"/>
                <w:bCs w:val="1"/>
                <w:color w:val="1F95E0"/>
              </w:rPr>
              <w:t>Commercialization</w:t>
            </w:r>
          </w:p>
        </w:tc>
        <w:tc>
          <w:tcPr>
            <w:tcW w:w="0" w:type="dxa"/>
            <w:vAlign w:val="bottom"/>
          </w:tcPr>
          <w:p>
            <w:pPr>
              <w:spacing w:after="0"/>
              <w:rPr>
                <w:sz w:val="1"/>
                <w:szCs w:val="1"/>
                <w:color w:val="auto"/>
              </w:rPr>
            </w:pPr>
          </w:p>
        </w:tc>
      </w:tr>
      <w:tr>
        <w:trPr>
          <w:trHeight w:val="339"/>
        </w:trPr>
        <w:tc>
          <w:tcPr>
            <w:tcW w:w="2840" w:type="dxa"/>
            <w:vAlign w:val="bottom"/>
          </w:tcPr>
          <w:p>
            <w:pPr>
              <w:spacing w:after="0"/>
              <w:rPr>
                <w:sz w:val="20"/>
                <w:szCs w:val="20"/>
                <w:color w:val="auto"/>
              </w:rPr>
            </w:pPr>
            <w:r>
              <w:rPr>
                <w:rFonts w:ascii="Arial" w:cs="Arial" w:eastAsia="Arial" w:hAnsi="Arial"/>
                <w:sz w:val="19"/>
                <w:szCs w:val="19"/>
                <w:b w:val="1"/>
                <w:bCs w:val="1"/>
                <w:color w:val="4B5457"/>
              </w:rPr>
              <w:t>$160 million of annual funding</w:t>
            </w:r>
          </w:p>
        </w:tc>
        <w:tc>
          <w:tcPr>
            <w:tcW w:w="3480" w:type="dxa"/>
            <w:vAlign w:val="bottom"/>
          </w:tcPr>
          <w:p>
            <w:pPr>
              <w:ind w:left="380"/>
              <w:spacing w:after="0"/>
              <w:rPr>
                <w:sz w:val="20"/>
                <w:szCs w:val="20"/>
                <w:color w:val="auto"/>
              </w:rPr>
            </w:pPr>
            <w:r>
              <w:rPr>
                <w:rFonts w:ascii="Arial" w:cs="Arial" w:eastAsia="Arial" w:hAnsi="Arial"/>
                <w:sz w:val="19"/>
                <w:szCs w:val="19"/>
                <w:b w:val="1"/>
                <w:bCs w:val="1"/>
                <w:color w:val="4B5457"/>
              </w:rPr>
              <w:t>Sanofi funds approximately 100%</w:t>
            </w:r>
          </w:p>
        </w:tc>
        <w:tc>
          <w:tcPr>
            <w:tcW w:w="2880" w:type="dxa"/>
            <w:vAlign w:val="bottom"/>
          </w:tcPr>
          <w:p>
            <w:pPr>
              <w:ind w:left="380"/>
              <w:spacing w:after="0"/>
              <w:rPr>
                <w:sz w:val="20"/>
                <w:szCs w:val="20"/>
                <w:color w:val="auto"/>
              </w:rPr>
            </w:pPr>
            <w:r>
              <w:rPr>
                <w:rFonts w:ascii="Arial" w:cs="Arial" w:eastAsia="Arial" w:hAnsi="Arial"/>
                <w:sz w:val="19"/>
                <w:szCs w:val="19"/>
                <w:b w:val="1"/>
                <w:bCs w:val="1"/>
                <w:color w:val="4B5457"/>
              </w:rPr>
              <w:t>Regeneron retains</w:t>
            </w:r>
          </w:p>
        </w:tc>
        <w:tc>
          <w:tcPr>
            <w:tcW w:w="0" w:type="dxa"/>
            <w:vAlign w:val="bottom"/>
          </w:tcPr>
          <w:p>
            <w:pPr>
              <w:spacing w:after="0"/>
              <w:rPr>
                <w:sz w:val="1"/>
                <w:szCs w:val="1"/>
                <w:color w:val="auto"/>
              </w:rPr>
            </w:pPr>
          </w:p>
        </w:tc>
      </w:tr>
      <w:tr>
        <w:trPr>
          <w:trHeight w:val="247"/>
        </w:trPr>
        <w:tc>
          <w:tcPr>
            <w:tcW w:w="2840" w:type="dxa"/>
            <w:vAlign w:val="bottom"/>
            <w:vMerge w:val="restart"/>
          </w:tcPr>
          <w:p>
            <w:pPr>
              <w:spacing w:after="0"/>
              <w:rPr>
                <w:sz w:val="20"/>
                <w:szCs w:val="20"/>
                <w:color w:val="auto"/>
              </w:rPr>
            </w:pPr>
            <w:r>
              <w:rPr>
                <w:rFonts w:ascii="Arial" w:cs="Arial" w:eastAsia="Arial" w:hAnsi="Arial"/>
                <w:sz w:val="19"/>
                <w:szCs w:val="19"/>
                <w:b w:val="1"/>
                <w:bCs w:val="1"/>
                <w:color w:val="4B5457"/>
              </w:rPr>
              <w:t>through 2017 (plus possible</w:t>
            </w:r>
          </w:p>
        </w:tc>
        <w:tc>
          <w:tcPr>
            <w:tcW w:w="3480" w:type="dxa"/>
            <w:vAlign w:val="bottom"/>
          </w:tcPr>
          <w:p>
            <w:pPr>
              <w:ind w:left="380"/>
              <w:spacing w:after="0"/>
              <w:rPr>
                <w:sz w:val="20"/>
                <w:szCs w:val="20"/>
                <w:color w:val="auto"/>
              </w:rPr>
            </w:pPr>
            <w:r>
              <w:rPr>
                <w:rFonts w:ascii="Arial" w:cs="Arial" w:eastAsia="Arial" w:hAnsi="Arial"/>
                <w:sz w:val="19"/>
                <w:szCs w:val="19"/>
                <w:b w:val="1"/>
                <w:bCs w:val="1"/>
                <w:color w:val="4B5457"/>
              </w:rPr>
              <w:t>of clinical development cost</w:t>
            </w:r>
          </w:p>
        </w:tc>
        <w:tc>
          <w:tcPr>
            <w:tcW w:w="2880" w:type="dxa"/>
            <w:vAlign w:val="bottom"/>
          </w:tcPr>
          <w:p>
            <w:pPr>
              <w:ind w:left="380"/>
              <w:spacing w:after="0"/>
              <w:rPr>
                <w:sz w:val="20"/>
                <w:szCs w:val="20"/>
                <w:color w:val="auto"/>
              </w:rPr>
            </w:pPr>
            <w:r>
              <w:rPr>
                <w:rFonts w:ascii="Arial" w:cs="Arial" w:eastAsia="Arial" w:hAnsi="Arial"/>
                <w:sz w:val="19"/>
                <w:szCs w:val="19"/>
                <w:b w:val="1"/>
                <w:bCs w:val="1"/>
                <w:color w:val="4B5457"/>
              </w:rPr>
              <w:t>50% of profits in US*</w:t>
            </w:r>
          </w:p>
        </w:tc>
        <w:tc>
          <w:tcPr>
            <w:tcW w:w="0" w:type="dxa"/>
            <w:vAlign w:val="bottom"/>
          </w:tcPr>
          <w:p>
            <w:pPr>
              <w:spacing w:after="0"/>
              <w:rPr>
                <w:sz w:val="1"/>
                <w:szCs w:val="1"/>
                <w:color w:val="auto"/>
              </w:rPr>
            </w:pPr>
          </w:p>
        </w:tc>
      </w:tr>
      <w:tr>
        <w:trPr>
          <w:trHeight w:val="56"/>
        </w:trPr>
        <w:tc>
          <w:tcPr>
            <w:tcW w:w="2840" w:type="dxa"/>
            <w:vAlign w:val="bottom"/>
            <w:vMerge w:val="continue"/>
          </w:tcPr>
          <w:p>
            <w:pPr>
              <w:spacing w:after="0"/>
              <w:rPr>
                <w:sz w:val="4"/>
                <w:szCs w:val="4"/>
                <w:color w:val="auto"/>
              </w:rPr>
            </w:pPr>
          </w:p>
        </w:tc>
        <w:tc>
          <w:tcPr>
            <w:tcW w:w="34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840" w:type="dxa"/>
            <w:vAlign w:val="bottom"/>
          </w:tcPr>
          <w:p>
            <w:pPr>
              <w:spacing w:after="0"/>
              <w:rPr>
                <w:sz w:val="20"/>
                <w:szCs w:val="20"/>
                <w:color w:val="auto"/>
              </w:rPr>
            </w:pPr>
            <w:r>
              <w:rPr>
                <w:rFonts w:ascii="Arial" w:cs="Arial" w:eastAsia="Arial" w:hAnsi="Arial"/>
                <w:sz w:val="19"/>
                <w:szCs w:val="19"/>
                <w:b w:val="1"/>
                <w:bCs w:val="1"/>
                <w:color w:val="4B5457"/>
              </w:rPr>
              <w:t>tail period through 2020)</w:t>
            </w:r>
          </w:p>
        </w:tc>
        <w:tc>
          <w:tcPr>
            <w:tcW w:w="3480" w:type="dxa"/>
            <w:vAlign w:val="bottom"/>
            <w:vMerge w:val="restart"/>
          </w:tcPr>
          <w:p>
            <w:pPr>
              <w:ind w:left="120"/>
              <w:spacing w:after="0"/>
              <w:rPr>
                <w:sz w:val="20"/>
                <w:szCs w:val="20"/>
                <w:color w:val="auto"/>
              </w:rPr>
            </w:pPr>
            <w:r>
              <w:rPr>
                <w:rFonts w:ascii="Arial" w:cs="Arial" w:eastAsia="Arial" w:hAnsi="Arial"/>
                <w:sz w:val="19"/>
                <w:szCs w:val="19"/>
                <w:b w:val="1"/>
                <w:bCs w:val="1"/>
                <w:color w:val="093169"/>
              </w:rPr>
              <w:t>REGN funds 20% of Phase 3</w:t>
            </w:r>
          </w:p>
        </w:tc>
        <w:tc>
          <w:tcPr>
            <w:tcW w:w="2880" w:type="dxa"/>
            <w:vAlign w:val="bottom"/>
            <w:vMerge w:val="restart"/>
          </w:tcPr>
          <w:p>
            <w:pPr>
              <w:ind w:left="80"/>
              <w:spacing w:after="0"/>
              <w:rPr>
                <w:sz w:val="20"/>
                <w:szCs w:val="20"/>
                <w:color w:val="auto"/>
              </w:rPr>
            </w:pPr>
            <w:r>
              <w:rPr>
                <w:rFonts w:ascii="Arial" w:cs="Arial" w:eastAsia="Arial" w:hAnsi="Arial"/>
                <w:sz w:val="19"/>
                <w:szCs w:val="19"/>
                <w:b w:val="1"/>
                <w:bCs w:val="1"/>
                <w:color w:val="093169"/>
              </w:rPr>
              <w:t>Regeneron retains 35% to 45%</w:t>
            </w:r>
          </w:p>
        </w:tc>
        <w:tc>
          <w:tcPr>
            <w:tcW w:w="0" w:type="dxa"/>
            <w:vAlign w:val="bottom"/>
          </w:tcPr>
          <w:p>
            <w:pPr>
              <w:spacing w:after="0"/>
              <w:rPr>
                <w:sz w:val="1"/>
                <w:szCs w:val="1"/>
                <w:color w:val="auto"/>
              </w:rPr>
            </w:pPr>
          </w:p>
        </w:tc>
      </w:tr>
      <w:tr>
        <w:trPr>
          <w:trHeight w:val="118"/>
        </w:trPr>
        <w:tc>
          <w:tcPr>
            <w:tcW w:w="2840" w:type="dxa"/>
            <w:vAlign w:val="bottom"/>
          </w:tcPr>
          <w:p>
            <w:pPr>
              <w:spacing w:after="0"/>
              <w:rPr>
                <w:sz w:val="10"/>
                <w:szCs w:val="10"/>
                <w:color w:val="auto"/>
              </w:rPr>
            </w:pPr>
          </w:p>
        </w:tc>
        <w:tc>
          <w:tcPr>
            <w:tcW w:w="348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2840" w:type="dxa"/>
            <w:vAlign w:val="bottom"/>
          </w:tcPr>
          <w:p>
            <w:pPr>
              <w:spacing w:after="0"/>
              <w:rPr>
                <w:sz w:val="22"/>
                <w:szCs w:val="22"/>
                <w:color w:val="auto"/>
              </w:rPr>
            </w:pPr>
          </w:p>
        </w:tc>
        <w:tc>
          <w:tcPr>
            <w:tcW w:w="3480" w:type="dxa"/>
            <w:vAlign w:val="bottom"/>
          </w:tcPr>
          <w:p>
            <w:pPr>
              <w:ind w:left="460"/>
              <w:spacing w:after="0"/>
              <w:rPr>
                <w:sz w:val="20"/>
                <w:szCs w:val="20"/>
                <w:color w:val="auto"/>
              </w:rPr>
            </w:pPr>
            <w:r>
              <w:rPr>
                <w:rFonts w:ascii="Arial" w:cs="Arial" w:eastAsia="Arial" w:hAnsi="Arial"/>
                <w:sz w:val="19"/>
                <w:szCs w:val="19"/>
                <w:b w:val="1"/>
                <w:bCs w:val="1"/>
                <w:color w:val="093169"/>
              </w:rPr>
              <w:t>costs for an antibody following</w:t>
            </w:r>
          </w:p>
        </w:tc>
        <w:tc>
          <w:tcPr>
            <w:tcW w:w="2880" w:type="dxa"/>
            <w:vAlign w:val="bottom"/>
          </w:tcPr>
          <w:p>
            <w:pPr>
              <w:ind w:left="420"/>
              <w:spacing w:after="0"/>
              <w:rPr>
                <w:sz w:val="20"/>
                <w:szCs w:val="20"/>
                <w:color w:val="auto"/>
              </w:rPr>
            </w:pPr>
            <w:r>
              <w:rPr>
                <w:rFonts w:ascii="Arial" w:cs="Arial" w:eastAsia="Arial" w:hAnsi="Arial"/>
                <w:sz w:val="19"/>
                <w:szCs w:val="19"/>
                <w:b w:val="1"/>
                <w:bCs w:val="1"/>
                <w:color w:val="093169"/>
              </w:rPr>
              <w:t>45% of profits ex-US*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240" w:type="dxa"/>
            <w:vAlign w:val="bottom"/>
          </w:tcPr>
          <w:p>
            <w:pPr>
              <w:spacing w:after="0"/>
              <w:rPr>
                <w:sz w:val="16"/>
                <w:szCs w:val="16"/>
                <w:color w:val="auto"/>
              </w:rPr>
            </w:pPr>
          </w:p>
        </w:tc>
        <w:tc>
          <w:tcPr>
            <w:tcW w:w="5900" w:type="dxa"/>
            <w:vAlign w:val="bottom"/>
          </w:tcPr>
          <w:p>
            <w:pPr>
              <w:ind w:left="3000"/>
              <w:spacing w:after="0" w:line="191" w:lineRule="exact"/>
              <w:rPr>
                <w:sz w:val="20"/>
                <w:szCs w:val="20"/>
                <w:color w:val="auto"/>
              </w:rPr>
            </w:pPr>
            <w:r>
              <w:rPr>
                <w:rFonts w:ascii="Arial" w:cs="Arial" w:eastAsia="Arial" w:hAnsi="Arial"/>
                <w:sz w:val="19"/>
                <w:szCs w:val="19"/>
                <w:b w:val="1"/>
                <w:bCs w:val="1"/>
                <w:color w:val="093169"/>
              </w:rPr>
              <w:t>first positive Phase 3 data for</w:t>
            </w: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9280" w:type="dxa"/>
            <w:vAlign w:val="bottom"/>
            <w:gridSpan w:val="3"/>
          </w:tcPr>
          <w:p>
            <w:pPr>
              <w:spacing w:after="0" w:line="71" w:lineRule="exact"/>
              <w:rPr>
                <w:sz w:val="20"/>
                <w:szCs w:val="20"/>
                <w:color w:val="auto"/>
              </w:rPr>
            </w:pPr>
            <w:r>
              <w:rPr>
                <w:rFonts w:ascii="Arial" w:cs="Arial" w:eastAsia="Arial" w:hAnsi="Arial"/>
                <w:sz w:val="8"/>
                <w:szCs w:val="8"/>
                <w:b w:val="1"/>
                <w:bCs w:val="1"/>
                <w:color w:val="FFFFFF"/>
              </w:rPr>
              <w:t>Ownership / Investor Agreement</w:t>
            </w:r>
          </w:p>
        </w:tc>
        <w:tc>
          <w:tcPr>
            <w:tcW w:w="0" w:type="dxa"/>
            <w:vAlign w:val="bottom"/>
          </w:tcPr>
          <w:p>
            <w:pPr>
              <w:spacing w:after="0"/>
              <w:rPr>
                <w:sz w:val="1"/>
                <w:szCs w:val="1"/>
                <w:color w:val="auto"/>
              </w:rPr>
            </w:pPr>
          </w:p>
        </w:tc>
      </w:tr>
      <w:tr>
        <w:trPr>
          <w:trHeight w:val="123"/>
        </w:trPr>
        <w:tc>
          <w:tcPr>
            <w:tcW w:w="240" w:type="dxa"/>
            <w:vAlign w:val="bottom"/>
          </w:tcPr>
          <w:p>
            <w:pPr>
              <w:spacing w:after="0"/>
              <w:rPr>
                <w:sz w:val="10"/>
                <w:szCs w:val="10"/>
                <w:color w:val="auto"/>
              </w:rPr>
            </w:pPr>
          </w:p>
        </w:tc>
        <w:tc>
          <w:tcPr>
            <w:tcW w:w="5900" w:type="dxa"/>
            <w:vAlign w:val="bottom"/>
            <w:vMerge w:val="restart"/>
          </w:tcPr>
          <w:p>
            <w:pPr>
              <w:ind w:left="3000"/>
              <w:spacing w:after="0" w:line="193" w:lineRule="exact"/>
              <w:rPr>
                <w:sz w:val="20"/>
                <w:szCs w:val="20"/>
                <w:color w:val="auto"/>
              </w:rPr>
            </w:pPr>
            <w:r>
              <w:rPr>
                <w:rFonts w:ascii="Arial" w:cs="Arial" w:eastAsia="Arial" w:hAnsi="Arial"/>
                <w:sz w:val="19"/>
                <w:szCs w:val="19"/>
                <w:b w:val="1"/>
                <w:bCs w:val="1"/>
                <w:color w:val="093169"/>
              </w:rPr>
              <w:t>that antibody</w:t>
            </w:r>
          </w:p>
        </w:tc>
        <w:tc>
          <w:tcPr>
            <w:tcW w:w="3140" w:type="dxa"/>
            <w:vAlign w:val="bottom"/>
          </w:tcPr>
          <w:p>
            <w:pPr>
              <w:ind w:left="240"/>
              <w:spacing w:after="0" w:line="123" w:lineRule="exact"/>
              <w:rPr>
                <w:sz w:val="20"/>
                <w:szCs w:val="20"/>
                <w:color w:val="auto"/>
              </w:rPr>
            </w:pPr>
            <w:r>
              <w:rPr>
                <w:rFonts w:ascii="Arial" w:cs="Arial" w:eastAsia="Arial" w:hAnsi="Arial"/>
                <w:sz w:val="14"/>
                <w:szCs w:val="14"/>
                <w:b w:val="1"/>
                <w:bCs w:val="1"/>
                <w:color w:val="093169"/>
              </w:rPr>
              <w:t>Co-promotion rights</w:t>
            </w: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3140" w:type="dxa"/>
            <w:vAlign w:val="bottom"/>
            <w:vMerge w:val="restart"/>
          </w:tcPr>
          <w:p>
            <w:pPr>
              <w:ind w:left="520"/>
              <w:spacing w:after="0"/>
              <w:rPr>
                <w:sz w:val="20"/>
                <w:szCs w:val="20"/>
                <w:color w:val="auto"/>
              </w:rPr>
            </w:pPr>
            <w:r>
              <w:rPr>
                <w:rFonts w:ascii="Arial" w:cs="Arial" w:eastAsia="Arial" w:hAnsi="Arial"/>
                <w:sz w:val="19"/>
                <w:szCs w:val="19"/>
                <w:b w:val="1"/>
                <w:bCs w:val="1"/>
                <w:color w:val="093169"/>
                <w:w w:val="98"/>
              </w:rPr>
              <w:t>in US and other major market</w:t>
            </w:r>
          </w:p>
        </w:tc>
        <w:tc>
          <w:tcPr>
            <w:tcW w:w="0" w:type="dxa"/>
            <w:vAlign w:val="bottom"/>
          </w:tcPr>
          <w:p>
            <w:pPr>
              <w:spacing w:after="0"/>
              <w:rPr>
                <w:sz w:val="1"/>
                <w:szCs w:val="1"/>
                <w:color w:val="auto"/>
              </w:rPr>
            </w:pPr>
          </w:p>
        </w:tc>
      </w:tr>
      <w:tr>
        <w:trPr>
          <w:trHeight w:val="177"/>
        </w:trPr>
        <w:tc>
          <w:tcPr>
            <w:tcW w:w="240" w:type="dxa"/>
            <w:vAlign w:val="bottom"/>
            <w:vMerge w:val="restart"/>
          </w:tcPr>
          <w:p>
            <w:pPr>
              <w:ind w:left="20"/>
              <w:spacing w:after="0"/>
              <w:rPr>
                <w:sz w:val="20"/>
                <w:szCs w:val="20"/>
                <w:color w:val="auto"/>
              </w:rPr>
            </w:pPr>
            <w:r>
              <w:rPr>
                <w:rFonts w:ascii="Arial" w:cs="Arial" w:eastAsia="Arial" w:hAnsi="Arial"/>
                <w:sz w:val="22"/>
                <w:szCs w:val="22"/>
                <w:color w:val="FFFFFF"/>
              </w:rPr>
              <w:t>•</w:t>
            </w:r>
          </w:p>
        </w:tc>
        <w:tc>
          <w:tcPr>
            <w:tcW w:w="5900" w:type="dxa"/>
            <w:vAlign w:val="bottom"/>
            <w:vMerge w:val="restart"/>
          </w:tcPr>
          <w:p>
            <w:pPr>
              <w:ind w:left="140"/>
              <w:spacing w:after="0"/>
              <w:rPr>
                <w:sz w:val="20"/>
                <w:szCs w:val="20"/>
                <w:color w:val="auto"/>
              </w:rPr>
            </w:pPr>
            <w:r>
              <w:rPr>
                <w:rFonts w:ascii="Arial" w:cs="Arial" w:eastAsia="Arial" w:hAnsi="Arial"/>
                <w:sz w:val="22"/>
                <w:szCs w:val="22"/>
                <w:b w:val="1"/>
                <w:bCs w:val="1"/>
                <w:color w:val="FFFFFF"/>
              </w:rPr>
              <w:t>Sanofi ownership is currently 15.8M shares or ~16%</w:t>
            </w:r>
          </w:p>
        </w:tc>
        <w:tc>
          <w:tcPr>
            <w:tcW w:w="3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0" w:type="dxa"/>
            <w:vAlign w:val="bottom"/>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3140" w:type="dxa"/>
            <w:vAlign w:val="bottom"/>
            <w:vMerge w:val="restart"/>
          </w:tcPr>
          <w:p>
            <w:pPr>
              <w:ind w:left="520"/>
              <w:spacing w:after="0" w:line="194" w:lineRule="exact"/>
              <w:rPr>
                <w:sz w:val="20"/>
                <w:szCs w:val="20"/>
                <w:color w:val="auto"/>
              </w:rPr>
            </w:pPr>
            <w:r>
              <w:rPr>
                <w:rFonts w:ascii="Arial" w:cs="Arial" w:eastAsia="Arial" w:hAnsi="Arial"/>
                <w:sz w:val="19"/>
                <w:szCs w:val="19"/>
                <w:b w:val="1"/>
                <w:bCs w:val="1"/>
                <w:color w:val="093169"/>
              </w:rPr>
              <w:t>countries</w:t>
            </w:r>
          </w:p>
        </w:tc>
        <w:tc>
          <w:tcPr>
            <w:tcW w:w="0" w:type="dxa"/>
            <w:vAlign w:val="bottom"/>
          </w:tcPr>
          <w:p>
            <w:pPr>
              <w:spacing w:after="0"/>
              <w:rPr>
                <w:sz w:val="1"/>
                <w:szCs w:val="1"/>
                <w:color w:val="auto"/>
              </w:rPr>
            </w:pPr>
          </w:p>
        </w:tc>
      </w:tr>
      <w:tr>
        <w:trPr>
          <w:trHeight w:val="64"/>
        </w:trPr>
        <w:tc>
          <w:tcPr>
            <w:tcW w:w="240" w:type="dxa"/>
            <w:vAlign w:val="bottom"/>
            <w:vMerge w:val="restart"/>
          </w:tcPr>
          <w:p>
            <w:pPr>
              <w:ind w:left="20"/>
              <w:spacing w:after="0"/>
              <w:rPr>
                <w:sz w:val="20"/>
                <w:szCs w:val="20"/>
                <w:color w:val="auto"/>
              </w:rPr>
            </w:pPr>
            <w:r>
              <w:rPr>
                <w:rFonts w:ascii="Arial" w:cs="Arial" w:eastAsia="Arial" w:hAnsi="Arial"/>
                <w:sz w:val="22"/>
                <w:szCs w:val="22"/>
                <w:color w:val="FFFFFF"/>
              </w:rPr>
              <w:t>•</w:t>
            </w:r>
          </w:p>
        </w:tc>
        <w:tc>
          <w:tcPr>
            <w:tcW w:w="590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40" w:type="dxa"/>
            <w:vAlign w:val="bottom"/>
            <w:vMerge w:val="continue"/>
          </w:tcPr>
          <w:p>
            <w:pPr>
              <w:spacing w:after="0"/>
              <w:rPr>
                <w:sz w:val="20"/>
                <w:szCs w:val="20"/>
                <w:color w:val="auto"/>
              </w:rPr>
            </w:pPr>
          </w:p>
        </w:tc>
        <w:tc>
          <w:tcPr>
            <w:tcW w:w="9040" w:type="dxa"/>
            <w:vAlign w:val="bottom"/>
            <w:gridSpan w:val="2"/>
          </w:tcPr>
          <w:p>
            <w:pPr>
              <w:ind w:left="140"/>
              <w:spacing w:after="0" w:line="232" w:lineRule="exact"/>
              <w:rPr>
                <w:sz w:val="20"/>
                <w:szCs w:val="20"/>
                <w:color w:val="auto"/>
              </w:rPr>
            </w:pPr>
            <w:r>
              <w:rPr>
                <w:rFonts w:ascii="Arial" w:cs="Arial" w:eastAsia="Arial" w:hAnsi="Arial"/>
                <w:sz w:val="22"/>
                <w:szCs w:val="22"/>
                <w:b w:val="1"/>
                <w:bCs w:val="1"/>
                <w:color w:val="FFFFFF"/>
              </w:rPr>
              <w:t>Sanofi has obtained right to nominate an independent director to Regeneron BOD</w:t>
            </w:r>
          </w:p>
        </w:tc>
        <w:tc>
          <w:tcPr>
            <w:tcW w:w="0" w:type="dxa"/>
            <w:vAlign w:val="bottom"/>
          </w:tcPr>
          <w:p>
            <w:pPr>
              <w:spacing w:after="0"/>
              <w:rPr>
                <w:sz w:val="1"/>
                <w:szCs w:val="1"/>
                <w:color w:val="auto"/>
              </w:rPr>
            </w:pPr>
          </w:p>
        </w:tc>
      </w:tr>
    </w:tbl>
    <w:p>
      <w:pPr>
        <w:ind w:left="820"/>
        <w:spacing w:after="0"/>
        <w:rPr>
          <w:sz w:val="20"/>
          <w:szCs w:val="20"/>
          <w:color w:val="auto"/>
        </w:rPr>
      </w:pPr>
      <w:r>
        <w:rPr>
          <w:rFonts w:ascii="Arial" w:cs="Arial" w:eastAsia="Arial" w:hAnsi="Arial"/>
          <w:sz w:val="22"/>
          <w:szCs w:val="22"/>
          <w:b w:val="1"/>
          <w:bCs w:val="1"/>
          <w:color w:val="FFFFFF"/>
        </w:rPr>
        <w:t>when they reach 20% ownership</w:t>
      </w:r>
    </w:p>
    <w:p>
      <w:pPr>
        <w:spacing w:after="0" w:line="15"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22"/>
          <w:szCs w:val="22"/>
          <w:b w:val="1"/>
          <w:bCs w:val="1"/>
          <w:color w:val="FFFFFF"/>
        </w:rPr>
        <w:t>Voting rights, lock-up, and standstill limit to 30%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4B5457"/>
        </w:rPr>
        <w:t>*Regeneron repays Sanofi for 50% of developmentcosts out of profits. Repayment capped in any year at 10% of Regeneron share of total antibody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24 | Copyright Regeneron 2014</w:t>
      </w:r>
    </w:p>
    <w:p>
      <w:pPr>
        <w:sectPr>
          <w:pgSz w:w="11900" w:h="16838" w:orient="portrait"/>
          <w:cols w:equalWidth="0" w:num="1">
            <w:col w:w="9720"/>
          </w:cols>
          <w:pgMar w:left="1020" w:top="515" w:right="1159" w:bottom="1440" w:gutter="0" w:footer="0" w:header="0"/>
        </w:sectPr>
      </w:pPr>
    </w:p>
    <w:bookmarkStart w:id="28" w:name="page29"/>
    <w:bookmarkEnd w:id="28"/>
    <w:p>
      <w:pPr>
        <w:ind w:left="480"/>
        <w:spacing w:after="0"/>
        <w:tabs>
          <w:tab w:leader="none" w:pos="344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Sanofi Collaboration</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Sanofi Antibody Collaboration Continues to Provide R&amp;D Leverage</w:t>
      </w:r>
    </w:p>
    <w:p>
      <w:pPr>
        <w:spacing w:after="0" w:line="200" w:lineRule="exact"/>
        <w:rPr>
          <w:sz w:val="20"/>
          <w:szCs w:val="20"/>
          <w:color w:val="auto"/>
        </w:rPr>
      </w:pPr>
    </w:p>
    <w:p>
      <w:pPr>
        <w:spacing w:after="0" w:line="312" w:lineRule="exact"/>
        <w:rPr>
          <w:sz w:val="20"/>
          <w:szCs w:val="20"/>
          <w:color w:val="auto"/>
        </w:rPr>
      </w:pPr>
    </w:p>
    <w:p>
      <w:pPr>
        <w:ind w:left="500"/>
        <w:spacing w:after="0"/>
        <w:rPr>
          <w:sz w:val="20"/>
          <w:szCs w:val="20"/>
          <w:color w:val="auto"/>
        </w:rPr>
      </w:pPr>
      <w:r>
        <w:rPr>
          <w:rFonts w:ascii="Arial" w:cs="Arial" w:eastAsia="Arial" w:hAnsi="Arial"/>
          <w:sz w:val="38"/>
          <w:szCs w:val="38"/>
          <w:b w:val="1"/>
          <w:bCs w:val="1"/>
          <w:color w:val="156DC3"/>
        </w:rPr>
        <w:t>Sanofi Collaboration</w:t>
      </w:r>
    </w:p>
    <w:p>
      <w:pPr>
        <w:sectPr>
          <w:pgSz w:w="11900" w:h="16838" w:orient="portrait"/>
          <w:cols w:equalWidth="0" w:num="1">
            <w:col w:w="9540"/>
          </w:cols>
          <w:pgMar w:left="1020" w:top="51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 xml:space="preserve">Alirocumab </w:t>
      </w:r>
      <w:r>
        <w:rPr>
          <w:rFonts w:ascii="Arial" w:cs="Arial" w:eastAsia="Arial" w:hAnsi="Arial"/>
          <w:sz w:val="15"/>
          <w:szCs w:val="15"/>
          <w:color w:val="FFFFFF"/>
        </w:rPr>
        <w:t>(REGN727)</w:t>
      </w:r>
    </w:p>
    <w:p>
      <w:pPr>
        <w:ind w:left="100" w:right="400"/>
        <w:spacing w:after="0" w:line="254" w:lineRule="auto"/>
        <w:rPr>
          <w:sz w:val="20"/>
          <w:szCs w:val="20"/>
          <w:color w:val="auto"/>
        </w:rPr>
      </w:pPr>
      <w:r>
        <w:rPr>
          <w:rFonts w:ascii="Arial" w:cs="Arial" w:eastAsia="Arial" w:hAnsi="Arial"/>
          <w:sz w:val="13"/>
          <w:szCs w:val="13"/>
          <w:color w:val="FFFFFF"/>
        </w:rPr>
        <w:t>PSCK9 Antibody for LDL cholesterol reduction</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 xml:space="preserve">Sarilumab </w:t>
      </w:r>
      <w:r>
        <w:rPr>
          <w:rFonts w:ascii="Arial" w:cs="Arial" w:eastAsia="Arial" w:hAnsi="Arial"/>
          <w:sz w:val="15"/>
          <w:szCs w:val="15"/>
          <w:color w:val="FFFFFF"/>
        </w:rPr>
        <w:t>(REGN88)</w:t>
      </w:r>
      <w:r>
        <w:rPr>
          <w:rFonts w:ascii="Arial" w:cs="Arial" w:eastAsia="Arial" w:hAnsi="Arial"/>
          <w:sz w:val="15"/>
          <w:szCs w:val="15"/>
          <w:b w:val="1"/>
          <w:bCs w:val="1"/>
          <w:color w:val="FFFFFF"/>
        </w:rPr>
        <w:t xml:space="preserve"> </w:t>
      </w:r>
      <w:r>
        <w:rPr>
          <w:rFonts w:ascii="Arial" w:cs="Arial" w:eastAsia="Arial" w:hAnsi="Arial"/>
          <w:sz w:val="12"/>
          <w:szCs w:val="12"/>
          <w:color w:val="FFFFFF"/>
        </w:rPr>
        <w:t>IL-6R</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3"/>
          <w:szCs w:val="13"/>
          <w:color w:val="FFFFFF"/>
        </w:rPr>
        <w:t>Antibody for Rheumatoid arthritis</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 xml:space="preserve">Dupilumab </w:t>
      </w:r>
      <w:r>
        <w:rPr>
          <w:rFonts w:ascii="Arial" w:cs="Arial" w:eastAsia="Arial" w:hAnsi="Arial"/>
          <w:sz w:val="15"/>
          <w:szCs w:val="15"/>
          <w:color w:val="FFFFFF"/>
        </w:rPr>
        <w:t>(REGN668)</w:t>
      </w:r>
      <w:r>
        <w:rPr>
          <w:rFonts w:ascii="Arial" w:cs="Arial" w:eastAsia="Arial" w:hAnsi="Arial"/>
          <w:sz w:val="15"/>
          <w:szCs w:val="15"/>
          <w:b w:val="1"/>
          <w:bCs w:val="1"/>
          <w:color w:val="FFFFFF"/>
        </w:rPr>
        <w:t xml:space="preserve"> </w:t>
      </w:r>
      <w:r>
        <w:rPr>
          <w:rFonts w:ascii="Arial" w:cs="Arial" w:eastAsia="Arial" w:hAnsi="Arial"/>
          <w:sz w:val="12"/>
          <w:szCs w:val="12"/>
          <w:color w:val="FFFFFF"/>
        </w:rPr>
        <w:t>IL-4R</w:t>
      </w:r>
    </w:p>
    <w:p>
      <w:pPr>
        <w:spacing w:after="0" w:line="8" w:lineRule="exact"/>
        <w:rPr>
          <w:sz w:val="20"/>
          <w:szCs w:val="20"/>
          <w:color w:val="auto"/>
        </w:rPr>
      </w:pPr>
    </w:p>
    <w:p>
      <w:pPr>
        <w:ind w:left="100" w:right="260"/>
        <w:spacing w:after="0" w:line="254" w:lineRule="auto"/>
        <w:rPr>
          <w:sz w:val="20"/>
          <w:szCs w:val="20"/>
          <w:color w:val="auto"/>
        </w:rPr>
      </w:pPr>
      <w:r>
        <w:rPr>
          <w:rFonts w:ascii="Arial" w:cs="Arial" w:eastAsia="Arial" w:hAnsi="Arial"/>
          <w:sz w:val="13"/>
          <w:szCs w:val="13"/>
          <w:color w:val="FFFFFF"/>
        </w:rPr>
        <w:t>Antibody for Asthma, Atopic dermatitis, nasal polyposis</w:t>
      </w:r>
    </w:p>
    <w:p>
      <w:pPr>
        <w:spacing w:after="0" w:line="185" w:lineRule="exact"/>
        <w:rPr>
          <w:sz w:val="20"/>
          <w:szCs w:val="20"/>
          <w:color w:val="auto"/>
        </w:rPr>
      </w:pPr>
    </w:p>
    <w:p>
      <w:pPr>
        <w:ind w:left="100" w:right="500"/>
        <w:spacing w:after="0" w:line="233" w:lineRule="auto"/>
        <w:rPr>
          <w:sz w:val="20"/>
          <w:szCs w:val="20"/>
          <w:color w:val="auto"/>
        </w:rPr>
      </w:pPr>
      <w:r>
        <w:rPr>
          <w:rFonts w:ascii="Arial" w:cs="Arial" w:eastAsia="Arial" w:hAnsi="Arial"/>
          <w:sz w:val="15"/>
          <w:szCs w:val="15"/>
          <w:b w:val="1"/>
          <w:bCs w:val="1"/>
          <w:color w:val="FFFFFF"/>
        </w:rPr>
        <w:t xml:space="preserve">Sarilumab </w:t>
      </w:r>
      <w:r>
        <w:rPr>
          <w:rFonts w:ascii="Arial" w:cs="Arial" w:eastAsia="Arial" w:hAnsi="Arial"/>
          <w:sz w:val="15"/>
          <w:szCs w:val="15"/>
          <w:color w:val="FFFFFF"/>
        </w:rPr>
        <w:t>(REGN88)</w:t>
      </w:r>
      <w:r>
        <w:rPr>
          <w:rFonts w:ascii="Arial" w:cs="Arial" w:eastAsia="Arial" w:hAnsi="Arial"/>
          <w:sz w:val="15"/>
          <w:szCs w:val="15"/>
          <w:b w:val="1"/>
          <w:bCs w:val="1"/>
          <w:color w:val="FFFFFF"/>
        </w:rPr>
        <w:t xml:space="preserve"> </w:t>
      </w:r>
      <w:r>
        <w:rPr>
          <w:rFonts w:ascii="Arial" w:cs="Arial" w:eastAsia="Arial" w:hAnsi="Arial"/>
          <w:sz w:val="12"/>
          <w:szCs w:val="12"/>
          <w:color w:val="FFFFFF"/>
        </w:rPr>
        <w:t>IL-6R</w:t>
      </w:r>
      <w:r>
        <w:rPr>
          <w:rFonts w:ascii="Arial" w:cs="Arial" w:eastAsia="Arial" w:hAnsi="Arial"/>
          <w:sz w:val="15"/>
          <w:szCs w:val="15"/>
          <w:b w:val="1"/>
          <w:bCs w:val="1"/>
          <w:color w:val="FFFFFF"/>
        </w:rPr>
        <w:t xml:space="preserve"> </w:t>
      </w:r>
      <w:r>
        <w:rPr>
          <w:rFonts w:ascii="Arial" w:cs="Arial" w:eastAsia="Arial" w:hAnsi="Arial"/>
          <w:sz w:val="12"/>
          <w:szCs w:val="12"/>
          <w:color w:val="FFFFFF"/>
        </w:rPr>
        <w:t>Antibody for Non-infectious Uveitis</w:t>
      </w:r>
    </w:p>
    <w:p>
      <w:pPr>
        <w:spacing w:after="0" w:line="276" w:lineRule="exact"/>
        <w:rPr>
          <w:sz w:val="20"/>
          <w:szCs w:val="20"/>
          <w:color w:val="auto"/>
        </w:rPr>
      </w:pPr>
    </w:p>
    <w:p>
      <w:pPr>
        <w:ind w:left="100"/>
        <w:spacing w:after="0" w:line="233" w:lineRule="auto"/>
        <w:rPr>
          <w:sz w:val="20"/>
          <w:szCs w:val="20"/>
          <w:color w:val="auto"/>
        </w:rPr>
      </w:pPr>
      <w:r>
        <w:rPr>
          <w:rFonts w:ascii="Arial" w:cs="Arial" w:eastAsia="Arial" w:hAnsi="Arial"/>
          <w:sz w:val="15"/>
          <w:szCs w:val="15"/>
          <w:b w:val="1"/>
          <w:bCs w:val="1"/>
          <w:color w:val="FFFFFF"/>
        </w:rPr>
        <w:t xml:space="preserve">REGN1033 </w:t>
      </w:r>
      <w:r>
        <w:rPr>
          <w:rFonts w:ascii="Arial" w:cs="Arial" w:eastAsia="Arial" w:hAnsi="Arial"/>
          <w:sz w:val="12"/>
          <w:szCs w:val="12"/>
          <w:color w:val="FFFFFF"/>
        </w:rPr>
        <w:t>GDF8 Antibody for Metabolic</w:t>
      </w:r>
      <w:r>
        <w:rPr>
          <w:rFonts w:ascii="Arial" w:cs="Arial" w:eastAsia="Arial" w:hAnsi="Arial"/>
          <w:sz w:val="15"/>
          <w:szCs w:val="15"/>
          <w:b w:val="1"/>
          <w:bCs w:val="1"/>
          <w:color w:val="FFFFFF"/>
        </w:rPr>
        <w:t xml:space="preserve"> </w:t>
      </w:r>
      <w:r>
        <w:rPr>
          <w:rFonts w:ascii="Arial" w:cs="Arial" w:eastAsia="Arial" w:hAnsi="Arial"/>
          <w:sz w:val="12"/>
          <w:szCs w:val="12"/>
          <w:color w:val="FFFFFF"/>
        </w:rPr>
        <w:t>disorders</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 xml:space="preserve">Enoticumab </w:t>
      </w:r>
      <w:r>
        <w:rPr>
          <w:rFonts w:ascii="Arial" w:cs="Arial" w:eastAsia="Arial" w:hAnsi="Arial"/>
          <w:sz w:val="15"/>
          <w:szCs w:val="15"/>
          <w:color w:val="FFFFFF"/>
        </w:rPr>
        <w:t>(REGN421)</w:t>
      </w:r>
      <w:r>
        <w:rPr>
          <w:rFonts w:ascii="Arial" w:cs="Arial" w:eastAsia="Arial" w:hAnsi="Arial"/>
          <w:sz w:val="15"/>
          <w:szCs w:val="15"/>
          <w:b w:val="1"/>
          <w:bCs w:val="1"/>
          <w:color w:val="FFFFFF"/>
        </w:rPr>
        <w:t xml:space="preserve"> </w:t>
      </w:r>
      <w:r>
        <w:rPr>
          <w:rFonts w:ascii="Arial" w:cs="Arial" w:eastAsia="Arial" w:hAnsi="Arial"/>
          <w:sz w:val="12"/>
          <w:szCs w:val="12"/>
          <w:color w:val="FFFFFF"/>
        </w:rPr>
        <w:t>DII4</w:t>
      </w:r>
    </w:p>
    <w:p>
      <w:pPr>
        <w:ind w:left="140"/>
        <w:spacing w:after="0"/>
        <w:rPr>
          <w:sz w:val="20"/>
          <w:szCs w:val="20"/>
          <w:color w:val="auto"/>
        </w:rPr>
      </w:pPr>
      <w:r>
        <w:rPr>
          <w:rFonts w:ascii="Arial" w:cs="Arial" w:eastAsia="Arial" w:hAnsi="Arial"/>
          <w:sz w:val="13"/>
          <w:szCs w:val="13"/>
          <w:color w:val="FFFFFF"/>
        </w:rPr>
        <w:t>Antibody for Advanced malignancies</w:t>
      </w:r>
    </w:p>
    <w:p>
      <w:pPr>
        <w:spacing w:after="0" w:line="28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 xml:space="preserve">Nesvacumab </w:t>
      </w:r>
      <w:r>
        <w:rPr>
          <w:rFonts w:ascii="Arial" w:cs="Arial" w:eastAsia="Arial" w:hAnsi="Arial"/>
          <w:sz w:val="15"/>
          <w:szCs w:val="15"/>
          <w:color w:val="FFFFFF"/>
        </w:rPr>
        <w:t>(REGN910)</w:t>
      </w:r>
      <w:r>
        <w:rPr>
          <w:rFonts w:ascii="Arial" w:cs="Arial" w:eastAsia="Arial" w:hAnsi="Arial"/>
          <w:sz w:val="15"/>
          <w:szCs w:val="15"/>
          <w:b w:val="1"/>
          <w:bCs w:val="1"/>
          <w:color w:val="FFFFFF"/>
        </w:rPr>
        <w:t xml:space="preserve"> </w:t>
      </w:r>
      <w:r>
        <w:rPr>
          <w:rFonts w:ascii="Arial" w:cs="Arial" w:eastAsia="Arial" w:hAnsi="Arial"/>
          <w:sz w:val="12"/>
          <w:szCs w:val="12"/>
          <w:color w:val="FFFFFF"/>
        </w:rPr>
        <w:t>Ang2</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3"/>
          <w:szCs w:val="13"/>
          <w:color w:val="FFFFFF"/>
        </w:rPr>
        <w:t>Antibody for Advanced malignancies</w:t>
      </w:r>
    </w:p>
    <w:p>
      <w:pPr>
        <w:spacing w:after="0" w:line="35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 xml:space="preserve">REGN2009 </w:t>
      </w:r>
      <w:r>
        <w:rPr>
          <w:rFonts w:ascii="Arial" w:cs="Arial" w:eastAsia="Arial" w:hAnsi="Arial"/>
          <w:sz w:val="12"/>
          <w:szCs w:val="12"/>
          <w:color w:val="FFFFFF"/>
        </w:rPr>
        <w:t>(undisclosed target)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tabs>
          <w:tab w:leader="none" w:pos="840" w:val="left"/>
          <w:tab w:leader="none" w:pos="1660" w:val="left"/>
          <w:tab w:leader="none" w:pos="2640" w:val="left"/>
        </w:tabs>
        <w:rPr>
          <w:sz w:val="20"/>
          <w:szCs w:val="20"/>
          <w:color w:val="auto"/>
        </w:rPr>
      </w:pPr>
      <w:r>
        <w:rPr>
          <w:rFonts w:ascii="Arial" w:cs="Arial" w:eastAsia="Arial" w:hAnsi="Arial"/>
          <w:sz w:val="15"/>
          <w:szCs w:val="15"/>
          <w:b w:val="1"/>
          <w:bCs w:val="1"/>
          <w:color w:val="FFFFFF"/>
        </w:rPr>
        <w:t>Phase 1</w:t>
      </w:r>
      <w:r>
        <w:rPr>
          <w:sz w:val="20"/>
          <w:szCs w:val="20"/>
          <w:color w:val="auto"/>
        </w:rPr>
        <w:tab/>
      </w:r>
      <w:r>
        <w:rPr>
          <w:rFonts w:ascii="Arial" w:cs="Arial" w:eastAsia="Arial" w:hAnsi="Arial"/>
          <w:sz w:val="15"/>
          <w:szCs w:val="15"/>
          <w:b w:val="1"/>
          <w:bCs w:val="1"/>
          <w:color w:val="FFFFFF"/>
        </w:rPr>
        <w:t>Phase 2</w:t>
        <w:tab/>
        <w:t>Phase 3</w:t>
      </w:r>
      <w:r>
        <w:rPr>
          <w:sz w:val="20"/>
          <w:szCs w:val="20"/>
          <w:color w:val="auto"/>
        </w:rPr>
        <w:tab/>
      </w:r>
      <w:r>
        <w:rPr>
          <w:rFonts w:ascii="Arial" w:cs="Arial" w:eastAsia="Arial" w:hAnsi="Arial"/>
          <w:sz w:val="22"/>
          <w:szCs w:val="22"/>
          <w:b w:val="1"/>
          <w:bCs w:val="1"/>
          <w:color w:val="4B5457"/>
        </w:rPr>
        <w:t>Sanofi collaboration a major</w:t>
      </w:r>
    </w:p>
    <w:p>
      <w:pPr>
        <w:spacing w:after="0" w:line="59" w:lineRule="exact"/>
        <w:rPr>
          <w:sz w:val="20"/>
          <w:szCs w:val="20"/>
          <w:color w:val="auto"/>
        </w:rPr>
      </w:pPr>
    </w:p>
    <w:p>
      <w:pPr>
        <w:ind w:left="2660"/>
        <w:spacing w:after="0"/>
        <w:rPr>
          <w:sz w:val="20"/>
          <w:szCs w:val="20"/>
          <w:color w:val="auto"/>
        </w:rPr>
      </w:pPr>
      <w:r>
        <w:rPr>
          <w:rFonts w:ascii="Arial" w:cs="Arial" w:eastAsia="Arial" w:hAnsi="Arial"/>
          <w:sz w:val="24"/>
          <w:szCs w:val="24"/>
          <w:b w:val="1"/>
          <w:bCs w:val="1"/>
          <w:color w:val="4B5457"/>
        </w:rPr>
        <w:t>contributor to Regeneron R&amp;D</w:t>
      </w:r>
    </w:p>
    <w:p>
      <w:pPr>
        <w:spacing w:after="0" w:line="183" w:lineRule="exact"/>
        <w:rPr>
          <w:sz w:val="20"/>
          <w:szCs w:val="20"/>
          <w:color w:val="auto"/>
        </w:rPr>
      </w:pPr>
    </w:p>
    <w:p>
      <w:pPr>
        <w:ind w:left="3360"/>
        <w:spacing w:after="0"/>
        <w:rPr>
          <w:sz w:val="20"/>
          <w:szCs w:val="20"/>
          <w:color w:val="auto"/>
        </w:rPr>
      </w:pPr>
      <w:r>
        <w:rPr>
          <w:rFonts w:ascii="Arial" w:cs="Arial" w:eastAsia="Arial" w:hAnsi="Arial"/>
          <w:sz w:val="24"/>
          <w:szCs w:val="24"/>
          <w:color w:val="4B5457"/>
        </w:rPr>
        <w:t>Sanofi is estimated to spend</w:t>
      </w:r>
    </w:p>
    <w:p>
      <w:pPr>
        <w:spacing w:after="0" w:line="41" w:lineRule="exact"/>
        <w:rPr>
          <w:sz w:val="20"/>
          <w:szCs w:val="20"/>
          <w:color w:val="auto"/>
        </w:rPr>
      </w:pPr>
    </w:p>
    <w:p>
      <w:pPr>
        <w:ind w:left="3360"/>
        <w:spacing w:after="0"/>
        <w:rPr>
          <w:sz w:val="20"/>
          <w:szCs w:val="20"/>
          <w:color w:val="auto"/>
        </w:rPr>
      </w:pPr>
      <w:r>
        <w:rPr>
          <w:rFonts w:ascii="Arial" w:cs="Arial" w:eastAsia="Arial" w:hAnsi="Arial"/>
          <w:sz w:val="24"/>
          <w:szCs w:val="24"/>
          <w:color w:val="4B5457"/>
        </w:rPr>
        <w:t>more than $1 Billion on</w:t>
      </w:r>
    </w:p>
    <w:p>
      <w:pPr>
        <w:spacing w:after="0" w:line="41" w:lineRule="exact"/>
        <w:rPr>
          <w:sz w:val="20"/>
          <w:szCs w:val="20"/>
          <w:color w:val="auto"/>
        </w:rPr>
      </w:pPr>
    </w:p>
    <w:p>
      <w:pPr>
        <w:ind w:left="3360"/>
        <w:spacing w:after="0"/>
        <w:rPr>
          <w:sz w:val="20"/>
          <w:szCs w:val="20"/>
          <w:color w:val="auto"/>
        </w:rPr>
      </w:pPr>
      <w:r>
        <w:rPr>
          <w:rFonts w:ascii="Arial" w:cs="Arial" w:eastAsia="Arial" w:hAnsi="Arial"/>
          <w:sz w:val="22"/>
          <w:szCs w:val="22"/>
          <w:color w:val="4B5457"/>
        </w:rPr>
        <w:t>collaboration programs in 2014*</w:t>
      </w:r>
    </w:p>
    <w:p>
      <w:pPr>
        <w:spacing w:after="0" w:line="93" w:lineRule="exact"/>
        <w:rPr>
          <w:sz w:val="20"/>
          <w:szCs w:val="20"/>
          <w:color w:val="auto"/>
        </w:rPr>
      </w:pPr>
    </w:p>
    <w:p>
      <w:pPr>
        <w:ind w:left="2660"/>
        <w:spacing w:after="0"/>
        <w:rPr>
          <w:sz w:val="20"/>
          <w:szCs w:val="20"/>
          <w:color w:val="auto"/>
        </w:rPr>
      </w:pPr>
      <w:r>
        <w:rPr>
          <w:rFonts w:ascii="Arial" w:cs="Arial" w:eastAsia="Arial" w:hAnsi="Arial"/>
          <w:sz w:val="24"/>
          <w:szCs w:val="24"/>
          <w:b w:val="1"/>
          <w:bCs w:val="1"/>
          <w:color w:val="4B5457"/>
        </w:rPr>
        <w:t>Regeneron contribution to</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24"/>
          <w:szCs w:val="24"/>
          <w:b w:val="1"/>
          <w:bCs w:val="1"/>
          <w:color w:val="4B5457"/>
        </w:rPr>
        <w:t>collaboration R&amp;D funding</w:t>
      </w:r>
    </w:p>
    <w:p>
      <w:pPr>
        <w:spacing w:after="0" w:line="6" w:lineRule="exact"/>
        <w:rPr>
          <w:sz w:val="20"/>
          <w:szCs w:val="20"/>
          <w:color w:val="auto"/>
        </w:rPr>
      </w:pPr>
    </w:p>
    <w:p>
      <w:pPr>
        <w:ind w:left="2660"/>
        <w:spacing w:after="0"/>
        <w:rPr>
          <w:sz w:val="20"/>
          <w:szCs w:val="20"/>
          <w:color w:val="auto"/>
        </w:rPr>
      </w:pPr>
      <w:r>
        <w:rPr>
          <w:rFonts w:ascii="Arial" w:cs="Arial" w:eastAsia="Arial" w:hAnsi="Arial"/>
          <w:sz w:val="24"/>
          <w:szCs w:val="24"/>
          <w:b w:val="1"/>
          <w:bCs w:val="1"/>
          <w:color w:val="4B5457"/>
        </w:rPr>
        <w:t>increasing in 2014</w:t>
      </w:r>
    </w:p>
    <w:p>
      <w:pPr>
        <w:spacing w:after="0" w:line="88" w:lineRule="exact"/>
        <w:rPr>
          <w:sz w:val="20"/>
          <w:szCs w:val="20"/>
          <w:color w:val="auto"/>
        </w:rPr>
      </w:pPr>
    </w:p>
    <w:p>
      <w:pPr>
        <w:ind w:left="3360"/>
        <w:spacing w:after="0"/>
        <w:rPr>
          <w:sz w:val="20"/>
          <w:szCs w:val="20"/>
          <w:color w:val="auto"/>
        </w:rPr>
      </w:pPr>
      <w:r>
        <w:rPr>
          <w:rFonts w:ascii="Arial" w:cs="Arial" w:eastAsia="Arial" w:hAnsi="Arial"/>
          <w:sz w:val="24"/>
          <w:szCs w:val="24"/>
          <w:color w:val="4B5457"/>
        </w:rPr>
        <w:t>20% funding of alirocumab and</w:t>
      </w:r>
    </w:p>
    <w:p>
      <w:pPr>
        <w:spacing w:after="0" w:line="41" w:lineRule="exact"/>
        <w:rPr>
          <w:sz w:val="20"/>
          <w:szCs w:val="20"/>
          <w:color w:val="auto"/>
        </w:rPr>
      </w:pPr>
    </w:p>
    <w:p>
      <w:pPr>
        <w:ind w:left="3360"/>
        <w:spacing w:after="0"/>
        <w:rPr>
          <w:sz w:val="20"/>
          <w:szCs w:val="20"/>
          <w:color w:val="auto"/>
        </w:rPr>
      </w:pPr>
      <w:r>
        <w:rPr>
          <w:rFonts w:ascii="Arial" w:cs="Arial" w:eastAsia="Arial" w:hAnsi="Arial"/>
          <w:sz w:val="24"/>
          <w:szCs w:val="24"/>
          <w:color w:val="4B5457"/>
        </w:rPr>
        <w:t>sarilumab Phase 3 trials</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22"/>
          <w:szCs w:val="22"/>
          <w:color w:val="4B5457"/>
        </w:rPr>
        <w:t>Estimated to be ~$115 MM in</w:t>
      </w:r>
    </w:p>
    <w:p>
      <w:pPr>
        <w:spacing w:after="0" w:line="29" w:lineRule="exact"/>
        <w:rPr>
          <w:sz w:val="20"/>
          <w:szCs w:val="20"/>
          <w:color w:val="auto"/>
        </w:rPr>
      </w:pPr>
    </w:p>
    <w:p>
      <w:pPr>
        <w:ind w:left="3640"/>
        <w:spacing w:after="0"/>
        <w:rPr>
          <w:sz w:val="20"/>
          <w:szCs w:val="20"/>
          <w:color w:val="auto"/>
        </w:rPr>
      </w:pPr>
      <w:r>
        <w:rPr>
          <w:rFonts w:ascii="Arial" w:cs="Arial" w:eastAsia="Arial" w:hAnsi="Arial"/>
          <w:sz w:val="24"/>
          <w:szCs w:val="24"/>
          <w:color w:val="4B5457"/>
        </w:rPr>
        <w:t>2014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20" w:right="160"/>
        <w:spacing w:after="0" w:line="279" w:lineRule="auto"/>
        <w:rPr>
          <w:sz w:val="20"/>
          <w:szCs w:val="20"/>
          <w:color w:val="auto"/>
        </w:rPr>
      </w:pPr>
      <w:r>
        <w:rPr>
          <w:rFonts w:ascii="Arial" w:cs="Arial" w:eastAsia="Arial" w:hAnsi="Arial"/>
          <w:sz w:val="14"/>
          <w:szCs w:val="14"/>
          <w:i w:val="1"/>
          <w:iCs w:val="1"/>
          <w:color w:val="4B5457"/>
        </w:rPr>
        <w:t>*Regeneron to repay 50% of collaboration clinical development spending out of antibody profits</w:t>
      </w:r>
    </w:p>
    <w:p>
      <w:pPr>
        <w:spacing w:after="0" w:line="200" w:lineRule="exact"/>
        <w:rPr>
          <w:sz w:val="20"/>
          <w:szCs w:val="20"/>
          <w:color w:val="auto"/>
        </w:rPr>
      </w:pPr>
    </w:p>
    <w:p>
      <w:pPr>
        <w:sectPr>
          <w:pgSz w:w="11900" w:h="16838" w:orient="portrait"/>
          <w:cols w:equalWidth="0" w:num="2">
            <w:col w:w="2580" w:space="260"/>
            <w:col w:w="6700"/>
          </w:cols>
          <w:pgMar w:left="1020" w:top="515" w:right="1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25 | Copyright Regeneron 2014</w:t>
      </w:r>
    </w:p>
    <w:p>
      <w:pPr>
        <w:sectPr>
          <w:pgSz w:w="11900" w:h="16838" w:orient="portrait"/>
          <w:cols w:equalWidth="0" w:num="1">
            <w:col w:w="9540"/>
          </w:cols>
          <w:pgMar w:left="1020" w:top="515" w:right="13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right="2479"/>
        <w:spacing w:after="0" w:line="294" w:lineRule="auto"/>
        <w:rPr>
          <w:sz w:val="20"/>
          <w:szCs w:val="20"/>
          <w:color w:val="auto"/>
        </w:rPr>
      </w:pPr>
      <w:r>
        <w:rPr>
          <w:rFonts w:ascii="Arial" w:cs="Arial" w:eastAsia="Arial" w:hAnsi="Arial"/>
          <w:sz w:val="56"/>
          <w:szCs w:val="56"/>
          <w:b w:val="1"/>
          <w:bCs w:val="1"/>
          <w:color w:val="FFFFFF"/>
        </w:rPr>
        <w:t>Pipeline of Wholly-Owned Antibodies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26 | Copyright Regeneron 2014</w:t>
      </w:r>
    </w:p>
    <w:p>
      <w:pPr>
        <w:sectPr>
          <w:pgSz w:w="11900" w:h="16838" w:orient="portrait"/>
          <w:cols w:equalWidth="0" w:num="1">
            <w:col w:w="9439"/>
          </w:cols>
          <w:pgMar w:left="1020" w:top="1440" w:right="1440" w:bottom="1440" w:gutter="0" w:footer="0" w:header="0"/>
        </w:sectPr>
      </w:pPr>
    </w:p>
    <w:bookmarkStart w:id="30" w:name="page31"/>
    <w:bookmarkEnd w:id="30"/>
    <w:p>
      <w:pPr>
        <w:ind w:left="60"/>
        <w:spacing w:after="0"/>
        <w:tabs>
          <w:tab w:leader="none" w:pos="3000" w:val="left"/>
        </w:tabs>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Wholly-Owned Antibody Pipeline</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28"/>
          <w:szCs w:val="28"/>
          <w:b w:val="1"/>
          <w:bCs w:val="1"/>
          <w:color w:val="D2EAF9"/>
        </w:rPr>
        <w:t>Pipeline of Wholly-Owned Antibodies is Growing</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38"/>
          <w:szCs w:val="38"/>
          <w:b w:val="1"/>
          <w:bCs w:val="1"/>
          <w:color w:val="0070C0"/>
        </w:rPr>
        <w:t>Wholly-Owned Clinical Stage Antibodies</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4B5457"/>
        </w:rPr>
        <w:t>Advancing early stage pipeline of Regeneron-owned antibodies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25"/>
          <w:szCs w:val="25"/>
          <w:color w:val="4B5457"/>
        </w:rPr>
        <w:t>Pipeline compounds address six distinct therapeutic areas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25"/>
          <w:szCs w:val="25"/>
          <w:color w:val="4B5457"/>
        </w:rPr>
        <w:t>Committed to advance through POC to maximize value</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5"/>
          <w:szCs w:val="25"/>
          <w:color w:val="4B5457"/>
        </w:rPr>
        <w:t>Fasinumab* (Phase 2, NGF antibody)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color w:val="4B5457"/>
        </w:rPr>
        <w:t>REGN1400 (Phase 1, ErbB3, advanced malignancies)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color w:val="4B5457"/>
        </w:rPr>
        <w:t>REGN1154 (Phase 1, undisclosed target)</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5"/>
          <w:szCs w:val="25"/>
          <w:color w:val="4B5457"/>
        </w:rPr>
        <w:t>REGN1500 (Phase 1, undisclosed target)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color w:val="4B5457"/>
        </w:rPr>
        <w:t>REGN1193 (Phase 1, undisclosed target)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color w:val="4B5457"/>
        </w:rPr>
        <w:t>REGN1908-1909 (Phase 1, undisclosed target)</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4B5457"/>
        </w:rPr>
        <w:t>As pipeline advances, R&amp;D expense will increase</w:t>
      </w: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4B5457"/>
        </w:rPr>
        <w:t>*Currently on clinical hold by the FDA</w:t>
      </w:r>
    </w:p>
    <w:p>
      <w:pPr>
        <w:sectPr>
          <w:pgSz w:w="11900" w:h="16838" w:orient="portrait"/>
          <w:cols w:equalWidth="0" w:num="1">
            <w:col w:w="9840"/>
          </w:cols>
          <w:pgMar w:left="1440" w:top="515" w:right="6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right="1079"/>
        <w:spacing w:after="0" w:line="294" w:lineRule="auto"/>
        <w:rPr>
          <w:sz w:val="20"/>
          <w:szCs w:val="20"/>
          <w:color w:val="auto"/>
        </w:rPr>
      </w:pPr>
      <w:r>
        <w:rPr>
          <w:rFonts w:ascii="Arial" w:cs="Arial" w:eastAsia="Arial" w:hAnsi="Arial"/>
          <w:sz w:val="56"/>
          <w:szCs w:val="56"/>
          <w:b w:val="1"/>
          <w:bCs w:val="1"/>
          <w:color w:val="FFFFFF"/>
        </w:rPr>
        <w:t>Innovative Research and Novel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Page 28 | Copyright Regeneron 2014</w:t>
      </w:r>
    </w:p>
    <w:p>
      <w:pPr>
        <w:sectPr>
          <w:pgSz w:w="11900" w:h="16838" w:orient="portrait"/>
          <w:cols w:equalWidth="0" w:num="1">
            <w:col w:w="9439"/>
          </w:cols>
          <w:pgMar w:left="1020" w:top="1440" w:right="1440" w:bottom="1440" w:gutter="0" w:footer="0" w:header="0"/>
        </w:sectPr>
      </w:pPr>
    </w:p>
    <w:bookmarkStart w:id="32" w:name="page33"/>
    <w:bookmarkEnd w:id="32"/>
    <w:p>
      <w:pPr>
        <w:ind w:left="480"/>
        <w:spacing w:after="0"/>
        <w:tabs>
          <w:tab w:leader="none" w:pos="3440" w:val="left"/>
        </w:tabs>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r>
      <w:r>
        <w:rPr>
          <w:sz w:val="20"/>
          <w:szCs w:val="20"/>
          <w:color w:val="auto"/>
        </w:rPr>
        <w:tab/>
      </w:r>
      <w:r>
        <w:rPr>
          <w:rFonts w:ascii="Arial" w:cs="Arial" w:eastAsia="Arial" w:hAnsi="Arial"/>
          <w:sz w:val="42"/>
          <w:szCs w:val="42"/>
          <w:b w:val="1"/>
          <w:bCs w:val="1"/>
          <w:color w:val="FFFFFF"/>
        </w:rPr>
        <w:t>Innovating for the Future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Investment in Research &amp; Development and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156DC3"/>
        </w:rPr>
        <w:t>Immuno-Oncology</w:t>
      </w:r>
    </w:p>
    <w:p>
      <w:pPr>
        <w:sectPr>
          <w:pgSz w:w="11900" w:h="16838" w:orient="portrait"/>
          <w:cols w:equalWidth="0" w:num="1">
            <w:col w:w="9860"/>
          </w:cols>
          <w:pgMar w:left="1020" w:top="515" w:right="10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560" w:right="200"/>
        <w:spacing w:after="0" w:line="265" w:lineRule="auto"/>
        <w:rPr>
          <w:sz w:val="20"/>
          <w:szCs w:val="20"/>
          <w:color w:val="auto"/>
        </w:rPr>
      </w:pPr>
      <w:r>
        <w:rPr>
          <w:rFonts w:ascii="Arial" w:cs="Arial" w:eastAsia="Arial" w:hAnsi="Arial"/>
          <w:sz w:val="22"/>
          <w:szCs w:val="22"/>
          <w:b w:val="1"/>
          <w:bCs w:val="1"/>
          <w:color w:val="4B5457"/>
        </w:rPr>
        <w:t>CD20-CD3 bispecific antibody expected to enter clinic in 2014</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156DC3"/>
        </w:rPr>
        <w:t>Other Pipeline</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156DC3"/>
        </w:rPr>
        <w:t>Technologies</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B5457"/>
        </w:rPr>
        <w:t>Long-acting antibodies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B5457"/>
        </w:rPr>
        <w:t>Antibody Drug Conjugates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B5457"/>
        </w:rPr>
        <w:t>Next Generation</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4B5457"/>
        </w:rPr>
        <w:t>VelocImmune</w:t>
      </w:r>
      <w:r>
        <w:rPr>
          <w:rFonts w:ascii="Arial" w:cs="Arial" w:eastAsia="Arial" w:hAnsi="Arial"/>
          <w:sz w:val="14"/>
          <w:szCs w:val="14"/>
          <w:b w:val="1"/>
          <w:bCs w:val="1"/>
          <w:color w:val="4B5457"/>
        </w:rPr>
        <w:t>®</w:t>
      </w:r>
      <w:r>
        <w:rPr>
          <w:rFonts w:ascii="Arial" w:cs="Arial" w:eastAsia="Arial" w:hAnsi="Arial"/>
          <w:sz w:val="22"/>
          <w:szCs w:val="22"/>
          <w:b w:val="1"/>
          <w:bCs w:val="1"/>
          <w:i w:val="1"/>
          <w:iCs w:val="1"/>
          <w:color w:val="4B5457"/>
        </w:rPr>
        <w:t xml:space="preserve"> </w:t>
      </w:r>
      <w:r>
        <w:rPr>
          <w:rFonts w:ascii="Arial" w:cs="Arial" w:eastAsia="Arial" w:hAnsi="Arial"/>
          <w:sz w:val="22"/>
          <w:szCs w:val="22"/>
          <w:b w:val="1"/>
          <w:bCs w:val="1"/>
          <w:color w:val="4B5457"/>
        </w:rPr>
        <w:t>Mice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8"/>
          <w:szCs w:val="38"/>
          <w:b w:val="1"/>
          <w:bCs w:val="1"/>
          <w:color w:val="156DC3"/>
        </w:rPr>
        <w:t>Regeneron Genetics Center</w:t>
      </w:r>
    </w:p>
    <w:p>
      <w:pPr>
        <w:spacing w:after="0" w:line="200" w:lineRule="exact"/>
        <w:rPr>
          <w:sz w:val="20"/>
          <w:szCs w:val="20"/>
          <w:color w:val="auto"/>
        </w:rPr>
      </w:pPr>
    </w:p>
    <w:p>
      <w:pPr>
        <w:spacing w:after="0" w:line="248" w:lineRule="exact"/>
        <w:rPr>
          <w:sz w:val="20"/>
          <w:szCs w:val="20"/>
          <w:color w:val="auto"/>
        </w:rPr>
      </w:pPr>
    </w:p>
    <w:p>
      <w:pPr>
        <w:ind w:left="300" w:right="620"/>
        <w:spacing w:after="0" w:line="293" w:lineRule="auto"/>
        <w:rPr>
          <w:sz w:val="20"/>
          <w:szCs w:val="20"/>
          <w:color w:val="auto"/>
        </w:rPr>
      </w:pPr>
      <w:r>
        <w:rPr>
          <w:rFonts w:ascii="Arial" w:cs="Arial" w:eastAsia="Arial" w:hAnsi="Arial"/>
          <w:sz w:val="28"/>
          <w:szCs w:val="28"/>
          <w:b w:val="1"/>
          <w:bCs w:val="1"/>
          <w:color w:val="4B5457"/>
        </w:rPr>
        <w:t>Major new investment in human genetics research</w:t>
      </w:r>
    </w:p>
    <w:p>
      <w:pPr>
        <w:spacing w:after="0" w:line="49" w:lineRule="exact"/>
        <w:rPr>
          <w:sz w:val="20"/>
          <w:szCs w:val="20"/>
          <w:color w:val="auto"/>
        </w:rPr>
      </w:pPr>
    </w:p>
    <w:p>
      <w:pPr>
        <w:jc w:val="both"/>
        <w:ind w:left="300"/>
        <w:spacing w:after="0" w:line="274" w:lineRule="auto"/>
        <w:rPr>
          <w:sz w:val="20"/>
          <w:szCs w:val="20"/>
          <w:color w:val="auto"/>
        </w:rPr>
      </w:pPr>
      <w:r>
        <w:rPr>
          <w:rFonts w:ascii="Arial" w:cs="Arial" w:eastAsia="Arial" w:hAnsi="Arial"/>
          <w:sz w:val="28"/>
          <w:szCs w:val="28"/>
          <w:b w:val="1"/>
          <w:bCs w:val="1"/>
          <w:color w:val="4B5457"/>
        </w:rPr>
        <w:t>Collaboration with Geisinger Health System is cornerstone of population based approach</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4B5457"/>
        </w:rPr>
        <w:t>Additional collaborations expected</w:t>
      </w:r>
    </w:p>
    <w:p>
      <w:pPr>
        <w:spacing w:after="0" w:line="200" w:lineRule="exact"/>
        <w:rPr>
          <w:sz w:val="20"/>
          <w:szCs w:val="20"/>
          <w:color w:val="auto"/>
        </w:rPr>
      </w:pPr>
    </w:p>
    <w:p>
      <w:pPr>
        <w:sectPr>
          <w:pgSz w:w="11900" w:h="16838" w:orient="portrait"/>
          <w:cols w:equalWidth="0" w:num="2">
            <w:col w:w="3940" w:space="720"/>
            <w:col w:w="5200"/>
          </w:cols>
          <w:pgMar w:left="1020" w:top="515"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29 | Copyright Regeneron 2014</w:t>
      </w:r>
    </w:p>
    <w:p>
      <w:pPr>
        <w:sectPr>
          <w:pgSz w:w="11900" w:h="16838" w:orient="portrait"/>
          <w:cols w:equalWidth="0" w:num="1">
            <w:col w:w="9860"/>
          </w:cols>
          <w:pgMar w:left="1020" w:top="515" w:right="1019" w:bottom="1440" w:gutter="0" w:footer="0" w:header="0"/>
          <w:type w:val="continuous"/>
        </w:sectPr>
      </w:pPr>
    </w:p>
    <w:bookmarkStart w:id="33" w:name="page34"/>
    <w:bookmarkEnd w:id="33"/>
    <w:p>
      <w:pPr>
        <w:ind w:left="480"/>
        <w:spacing w:after="0"/>
        <w:tabs>
          <w:tab w:leader="none" w:pos="344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Innovating for the Future</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Investment in Research &amp; Development and Technology</w:t>
      </w:r>
    </w:p>
    <w:p>
      <w:pPr>
        <w:spacing w:after="0" w:line="200" w:lineRule="exact"/>
        <w:rPr>
          <w:sz w:val="20"/>
          <w:szCs w:val="20"/>
          <w:color w:val="auto"/>
        </w:rPr>
      </w:pPr>
    </w:p>
    <w:p>
      <w:pPr>
        <w:spacing w:after="0" w:line="243" w:lineRule="exact"/>
        <w:rPr>
          <w:sz w:val="20"/>
          <w:szCs w:val="20"/>
          <w:color w:val="auto"/>
        </w:rPr>
      </w:pPr>
    </w:p>
    <w:p>
      <w:pPr>
        <w:ind w:left="420"/>
        <w:spacing w:after="0"/>
        <w:rPr>
          <w:sz w:val="20"/>
          <w:szCs w:val="20"/>
          <w:color w:val="auto"/>
        </w:rPr>
      </w:pPr>
      <w:r>
        <w:rPr>
          <w:rFonts w:ascii="Arial" w:cs="Arial" w:eastAsia="Arial" w:hAnsi="Arial"/>
          <w:sz w:val="32"/>
          <w:szCs w:val="32"/>
          <w:b w:val="1"/>
          <w:bCs w:val="1"/>
          <w:color w:val="156DC3"/>
        </w:rPr>
        <w:t>Immuno-Oncology Approach: CD20-CD3 Bispecific Antibody</w:t>
      </w:r>
    </w:p>
    <w:p>
      <w:pPr>
        <w:spacing w:after="0" w:line="200" w:lineRule="exact"/>
        <w:rPr>
          <w:sz w:val="20"/>
          <w:szCs w:val="20"/>
          <w:color w:val="auto"/>
        </w:rPr>
      </w:pPr>
    </w:p>
    <w:p>
      <w:pPr>
        <w:spacing w:after="0" w:line="305"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4B5457"/>
        </w:rPr>
        <w:t>Bispecific antibody bind T Cells (via CD3)</w:t>
      </w:r>
    </w:p>
    <w:p>
      <w:pPr>
        <w:spacing w:after="0" w:line="51" w:lineRule="exact"/>
        <w:rPr>
          <w:sz w:val="20"/>
          <w:szCs w:val="20"/>
          <w:color w:val="auto"/>
        </w:rPr>
      </w:pPr>
    </w:p>
    <w:p>
      <w:pPr>
        <w:ind w:left="4920"/>
        <w:spacing w:after="0"/>
        <w:rPr>
          <w:sz w:val="20"/>
          <w:szCs w:val="20"/>
          <w:color w:val="auto"/>
        </w:rPr>
      </w:pPr>
      <w:r>
        <w:rPr>
          <w:rFonts w:ascii="Arial" w:cs="Arial" w:eastAsia="Arial" w:hAnsi="Arial"/>
          <w:sz w:val="25"/>
          <w:szCs w:val="25"/>
          <w:b w:val="1"/>
          <w:bCs w:val="1"/>
          <w:color w:val="4B5457"/>
        </w:rPr>
        <w:t>and tumor (via specific surface marker)</w:t>
      </w:r>
    </w:p>
    <w:p>
      <w:pPr>
        <w:sectPr>
          <w:pgSz w:w="11900" w:h="16838" w:orient="portrait"/>
          <w:cols w:equalWidth="0" w:num="1">
            <w:col w:w="9780"/>
          </w:cols>
          <w:pgMar w:left="1020" w:top="515" w:right="1099" w:bottom="1440" w:gutter="0" w:footer="0" w:header="0"/>
        </w:sectPr>
      </w:pPr>
    </w:p>
    <w:p>
      <w:pPr>
        <w:ind w:left="1940"/>
        <w:spacing w:after="0" w:line="184" w:lineRule="auto"/>
        <w:tabs>
          <w:tab w:leader="none" w:pos="3300" w:val="left"/>
        </w:tabs>
        <w:rPr>
          <w:sz w:val="20"/>
          <w:szCs w:val="20"/>
          <w:color w:val="auto"/>
        </w:rPr>
      </w:pPr>
      <w:r>
        <w:rPr>
          <w:rFonts w:ascii="Arial" w:cs="Arial" w:eastAsia="Arial" w:hAnsi="Arial"/>
          <w:sz w:val="22"/>
          <w:szCs w:val="22"/>
          <w:i w:val="1"/>
          <w:iCs w:val="1"/>
          <w:color w:val="4B5457"/>
        </w:rPr>
        <w:t>Killing</w:t>
      </w:r>
      <w:r>
        <w:rPr>
          <w:sz w:val="20"/>
          <w:szCs w:val="20"/>
          <w:color w:val="auto"/>
        </w:rPr>
        <w:tab/>
      </w:r>
      <w:r>
        <w:rPr>
          <w:rFonts w:ascii="Arial" w:cs="Arial" w:eastAsia="Arial" w:hAnsi="Arial"/>
          <w:sz w:val="35"/>
          <w:szCs w:val="35"/>
          <w:b w:val="1"/>
          <w:bCs w:val="1"/>
          <w:color w:val="FFFFFF"/>
          <w:vertAlign w:val="subscript"/>
        </w:rPr>
        <w:t>Tumor</w:t>
      </w:r>
    </w:p>
    <w:p>
      <w:pPr>
        <w:spacing w:after="0" w:line="1" w:lineRule="exact"/>
        <w:rPr>
          <w:sz w:val="20"/>
          <w:szCs w:val="20"/>
          <w:color w:val="auto"/>
        </w:rPr>
      </w:pPr>
    </w:p>
    <w:p>
      <w:pPr>
        <w:ind w:left="460"/>
        <w:spacing w:after="0"/>
        <w:tabs>
          <w:tab w:leader="none" w:pos="3500" w:val="left"/>
        </w:tabs>
        <w:rPr>
          <w:sz w:val="20"/>
          <w:szCs w:val="20"/>
          <w:color w:val="auto"/>
        </w:rPr>
      </w:pPr>
      <w:r>
        <w:rPr>
          <w:rFonts w:ascii="Arial" w:cs="Arial" w:eastAsia="Arial" w:hAnsi="Arial"/>
          <w:sz w:val="38"/>
          <w:szCs w:val="38"/>
          <w:b w:val="1"/>
          <w:bCs w:val="1"/>
          <w:color w:val="FFFFFF"/>
        </w:rPr>
        <w:t>T-cell</w:t>
      </w:r>
      <w:r>
        <w:rPr>
          <w:sz w:val="20"/>
          <w:szCs w:val="20"/>
          <w:color w:val="auto"/>
        </w:rPr>
        <w:tab/>
      </w:r>
      <w:r>
        <w:rPr>
          <w:rFonts w:ascii="Arial" w:cs="Arial" w:eastAsia="Arial" w:hAnsi="Arial"/>
          <w:sz w:val="47"/>
          <w:szCs w:val="47"/>
          <w:b w:val="1"/>
          <w:bCs w:val="1"/>
          <w:color w:val="FFFFFF"/>
          <w:vertAlign w:val="subscript"/>
        </w:rPr>
        <w:t>Cell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20"/>
        <w:spacing w:after="0" w:line="230" w:lineRule="auto"/>
        <w:rPr>
          <w:sz w:val="20"/>
          <w:szCs w:val="20"/>
          <w:color w:val="auto"/>
        </w:rPr>
      </w:pPr>
      <w:r>
        <w:rPr>
          <w:rFonts w:ascii="Arial" w:cs="Arial" w:eastAsia="Arial" w:hAnsi="Arial"/>
          <w:sz w:val="25"/>
          <w:szCs w:val="25"/>
          <w:b w:val="1"/>
          <w:bCs w:val="1"/>
          <w:color w:val="4B5457"/>
        </w:rPr>
        <w:t xml:space="preserve">Use of modified </w:t>
      </w:r>
      <w:r>
        <w:rPr>
          <w:rFonts w:ascii="Arial" w:cs="Arial" w:eastAsia="Arial" w:hAnsi="Arial"/>
          <w:sz w:val="25"/>
          <w:szCs w:val="25"/>
          <w:b w:val="1"/>
          <w:bCs w:val="1"/>
          <w:i w:val="1"/>
          <w:iCs w:val="1"/>
          <w:color w:val="4B5457"/>
        </w:rPr>
        <w:t>VelocImmune</w:t>
      </w:r>
      <w:r>
        <w:rPr>
          <w:rFonts w:ascii="Arial" w:cs="Arial" w:eastAsia="Arial" w:hAnsi="Arial"/>
          <w:sz w:val="25"/>
          <w:szCs w:val="25"/>
          <w:b w:val="1"/>
          <w:bCs w:val="1"/>
          <w:color w:val="4B5457"/>
        </w:rPr>
        <w:t xml:space="preserve"> </w:t>
      </w:r>
      <w:r>
        <w:rPr>
          <w:rFonts w:ascii="Arial" w:cs="Arial" w:eastAsia="Arial" w:hAnsi="Arial"/>
          <w:sz w:val="35"/>
          <w:szCs w:val="35"/>
          <w:b w:val="1"/>
          <w:bCs w:val="1"/>
          <w:color w:val="4B5457"/>
          <w:vertAlign w:val="superscript"/>
        </w:rPr>
        <w:t>®</w:t>
      </w:r>
      <w:r>
        <w:rPr>
          <w:rFonts w:ascii="Arial" w:cs="Arial" w:eastAsia="Arial" w:hAnsi="Arial"/>
          <w:sz w:val="25"/>
          <w:szCs w:val="25"/>
          <w:b w:val="1"/>
          <w:bCs w:val="1"/>
          <w:color w:val="4B5457"/>
        </w:rPr>
        <w:t xml:space="preserve"> mice to generate fully human bispecific antibodies provides benefits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25"/>
          <w:szCs w:val="25"/>
          <w:color w:val="4B5457"/>
        </w:rPr>
        <w:t>High affinity to target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25"/>
          <w:szCs w:val="25"/>
          <w:color w:val="4B5457"/>
        </w:rPr>
        <w:t>Ease of manufacturing</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25"/>
          <w:szCs w:val="25"/>
          <w:color w:val="4B5457"/>
        </w:rPr>
        <w:t>Typical antibody pharmacodynamics</w:t>
      </w:r>
    </w:p>
    <w:p>
      <w:pPr>
        <w:spacing w:after="0" w:line="129" w:lineRule="exact"/>
        <w:rPr>
          <w:sz w:val="20"/>
          <w:szCs w:val="20"/>
          <w:color w:val="auto"/>
        </w:rPr>
      </w:pPr>
    </w:p>
    <w:p>
      <w:pPr>
        <w:ind w:right="400"/>
        <w:spacing w:after="0" w:line="278" w:lineRule="auto"/>
        <w:rPr>
          <w:sz w:val="20"/>
          <w:szCs w:val="20"/>
          <w:color w:val="auto"/>
        </w:rPr>
      </w:pPr>
      <w:r>
        <w:rPr>
          <w:rFonts w:ascii="Arial" w:cs="Arial" w:eastAsia="Arial" w:hAnsi="Arial"/>
          <w:sz w:val="25"/>
          <w:szCs w:val="25"/>
          <w:b w:val="1"/>
          <w:bCs w:val="1"/>
          <w:color w:val="4B5457"/>
        </w:rPr>
        <w:t>Initial CD20-CD3 antibody expected to enter the clinic in 2014</w:t>
      </w:r>
    </w:p>
    <w:p>
      <w:pPr>
        <w:spacing w:after="0" w:line="86" w:lineRule="exact"/>
        <w:rPr>
          <w:sz w:val="20"/>
          <w:szCs w:val="20"/>
          <w:color w:val="auto"/>
        </w:rPr>
      </w:pPr>
    </w:p>
    <w:p>
      <w:pPr>
        <w:spacing w:after="0" w:line="288" w:lineRule="auto"/>
        <w:rPr>
          <w:sz w:val="20"/>
          <w:szCs w:val="20"/>
          <w:color w:val="auto"/>
        </w:rPr>
      </w:pPr>
      <w:r>
        <w:rPr>
          <w:rFonts w:ascii="Arial" w:cs="Arial" w:eastAsia="Arial" w:hAnsi="Arial"/>
          <w:sz w:val="25"/>
          <w:szCs w:val="25"/>
          <w:b w:val="1"/>
          <w:bCs w:val="1"/>
          <w:color w:val="4B5457"/>
        </w:rPr>
        <w:t>Additional immuno-oncology approaches in preclinical development</w:t>
      </w:r>
    </w:p>
    <w:p>
      <w:pPr>
        <w:spacing w:after="0" w:line="200" w:lineRule="exact"/>
        <w:rPr>
          <w:sz w:val="20"/>
          <w:szCs w:val="20"/>
          <w:color w:val="auto"/>
        </w:rPr>
      </w:pPr>
    </w:p>
    <w:p>
      <w:pPr>
        <w:sectPr>
          <w:pgSz w:w="11900" w:h="16838" w:orient="portrait"/>
          <w:cols w:equalWidth="0" w:num="2">
            <w:col w:w="4280" w:space="640"/>
            <w:col w:w="4860"/>
          </w:cols>
          <w:pgMar w:left="1020" w:top="51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30 | Copyright Regeneron 2014</w:t>
      </w:r>
    </w:p>
    <w:p>
      <w:pPr>
        <w:sectPr>
          <w:pgSz w:w="11900" w:h="16838" w:orient="portrait"/>
          <w:cols w:equalWidth="0" w:num="1">
            <w:col w:w="9780"/>
          </w:cols>
          <w:pgMar w:left="1020" w:top="515" w:right="1099" w:bottom="1440" w:gutter="0" w:footer="0" w:header="0"/>
          <w:type w:val="continuous"/>
        </w:sectPr>
      </w:pPr>
    </w:p>
    <w:bookmarkStart w:id="34" w:name="page35"/>
    <w:bookmarkEnd w:id="34"/>
    <w:p>
      <w:pPr>
        <w:ind w:left="480"/>
        <w:spacing w:after="0"/>
        <w:tabs>
          <w:tab w:leader="none" w:pos="344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Innovating for the Future</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Regeneron Genetics Center a Major Initiative in Human Genetics</w:t>
      </w: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Arial" w:cs="Arial" w:eastAsia="Arial" w:hAnsi="Arial"/>
          <w:sz w:val="38"/>
          <w:szCs w:val="38"/>
          <w:b w:val="1"/>
          <w:bCs w:val="1"/>
          <w:color w:val="156DC3"/>
        </w:rPr>
        <w:t>Regeneron Genetics Center</w:t>
      </w:r>
    </w:p>
    <w:p>
      <w:pPr>
        <w:spacing w:after="0" w:line="200" w:lineRule="exact"/>
        <w:rPr>
          <w:sz w:val="20"/>
          <w:szCs w:val="20"/>
          <w:color w:val="auto"/>
        </w:rPr>
      </w:pPr>
    </w:p>
    <w:p>
      <w:pPr>
        <w:spacing w:after="0" w:line="236" w:lineRule="exact"/>
        <w:rPr>
          <w:sz w:val="20"/>
          <w:szCs w:val="20"/>
          <w:color w:val="auto"/>
        </w:rPr>
      </w:pPr>
    </w:p>
    <w:p>
      <w:pPr>
        <w:ind w:left="820"/>
        <w:spacing w:after="0"/>
        <w:tabs>
          <w:tab w:leader="none" w:pos="7220" w:val="left"/>
        </w:tabs>
        <w:rPr>
          <w:sz w:val="20"/>
          <w:szCs w:val="20"/>
          <w:color w:val="auto"/>
        </w:rPr>
      </w:pPr>
      <w:r>
        <w:rPr>
          <w:rFonts w:ascii="Arial" w:cs="Arial" w:eastAsia="Arial" w:hAnsi="Arial"/>
          <w:sz w:val="28"/>
          <w:szCs w:val="28"/>
          <w:b w:val="1"/>
          <w:bCs w:val="1"/>
          <w:color w:val="1F95E0"/>
        </w:rPr>
        <w:t>Population-Based</w:t>
      </w:r>
      <w:r>
        <w:rPr>
          <w:sz w:val="20"/>
          <w:szCs w:val="20"/>
          <w:color w:val="auto"/>
        </w:rPr>
        <w:tab/>
      </w:r>
      <w:r>
        <w:rPr>
          <w:rFonts w:ascii="Arial" w:cs="Arial" w:eastAsia="Arial" w:hAnsi="Arial"/>
          <w:sz w:val="28"/>
          <w:szCs w:val="28"/>
          <w:b w:val="1"/>
          <w:bCs w:val="1"/>
          <w:color w:val="1F95E0"/>
        </w:rPr>
        <w:t>Family-Based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FFFFFF"/>
        </w:rPr>
        <w:t>Targets &amp;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1F95E0"/>
        </w:rPr>
        <w:t xml:space="preserve">Collaborations: </w:t>
      </w:r>
      <w:r>
        <w:rPr>
          <w:rFonts w:ascii="Arial" w:cs="Arial" w:eastAsia="Arial" w:hAnsi="Arial"/>
          <w:sz w:val="22"/>
          <w:szCs w:val="22"/>
          <w:color w:val="4B5457"/>
        </w:rPr>
        <w:t>Geisinger, NIH, and pursuing more</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156DC3"/>
        </w:rPr>
        <w:t xml:space="preserve">Approaches: </w:t>
      </w:r>
      <w:r>
        <w:rPr>
          <w:rFonts w:ascii="Arial" w:cs="Arial" w:eastAsia="Arial" w:hAnsi="Arial"/>
          <w:sz w:val="22"/>
          <w:szCs w:val="22"/>
          <w:color w:val="4B5457"/>
        </w:rPr>
        <w:t>population and family based, consortia, and functional studies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133C72"/>
        </w:rPr>
        <w:t xml:space="preserve">Technology: </w:t>
      </w:r>
      <w:r>
        <w:rPr>
          <w:rFonts w:ascii="Arial" w:cs="Arial" w:eastAsia="Arial" w:hAnsi="Arial"/>
          <w:sz w:val="22"/>
          <w:szCs w:val="22"/>
          <w:color w:val="4B5457"/>
        </w:rPr>
        <w:t>large scale sequencing, automation, and cloud informatics</w:t>
      </w:r>
    </w:p>
    <w:p>
      <w:pPr>
        <w:spacing w:after="0" w:line="200" w:lineRule="exact"/>
        <w:rPr>
          <w:sz w:val="20"/>
          <w:szCs w:val="20"/>
          <w:color w:val="auto"/>
        </w:rPr>
      </w:pPr>
    </w:p>
    <w:p>
      <w:pPr>
        <w:spacing w:after="0" w:line="251" w:lineRule="exact"/>
        <w:rPr>
          <w:sz w:val="20"/>
          <w:szCs w:val="20"/>
          <w:color w:val="auto"/>
        </w:rPr>
      </w:pPr>
    </w:p>
    <w:p>
      <w:pPr>
        <w:ind w:left="200"/>
        <w:spacing w:after="0"/>
        <w:tabs>
          <w:tab w:leader="none" w:pos="4280" w:val="left"/>
          <w:tab w:leader="none" w:pos="6160" w:val="left"/>
          <w:tab w:leader="none" w:pos="7560" w:val="left"/>
        </w:tabs>
        <w:rPr>
          <w:sz w:val="20"/>
          <w:szCs w:val="20"/>
          <w:color w:val="auto"/>
        </w:rPr>
      </w:pPr>
      <w:r>
        <w:rPr>
          <w:rFonts w:ascii="Arial" w:cs="Arial" w:eastAsia="Arial" w:hAnsi="Arial"/>
          <w:sz w:val="27"/>
          <w:szCs w:val="27"/>
          <w:b w:val="1"/>
          <w:bCs w:val="1"/>
          <w:color w:val="4B5457"/>
        </w:rPr>
        <w:t>Fully Integrated</w:t>
      </w:r>
      <w:r>
        <w:rPr>
          <w:rFonts w:ascii="Arial" w:cs="Arial" w:eastAsia="Arial" w:hAnsi="Arial"/>
          <w:sz w:val="27"/>
          <w:szCs w:val="27"/>
          <w:b w:val="1"/>
          <w:bCs w:val="1"/>
          <w:color w:val="6BBE3B"/>
        </w:rPr>
        <w:t>: Sequencing</w:t>
      </w:r>
      <w:r>
        <w:rPr>
          <w:rFonts w:ascii="Arial" w:cs="Arial" w:eastAsia="Arial" w:hAnsi="Arial"/>
          <w:sz w:val="27"/>
          <w:szCs w:val="27"/>
          <w:b w:val="1"/>
          <w:bCs w:val="1"/>
          <w:color w:val="1F95E0"/>
        </w:rPr>
        <w:tab/>
        <w:t>Informatics</w:t>
      </w:r>
      <w:r>
        <w:rPr>
          <w:rFonts w:ascii="Arial" w:cs="Arial" w:eastAsia="Arial" w:hAnsi="Arial"/>
          <w:sz w:val="27"/>
          <w:szCs w:val="27"/>
          <w:b w:val="1"/>
          <w:bCs w:val="1"/>
          <w:color w:val="156DC3"/>
        </w:rPr>
        <w:tab/>
        <w:t>Biology</w:t>
      </w:r>
      <w:r>
        <w:rPr>
          <w:sz w:val="20"/>
          <w:szCs w:val="20"/>
          <w:color w:val="auto"/>
        </w:rPr>
        <w:tab/>
      </w:r>
      <w:r>
        <w:rPr>
          <w:rFonts w:ascii="Arial" w:cs="Arial" w:eastAsia="Arial" w:hAnsi="Arial"/>
          <w:sz w:val="26"/>
          <w:szCs w:val="26"/>
          <w:b w:val="1"/>
          <w:bCs w:val="1"/>
          <w:color w:val="133C72"/>
        </w:rPr>
        <w:t>Drug Development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31 | Copyright Regeneron 2014</w:t>
      </w:r>
    </w:p>
    <w:p>
      <w:pPr>
        <w:sectPr>
          <w:pgSz w:w="11900" w:h="16838" w:orient="portrait"/>
          <w:cols w:equalWidth="0" w:num="1">
            <w:col w:w="9980"/>
          </w:cols>
          <w:pgMar w:left="1020" w:top="515" w:right="899" w:bottom="1440" w:gutter="0" w:footer="0" w:header="0"/>
        </w:sectPr>
      </w:pPr>
    </w:p>
    <w:bookmarkStart w:id="35" w:name="page36"/>
    <w:bookmarkEnd w:id="35"/>
    <w:p>
      <w:pPr>
        <w:spacing w:after="0"/>
        <w:tabs>
          <w:tab w:leader="none" w:pos="3400" w:val="left"/>
        </w:tabs>
        <w:rPr>
          <w:sz w:val="20"/>
          <w:szCs w:val="20"/>
          <w:color w:val="auto"/>
        </w:rPr>
      </w:pPr>
      <w:r>
        <w:rPr>
          <w:rFonts w:ascii="Arial" w:cs="Arial" w:eastAsia="Arial" w:hAnsi="Arial"/>
          <w:sz w:val="51"/>
          <w:szCs w:val="51"/>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Building 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36"/>
          <w:szCs w:val="36"/>
          <w:b w:val="1"/>
          <w:bCs w:val="1"/>
          <w:color w:val="FFFFFF"/>
        </w:rPr>
        <w:t>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Page 32 | Copyright Regeneron 2014</w:t>
      </w:r>
    </w:p>
    <w:p>
      <w:pPr>
        <w:sectPr>
          <w:pgSz w:w="11900" w:h="16838" w:orient="portrait"/>
          <w:cols w:equalWidth="0" w:num="1">
            <w:col w:w="9980"/>
          </w:cols>
          <w:pgMar w:left="920" w:top="664" w:right="999" w:bottom="1440" w:gutter="0" w:footer="0" w:header="0"/>
        </w:sectPr>
      </w:pPr>
    </w:p>
    <w:bookmarkStart w:id="36" w:name="page37"/>
    <w:bookmarkEnd w:id="36"/>
    <w:p>
      <w:pPr>
        <w:ind w:left="480"/>
        <w:spacing w:after="0"/>
        <w:tabs>
          <w:tab w:leader="none" w:pos="344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Organic Growth</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D2EAF9"/>
        </w:rPr>
        <w:t>Growth in Manufacturing and at Corporate Headquarters</w:t>
      </w:r>
    </w:p>
    <w:p>
      <w:pPr>
        <w:sectPr>
          <w:pgSz w:w="11900" w:h="16838" w:orient="portrait"/>
          <w:cols w:equalWidth="0" w:num="1">
            <w:col w:w="9800"/>
          </w:cols>
          <w:pgMar w:left="1020" w:top="538" w:right="107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00"/>
        <w:spacing w:after="0"/>
        <w:tabs>
          <w:tab w:leader="none" w:pos="3740" w:val="left"/>
        </w:tabs>
        <w:rPr>
          <w:sz w:val="20"/>
          <w:szCs w:val="20"/>
          <w:color w:val="auto"/>
        </w:rPr>
      </w:pPr>
      <w:r>
        <w:rPr>
          <w:rFonts w:ascii="Arial" w:cs="Arial" w:eastAsia="Arial" w:hAnsi="Arial"/>
          <w:sz w:val="28"/>
          <w:szCs w:val="28"/>
          <w:b w:val="1"/>
          <w:bCs w:val="1"/>
          <w:color w:val="156DC3"/>
        </w:rPr>
        <w:t>Expansion in</w:t>
      </w:r>
      <w:r>
        <w:rPr>
          <w:sz w:val="20"/>
          <w:szCs w:val="20"/>
          <w:color w:val="auto"/>
        </w:rPr>
        <w:tab/>
      </w:r>
      <w:r>
        <w:rPr>
          <w:rFonts w:ascii="Arial" w:cs="Arial" w:eastAsia="Arial" w:hAnsi="Arial"/>
          <w:sz w:val="28"/>
          <w:szCs w:val="28"/>
          <w:b w:val="1"/>
          <w:bCs w:val="1"/>
          <w:color w:val="156DC3"/>
        </w:rPr>
        <w:t>New Manufacturing</w:t>
      </w:r>
    </w:p>
    <w:p>
      <w:pPr>
        <w:spacing w:after="0" w:line="20" w:lineRule="exact"/>
        <w:rPr>
          <w:sz w:val="20"/>
          <w:szCs w:val="20"/>
          <w:color w:val="auto"/>
        </w:rPr>
      </w:pPr>
    </w:p>
    <w:p>
      <w:pPr>
        <w:ind w:left="200"/>
        <w:spacing w:after="0"/>
        <w:tabs>
          <w:tab w:leader="none" w:pos="3740" w:val="left"/>
        </w:tabs>
        <w:rPr>
          <w:sz w:val="20"/>
          <w:szCs w:val="20"/>
          <w:color w:val="auto"/>
        </w:rPr>
      </w:pPr>
      <w:r>
        <w:rPr>
          <w:rFonts w:ascii="Arial" w:cs="Arial" w:eastAsia="Arial" w:hAnsi="Arial"/>
          <w:sz w:val="28"/>
          <w:szCs w:val="28"/>
          <w:b w:val="1"/>
          <w:bCs w:val="1"/>
          <w:color w:val="156DC3"/>
        </w:rPr>
        <w:t>Tarrytown, NY</w:t>
      </w:r>
      <w:r>
        <w:rPr>
          <w:sz w:val="20"/>
          <w:szCs w:val="20"/>
          <w:color w:val="auto"/>
        </w:rPr>
        <w:tab/>
      </w:r>
      <w:r>
        <w:rPr>
          <w:rFonts w:ascii="Arial" w:cs="Arial" w:eastAsia="Arial" w:hAnsi="Arial"/>
          <w:sz w:val="28"/>
          <w:szCs w:val="28"/>
          <w:b w:val="1"/>
          <w:bCs w:val="1"/>
          <w:color w:val="156DC3"/>
        </w:rPr>
        <w:t>Facilities</w:t>
      </w:r>
    </w:p>
    <w:p>
      <w:pPr>
        <w:spacing w:after="0" w:line="268" w:lineRule="exact"/>
        <w:rPr>
          <w:sz w:val="20"/>
          <w:szCs w:val="20"/>
          <w:color w:val="auto"/>
        </w:rPr>
      </w:pPr>
    </w:p>
    <w:p>
      <w:pPr>
        <w:ind w:left="200"/>
        <w:spacing w:after="0"/>
        <w:tabs>
          <w:tab w:leader="none" w:pos="3740" w:val="left"/>
        </w:tabs>
        <w:rPr>
          <w:sz w:val="20"/>
          <w:szCs w:val="20"/>
          <w:color w:val="auto"/>
        </w:rPr>
      </w:pPr>
      <w:r>
        <w:rPr>
          <w:rFonts w:ascii="Arial" w:cs="Arial" w:eastAsia="Arial" w:hAnsi="Arial"/>
          <w:sz w:val="22"/>
          <w:szCs w:val="22"/>
          <w:b w:val="1"/>
          <w:bCs w:val="1"/>
          <w:color w:val="4A5557"/>
        </w:rPr>
        <w:t>Two new buildings to</w:t>
      </w:r>
      <w:r>
        <w:rPr>
          <w:sz w:val="20"/>
          <w:szCs w:val="20"/>
          <w:color w:val="auto"/>
        </w:rPr>
        <w:tab/>
      </w:r>
      <w:r>
        <w:rPr>
          <w:rFonts w:ascii="Arial" w:cs="Arial" w:eastAsia="Arial" w:hAnsi="Arial"/>
          <w:sz w:val="22"/>
          <w:szCs w:val="22"/>
          <w:b w:val="1"/>
          <w:bCs w:val="1"/>
          <w:color w:val="4A5557"/>
        </w:rPr>
        <w:t>Expansion in Rensselaer,</w:t>
      </w:r>
    </w:p>
    <w:p>
      <w:pPr>
        <w:spacing w:after="0" w:line="34" w:lineRule="exact"/>
        <w:rPr>
          <w:sz w:val="20"/>
          <w:szCs w:val="20"/>
          <w:color w:val="auto"/>
        </w:rPr>
      </w:pPr>
    </w:p>
    <w:p>
      <w:pPr>
        <w:ind w:left="200"/>
        <w:spacing w:after="0"/>
        <w:tabs>
          <w:tab w:leader="none" w:pos="3740" w:val="left"/>
        </w:tabs>
        <w:rPr>
          <w:sz w:val="20"/>
          <w:szCs w:val="20"/>
          <w:color w:val="auto"/>
        </w:rPr>
      </w:pPr>
      <w:r>
        <w:rPr>
          <w:rFonts w:ascii="Arial" w:cs="Arial" w:eastAsia="Arial" w:hAnsi="Arial"/>
          <w:sz w:val="22"/>
          <w:szCs w:val="22"/>
          <w:b w:val="1"/>
          <w:bCs w:val="1"/>
          <w:color w:val="4A5557"/>
        </w:rPr>
        <w:t>support additional</w:t>
      </w:r>
      <w:r>
        <w:rPr>
          <w:sz w:val="20"/>
          <w:szCs w:val="20"/>
          <w:color w:val="auto"/>
        </w:rPr>
        <w:tab/>
      </w:r>
      <w:r>
        <w:rPr>
          <w:rFonts w:ascii="Arial" w:cs="Arial" w:eastAsia="Arial" w:hAnsi="Arial"/>
          <w:sz w:val="22"/>
          <w:szCs w:val="22"/>
          <w:b w:val="1"/>
          <w:bCs w:val="1"/>
          <w:color w:val="4A5557"/>
        </w:rPr>
        <w:t>NY and new facility in</w:t>
      </w:r>
    </w:p>
    <w:p>
      <w:pPr>
        <w:spacing w:after="0" w:line="6" w:lineRule="exact"/>
        <w:rPr>
          <w:sz w:val="20"/>
          <w:szCs w:val="20"/>
          <w:color w:val="auto"/>
        </w:rPr>
      </w:pPr>
    </w:p>
    <w:p>
      <w:pPr>
        <w:ind w:left="200"/>
        <w:spacing w:after="0"/>
        <w:tabs>
          <w:tab w:leader="none" w:pos="3740" w:val="left"/>
        </w:tabs>
        <w:rPr>
          <w:sz w:val="20"/>
          <w:szCs w:val="20"/>
          <w:color w:val="auto"/>
        </w:rPr>
      </w:pPr>
      <w:r>
        <w:rPr>
          <w:rFonts w:ascii="Arial" w:cs="Arial" w:eastAsia="Arial" w:hAnsi="Arial"/>
          <w:sz w:val="22"/>
          <w:szCs w:val="22"/>
          <w:b w:val="1"/>
          <w:bCs w:val="1"/>
          <w:color w:val="4A5557"/>
        </w:rPr>
        <w:t>research and</w:t>
      </w:r>
      <w:r>
        <w:rPr>
          <w:sz w:val="20"/>
          <w:szCs w:val="20"/>
          <w:color w:val="auto"/>
        </w:rPr>
        <w:tab/>
      </w:r>
      <w:r>
        <w:rPr>
          <w:rFonts w:ascii="Arial" w:cs="Arial" w:eastAsia="Arial" w:hAnsi="Arial"/>
          <w:sz w:val="22"/>
          <w:szCs w:val="22"/>
          <w:b w:val="1"/>
          <w:bCs w:val="1"/>
          <w:color w:val="4A5557"/>
        </w:rPr>
        <w:t>Limerick, Ireland</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4A5557"/>
        </w:rPr>
        <w:t>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156DC3"/>
        </w:rPr>
        <w:t>People</w:t>
      </w:r>
    </w:p>
    <w:p>
      <w:pPr>
        <w:spacing w:after="0" w:line="200" w:lineRule="exact"/>
        <w:rPr>
          <w:sz w:val="20"/>
          <w:szCs w:val="20"/>
          <w:color w:val="auto"/>
        </w:rPr>
      </w:pPr>
    </w:p>
    <w:p>
      <w:pPr>
        <w:spacing w:after="0" w:line="256" w:lineRule="exact"/>
        <w:rPr>
          <w:sz w:val="20"/>
          <w:szCs w:val="20"/>
          <w:color w:val="auto"/>
        </w:rPr>
      </w:pPr>
    </w:p>
    <w:p>
      <w:pPr>
        <w:spacing w:after="0" w:line="265" w:lineRule="auto"/>
        <w:rPr>
          <w:sz w:val="20"/>
          <w:szCs w:val="20"/>
          <w:color w:val="auto"/>
        </w:rPr>
      </w:pPr>
      <w:r>
        <w:rPr>
          <w:rFonts w:ascii="Arial" w:cs="Arial" w:eastAsia="Arial" w:hAnsi="Arial"/>
          <w:sz w:val="22"/>
          <w:szCs w:val="22"/>
          <w:b w:val="1"/>
          <w:bCs w:val="1"/>
          <w:color w:val="4A5557"/>
        </w:rPr>
        <w:t>Expect to increase headcount to &gt;4,000 by 2018</w:t>
      </w:r>
    </w:p>
    <w:p>
      <w:pPr>
        <w:spacing w:after="0" w:line="428" w:lineRule="exact"/>
        <w:rPr>
          <w:sz w:val="20"/>
          <w:szCs w:val="20"/>
          <w:color w:val="auto"/>
        </w:rPr>
      </w:pPr>
    </w:p>
    <w:p>
      <w:pPr>
        <w:sectPr>
          <w:pgSz w:w="11900" w:h="16838" w:orient="portrait"/>
          <w:cols w:equalWidth="0" w:num="2">
            <w:col w:w="6600" w:space="720"/>
            <w:col w:w="2480"/>
          </w:cols>
          <w:pgMar w:left="1020" w:top="538"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0"/>
        <w:spacing w:after="0"/>
        <w:tabs>
          <w:tab w:leader="none" w:pos="3940" w:val="left"/>
        </w:tabs>
        <w:rPr>
          <w:sz w:val="20"/>
          <w:szCs w:val="20"/>
          <w:color w:val="auto"/>
        </w:rPr>
      </w:pPr>
      <w:r>
        <w:rPr>
          <w:rFonts w:ascii="Arial" w:cs="Arial" w:eastAsia="Arial" w:hAnsi="Arial"/>
          <w:sz w:val="28"/>
          <w:szCs w:val="28"/>
          <w:b w:val="1"/>
          <w:bCs w:val="1"/>
          <w:color w:val="156DC3"/>
        </w:rPr>
        <w:t>Tarrytown, NY</w:t>
      </w:r>
      <w:r>
        <w:rPr>
          <w:sz w:val="20"/>
          <w:szCs w:val="20"/>
          <w:color w:val="auto"/>
        </w:rPr>
        <w:tab/>
      </w:r>
      <w:r>
        <w:rPr>
          <w:rFonts w:ascii="Arial" w:cs="Arial" w:eastAsia="Arial" w:hAnsi="Arial"/>
          <w:sz w:val="28"/>
          <w:szCs w:val="28"/>
          <w:b w:val="1"/>
          <w:bCs w:val="1"/>
          <w:color w:val="156DC3"/>
        </w:rPr>
        <w:t>Limerick,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5D5D5D"/>
        </w:rPr>
        <w:t>Page 33 | Copyright Regeneron 2014</w:t>
      </w:r>
    </w:p>
    <w:p>
      <w:pPr>
        <w:sectPr>
          <w:pgSz w:w="11900" w:h="16838" w:orient="portrait"/>
          <w:cols w:equalWidth="0" w:num="1">
            <w:col w:w="9800"/>
          </w:cols>
          <w:pgMar w:left="1020" w:top="538" w:right="1079" w:bottom="1440" w:gutter="0" w:footer="0" w:header="0"/>
          <w:type w:val="continuous"/>
        </w:sectPr>
      </w:pPr>
    </w:p>
    <w:bookmarkStart w:id="37" w:name="page38"/>
    <w:bookmarkEnd w:id="37"/>
    <w:p>
      <w:pPr>
        <w:spacing w:after="0"/>
        <w:tabs>
          <w:tab w:leader="none" w:pos="298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Financial Guidance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D2EAF9"/>
        </w:rPr>
        <w:t>Financial Guidance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38"/>
          <w:szCs w:val="38"/>
          <w:b w:val="1"/>
          <w:bCs w:val="1"/>
          <w:color w:val="156DC3"/>
        </w:rPr>
        <w:t>2014 Financial Guidance</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4B5457"/>
        </w:rPr>
        <w:t>Non-GAAP SG&amp;A: $330MM - $380MM</w:t>
      </w:r>
    </w:p>
    <w:p>
      <w:pPr>
        <w:spacing w:after="0" w:line="170" w:lineRule="exact"/>
        <w:rPr>
          <w:sz w:val="20"/>
          <w:szCs w:val="20"/>
          <w:color w:val="auto"/>
        </w:rPr>
      </w:pPr>
    </w:p>
    <w:p>
      <w:pPr>
        <w:ind w:left="540" w:hanging="34"/>
        <w:spacing w:after="0" w:line="239" w:lineRule="auto"/>
        <w:rPr>
          <w:sz w:val="20"/>
          <w:szCs w:val="20"/>
          <w:color w:val="auto"/>
        </w:rPr>
      </w:pPr>
      <w:r>
        <w:rPr>
          <w:rFonts w:ascii="Arial" w:cs="Arial" w:eastAsia="Arial" w:hAnsi="Arial"/>
          <w:sz w:val="27"/>
          <w:szCs w:val="27"/>
          <w:color w:val="4B5457"/>
        </w:rPr>
        <w:t>Increase in prelaunch commercial expenses, contribution to patient assistance programs, pharma fee and headcount</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4B5457"/>
        </w:rPr>
        <w:t>Non-GAAP Unreimbursed R&amp;D: $425MM - $475MM</w:t>
      </w:r>
    </w:p>
    <w:p>
      <w:pPr>
        <w:spacing w:after="0" w:line="170" w:lineRule="exact"/>
        <w:rPr>
          <w:sz w:val="20"/>
          <w:szCs w:val="20"/>
          <w:color w:val="auto"/>
        </w:rPr>
      </w:pPr>
    </w:p>
    <w:p>
      <w:pPr>
        <w:ind w:left="500" w:right="680"/>
        <w:spacing w:after="0" w:line="345" w:lineRule="auto"/>
        <w:rPr>
          <w:sz w:val="20"/>
          <w:szCs w:val="20"/>
          <w:color w:val="auto"/>
        </w:rPr>
      </w:pPr>
      <w:r>
        <w:rPr>
          <w:rFonts w:ascii="Arial" w:cs="Arial" w:eastAsia="Arial" w:hAnsi="Arial"/>
          <w:sz w:val="27"/>
          <w:szCs w:val="27"/>
          <w:color w:val="4B5457"/>
        </w:rPr>
        <w:t>~$115 M in expenses related to alirocumab and sarilumab Phase 3 trials Investment in PDGFR and Ang2 programs Growing wholly-owned antibody pipeline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27"/>
          <w:szCs w:val="27"/>
          <w:color w:val="4B5457"/>
        </w:rPr>
        <w:t>Early technologies, such as Regeneron Genetics Center</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4B5457"/>
        </w:rPr>
        <w:t>Capital Expenditures: $350MM - $425MM</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7"/>
          <w:szCs w:val="27"/>
          <w:color w:val="4B5457"/>
        </w:rPr>
        <w:t>Manufacturing expansions in Rensselaer and Ireland</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27"/>
          <w:szCs w:val="27"/>
          <w:color w:val="4B5457"/>
        </w:rPr>
        <w:t>R&amp;D and corporate headquarters expansion in Tarrytown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5D5D5D"/>
        </w:rPr>
        <w:t>Page 34 | Copyright Regeneron 2014</w:t>
      </w:r>
    </w:p>
    <w:p>
      <w:pPr>
        <w:sectPr>
          <w:pgSz w:w="11900" w:h="16838" w:orient="portrait"/>
          <w:cols w:equalWidth="0" w:num="1">
            <w:col w:w="9880"/>
          </w:cols>
          <w:pgMar w:left="900" w:top="515" w:right="1119" w:bottom="1440" w:gutter="0" w:footer="0" w:header="0"/>
        </w:sectPr>
      </w:pPr>
    </w:p>
    <w:bookmarkStart w:id="38" w:name="page39"/>
    <w:bookmarkEnd w:id="38"/>
    <w:p>
      <w:pPr>
        <w:spacing w:after="0"/>
        <w:tabs>
          <w:tab w:leader="none" w:pos="3400" w:val="left"/>
        </w:tabs>
        <w:rPr>
          <w:sz w:val="20"/>
          <w:szCs w:val="20"/>
          <w:color w:val="auto"/>
        </w:rPr>
      </w:pPr>
      <w:r>
        <w:rPr>
          <w:rFonts w:ascii="Arial" w:cs="Arial" w:eastAsia="Arial" w:hAnsi="Arial"/>
          <w:sz w:val="51"/>
          <w:szCs w:val="51"/>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Building 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60" w:type="dxa"/>
        <w:tblCellMar>
          <w:top w:w="0" w:type="dxa"/>
          <w:left w:w="0" w:type="dxa"/>
          <w:bottom w:w="0" w:type="dxa"/>
          <w:right w:w="0" w:type="dxa"/>
        </w:tblCellMar>
      </w:tblPr>
      <w:tr>
        <w:trPr>
          <w:trHeight w:val="435"/>
        </w:trPr>
        <w:tc>
          <w:tcPr>
            <w:tcW w:w="2620" w:type="dxa"/>
            <w:vAlign w:val="bottom"/>
          </w:tcPr>
          <w:p>
            <w:pPr>
              <w:jc w:val="center"/>
              <w:ind w:right="518"/>
              <w:spacing w:after="0"/>
              <w:rPr>
                <w:sz w:val="20"/>
                <w:szCs w:val="20"/>
                <w:color w:val="auto"/>
              </w:rPr>
            </w:pPr>
            <w:r>
              <w:rPr>
                <w:rFonts w:ascii="Arial" w:cs="Arial" w:eastAsia="Arial" w:hAnsi="Arial"/>
                <w:sz w:val="36"/>
                <w:szCs w:val="36"/>
                <w:b w:val="1"/>
                <w:bCs w:val="1"/>
                <w:color w:val="FFFFFF"/>
              </w:rPr>
              <w:t>Continuing</w:t>
            </w:r>
          </w:p>
        </w:tc>
        <w:tc>
          <w:tcPr>
            <w:tcW w:w="3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620" w:type="dxa"/>
            <w:vAlign w:val="bottom"/>
          </w:tcPr>
          <w:p>
            <w:pPr>
              <w:jc w:val="center"/>
              <w:ind w:right="538"/>
              <w:spacing w:after="0"/>
              <w:rPr>
                <w:sz w:val="20"/>
                <w:szCs w:val="20"/>
                <w:color w:val="auto"/>
              </w:rPr>
            </w:pPr>
            <w:r>
              <w:rPr>
                <w:rFonts w:ascii="Arial" w:cs="Arial" w:eastAsia="Arial" w:hAnsi="Arial"/>
                <w:sz w:val="36"/>
                <w:szCs w:val="36"/>
                <w:b w:val="1"/>
                <w:bCs w:val="1"/>
                <w:color w:val="FFFFFF"/>
                <w:w w:val="99"/>
              </w:rPr>
              <w:t>Top Line</w:t>
            </w:r>
          </w:p>
        </w:tc>
        <w:tc>
          <w:tcPr>
            <w:tcW w:w="3480" w:type="dxa"/>
            <w:vAlign w:val="bottom"/>
          </w:tcPr>
          <w:p>
            <w:pPr>
              <w:jc w:val="center"/>
              <w:ind w:left="38"/>
              <w:spacing w:after="0"/>
              <w:rPr>
                <w:sz w:val="20"/>
                <w:szCs w:val="20"/>
                <w:color w:val="auto"/>
              </w:rPr>
            </w:pPr>
            <w:r>
              <w:rPr>
                <w:rFonts w:ascii="Arial" w:cs="Arial" w:eastAsia="Arial" w:hAnsi="Arial"/>
                <w:sz w:val="36"/>
                <w:szCs w:val="36"/>
                <w:b w:val="1"/>
                <w:bCs w:val="1"/>
                <w:color w:val="FFFFFF"/>
              </w:rPr>
              <w:t>Investment in</w:t>
            </w:r>
          </w:p>
        </w:tc>
        <w:tc>
          <w:tcPr>
            <w:tcW w:w="3220" w:type="dxa"/>
            <w:vAlign w:val="bottom"/>
            <w:vMerge w:val="restart"/>
          </w:tcPr>
          <w:p>
            <w:pPr>
              <w:ind w:left="460"/>
              <w:spacing w:after="0"/>
              <w:rPr>
                <w:sz w:val="20"/>
                <w:szCs w:val="20"/>
                <w:color w:val="auto"/>
              </w:rPr>
            </w:pPr>
            <w:r>
              <w:rPr>
                <w:rFonts w:ascii="Arial" w:cs="Arial" w:eastAsia="Arial" w:hAnsi="Arial"/>
                <w:sz w:val="36"/>
                <w:szCs w:val="36"/>
                <w:b w:val="1"/>
                <w:bCs w:val="1"/>
                <w:color w:val="FFFFFF"/>
              </w:rPr>
              <w:t>Organic Growth</w:t>
            </w:r>
          </w:p>
        </w:tc>
        <w:tc>
          <w:tcPr>
            <w:tcW w:w="0" w:type="dxa"/>
            <w:vAlign w:val="bottom"/>
          </w:tcPr>
          <w:p>
            <w:pPr>
              <w:spacing w:after="0"/>
              <w:rPr>
                <w:sz w:val="1"/>
                <w:szCs w:val="1"/>
                <w:color w:val="auto"/>
              </w:rPr>
            </w:pPr>
          </w:p>
        </w:tc>
      </w:tr>
      <w:tr>
        <w:trPr>
          <w:trHeight w:val="435"/>
        </w:trPr>
        <w:tc>
          <w:tcPr>
            <w:tcW w:w="2620" w:type="dxa"/>
            <w:vAlign w:val="bottom"/>
          </w:tcPr>
          <w:p>
            <w:pPr>
              <w:jc w:val="center"/>
              <w:ind w:right="518"/>
              <w:spacing w:after="0"/>
              <w:rPr>
                <w:sz w:val="20"/>
                <w:szCs w:val="20"/>
                <w:color w:val="auto"/>
              </w:rPr>
            </w:pPr>
            <w:r>
              <w:rPr>
                <w:rFonts w:ascii="Arial" w:cs="Arial" w:eastAsia="Arial" w:hAnsi="Arial"/>
                <w:sz w:val="36"/>
                <w:szCs w:val="36"/>
                <w:b w:val="1"/>
                <w:bCs w:val="1"/>
                <w:color w:val="FFFFFF"/>
              </w:rPr>
              <w:t>Growth</w:t>
            </w:r>
          </w:p>
        </w:tc>
        <w:tc>
          <w:tcPr>
            <w:tcW w:w="3480" w:type="dxa"/>
            <w:vAlign w:val="bottom"/>
          </w:tcPr>
          <w:p>
            <w:pPr>
              <w:jc w:val="center"/>
              <w:ind w:left="38"/>
              <w:spacing w:after="0"/>
              <w:rPr>
                <w:sz w:val="20"/>
                <w:szCs w:val="20"/>
                <w:color w:val="auto"/>
              </w:rPr>
            </w:pPr>
            <w:r>
              <w:rPr>
                <w:rFonts w:ascii="Arial" w:cs="Arial" w:eastAsia="Arial" w:hAnsi="Arial"/>
                <w:sz w:val="36"/>
                <w:szCs w:val="36"/>
                <w:b w:val="1"/>
                <w:bCs w:val="1"/>
                <w:color w:val="FFFFFF"/>
              </w:rPr>
              <w:t>R&amp;D and</w:t>
            </w:r>
          </w:p>
        </w:tc>
        <w:tc>
          <w:tcPr>
            <w:tcW w:w="3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3480" w:type="dxa"/>
            <w:vAlign w:val="bottom"/>
          </w:tcPr>
          <w:p>
            <w:pPr>
              <w:jc w:val="center"/>
              <w:ind w:left="18"/>
              <w:spacing w:after="0"/>
              <w:rPr>
                <w:sz w:val="20"/>
                <w:szCs w:val="20"/>
                <w:color w:val="auto"/>
              </w:rPr>
            </w:pPr>
            <w:r>
              <w:rPr>
                <w:rFonts w:ascii="Arial" w:cs="Arial" w:eastAsia="Arial" w:hAnsi="Arial"/>
                <w:sz w:val="36"/>
                <w:szCs w:val="36"/>
                <w:b w:val="1"/>
                <w:bCs w:val="1"/>
                <w:color w:val="FFFFFF"/>
                <w:w w:val="98"/>
              </w:rPr>
              <w:t>Technology</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Page 35 | Copyright Regeneron 2014</w:t>
      </w:r>
    </w:p>
    <w:p>
      <w:pPr>
        <w:sectPr>
          <w:pgSz w:w="11900" w:h="16838" w:orient="portrait"/>
          <w:cols w:equalWidth="0" w:num="1">
            <w:col w:w="9980"/>
          </w:cols>
          <w:pgMar w:left="920" w:top="664" w:right="999" w:bottom="1440" w:gutter="0" w:footer="0" w:header="0"/>
        </w:sectPr>
      </w:pPr>
    </w:p>
    <w:bookmarkStart w:id="39" w:name="page40"/>
    <w:bookmarkEnd w:id="39"/>
    <w:p>
      <w:pPr>
        <w:spacing w:after="0"/>
        <w:tabs>
          <w:tab w:leader="none" w:pos="2980" w:val="left"/>
        </w:tabs>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r>
      <w:r>
        <w:rPr>
          <w:sz w:val="20"/>
          <w:szCs w:val="20"/>
          <w:color w:val="auto"/>
        </w:rPr>
        <w:tab/>
      </w:r>
      <w:r>
        <w:rPr>
          <w:rFonts w:ascii="Arial" w:cs="Arial" w:eastAsia="Arial" w:hAnsi="Arial"/>
          <w:sz w:val="42"/>
          <w:szCs w:val="42"/>
          <w:b w:val="1"/>
          <w:bCs w:val="1"/>
          <w:color w:val="FFFFFF"/>
        </w:rPr>
        <w:t>2014 Milestones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D2EAF9"/>
        </w:rPr>
        <w:t>Upcoming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tabs>
          <w:tab w:leader="none" w:pos="3860" w:val="left"/>
        </w:tabs>
        <w:rPr>
          <w:sz w:val="20"/>
          <w:szCs w:val="20"/>
          <w:color w:val="auto"/>
        </w:rPr>
      </w:pPr>
      <w:r>
        <w:rPr>
          <w:rFonts w:ascii="Arial" w:cs="Arial" w:eastAsia="Arial" w:hAnsi="Arial"/>
          <w:sz w:val="32"/>
          <w:szCs w:val="32"/>
          <w:b w:val="1"/>
          <w:bCs w:val="1"/>
          <w:color w:val="156DC3"/>
        </w:rPr>
        <w:t>Regulatory</w:t>
      </w:r>
      <w:r>
        <w:rPr>
          <w:sz w:val="20"/>
          <w:szCs w:val="20"/>
          <w:color w:val="auto"/>
        </w:rPr>
        <w:tab/>
      </w:r>
      <w:r>
        <w:rPr>
          <w:rFonts w:ascii="Arial" w:cs="Arial" w:eastAsia="Arial" w:hAnsi="Arial"/>
          <w:sz w:val="32"/>
          <w:szCs w:val="32"/>
          <w:b w:val="1"/>
          <w:bCs w:val="1"/>
          <w:color w:val="156DC3"/>
        </w:rPr>
        <w:t>Clinical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40"/>
        <w:spacing w:after="0"/>
        <w:rPr>
          <w:sz w:val="20"/>
          <w:szCs w:val="20"/>
          <w:color w:val="auto"/>
        </w:rPr>
      </w:pPr>
      <w:r>
        <w:rPr>
          <w:rFonts w:ascii="Arial" w:cs="Arial" w:eastAsia="Arial" w:hAnsi="Arial"/>
          <w:sz w:val="31"/>
          <w:szCs w:val="31"/>
          <w:b w:val="1"/>
          <w:bCs w:val="1"/>
          <w:color w:val="156DC3"/>
        </w:rPr>
        <w:t>Commercial</w:t>
      </w:r>
    </w:p>
    <w:p>
      <w:pPr>
        <w:spacing w:after="0" w:line="211" w:lineRule="exact"/>
        <w:rPr>
          <w:sz w:val="20"/>
          <w:szCs w:val="20"/>
          <w:color w:val="auto"/>
        </w:rPr>
      </w:pPr>
    </w:p>
    <w:p>
      <w:pPr>
        <w:sectPr>
          <w:pgSz w:w="11900" w:h="16838" w:orient="portrait"/>
          <w:cols w:equalWidth="0" w:num="2">
            <w:col w:w="6740" w:space="720"/>
            <w:col w:w="2860"/>
          </w:cols>
          <w:pgMar w:left="900" w:top="515" w:right="679" w:bottom="1440" w:gutter="0" w:footer="0" w:header="0"/>
        </w:sectPr>
      </w:pPr>
    </w:p>
    <w:p>
      <w:pPr>
        <w:spacing w:after="0" w:line="129" w:lineRule="exact"/>
        <w:rPr>
          <w:sz w:val="20"/>
          <w:szCs w:val="20"/>
          <w:color w:val="auto"/>
        </w:rPr>
      </w:pPr>
    </w:p>
    <w:p>
      <w:pPr>
        <w:ind w:left="260" w:right="340"/>
        <w:spacing w:after="0" w:line="308" w:lineRule="auto"/>
        <w:rPr>
          <w:sz w:val="20"/>
          <w:szCs w:val="20"/>
          <w:color w:val="auto"/>
        </w:rPr>
      </w:pPr>
      <w:r>
        <w:rPr>
          <w:rFonts w:ascii="Arial" w:cs="Arial" w:eastAsia="Arial" w:hAnsi="Arial"/>
          <w:sz w:val="22"/>
          <w:szCs w:val="22"/>
          <w:b w:val="1"/>
          <w:bCs w:val="1"/>
          <w:color w:val="4B5457"/>
        </w:rPr>
        <w:t>EYLEA for DME PDUFA date of August 18, 2014</w:t>
      </w:r>
    </w:p>
    <w:p>
      <w:pPr>
        <w:spacing w:after="0" w:line="68" w:lineRule="exact"/>
        <w:rPr>
          <w:sz w:val="20"/>
          <w:szCs w:val="20"/>
          <w:color w:val="auto"/>
        </w:rPr>
      </w:pPr>
    </w:p>
    <w:p>
      <w:pPr>
        <w:ind w:left="260" w:right="100"/>
        <w:spacing w:after="0" w:line="293" w:lineRule="auto"/>
        <w:rPr>
          <w:sz w:val="20"/>
          <w:szCs w:val="20"/>
          <w:color w:val="auto"/>
        </w:rPr>
      </w:pPr>
      <w:r>
        <w:rPr>
          <w:rFonts w:ascii="Arial" w:cs="Arial" w:eastAsia="Arial" w:hAnsi="Arial"/>
          <w:sz w:val="22"/>
          <w:szCs w:val="22"/>
          <w:b w:val="1"/>
          <w:bCs w:val="1"/>
          <w:color w:val="4B5457"/>
        </w:rPr>
        <w:t>Filing of EYLEA for BRVO indication expected in 1Q14</w:t>
      </w:r>
    </w:p>
    <w:p>
      <w:pPr>
        <w:spacing w:after="0" w:line="85" w:lineRule="exact"/>
        <w:rPr>
          <w:sz w:val="20"/>
          <w:szCs w:val="20"/>
          <w:color w:val="auto"/>
        </w:rPr>
      </w:pPr>
    </w:p>
    <w:p>
      <w:pPr>
        <w:ind w:left="260" w:right="20"/>
        <w:spacing w:after="0" w:line="293" w:lineRule="auto"/>
        <w:rPr>
          <w:sz w:val="20"/>
          <w:szCs w:val="20"/>
          <w:color w:val="auto"/>
        </w:rPr>
      </w:pPr>
      <w:r>
        <w:rPr>
          <w:rFonts w:ascii="Arial" w:cs="Arial" w:eastAsia="Arial" w:hAnsi="Arial"/>
          <w:sz w:val="22"/>
          <w:szCs w:val="22"/>
          <w:b w:val="1"/>
          <w:bCs w:val="1"/>
          <w:color w:val="4B5457"/>
        </w:rPr>
        <w:t>EYLEA for DME regulatory applications submitted outside the U.S.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308" w:lineRule="auto"/>
        <w:rPr>
          <w:sz w:val="20"/>
          <w:szCs w:val="20"/>
          <w:color w:val="auto"/>
        </w:rPr>
      </w:pPr>
      <w:r>
        <w:rPr>
          <w:rFonts w:ascii="Arial" w:cs="Arial" w:eastAsia="Arial" w:hAnsi="Arial"/>
          <w:sz w:val="22"/>
          <w:szCs w:val="22"/>
          <w:b w:val="1"/>
          <w:bCs w:val="1"/>
          <w:color w:val="4B5457"/>
        </w:rPr>
        <w:t>Phase 2 data for dupilumab in atopic dermatitis in 1H14</w:t>
      </w:r>
    </w:p>
    <w:p>
      <w:pPr>
        <w:spacing w:after="0" w:line="68" w:lineRule="exact"/>
        <w:rPr>
          <w:sz w:val="20"/>
          <w:szCs w:val="20"/>
          <w:color w:val="auto"/>
        </w:rPr>
      </w:pPr>
    </w:p>
    <w:p>
      <w:pPr>
        <w:ind w:right="280"/>
        <w:spacing w:after="0" w:line="319" w:lineRule="auto"/>
        <w:rPr>
          <w:sz w:val="20"/>
          <w:szCs w:val="20"/>
          <w:color w:val="auto"/>
        </w:rPr>
      </w:pPr>
      <w:r>
        <w:rPr>
          <w:rFonts w:ascii="Arial" w:cs="Arial" w:eastAsia="Arial" w:hAnsi="Arial"/>
          <w:sz w:val="22"/>
          <w:szCs w:val="22"/>
          <w:b w:val="1"/>
          <w:bCs w:val="1"/>
          <w:color w:val="4B5457"/>
        </w:rPr>
        <w:t>Phase 3 trial to start with dupilumab in AD in 2014</w:t>
      </w:r>
    </w:p>
    <w:p>
      <w:pPr>
        <w:spacing w:after="0" w:line="56" w:lineRule="exact"/>
        <w:rPr>
          <w:sz w:val="20"/>
          <w:szCs w:val="20"/>
          <w:color w:val="auto"/>
        </w:rPr>
      </w:pPr>
    </w:p>
    <w:p>
      <w:pPr>
        <w:ind w:right="580"/>
        <w:spacing w:after="0" w:line="285" w:lineRule="auto"/>
        <w:rPr>
          <w:sz w:val="20"/>
          <w:szCs w:val="20"/>
          <w:color w:val="auto"/>
        </w:rPr>
      </w:pPr>
      <w:r>
        <w:rPr>
          <w:rFonts w:ascii="Arial" w:cs="Arial" w:eastAsia="Arial" w:hAnsi="Arial"/>
          <w:sz w:val="22"/>
          <w:szCs w:val="22"/>
          <w:b w:val="1"/>
          <w:bCs w:val="1"/>
          <w:color w:val="4B5457"/>
        </w:rPr>
        <w:t>Phase 3 data from alirocumab ODYSSEY program in mid-2014 through 3Q14</w:t>
      </w:r>
    </w:p>
    <w:p>
      <w:pPr>
        <w:spacing w:after="0" w:line="92" w:lineRule="exact"/>
        <w:rPr>
          <w:sz w:val="20"/>
          <w:szCs w:val="20"/>
          <w:color w:val="auto"/>
        </w:rPr>
      </w:pPr>
    </w:p>
    <w:p>
      <w:pPr>
        <w:ind w:right="540"/>
        <w:spacing w:after="0" w:line="293" w:lineRule="auto"/>
        <w:rPr>
          <w:sz w:val="20"/>
          <w:szCs w:val="20"/>
          <w:color w:val="auto"/>
        </w:rPr>
      </w:pPr>
      <w:r>
        <w:rPr>
          <w:rFonts w:ascii="Arial" w:cs="Arial" w:eastAsia="Arial" w:hAnsi="Arial"/>
          <w:sz w:val="22"/>
          <w:szCs w:val="22"/>
          <w:b w:val="1"/>
          <w:bCs w:val="1"/>
          <w:color w:val="4B5457"/>
        </w:rPr>
        <w:t>PDGFR /EYLEA coformulation to enter clinic in 1Q14</w:t>
      </w:r>
    </w:p>
    <w:p>
      <w:pPr>
        <w:spacing w:after="0" w:line="85" w:lineRule="exact"/>
        <w:rPr>
          <w:sz w:val="20"/>
          <w:szCs w:val="20"/>
          <w:color w:val="auto"/>
        </w:rPr>
      </w:pPr>
    </w:p>
    <w:p>
      <w:pPr>
        <w:ind w:right="460"/>
        <w:spacing w:after="0" w:line="319" w:lineRule="auto"/>
        <w:rPr>
          <w:sz w:val="20"/>
          <w:szCs w:val="20"/>
          <w:color w:val="auto"/>
        </w:rPr>
      </w:pPr>
      <w:r>
        <w:rPr>
          <w:rFonts w:ascii="Arial" w:cs="Arial" w:eastAsia="Arial" w:hAnsi="Arial"/>
          <w:sz w:val="22"/>
          <w:szCs w:val="22"/>
          <w:b w:val="1"/>
          <w:bCs w:val="1"/>
          <w:color w:val="4B5457"/>
        </w:rPr>
        <w:t>CD20-CD3 bispecific antibody to enter clinic</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93" w:lineRule="auto"/>
        <w:rPr>
          <w:sz w:val="20"/>
          <w:szCs w:val="20"/>
          <w:color w:val="auto"/>
        </w:rPr>
      </w:pPr>
      <w:r>
        <w:rPr>
          <w:rFonts w:ascii="Arial" w:cs="Arial" w:eastAsia="Arial" w:hAnsi="Arial"/>
          <w:sz w:val="22"/>
          <w:szCs w:val="22"/>
          <w:b w:val="1"/>
          <w:bCs w:val="1"/>
          <w:color w:val="4B5457"/>
        </w:rPr>
        <w:t>EYLEA U.S. net sales guidance to be provided on 4Q13 conference call</w:t>
      </w:r>
    </w:p>
    <w:p>
      <w:pPr>
        <w:spacing w:after="0" w:line="3696" w:lineRule="exact"/>
        <w:rPr>
          <w:sz w:val="20"/>
          <w:szCs w:val="20"/>
          <w:color w:val="auto"/>
        </w:rPr>
      </w:pPr>
    </w:p>
    <w:p>
      <w:pPr>
        <w:sectPr>
          <w:pgSz w:w="11900" w:h="16838" w:orient="portrait"/>
          <w:cols w:equalWidth="0" w:num="3">
            <w:col w:w="3100" w:space="720"/>
            <w:col w:w="2920" w:space="680"/>
            <w:col w:w="2900"/>
          </w:cols>
          <w:pgMar w:left="900" w:top="515"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5D5D5D"/>
        </w:rPr>
        <w:t>Page 36 | Copyright Regeneron 2014</w:t>
      </w:r>
    </w:p>
    <w:p>
      <w:pPr>
        <w:sectPr>
          <w:pgSz w:w="11900" w:h="16838" w:orient="portrait"/>
          <w:cols w:equalWidth="0" w:num="1">
            <w:col w:w="10320"/>
          </w:cols>
          <w:pgMar w:left="900" w:top="515" w:right="679" w:bottom="1440" w:gutter="0" w:footer="0" w:header="0"/>
          <w:type w:val="continuous"/>
        </w:sectPr>
      </w:pPr>
    </w:p>
    <w:bookmarkStart w:id="40" w:name="page41"/>
    <w:bookmarkEnd w:id="40"/>
    <w:p>
      <w:pPr>
        <w:spacing w:after="0"/>
        <w:tabs>
          <w:tab w:leader="none" w:pos="2980" w:val="left"/>
        </w:tabs>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w:t>
        <w:tab/>
        <w:t>News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D2EAF9"/>
        </w:rPr>
        <w:t>Significant News Flow at J.P. Morgan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33"/>
          <w:szCs w:val="33"/>
          <w:b w:val="1"/>
          <w:bCs w:val="1"/>
          <w:color w:val="156DC3"/>
        </w:rPr>
        <w:t>What’s News for Regeneron at J.P. Morgan 2014</w:t>
      </w:r>
    </w:p>
    <w:p>
      <w:pPr>
        <w:sectPr>
          <w:pgSz w:w="11900" w:h="16838" w:orient="portrait"/>
          <w:cols w:equalWidth="0" w:num="1">
            <w:col w:w="9559"/>
          </w:cols>
          <w:pgMar w:left="900" w:top="515"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FFFFFF"/>
        </w:rPr>
        <w:t>EYLEA</w:t>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FFFFFF"/>
        </w:rPr>
        <w:t>PDGFR-</w:t>
      </w:r>
    </w:p>
    <w:p>
      <w:pPr>
        <w:spacing w:after="0" w:line="3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FFFFFF"/>
        </w:rPr>
        <w:t>Alirocumab</w:t>
      </w: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FFFFFF"/>
        </w:rPr>
        <w:t>Dupilumab</w:t>
      </w: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FFFFFF"/>
        </w:rPr>
        <w:t>Sanofi</w:t>
      </w:r>
    </w:p>
    <w:p>
      <w:pPr>
        <w:spacing w:after="0" w:line="200" w:lineRule="exact"/>
        <w:rPr>
          <w:sz w:val="20"/>
          <w:szCs w:val="20"/>
          <w:color w:val="auto"/>
        </w:rPr>
      </w:pPr>
    </w:p>
    <w:p>
      <w:pPr>
        <w:spacing w:after="0" w:line="205" w:lineRule="exact"/>
        <w:rPr>
          <w:sz w:val="20"/>
          <w:szCs w:val="20"/>
          <w:color w:val="auto"/>
        </w:rPr>
      </w:pPr>
    </w:p>
    <w:p>
      <w:pPr>
        <w:ind w:left="180"/>
        <w:spacing w:after="0" w:line="586" w:lineRule="auto"/>
        <w:rPr>
          <w:sz w:val="20"/>
          <w:szCs w:val="20"/>
          <w:color w:val="auto"/>
        </w:rPr>
      </w:pPr>
      <w:r>
        <w:rPr>
          <w:rFonts w:ascii="Arial" w:cs="Arial" w:eastAsia="Arial" w:hAnsi="Arial"/>
          <w:sz w:val="18"/>
          <w:szCs w:val="18"/>
          <w:b w:val="1"/>
          <w:bCs w:val="1"/>
          <w:color w:val="FFFFFF"/>
        </w:rPr>
        <w:t>Human Genetics Immuno-Oncology</w:t>
      </w:r>
    </w:p>
    <w:p>
      <w:pPr>
        <w:ind w:left="180" w:right="380"/>
        <w:spacing w:after="0" w:line="336" w:lineRule="auto"/>
        <w:rPr>
          <w:sz w:val="20"/>
          <w:szCs w:val="20"/>
          <w:color w:val="auto"/>
        </w:rPr>
      </w:pPr>
      <w:r>
        <w:rPr>
          <w:rFonts w:ascii="Arial" w:cs="Arial" w:eastAsia="Arial" w:hAnsi="Arial"/>
          <w:sz w:val="18"/>
          <w:szCs w:val="18"/>
          <w:b w:val="1"/>
          <w:bCs w:val="1"/>
          <w:color w:val="FFFFFF"/>
        </w:rPr>
        <w:t>2014 Financial Guidance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Full year 2013 U.S. Net Sales: ~$1.4</w:t>
      </w:r>
      <w:r>
        <w:rPr>
          <w:rFonts w:ascii="Arial" w:cs="Arial" w:eastAsia="Arial" w:hAnsi="Arial"/>
          <w:sz w:val="12"/>
          <w:szCs w:val="12"/>
          <w:b w:val="1"/>
          <w:bCs w:val="1"/>
          <w:color w:val="4B5457"/>
        </w:rPr>
        <w:t>#</w:t>
      </w:r>
      <w:r>
        <w:rPr>
          <w:rFonts w:ascii="Arial" w:cs="Arial" w:eastAsia="Arial" w:hAnsi="Arial"/>
          <w:sz w:val="19"/>
          <w:szCs w:val="19"/>
          <w:b w:val="1"/>
          <w:bCs w:val="1"/>
          <w:color w:val="4B5457"/>
        </w:rPr>
        <w:t xml:space="preserve"> Billion</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4Q13 U.S. Net Sales: ~$400 Million*</w:t>
      </w:r>
      <w:r>
        <w:rPr>
          <w:rFonts w:ascii="Arial" w:cs="Arial" w:eastAsia="Arial" w:hAnsi="Arial"/>
          <w:sz w:val="12"/>
          <w:szCs w:val="12"/>
          <w:b w:val="1"/>
          <w:bCs w:val="1"/>
          <w:color w:val="4B5457"/>
        </w:rPr>
        <w: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Clinical trial to start in 1Q14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4B5457"/>
        </w:rPr>
        <w:t xml:space="preserve">Signed a collaboration with </w:t>
      </w:r>
      <w:r>
        <w:rPr>
          <w:rFonts w:ascii="Arial" w:cs="Arial" w:eastAsia="Arial" w:hAnsi="Arial"/>
          <w:sz w:val="18"/>
          <w:szCs w:val="18"/>
          <w:b w:val="1"/>
          <w:bCs w:val="1"/>
          <w:color w:val="4B5457"/>
        </w:rPr>
        <w:t>Bayer HealthCare</w:t>
      </w:r>
      <w:r>
        <w:rPr>
          <w:rFonts w:ascii="Arial" w:cs="Arial" w:eastAsia="Arial" w:hAnsi="Arial"/>
          <w:sz w:val="18"/>
          <w:szCs w:val="18"/>
          <w:color w:val="4B5457"/>
        </w:rPr>
        <w:t xml:space="preserve"> for commercial rights outside the U.S.</w:t>
      </w:r>
    </w:p>
    <w:p>
      <w:pPr>
        <w:spacing w:after="0" w:line="166" w:lineRule="exact"/>
        <w:rPr>
          <w:sz w:val="20"/>
          <w:szCs w:val="20"/>
          <w:color w:val="auto"/>
        </w:rPr>
      </w:pPr>
    </w:p>
    <w:p>
      <w:pPr>
        <w:ind w:right="1919"/>
        <w:spacing w:after="0" w:line="350" w:lineRule="auto"/>
        <w:rPr>
          <w:sz w:val="20"/>
          <w:szCs w:val="20"/>
          <w:color w:val="auto"/>
        </w:rPr>
      </w:pPr>
      <w:r>
        <w:rPr>
          <w:rFonts w:ascii="Arial" w:cs="Arial" w:eastAsia="Arial" w:hAnsi="Arial"/>
          <w:sz w:val="18"/>
          <w:szCs w:val="18"/>
          <w:b w:val="1"/>
          <w:bCs w:val="1"/>
          <w:color w:val="4B5457"/>
        </w:rPr>
        <w:t xml:space="preserve">Phase 3 data from ODYSSEY program expected mid-year** </w:t>
      </w:r>
      <w:r>
        <w:rPr>
          <w:rFonts w:ascii="Arial" w:cs="Arial" w:eastAsia="Arial" w:hAnsi="Arial"/>
          <w:sz w:val="18"/>
          <w:szCs w:val="18"/>
          <w:color w:val="4B5457"/>
        </w:rPr>
        <w:t>Initial regulatory submission ex-US in early 2015, U.S. in 2015</w:t>
      </w:r>
    </w:p>
    <w:p>
      <w:pPr>
        <w:spacing w:after="0" w:line="31" w:lineRule="exact"/>
        <w:rPr>
          <w:sz w:val="20"/>
          <w:szCs w:val="20"/>
          <w:color w:val="auto"/>
        </w:rPr>
      </w:pPr>
    </w:p>
    <w:p>
      <w:pPr>
        <w:ind w:right="1219"/>
        <w:spacing w:after="0" w:line="290" w:lineRule="auto"/>
        <w:rPr>
          <w:sz w:val="20"/>
          <w:szCs w:val="20"/>
          <w:color w:val="auto"/>
        </w:rPr>
      </w:pPr>
      <w:r>
        <w:rPr>
          <w:rFonts w:ascii="Arial" w:cs="Arial" w:eastAsia="Arial" w:hAnsi="Arial"/>
          <w:sz w:val="19"/>
          <w:szCs w:val="19"/>
          <w:b w:val="1"/>
          <w:bCs w:val="1"/>
          <w:color w:val="4B5457"/>
        </w:rPr>
        <w:t xml:space="preserve">Phase 2a atopic dermatitis data to be presented at AAAAI in March </w:t>
      </w:r>
      <w:r>
        <w:rPr>
          <w:rFonts w:ascii="Arial" w:cs="Arial" w:eastAsia="Arial" w:hAnsi="Arial"/>
          <w:sz w:val="19"/>
          <w:szCs w:val="19"/>
          <w:color w:val="4B5457"/>
        </w:rPr>
        <w:t>Top-line Phase 2b atopic dermatitis data expected in 2Q14</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4B5457"/>
        </w:rPr>
        <w:t>Plan to initiate Phase 3 trial in atopic dermatitis in 2014</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 xml:space="preserve">Amended investor agreement to allow for Sanofi </w:t>
      </w:r>
      <w:r>
        <w:rPr>
          <w:rFonts w:ascii="Arial" w:cs="Arial" w:eastAsia="Arial" w:hAnsi="Arial"/>
          <w:sz w:val="19"/>
          <w:szCs w:val="19"/>
          <w:color w:val="4B5457"/>
        </w:rPr>
        <w:t>to nominate a single director to</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4B5457"/>
        </w:rPr>
        <w:t>Regeneron BOD; amended voting rights, lock-up, and stand still agreement</w:t>
      </w:r>
    </w:p>
    <w:p>
      <w:pPr>
        <w:spacing w:after="0" w:line="134" w:lineRule="exact"/>
        <w:rPr>
          <w:sz w:val="20"/>
          <w:szCs w:val="20"/>
          <w:color w:val="auto"/>
        </w:rPr>
      </w:pPr>
    </w:p>
    <w:p>
      <w:pPr>
        <w:ind w:right="519"/>
        <w:spacing w:after="0" w:line="336" w:lineRule="auto"/>
        <w:rPr>
          <w:sz w:val="20"/>
          <w:szCs w:val="20"/>
          <w:color w:val="auto"/>
        </w:rPr>
      </w:pPr>
      <w:r>
        <w:rPr>
          <w:rFonts w:ascii="Arial" w:cs="Arial" w:eastAsia="Arial" w:hAnsi="Arial"/>
          <w:sz w:val="18"/>
          <w:szCs w:val="18"/>
          <w:color w:val="4B5457"/>
        </w:rPr>
        <w:t xml:space="preserve">Announced major effort in human genetics: </w:t>
      </w:r>
      <w:r>
        <w:rPr>
          <w:rFonts w:ascii="Arial" w:cs="Arial" w:eastAsia="Arial" w:hAnsi="Arial"/>
          <w:sz w:val="18"/>
          <w:szCs w:val="18"/>
          <w:b w:val="1"/>
          <w:bCs w:val="1"/>
          <w:color w:val="4B5457"/>
        </w:rPr>
        <w:t>The Regeneron Genetics Center</w:t>
      </w:r>
      <w:r>
        <w:rPr>
          <w:rFonts w:ascii="Arial" w:cs="Arial" w:eastAsia="Arial" w:hAnsi="Arial"/>
          <w:sz w:val="18"/>
          <w:szCs w:val="18"/>
          <w:color w:val="4B5457"/>
        </w:rPr>
        <w:t xml:space="preserve"> Entered into first significant genetics collaboration with Geisinger Health System</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CD20-CD3 bispecific antibody to enter clinic in 2014</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Non-GAAP SG&amp;A: $330MM - $380MM</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Non-GAAP unreimbursed R&amp;D: $425MM - $475MM</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b w:val="1"/>
          <w:bCs w:val="1"/>
          <w:color w:val="4B5457"/>
        </w:rPr>
        <w:t>Capital expenditures: $350MM - $425MM</w:t>
      </w:r>
    </w:p>
    <w:p>
      <w:pPr>
        <w:spacing w:after="0" w:line="200" w:lineRule="exact"/>
        <w:rPr>
          <w:sz w:val="20"/>
          <w:szCs w:val="20"/>
          <w:color w:val="auto"/>
        </w:rPr>
      </w:pPr>
    </w:p>
    <w:p>
      <w:pPr>
        <w:sectPr>
          <w:pgSz w:w="11900" w:h="16838" w:orient="portrait"/>
          <w:cols w:equalWidth="0" w:num="2">
            <w:col w:w="1840" w:space="560"/>
            <w:col w:w="7159"/>
          </w:cols>
          <w:pgMar w:left="900" w:top="515" w:right="1440" w:bottom="1440" w:gutter="0" w:footer="0" w:header="0"/>
          <w:type w:val="continuous"/>
        </w:sectPr>
      </w:pPr>
    </w:p>
    <w:p>
      <w:pPr>
        <w:spacing w:after="0" w:line="282" w:lineRule="exact"/>
        <w:rPr>
          <w:sz w:val="20"/>
          <w:szCs w:val="20"/>
          <w:color w:val="auto"/>
        </w:rPr>
      </w:pPr>
    </w:p>
    <w:p>
      <w:pPr>
        <w:ind w:left="2660"/>
        <w:spacing w:after="0"/>
        <w:rPr>
          <w:sz w:val="20"/>
          <w:szCs w:val="20"/>
          <w:color w:val="auto"/>
        </w:rPr>
      </w:pPr>
      <w:r>
        <w:rPr>
          <w:rFonts w:ascii="Arial" w:cs="Arial" w:eastAsia="Arial" w:hAnsi="Arial"/>
          <w:sz w:val="8"/>
          <w:szCs w:val="8"/>
          <w:i w:val="1"/>
          <w:iCs w:val="1"/>
          <w:color w:val="4B5457"/>
        </w:rPr>
        <w:t>#</w:t>
      </w:r>
      <w:r>
        <w:rPr>
          <w:rFonts w:ascii="Arial" w:cs="Arial" w:eastAsia="Arial" w:hAnsi="Arial"/>
          <w:sz w:val="12"/>
          <w:szCs w:val="12"/>
          <w:i w:val="1"/>
          <w:iCs w:val="1"/>
          <w:color w:val="4B5457"/>
        </w:rPr>
        <w:t>Preliminary unaudited numbers</w:t>
      </w:r>
    </w:p>
    <w:p>
      <w:pPr>
        <w:ind w:left="120"/>
        <w:spacing w:after="0"/>
        <w:tabs>
          <w:tab w:leader="none" w:pos="2640" w:val="left"/>
        </w:tabs>
        <w:rPr>
          <w:sz w:val="20"/>
          <w:szCs w:val="20"/>
          <w:color w:val="auto"/>
        </w:rPr>
      </w:pPr>
      <w:r>
        <w:rPr>
          <w:rFonts w:ascii="Arial" w:cs="Arial" w:eastAsia="Arial" w:hAnsi="Arial"/>
          <w:sz w:val="25"/>
          <w:szCs w:val="25"/>
          <w:b w:val="1"/>
          <w:bCs w:val="1"/>
          <w:color w:val="5D5D5D"/>
          <w:vertAlign w:val="superscript"/>
        </w:rPr>
        <w:t>Page 37 | Copyright Regeneron 2014</w:t>
      </w:r>
      <w:r>
        <w:rPr>
          <w:sz w:val="20"/>
          <w:szCs w:val="20"/>
          <w:color w:val="auto"/>
        </w:rPr>
        <w:tab/>
      </w:r>
      <w:r>
        <w:rPr>
          <w:rFonts w:ascii="Arial" w:cs="Arial" w:eastAsia="Arial" w:hAnsi="Arial"/>
          <w:sz w:val="12"/>
          <w:szCs w:val="12"/>
          <w:i w:val="1"/>
          <w:iCs w:val="1"/>
          <w:color w:val="4B5457"/>
        </w:rPr>
        <w:t>*Includes increase in distributor inventory</w:t>
      </w:r>
    </w:p>
    <w:p>
      <w:pPr>
        <w:spacing w:after="0" w:line="1" w:lineRule="exact"/>
        <w:rPr>
          <w:sz w:val="20"/>
          <w:szCs w:val="20"/>
          <w:color w:val="auto"/>
        </w:rPr>
      </w:pPr>
    </w:p>
    <w:p>
      <w:pPr>
        <w:jc w:val="right"/>
        <w:ind w:right="2659"/>
        <w:spacing w:after="0"/>
        <w:rPr>
          <w:sz w:val="20"/>
          <w:szCs w:val="20"/>
          <w:color w:val="auto"/>
        </w:rPr>
      </w:pPr>
      <w:r>
        <w:rPr>
          <w:rFonts w:ascii="Arial" w:cs="Arial" w:eastAsia="Arial" w:hAnsi="Arial"/>
          <w:sz w:val="13"/>
          <w:szCs w:val="13"/>
          <w:i w:val="1"/>
          <w:iCs w:val="1"/>
          <w:color w:val="4B5457"/>
        </w:rPr>
        <w:t>**From all Phase 3 studies except OUTCOMES,CHOICE 1, and CHOICE2</w:t>
      </w:r>
    </w:p>
    <w:p>
      <w:pPr>
        <w:sectPr>
          <w:pgSz w:w="11900" w:h="16838" w:orient="portrait"/>
          <w:cols w:equalWidth="0" w:num="1">
            <w:col w:w="9559"/>
          </w:cols>
          <w:pgMar w:left="900" w:top="515" w:right="1440" w:bottom="1440" w:gutter="0" w:footer="0" w:header="0"/>
          <w:type w:val="continuous"/>
        </w:sectPr>
      </w:pPr>
    </w:p>
    <w:bookmarkStart w:id="41" w:name="page42"/>
    <w:bookmarkEnd w:id="41"/>
    <w:p>
      <w:pPr>
        <w:ind w:left="320"/>
        <w:spacing w:after="0"/>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GAAP to Non-GAAP Reconciliation</w:t>
      </w:r>
    </w:p>
    <w:p>
      <w:pPr>
        <w:sectPr>
          <w:pgSz w:w="11900" w:h="16838" w:orient="portrait"/>
          <w:cols w:equalWidth="0" w:num="1">
            <w:col w:w="10940"/>
          </w:cols>
          <w:pgMar w:left="580" w:top="51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DADADA"/>
              </w:rPr>
              <w:t>1Q’12</w:t>
            </w:r>
          </w:p>
        </w:tc>
        <w:tc>
          <w:tcPr>
            <w:tcW w:w="740" w:type="dxa"/>
            <w:vAlign w:val="bottom"/>
          </w:tcPr>
          <w:p>
            <w:pPr>
              <w:jc w:val="center"/>
              <w:ind w:left="215"/>
              <w:spacing w:after="0"/>
              <w:rPr>
                <w:sz w:val="20"/>
                <w:szCs w:val="20"/>
                <w:color w:val="auto"/>
              </w:rPr>
            </w:pPr>
            <w:r>
              <w:rPr>
                <w:rFonts w:ascii="Arial" w:cs="Arial" w:eastAsia="Arial" w:hAnsi="Arial"/>
                <w:sz w:val="13"/>
                <w:szCs w:val="13"/>
                <w:b w:val="1"/>
                <w:bCs w:val="1"/>
                <w:color w:val="DADADA"/>
                <w:w w:val="95"/>
              </w:rPr>
              <w:t>2Q’12</w:t>
            </w:r>
          </w:p>
        </w:tc>
      </w:tr>
      <w:tr>
        <w:trPr>
          <w:trHeight w:val="435"/>
        </w:trPr>
        <w:tc>
          <w:tcPr>
            <w:tcW w:w="3460" w:type="dxa"/>
            <w:vAlign w:val="bottom"/>
          </w:tcPr>
          <w:p>
            <w:pPr>
              <w:spacing w:after="0"/>
              <w:rPr>
                <w:sz w:val="20"/>
                <w:szCs w:val="20"/>
                <w:color w:val="auto"/>
              </w:rPr>
            </w:pPr>
            <w:r>
              <w:rPr>
                <w:rFonts w:ascii="Arial" w:cs="Arial" w:eastAsia="Arial" w:hAnsi="Arial"/>
                <w:sz w:val="13"/>
                <w:szCs w:val="13"/>
                <w:color w:val="093169"/>
              </w:rPr>
              <w:t>GAAP net income</w:t>
            </w:r>
          </w:p>
        </w:tc>
        <w:tc>
          <w:tcPr>
            <w:tcW w:w="1020" w:type="dxa"/>
            <w:vAlign w:val="bottom"/>
          </w:tcPr>
          <w:p>
            <w:pPr>
              <w:jc w:val="center"/>
              <w:spacing w:after="0"/>
              <w:rPr>
                <w:sz w:val="20"/>
                <w:szCs w:val="20"/>
                <w:color w:val="auto"/>
              </w:rPr>
            </w:pPr>
            <w:r>
              <w:rPr>
                <w:rFonts w:ascii="Arial" w:cs="Arial" w:eastAsia="Arial" w:hAnsi="Arial"/>
                <w:sz w:val="13"/>
                <w:szCs w:val="13"/>
                <w:color w:val="093169"/>
              </w:rPr>
              <w:t>11,651</w:t>
            </w:r>
          </w:p>
        </w:tc>
        <w:tc>
          <w:tcPr>
            <w:tcW w:w="740" w:type="dxa"/>
            <w:vAlign w:val="bottom"/>
          </w:tcPr>
          <w:p>
            <w:pPr>
              <w:jc w:val="center"/>
              <w:ind w:left="195"/>
              <w:spacing w:after="0"/>
              <w:rPr>
                <w:sz w:val="20"/>
                <w:szCs w:val="20"/>
                <w:color w:val="auto"/>
              </w:rPr>
            </w:pPr>
            <w:r>
              <w:rPr>
                <w:rFonts w:ascii="Arial" w:cs="Arial" w:eastAsia="Arial" w:hAnsi="Arial"/>
                <w:sz w:val="13"/>
                <w:szCs w:val="13"/>
                <w:color w:val="093169"/>
              </w:rPr>
              <w:t>76,743</w:t>
            </w:r>
          </w:p>
        </w:tc>
      </w:tr>
      <w:tr>
        <w:trPr>
          <w:trHeight w:val="259"/>
        </w:trPr>
        <w:tc>
          <w:tcPr>
            <w:tcW w:w="3460" w:type="dxa"/>
            <w:vAlign w:val="bottom"/>
          </w:tcPr>
          <w:p>
            <w:pPr>
              <w:spacing w:after="0"/>
              <w:rPr>
                <w:sz w:val="20"/>
                <w:szCs w:val="20"/>
                <w:color w:val="auto"/>
              </w:rPr>
            </w:pPr>
            <w:r>
              <w:rPr>
                <w:rFonts w:ascii="Arial" w:cs="Arial" w:eastAsia="Arial" w:hAnsi="Arial"/>
                <w:sz w:val="13"/>
                <w:szCs w:val="13"/>
                <w:b w:val="1"/>
                <w:bCs w:val="1"/>
                <w:color w:val="093169"/>
              </w:rPr>
              <w:t>Adjustments</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98"/>
        </w:trPr>
        <w:tc>
          <w:tcPr>
            <w:tcW w:w="3460" w:type="dxa"/>
            <w:vAlign w:val="bottom"/>
          </w:tcPr>
          <w:p>
            <w:pPr>
              <w:spacing w:after="0"/>
              <w:rPr>
                <w:sz w:val="20"/>
                <w:szCs w:val="20"/>
                <w:color w:val="auto"/>
              </w:rPr>
            </w:pPr>
            <w:r>
              <w:rPr>
                <w:rFonts w:ascii="Arial" w:cs="Arial" w:eastAsia="Arial" w:hAnsi="Arial"/>
                <w:sz w:val="13"/>
                <w:szCs w:val="13"/>
                <w:color w:val="093169"/>
              </w:rPr>
              <w:t>R&amp;D: Non-cash share-based compensation expense</w:t>
            </w:r>
            <w:r>
              <w:rPr>
                <w:rFonts w:ascii="Arial" w:cs="Arial" w:eastAsia="Arial" w:hAnsi="Arial"/>
                <w:sz w:val="16"/>
                <w:szCs w:val="16"/>
                <w:color w:val="093169"/>
                <w:vertAlign w:val="superscript"/>
              </w:rPr>
              <w:t>(1)</w:t>
            </w:r>
          </w:p>
        </w:tc>
        <w:tc>
          <w:tcPr>
            <w:tcW w:w="1020" w:type="dxa"/>
            <w:vAlign w:val="bottom"/>
          </w:tcPr>
          <w:p>
            <w:pPr>
              <w:jc w:val="center"/>
              <w:spacing w:after="0"/>
              <w:rPr>
                <w:sz w:val="20"/>
                <w:szCs w:val="20"/>
                <w:color w:val="auto"/>
              </w:rPr>
            </w:pPr>
            <w:r>
              <w:rPr>
                <w:rFonts w:ascii="Arial" w:cs="Arial" w:eastAsia="Arial" w:hAnsi="Arial"/>
                <w:sz w:val="13"/>
                <w:szCs w:val="13"/>
                <w:color w:val="093169"/>
              </w:rPr>
              <w:t>10,556</w:t>
            </w:r>
          </w:p>
        </w:tc>
        <w:tc>
          <w:tcPr>
            <w:tcW w:w="740" w:type="dxa"/>
            <w:vAlign w:val="bottom"/>
          </w:tcPr>
          <w:p>
            <w:pPr>
              <w:jc w:val="center"/>
              <w:ind w:left="195"/>
              <w:spacing w:after="0"/>
              <w:rPr>
                <w:sz w:val="20"/>
                <w:szCs w:val="20"/>
                <w:color w:val="auto"/>
              </w:rPr>
            </w:pPr>
            <w:r>
              <w:rPr>
                <w:rFonts w:ascii="Arial" w:cs="Arial" w:eastAsia="Arial" w:hAnsi="Arial"/>
                <w:sz w:val="13"/>
                <w:szCs w:val="13"/>
                <w:color w:val="093169"/>
              </w:rPr>
              <w:t>11,442</w:t>
            </w:r>
          </w:p>
        </w:tc>
      </w:tr>
      <w:tr>
        <w:trPr>
          <w:trHeight w:val="270"/>
        </w:trPr>
        <w:tc>
          <w:tcPr>
            <w:tcW w:w="3460" w:type="dxa"/>
            <w:vAlign w:val="bottom"/>
          </w:tcPr>
          <w:p>
            <w:pPr>
              <w:spacing w:after="0"/>
              <w:rPr>
                <w:sz w:val="20"/>
                <w:szCs w:val="20"/>
                <w:color w:val="auto"/>
              </w:rPr>
            </w:pPr>
            <w:r>
              <w:rPr>
                <w:rFonts w:ascii="Arial" w:cs="Arial" w:eastAsia="Arial" w:hAnsi="Arial"/>
                <w:sz w:val="13"/>
                <w:szCs w:val="13"/>
                <w:color w:val="093169"/>
              </w:rPr>
              <w:t>SG&amp;A: Non-cash share-based compensation expense</w:t>
            </w:r>
            <w:r>
              <w:rPr>
                <w:rFonts w:ascii="Arial" w:cs="Arial" w:eastAsia="Arial" w:hAnsi="Arial"/>
                <w:sz w:val="16"/>
                <w:szCs w:val="16"/>
                <w:color w:val="093169"/>
                <w:vertAlign w:val="superscript"/>
              </w:rPr>
              <w:t>(1)</w:t>
            </w:r>
          </w:p>
        </w:tc>
        <w:tc>
          <w:tcPr>
            <w:tcW w:w="1020" w:type="dxa"/>
            <w:vAlign w:val="bottom"/>
          </w:tcPr>
          <w:p>
            <w:pPr>
              <w:jc w:val="center"/>
              <w:spacing w:after="0"/>
              <w:rPr>
                <w:sz w:val="20"/>
                <w:szCs w:val="20"/>
                <w:color w:val="auto"/>
              </w:rPr>
            </w:pPr>
            <w:r>
              <w:rPr>
                <w:rFonts w:ascii="Arial" w:cs="Arial" w:eastAsia="Arial" w:hAnsi="Arial"/>
                <w:sz w:val="13"/>
                <w:szCs w:val="13"/>
                <w:color w:val="093169"/>
              </w:rPr>
              <w:t>12,578</w:t>
            </w:r>
          </w:p>
        </w:tc>
        <w:tc>
          <w:tcPr>
            <w:tcW w:w="740" w:type="dxa"/>
            <w:vAlign w:val="bottom"/>
          </w:tcPr>
          <w:p>
            <w:pPr>
              <w:jc w:val="center"/>
              <w:ind w:left="195"/>
              <w:spacing w:after="0"/>
              <w:rPr>
                <w:sz w:val="20"/>
                <w:szCs w:val="20"/>
                <w:color w:val="auto"/>
              </w:rPr>
            </w:pPr>
            <w:r>
              <w:rPr>
                <w:rFonts w:ascii="Arial" w:cs="Arial" w:eastAsia="Arial" w:hAnsi="Arial"/>
                <w:sz w:val="13"/>
                <w:szCs w:val="13"/>
                <w:color w:val="093169"/>
                <w:w w:val="98"/>
              </w:rPr>
              <w:t>7,790</w:t>
            </w:r>
          </w:p>
        </w:tc>
      </w:tr>
      <w:tr>
        <w:trPr>
          <w:trHeight w:val="247"/>
        </w:trPr>
        <w:tc>
          <w:tcPr>
            <w:tcW w:w="3460" w:type="dxa"/>
            <w:vAlign w:val="bottom"/>
          </w:tcPr>
          <w:p>
            <w:pPr>
              <w:spacing w:after="0"/>
              <w:rPr>
                <w:sz w:val="20"/>
                <w:szCs w:val="20"/>
                <w:color w:val="auto"/>
              </w:rPr>
            </w:pPr>
            <w:r>
              <w:rPr>
                <w:rFonts w:ascii="Arial" w:cs="Arial" w:eastAsia="Arial" w:hAnsi="Arial"/>
                <w:sz w:val="13"/>
                <w:szCs w:val="13"/>
                <w:color w:val="093169"/>
              </w:rPr>
              <w:t>COGS: Non-cash share-based compensation expense</w:t>
            </w:r>
            <w:r>
              <w:rPr>
                <w:rFonts w:ascii="Arial" w:cs="Arial" w:eastAsia="Arial" w:hAnsi="Arial"/>
                <w:sz w:val="16"/>
                <w:szCs w:val="16"/>
                <w:color w:val="093169"/>
                <w:vertAlign w:val="superscript"/>
              </w:rPr>
              <w:t>(1)</w:t>
            </w:r>
          </w:p>
        </w:tc>
        <w:tc>
          <w:tcPr>
            <w:tcW w:w="1020" w:type="dxa"/>
            <w:vAlign w:val="bottom"/>
          </w:tcPr>
          <w:p>
            <w:pPr>
              <w:jc w:val="right"/>
              <w:ind w:right="355"/>
              <w:spacing w:after="0"/>
              <w:rPr>
                <w:sz w:val="20"/>
                <w:szCs w:val="20"/>
                <w:color w:val="auto"/>
              </w:rPr>
            </w:pPr>
            <w:r>
              <w:rPr>
                <w:rFonts w:ascii="Arial" w:cs="Arial" w:eastAsia="Arial" w:hAnsi="Arial"/>
                <w:sz w:val="13"/>
                <w:szCs w:val="13"/>
                <w:color w:val="093169"/>
              </w:rPr>
              <w:t>111</w:t>
            </w:r>
          </w:p>
        </w:tc>
        <w:tc>
          <w:tcPr>
            <w:tcW w:w="740" w:type="dxa"/>
            <w:vAlign w:val="bottom"/>
          </w:tcPr>
          <w:p>
            <w:pPr>
              <w:jc w:val="right"/>
              <w:ind w:right="75"/>
              <w:spacing w:after="0"/>
              <w:rPr>
                <w:sz w:val="20"/>
                <w:szCs w:val="20"/>
                <w:color w:val="auto"/>
              </w:rPr>
            </w:pPr>
            <w:r>
              <w:rPr>
                <w:rFonts w:ascii="Arial" w:cs="Arial" w:eastAsia="Arial" w:hAnsi="Arial"/>
                <w:sz w:val="13"/>
                <w:szCs w:val="13"/>
                <w:color w:val="093169"/>
              </w:rPr>
              <w:t>391</w:t>
            </w:r>
          </w:p>
        </w:tc>
      </w:tr>
      <w:tr>
        <w:trPr>
          <w:trHeight w:val="394"/>
        </w:trPr>
        <w:tc>
          <w:tcPr>
            <w:tcW w:w="3460" w:type="dxa"/>
            <w:vAlign w:val="bottom"/>
          </w:tcPr>
          <w:p>
            <w:pPr>
              <w:spacing w:after="0"/>
              <w:rPr>
                <w:sz w:val="20"/>
                <w:szCs w:val="20"/>
                <w:color w:val="auto"/>
              </w:rPr>
            </w:pPr>
            <w:r>
              <w:rPr>
                <w:rFonts w:ascii="Arial" w:cs="Arial" w:eastAsia="Arial" w:hAnsi="Arial"/>
                <w:sz w:val="13"/>
                <w:szCs w:val="13"/>
                <w:color w:val="093169"/>
              </w:rPr>
              <w:t>Interest expense: Non-cash interest related to</w:t>
            </w:r>
          </w:p>
        </w:tc>
        <w:tc>
          <w:tcPr>
            <w:tcW w:w="1020" w:type="dxa"/>
            <w:vAlign w:val="bottom"/>
          </w:tcPr>
          <w:p>
            <w:pPr>
              <w:jc w:val="center"/>
              <w:spacing w:after="0"/>
              <w:rPr>
                <w:sz w:val="20"/>
                <w:szCs w:val="20"/>
                <w:color w:val="auto"/>
              </w:rPr>
            </w:pPr>
            <w:r>
              <w:rPr>
                <w:rFonts w:ascii="Arial" w:cs="Arial" w:eastAsia="Arial" w:hAnsi="Arial"/>
                <w:sz w:val="13"/>
                <w:szCs w:val="13"/>
                <w:color w:val="093169"/>
                <w:w w:val="98"/>
              </w:rPr>
              <w:t>5,218</w:t>
            </w:r>
          </w:p>
        </w:tc>
        <w:tc>
          <w:tcPr>
            <w:tcW w:w="740" w:type="dxa"/>
            <w:vAlign w:val="bottom"/>
          </w:tcPr>
          <w:p>
            <w:pPr>
              <w:jc w:val="center"/>
              <w:ind w:left="195"/>
              <w:spacing w:after="0"/>
              <w:rPr>
                <w:sz w:val="20"/>
                <w:szCs w:val="20"/>
                <w:color w:val="auto"/>
              </w:rPr>
            </w:pPr>
            <w:r>
              <w:rPr>
                <w:rFonts w:ascii="Arial" w:cs="Arial" w:eastAsia="Arial" w:hAnsi="Arial"/>
                <w:sz w:val="13"/>
                <w:szCs w:val="13"/>
                <w:color w:val="093169"/>
                <w:w w:val="98"/>
              </w:rPr>
              <w:t>5,316</w:t>
            </w:r>
          </w:p>
        </w:tc>
      </w:tr>
      <w:tr>
        <w:trPr>
          <w:trHeight w:val="155"/>
        </w:trPr>
        <w:tc>
          <w:tcPr>
            <w:tcW w:w="3460" w:type="dxa"/>
            <w:vAlign w:val="bottom"/>
          </w:tcPr>
          <w:p>
            <w:pPr>
              <w:spacing w:after="0"/>
              <w:rPr>
                <w:sz w:val="20"/>
                <w:szCs w:val="20"/>
                <w:color w:val="auto"/>
              </w:rPr>
            </w:pPr>
            <w:r>
              <w:rPr>
                <w:rFonts w:ascii="Arial" w:cs="Arial" w:eastAsia="Arial" w:hAnsi="Arial"/>
                <w:sz w:val="13"/>
                <w:szCs w:val="13"/>
                <w:color w:val="093169"/>
              </w:rPr>
              <w:t>convertible senior notes</w:t>
            </w:r>
            <w:r>
              <w:rPr>
                <w:rFonts w:ascii="Arial" w:cs="Arial" w:eastAsia="Arial" w:hAnsi="Arial"/>
                <w:sz w:val="8"/>
                <w:szCs w:val="8"/>
                <w:color w:val="093169"/>
              </w:rPr>
              <w:t>(2)</w:t>
            </w: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59"/>
        </w:trPr>
        <w:tc>
          <w:tcPr>
            <w:tcW w:w="3460" w:type="dxa"/>
            <w:vAlign w:val="bottom"/>
          </w:tcPr>
          <w:p>
            <w:pPr>
              <w:spacing w:after="0"/>
              <w:rPr>
                <w:sz w:val="20"/>
                <w:szCs w:val="20"/>
                <w:color w:val="auto"/>
              </w:rPr>
            </w:pPr>
            <w:r>
              <w:rPr>
                <w:rFonts w:ascii="Arial" w:cs="Arial" w:eastAsia="Arial" w:hAnsi="Arial"/>
                <w:sz w:val="13"/>
                <w:szCs w:val="13"/>
                <w:color w:val="093169"/>
              </w:rPr>
              <w:t>Income taxes: Non-cash income tax expense</w:t>
            </w:r>
            <w:r>
              <w:rPr>
                <w:rFonts w:ascii="Arial" w:cs="Arial" w:eastAsia="Arial" w:hAnsi="Arial"/>
                <w:sz w:val="8"/>
                <w:szCs w:val="8"/>
                <w:color w:val="093169"/>
              </w:rPr>
              <w:t>(7)</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9"/>
        </w:trPr>
        <w:tc>
          <w:tcPr>
            <w:tcW w:w="3460" w:type="dxa"/>
            <w:vAlign w:val="bottom"/>
          </w:tcPr>
          <w:p>
            <w:pPr>
              <w:spacing w:after="0"/>
              <w:rPr>
                <w:sz w:val="20"/>
                <w:szCs w:val="20"/>
                <w:color w:val="auto"/>
              </w:rPr>
            </w:pPr>
            <w:r>
              <w:rPr>
                <w:rFonts w:ascii="Arial" w:cs="Arial" w:eastAsia="Arial" w:hAnsi="Arial"/>
                <w:sz w:val="13"/>
                <w:szCs w:val="13"/>
                <w:color w:val="093169"/>
              </w:rPr>
              <w:t>Income taxes: Release of valuation allowance</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3"/>
                <w:szCs w:val="13"/>
                <w:color w:val="093169"/>
              </w:rPr>
              <w:t>Non-GAAP net income</w:t>
            </w:r>
          </w:p>
        </w:tc>
        <w:tc>
          <w:tcPr>
            <w:tcW w:w="1020" w:type="dxa"/>
            <w:vAlign w:val="bottom"/>
          </w:tcPr>
          <w:p>
            <w:pPr>
              <w:jc w:val="center"/>
              <w:spacing w:after="0"/>
              <w:rPr>
                <w:sz w:val="20"/>
                <w:szCs w:val="20"/>
                <w:color w:val="auto"/>
              </w:rPr>
            </w:pPr>
            <w:r>
              <w:rPr>
                <w:rFonts w:ascii="Arial" w:cs="Arial" w:eastAsia="Arial" w:hAnsi="Arial"/>
                <w:sz w:val="13"/>
                <w:szCs w:val="13"/>
                <w:color w:val="093169"/>
              </w:rPr>
              <w:t>40,114</w:t>
            </w:r>
          </w:p>
        </w:tc>
        <w:tc>
          <w:tcPr>
            <w:tcW w:w="740" w:type="dxa"/>
            <w:vAlign w:val="bottom"/>
          </w:tcPr>
          <w:p>
            <w:pPr>
              <w:jc w:val="center"/>
              <w:ind w:left="215"/>
              <w:spacing w:after="0"/>
              <w:rPr>
                <w:sz w:val="20"/>
                <w:szCs w:val="20"/>
                <w:color w:val="auto"/>
              </w:rPr>
            </w:pPr>
            <w:r>
              <w:rPr>
                <w:rFonts w:ascii="Arial" w:cs="Arial" w:eastAsia="Arial" w:hAnsi="Arial"/>
                <w:sz w:val="13"/>
                <w:szCs w:val="13"/>
                <w:color w:val="093169"/>
                <w:w w:val="97"/>
              </w:rPr>
              <w:t>101,682</w:t>
            </w:r>
          </w:p>
        </w:tc>
      </w:tr>
      <w:tr>
        <w:trPr>
          <w:trHeight w:val="259"/>
        </w:trPr>
        <w:tc>
          <w:tcPr>
            <w:tcW w:w="3460" w:type="dxa"/>
            <w:vAlign w:val="bottom"/>
          </w:tcPr>
          <w:p>
            <w:pPr>
              <w:spacing w:after="0"/>
              <w:rPr>
                <w:sz w:val="20"/>
                <w:szCs w:val="20"/>
                <w:color w:val="auto"/>
              </w:rPr>
            </w:pPr>
            <w:r>
              <w:rPr>
                <w:rFonts w:ascii="Arial" w:cs="Arial" w:eastAsia="Arial" w:hAnsi="Arial"/>
                <w:sz w:val="13"/>
                <w:szCs w:val="13"/>
                <w:color w:val="093169"/>
              </w:rPr>
              <w:t>Non-GAAP net income per share – basic</w:t>
            </w:r>
          </w:p>
        </w:tc>
        <w:tc>
          <w:tcPr>
            <w:tcW w:w="1020" w:type="dxa"/>
            <w:vAlign w:val="bottom"/>
          </w:tcPr>
          <w:p>
            <w:pPr>
              <w:jc w:val="center"/>
              <w:spacing w:after="0"/>
              <w:rPr>
                <w:sz w:val="20"/>
                <w:szCs w:val="20"/>
                <w:color w:val="auto"/>
              </w:rPr>
            </w:pPr>
            <w:r>
              <w:rPr>
                <w:rFonts w:ascii="Arial" w:cs="Arial" w:eastAsia="Arial" w:hAnsi="Arial"/>
                <w:sz w:val="13"/>
                <w:szCs w:val="13"/>
                <w:color w:val="093169"/>
              </w:rPr>
              <w:t>0.43</w:t>
            </w:r>
          </w:p>
        </w:tc>
        <w:tc>
          <w:tcPr>
            <w:tcW w:w="740" w:type="dxa"/>
            <w:vAlign w:val="bottom"/>
          </w:tcPr>
          <w:p>
            <w:pPr>
              <w:jc w:val="center"/>
              <w:ind w:left="215"/>
              <w:spacing w:after="0"/>
              <w:rPr>
                <w:sz w:val="20"/>
                <w:szCs w:val="20"/>
                <w:color w:val="auto"/>
              </w:rPr>
            </w:pPr>
            <w:r>
              <w:rPr>
                <w:rFonts w:ascii="Arial" w:cs="Arial" w:eastAsia="Arial" w:hAnsi="Arial"/>
                <w:sz w:val="13"/>
                <w:szCs w:val="13"/>
                <w:color w:val="093169"/>
              </w:rPr>
              <w:t>1.07</w:t>
            </w:r>
          </w:p>
        </w:tc>
      </w:tr>
      <w:tr>
        <w:trPr>
          <w:trHeight w:val="270"/>
        </w:trPr>
        <w:tc>
          <w:tcPr>
            <w:tcW w:w="3460" w:type="dxa"/>
            <w:vAlign w:val="bottom"/>
          </w:tcPr>
          <w:p>
            <w:pPr>
              <w:spacing w:after="0"/>
              <w:rPr>
                <w:sz w:val="20"/>
                <w:szCs w:val="20"/>
                <w:color w:val="auto"/>
              </w:rPr>
            </w:pPr>
            <w:r>
              <w:rPr>
                <w:rFonts w:ascii="Arial" w:cs="Arial" w:eastAsia="Arial" w:hAnsi="Arial"/>
                <w:sz w:val="13"/>
                <w:szCs w:val="13"/>
                <w:color w:val="093169"/>
              </w:rPr>
              <w:t>Non-GAAP net income per share – diluted</w:t>
            </w:r>
          </w:p>
        </w:tc>
        <w:tc>
          <w:tcPr>
            <w:tcW w:w="1020" w:type="dxa"/>
            <w:vAlign w:val="bottom"/>
          </w:tcPr>
          <w:p>
            <w:pPr>
              <w:jc w:val="center"/>
              <w:spacing w:after="0"/>
              <w:rPr>
                <w:sz w:val="20"/>
                <w:szCs w:val="20"/>
                <w:color w:val="auto"/>
              </w:rPr>
            </w:pPr>
            <w:r>
              <w:rPr>
                <w:rFonts w:ascii="Arial" w:cs="Arial" w:eastAsia="Arial" w:hAnsi="Arial"/>
                <w:sz w:val="13"/>
                <w:szCs w:val="13"/>
                <w:color w:val="093169"/>
                <w:w w:val="96"/>
              </w:rPr>
              <w:t>0.37</w:t>
            </w:r>
            <w:r>
              <w:rPr>
                <w:rFonts w:ascii="Arial" w:cs="Arial" w:eastAsia="Arial" w:hAnsi="Arial"/>
                <w:sz w:val="8"/>
                <w:szCs w:val="8"/>
                <w:color w:val="093169"/>
                <w:w w:val="96"/>
              </w:rPr>
              <w:t>(3)</w:t>
            </w:r>
          </w:p>
        </w:tc>
        <w:tc>
          <w:tcPr>
            <w:tcW w:w="740" w:type="dxa"/>
            <w:vAlign w:val="bottom"/>
          </w:tcPr>
          <w:p>
            <w:pPr>
              <w:jc w:val="center"/>
              <w:ind w:left="215"/>
              <w:spacing w:after="0"/>
              <w:rPr>
                <w:sz w:val="20"/>
                <w:szCs w:val="20"/>
                <w:color w:val="auto"/>
              </w:rPr>
            </w:pPr>
            <w:r>
              <w:rPr>
                <w:rFonts w:ascii="Arial" w:cs="Arial" w:eastAsia="Arial" w:hAnsi="Arial"/>
                <w:sz w:val="13"/>
                <w:szCs w:val="13"/>
                <w:color w:val="093169"/>
                <w:w w:val="96"/>
              </w:rPr>
              <w:t>0.90</w:t>
            </w:r>
            <w:r>
              <w:rPr>
                <w:rFonts w:ascii="Arial" w:cs="Arial" w:eastAsia="Arial" w:hAnsi="Arial"/>
                <w:sz w:val="8"/>
                <w:szCs w:val="8"/>
                <w:color w:val="093169"/>
                <w:w w:val="96"/>
              </w:rPr>
              <w:t>(5)</w:t>
            </w:r>
          </w:p>
        </w:tc>
      </w:tr>
      <w:tr>
        <w:trPr>
          <w:trHeight w:val="256"/>
        </w:trPr>
        <w:tc>
          <w:tcPr>
            <w:tcW w:w="3460" w:type="dxa"/>
            <w:vAlign w:val="bottom"/>
          </w:tcPr>
          <w:p>
            <w:pPr>
              <w:spacing w:after="0"/>
              <w:rPr>
                <w:sz w:val="20"/>
                <w:szCs w:val="20"/>
                <w:color w:val="auto"/>
              </w:rPr>
            </w:pPr>
            <w:r>
              <w:rPr>
                <w:rFonts w:ascii="Arial" w:cs="Arial" w:eastAsia="Arial" w:hAnsi="Arial"/>
                <w:sz w:val="13"/>
                <w:szCs w:val="13"/>
                <w:color w:val="093169"/>
              </w:rPr>
              <w:t>Shares used in calculating Non-GAAP net income per</w:t>
            </w:r>
          </w:p>
        </w:tc>
        <w:tc>
          <w:tcPr>
            <w:tcW w:w="1020" w:type="dxa"/>
            <w:vAlign w:val="bottom"/>
          </w:tcPr>
          <w:p>
            <w:pPr>
              <w:jc w:val="center"/>
              <w:spacing w:after="0"/>
              <w:rPr>
                <w:sz w:val="20"/>
                <w:szCs w:val="20"/>
                <w:color w:val="auto"/>
              </w:rPr>
            </w:pPr>
            <w:r>
              <w:rPr>
                <w:rFonts w:ascii="Arial" w:cs="Arial" w:eastAsia="Arial" w:hAnsi="Arial"/>
                <w:sz w:val="13"/>
                <w:szCs w:val="13"/>
                <w:color w:val="093169"/>
              </w:rPr>
              <w:t>93,446</w:t>
            </w:r>
          </w:p>
        </w:tc>
        <w:tc>
          <w:tcPr>
            <w:tcW w:w="740" w:type="dxa"/>
            <w:vAlign w:val="bottom"/>
          </w:tcPr>
          <w:p>
            <w:pPr>
              <w:jc w:val="center"/>
              <w:ind w:left="195"/>
              <w:spacing w:after="0"/>
              <w:rPr>
                <w:sz w:val="20"/>
                <w:szCs w:val="20"/>
                <w:color w:val="auto"/>
              </w:rPr>
            </w:pPr>
            <w:r>
              <w:rPr>
                <w:rFonts w:ascii="Arial" w:cs="Arial" w:eastAsia="Arial" w:hAnsi="Arial"/>
                <w:sz w:val="13"/>
                <w:szCs w:val="13"/>
                <w:color w:val="093169"/>
              </w:rPr>
              <w:t>94,589</w:t>
            </w:r>
          </w:p>
        </w:tc>
      </w:tr>
      <w:tr>
        <w:trPr>
          <w:trHeight w:val="155"/>
        </w:trPr>
        <w:tc>
          <w:tcPr>
            <w:tcW w:w="3460" w:type="dxa"/>
            <w:vAlign w:val="bottom"/>
          </w:tcPr>
          <w:p>
            <w:pPr>
              <w:spacing w:after="0"/>
              <w:rPr>
                <w:sz w:val="20"/>
                <w:szCs w:val="20"/>
                <w:color w:val="auto"/>
              </w:rPr>
            </w:pPr>
            <w:r>
              <w:rPr>
                <w:rFonts w:ascii="Arial" w:cs="Arial" w:eastAsia="Arial" w:hAnsi="Arial"/>
                <w:sz w:val="13"/>
                <w:szCs w:val="13"/>
                <w:color w:val="093169"/>
              </w:rPr>
              <w:t>share - basic</w:t>
            </w: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56"/>
        </w:trPr>
        <w:tc>
          <w:tcPr>
            <w:tcW w:w="3460" w:type="dxa"/>
            <w:vAlign w:val="bottom"/>
          </w:tcPr>
          <w:p>
            <w:pPr>
              <w:spacing w:after="0"/>
              <w:rPr>
                <w:sz w:val="20"/>
                <w:szCs w:val="20"/>
                <w:color w:val="auto"/>
              </w:rPr>
            </w:pPr>
            <w:r>
              <w:rPr>
                <w:rFonts w:ascii="Arial" w:cs="Arial" w:eastAsia="Arial" w:hAnsi="Arial"/>
                <w:sz w:val="13"/>
                <w:szCs w:val="13"/>
                <w:color w:val="093169"/>
              </w:rPr>
              <w:t>Shares used in calculating Non-GAAP net income per</w:t>
            </w:r>
          </w:p>
        </w:tc>
        <w:tc>
          <w:tcPr>
            <w:tcW w:w="1020" w:type="dxa"/>
            <w:vAlign w:val="bottom"/>
          </w:tcPr>
          <w:p>
            <w:pPr>
              <w:jc w:val="center"/>
              <w:spacing w:after="0"/>
              <w:rPr>
                <w:sz w:val="20"/>
                <w:szCs w:val="20"/>
                <w:color w:val="auto"/>
              </w:rPr>
            </w:pPr>
            <w:r>
              <w:rPr>
                <w:rFonts w:ascii="Arial" w:cs="Arial" w:eastAsia="Arial" w:hAnsi="Arial"/>
                <w:sz w:val="13"/>
                <w:szCs w:val="13"/>
                <w:color w:val="093169"/>
                <w:w w:val="97"/>
              </w:rPr>
              <w:t>112,495</w:t>
            </w:r>
          </w:p>
        </w:tc>
        <w:tc>
          <w:tcPr>
            <w:tcW w:w="740" w:type="dxa"/>
            <w:vAlign w:val="bottom"/>
          </w:tcPr>
          <w:p>
            <w:pPr>
              <w:jc w:val="center"/>
              <w:ind w:left="215"/>
              <w:spacing w:after="0"/>
              <w:rPr>
                <w:sz w:val="20"/>
                <w:szCs w:val="20"/>
                <w:color w:val="auto"/>
              </w:rPr>
            </w:pPr>
            <w:r>
              <w:rPr>
                <w:rFonts w:ascii="Arial" w:cs="Arial" w:eastAsia="Arial" w:hAnsi="Arial"/>
                <w:sz w:val="13"/>
                <w:szCs w:val="13"/>
                <w:color w:val="093169"/>
                <w:w w:val="97"/>
              </w:rPr>
              <w:t>114,928</w:t>
            </w:r>
          </w:p>
        </w:tc>
      </w:tr>
      <w:tr>
        <w:trPr>
          <w:trHeight w:val="155"/>
        </w:trPr>
        <w:tc>
          <w:tcPr>
            <w:tcW w:w="3460" w:type="dxa"/>
            <w:vAlign w:val="bottom"/>
          </w:tcPr>
          <w:p>
            <w:pPr>
              <w:spacing w:after="0"/>
              <w:rPr>
                <w:sz w:val="20"/>
                <w:szCs w:val="20"/>
                <w:color w:val="auto"/>
              </w:rPr>
            </w:pPr>
            <w:r>
              <w:rPr>
                <w:rFonts w:ascii="Arial" w:cs="Arial" w:eastAsia="Arial" w:hAnsi="Arial"/>
                <w:sz w:val="13"/>
                <w:szCs w:val="13"/>
                <w:color w:val="093169"/>
              </w:rPr>
              <w:t xml:space="preserve">share – diluted </w:t>
            </w:r>
            <w:r>
              <w:rPr>
                <w:rFonts w:ascii="Arial" w:cs="Arial" w:eastAsia="Arial" w:hAnsi="Arial"/>
                <w:sz w:val="8"/>
                <w:szCs w:val="8"/>
                <w:color w:val="093169"/>
              </w:rPr>
              <w:t>(4)</w:t>
            </w: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136" w:lineRule="exact"/>
        <w:rPr>
          <w:sz w:val="20"/>
          <w:szCs w:val="20"/>
          <w:color w:val="auto"/>
        </w:rPr>
      </w:pPr>
    </w:p>
    <w:p>
      <w:pPr>
        <w:ind w:left="280" w:hanging="273"/>
        <w:spacing w:after="0"/>
        <w:tabs>
          <w:tab w:leader="none" w:pos="280" w:val="left"/>
        </w:tabs>
        <w:numPr>
          <w:ilvl w:val="0"/>
          <w:numId w:val="5"/>
        </w:numPr>
        <w:rPr>
          <w:rFonts w:ascii="Arial" w:cs="Arial" w:eastAsia="Arial" w:hAnsi="Arial"/>
          <w:sz w:val="9"/>
          <w:szCs w:val="9"/>
          <w:color w:val="161616"/>
        </w:rPr>
      </w:pPr>
      <w:r>
        <w:rPr>
          <w:rFonts w:ascii="Arial" w:cs="Arial" w:eastAsia="Arial" w:hAnsi="Arial"/>
          <w:sz w:val="9"/>
          <w:szCs w:val="9"/>
          <w:color w:val="161616"/>
        </w:rPr>
        <w:t>To exclude non-cash compensation expense related to employee stock option and restricted stock award</w:t>
      </w:r>
    </w:p>
    <w:p>
      <w:pPr>
        <w:spacing w:after="0" w:line="14" w:lineRule="exact"/>
        <w:rPr>
          <w:rFonts w:ascii="Arial" w:cs="Arial" w:eastAsia="Arial" w:hAnsi="Arial"/>
          <w:sz w:val="9"/>
          <w:szCs w:val="9"/>
          <w:color w:val="161616"/>
        </w:rPr>
      </w:pPr>
    </w:p>
    <w:p>
      <w:pPr>
        <w:ind w:left="280" w:right="480" w:hanging="273"/>
        <w:spacing w:after="0" w:line="259" w:lineRule="auto"/>
        <w:tabs>
          <w:tab w:leader="none" w:pos="280" w:val="left"/>
        </w:tabs>
        <w:numPr>
          <w:ilvl w:val="0"/>
          <w:numId w:val="5"/>
        </w:numPr>
        <w:rPr>
          <w:rFonts w:ascii="Arial" w:cs="Arial" w:eastAsia="Arial" w:hAnsi="Arial"/>
          <w:sz w:val="9"/>
          <w:szCs w:val="9"/>
          <w:color w:val="161616"/>
        </w:rPr>
      </w:pPr>
      <w:r>
        <w:rPr>
          <w:rFonts w:ascii="Arial" w:cs="Arial" w:eastAsia="Arial" w:hAnsi="Arial"/>
          <w:sz w:val="9"/>
          <w:szCs w:val="9"/>
          <w:color w:val="161616"/>
        </w:rPr>
        <w:t>To exclude non-cash interest expense related to the amortization of the debt discount and debt issuance costs on the Company's 1.875% convertible senior notes</w:t>
      </w:r>
    </w:p>
    <w:p>
      <w:pPr>
        <w:ind w:left="280" w:right="400" w:hanging="273"/>
        <w:spacing w:after="0" w:line="280" w:lineRule="auto"/>
        <w:tabs>
          <w:tab w:leader="none" w:pos="280" w:val="left"/>
        </w:tabs>
        <w:numPr>
          <w:ilvl w:val="0"/>
          <w:numId w:val="5"/>
        </w:numPr>
        <w:rPr>
          <w:rFonts w:ascii="Arial" w:cs="Arial" w:eastAsia="Arial" w:hAnsi="Arial"/>
          <w:sz w:val="9"/>
          <w:szCs w:val="9"/>
          <w:color w:val="161616"/>
        </w:rPr>
      </w:pPr>
      <w:r>
        <w:rPr>
          <w:rFonts w:ascii="Arial" w:cs="Arial" w:eastAsia="Arial" w:hAnsi="Arial"/>
          <w:sz w:val="9"/>
          <w:szCs w:val="9"/>
          <w:color w:val="161616"/>
        </w:rPr>
        <w:t>For diluted non-GAAP per share calculations, excludes $1.9 million of interest expense related to the contractual coupon interest rate on the Company's 1.875% convertible senior notes, since these securities were dilutive</w:t>
      </w:r>
    </w:p>
    <w:p>
      <w:pPr>
        <w:spacing w:after="0" w:line="111" w:lineRule="exact"/>
        <w:rPr>
          <w:rFonts w:ascii="Arial" w:cs="Arial" w:eastAsia="Arial" w:hAnsi="Arial"/>
          <w:sz w:val="9"/>
          <w:szCs w:val="9"/>
          <w:color w:val="161616"/>
        </w:rPr>
      </w:pPr>
    </w:p>
    <w:p>
      <w:pPr>
        <w:ind w:left="280" w:right="280" w:hanging="273"/>
        <w:spacing w:after="0" w:line="245" w:lineRule="auto"/>
        <w:tabs>
          <w:tab w:leader="none" w:pos="280" w:val="left"/>
        </w:tabs>
        <w:numPr>
          <w:ilvl w:val="0"/>
          <w:numId w:val="5"/>
        </w:numPr>
        <w:rPr>
          <w:rFonts w:ascii="Arial" w:cs="Arial" w:eastAsia="Arial" w:hAnsi="Arial"/>
          <w:sz w:val="9"/>
          <w:szCs w:val="9"/>
          <w:color w:val="161616"/>
        </w:rPr>
      </w:pPr>
      <w:r>
        <w:rPr>
          <w:rFonts w:ascii="Arial" w:cs="Arial" w:eastAsia="Arial" w:hAnsi="Arial"/>
          <w:sz w:val="9"/>
          <w:szCs w:val="9"/>
          <w:color w:val="161616"/>
        </w:rPr>
        <w:t>Weighted average shares outstanding includes the dilutive effect, if any, of employee stock options, restricted stock awards, convertible senior notes, and warrants</w:t>
      </w:r>
    </w:p>
    <w:p>
      <w:pPr>
        <w:ind w:left="280" w:right="580" w:hanging="273"/>
        <w:spacing w:after="0" w:line="263" w:lineRule="auto"/>
        <w:tabs>
          <w:tab w:leader="none" w:pos="280" w:val="left"/>
        </w:tabs>
        <w:numPr>
          <w:ilvl w:val="0"/>
          <w:numId w:val="5"/>
        </w:numPr>
        <w:rPr>
          <w:rFonts w:ascii="Arial" w:cs="Arial" w:eastAsia="Arial" w:hAnsi="Arial"/>
          <w:sz w:val="9"/>
          <w:szCs w:val="9"/>
          <w:color w:val="161616"/>
        </w:rPr>
      </w:pPr>
      <w:r>
        <w:rPr>
          <w:rFonts w:ascii="Arial" w:cs="Arial" w:eastAsia="Arial" w:hAnsi="Arial"/>
          <w:sz w:val="9"/>
          <w:szCs w:val="9"/>
          <w:color w:val="161616"/>
        </w:rPr>
        <w:t>For diluted non-GAAP per share calculations, excludes $1.9 million of interest expense for the three months ended June 30, 2012 related to the contractual coupon interest rate on the Company's 1.875% convertible senior notes, since these securities were dilutive</w:t>
      </w:r>
    </w:p>
    <w:p>
      <w:pPr>
        <w:ind w:left="280" w:right="380" w:hanging="273"/>
        <w:spacing w:after="0" w:line="272" w:lineRule="auto"/>
        <w:tabs>
          <w:tab w:leader="none" w:pos="280" w:val="left"/>
        </w:tabs>
        <w:numPr>
          <w:ilvl w:val="0"/>
          <w:numId w:val="5"/>
        </w:numPr>
        <w:rPr>
          <w:rFonts w:ascii="Arial" w:cs="Arial" w:eastAsia="Arial" w:hAnsi="Arial"/>
          <w:sz w:val="9"/>
          <w:szCs w:val="9"/>
          <w:color w:val="161616"/>
        </w:rPr>
      </w:pPr>
      <w:r>
        <w:rPr>
          <w:rFonts w:ascii="Arial" w:cs="Arial" w:eastAsia="Arial" w:hAnsi="Arial"/>
          <w:sz w:val="9"/>
          <w:szCs w:val="9"/>
          <w:color w:val="161616"/>
        </w:rPr>
        <w:t>For diluted non-GAAP per share calculations, excludes $1.9 million of interest expense for the three months ended September 30, 2012 related to the contractual coupon interest rate on the Company's 1.875% convertible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9"/>
          <w:szCs w:val="9"/>
          <w:color w:val="161616"/>
        </w:rPr>
        <w:t>senior notes, since these securities were dilutive</w:t>
      </w:r>
    </w:p>
    <w:p>
      <w:pPr>
        <w:spacing w:after="0" w:line="2"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161616"/>
        </w:rPr>
        <w:t>7)</w:t>
      </w:r>
      <w:r>
        <w:rPr>
          <w:sz w:val="20"/>
          <w:szCs w:val="20"/>
          <w:color w:val="auto"/>
        </w:rPr>
        <w:tab/>
      </w:r>
      <w:r>
        <w:rPr>
          <w:rFonts w:ascii="Arial" w:cs="Arial" w:eastAsia="Arial" w:hAnsi="Arial"/>
          <w:sz w:val="9"/>
          <w:szCs w:val="9"/>
          <w:color w:val="161616"/>
        </w:rPr>
        <w:t>To exclude GAAP income tax expense as this amount  is not payable in cash</w:t>
      </w:r>
    </w:p>
    <w:p>
      <w:pPr>
        <w:spacing w:after="0" w:line="14" w:lineRule="exact"/>
        <w:rPr>
          <w:sz w:val="20"/>
          <w:szCs w:val="20"/>
          <w:color w:val="auto"/>
        </w:rPr>
      </w:pPr>
    </w:p>
    <w:p>
      <w:pPr>
        <w:ind w:left="280" w:right="460" w:hanging="273"/>
        <w:spacing w:after="0" w:line="295" w:lineRule="auto"/>
        <w:tabs>
          <w:tab w:leader="none" w:pos="280" w:val="left"/>
        </w:tabs>
        <w:numPr>
          <w:ilvl w:val="0"/>
          <w:numId w:val="6"/>
        </w:numPr>
        <w:rPr>
          <w:rFonts w:ascii="Arial" w:cs="Arial" w:eastAsia="Arial" w:hAnsi="Arial"/>
          <w:sz w:val="9"/>
          <w:szCs w:val="9"/>
          <w:color w:val="161616"/>
        </w:rPr>
      </w:pPr>
      <w:r>
        <w:rPr>
          <w:rFonts w:ascii="Arial" w:cs="Arial" w:eastAsia="Arial" w:hAnsi="Arial"/>
          <w:sz w:val="9"/>
          <w:szCs w:val="9"/>
          <w:color w:val="161616"/>
        </w:rPr>
        <w:t>To exclude non-cash tax benefit related to releasing substantially all of the valuation allowance associated with the Company's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305" w:type="dxa"/>
        <w:tblCellMar>
          <w:top w:w="0" w:type="dxa"/>
          <w:left w:w="0" w:type="dxa"/>
          <w:bottom w:w="0" w:type="dxa"/>
          <w:right w:w="0" w:type="dxa"/>
        </w:tblCellMar>
      </w:tblPr>
      <w:tr>
        <w:trPr>
          <w:trHeight w:val="171"/>
        </w:trPr>
        <w:tc>
          <w:tcPr>
            <w:tcW w:w="720" w:type="dxa"/>
            <w:vAlign w:val="bottom"/>
          </w:tcPr>
          <w:p>
            <w:pPr>
              <w:jc w:val="center"/>
              <w:ind w:right="175"/>
              <w:spacing w:after="0"/>
              <w:rPr>
                <w:sz w:val="20"/>
                <w:szCs w:val="20"/>
                <w:color w:val="auto"/>
              </w:rPr>
            </w:pPr>
            <w:r>
              <w:rPr>
                <w:rFonts w:ascii="Arial" w:cs="Arial" w:eastAsia="Arial" w:hAnsi="Arial"/>
                <w:sz w:val="13"/>
                <w:szCs w:val="13"/>
                <w:b w:val="1"/>
                <w:bCs w:val="1"/>
                <w:color w:val="DADADA"/>
              </w:rPr>
              <w:t>3Q’12</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DADADA"/>
              </w:rPr>
              <w:t>4Q’12</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DADADA"/>
              </w:rPr>
              <w:t>1Q’13</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DADADA"/>
              </w:rPr>
              <w:t>2Q’13</w:t>
            </w:r>
          </w:p>
        </w:tc>
        <w:tc>
          <w:tcPr>
            <w:tcW w:w="760" w:type="dxa"/>
            <w:vAlign w:val="bottom"/>
          </w:tcPr>
          <w:p>
            <w:pPr>
              <w:jc w:val="center"/>
              <w:ind w:left="235"/>
              <w:spacing w:after="0"/>
              <w:rPr>
                <w:sz w:val="20"/>
                <w:szCs w:val="20"/>
                <w:color w:val="auto"/>
              </w:rPr>
            </w:pPr>
            <w:r>
              <w:rPr>
                <w:rFonts w:ascii="Arial" w:cs="Arial" w:eastAsia="Arial" w:hAnsi="Arial"/>
                <w:sz w:val="13"/>
                <w:szCs w:val="13"/>
                <w:b w:val="1"/>
                <w:bCs w:val="1"/>
                <w:color w:val="DADADA"/>
                <w:w w:val="95"/>
              </w:rPr>
              <w:t>3Q’13</w:t>
            </w:r>
          </w:p>
        </w:tc>
      </w:tr>
      <w:tr>
        <w:trPr>
          <w:trHeight w:val="435"/>
        </w:trPr>
        <w:tc>
          <w:tcPr>
            <w:tcW w:w="720" w:type="dxa"/>
            <w:vAlign w:val="bottom"/>
          </w:tcPr>
          <w:p>
            <w:pPr>
              <w:jc w:val="center"/>
              <w:ind w:right="195"/>
              <w:spacing w:after="0"/>
              <w:rPr>
                <w:sz w:val="20"/>
                <w:szCs w:val="20"/>
                <w:color w:val="auto"/>
              </w:rPr>
            </w:pPr>
            <w:r>
              <w:rPr>
                <w:rFonts w:ascii="Arial" w:cs="Arial" w:eastAsia="Arial" w:hAnsi="Arial"/>
                <w:sz w:val="13"/>
                <w:szCs w:val="13"/>
                <w:color w:val="093169"/>
                <w:w w:val="97"/>
              </w:rPr>
              <w:t>191,468</w:t>
            </w:r>
          </w:p>
        </w:tc>
        <w:tc>
          <w:tcPr>
            <w:tcW w:w="1120" w:type="dxa"/>
            <w:vAlign w:val="bottom"/>
          </w:tcPr>
          <w:p>
            <w:pPr>
              <w:jc w:val="center"/>
              <w:spacing w:after="0"/>
              <w:rPr>
                <w:sz w:val="20"/>
                <w:szCs w:val="20"/>
                <w:color w:val="auto"/>
              </w:rPr>
            </w:pPr>
            <w:r>
              <w:rPr>
                <w:rFonts w:ascii="Arial" w:cs="Arial" w:eastAsia="Arial" w:hAnsi="Arial"/>
                <w:sz w:val="13"/>
                <w:szCs w:val="13"/>
                <w:color w:val="093169"/>
              </w:rPr>
              <w:t>470,407</w:t>
            </w:r>
          </w:p>
        </w:tc>
        <w:tc>
          <w:tcPr>
            <w:tcW w:w="1000" w:type="dxa"/>
            <w:vAlign w:val="bottom"/>
          </w:tcPr>
          <w:p>
            <w:pPr>
              <w:jc w:val="center"/>
              <w:spacing w:after="0"/>
              <w:rPr>
                <w:sz w:val="20"/>
                <w:szCs w:val="20"/>
                <w:color w:val="auto"/>
              </w:rPr>
            </w:pPr>
            <w:r>
              <w:rPr>
                <w:rFonts w:ascii="Arial" w:cs="Arial" w:eastAsia="Arial" w:hAnsi="Arial"/>
                <w:sz w:val="13"/>
                <w:szCs w:val="13"/>
                <w:color w:val="093169"/>
              </w:rPr>
              <w:t>98,874</w:t>
            </w:r>
          </w:p>
        </w:tc>
        <w:tc>
          <w:tcPr>
            <w:tcW w:w="1040" w:type="dxa"/>
            <w:vAlign w:val="bottom"/>
          </w:tcPr>
          <w:p>
            <w:pPr>
              <w:jc w:val="center"/>
              <w:spacing w:after="0"/>
              <w:rPr>
                <w:sz w:val="20"/>
                <w:szCs w:val="20"/>
                <w:color w:val="auto"/>
              </w:rPr>
            </w:pPr>
            <w:r>
              <w:rPr>
                <w:rFonts w:ascii="Arial" w:cs="Arial" w:eastAsia="Arial" w:hAnsi="Arial"/>
                <w:sz w:val="13"/>
                <w:szCs w:val="13"/>
                <w:color w:val="093169"/>
              </w:rPr>
              <w:t>87,376</w:t>
            </w:r>
          </w:p>
        </w:tc>
        <w:tc>
          <w:tcPr>
            <w:tcW w:w="760" w:type="dxa"/>
            <w:vAlign w:val="bottom"/>
          </w:tcPr>
          <w:p>
            <w:pPr>
              <w:jc w:val="center"/>
              <w:ind w:left="235"/>
              <w:spacing w:after="0"/>
              <w:rPr>
                <w:sz w:val="20"/>
                <w:szCs w:val="20"/>
                <w:color w:val="auto"/>
              </w:rPr>
            </w:pPr>
            <w:r>
              <w:rPr>
                <w:rFonts w:ascii="Arial" w:cs="Arial" w:eastAsia="Arial" w:hAnsi="Arial"/>
                <w:sz w:val="13"/>
                <w:szCs w:val="13"/>
                <w:color w:val="093169"/>
                <w:w w:val="97"/>
              </w:rPr>
              <w:t>141,306</w:t>
            </w:r>
          </w:p>
        </w:tc>
      </w:tr>
      <w:tr>
        <w:trPr>
          <w:trHeight w:val="529"/>
        </w:trPr>
        <w:tc>
          <w:tcPr>
            <w:tcW w:w="720" w:type="dxa"/>
            <w:vAlign w:val="bottom"/>
          </w:tcPr>
          <w:p>
            <w:pPr>
              <w:jc w:val="center"/>
              <w:ind w:right="175"/>
              <w:spacing w:after="0"/>
              <w:rPr>
                <w:sz w:val="20"/>
                <w:szCs w:val="20"/>
                <w:color w:val="auto"/>
              </w:rPr>
            </w:pPr>
            <w:r>
              <w:rPr>
                <w:rFonts w:ascii="Arial" w:cs="Arial" w:eastAsia="Arial" w:hAnsi="Arial"/>
                <w:sz w:val="13"/>
                <w:szCs w:val="13"/>
                <w:color w:val="093169"/>
              </w:rPr>
              <w:t>13,337</w:t>
            </w:r>
          </w:p>
        </w:tc>
        <w:tc>
          <w:tcPr>
            <w:tcW w:w="1120" w:type="dxa"/>
            <w:vAlign w:val="bottom"/>
          </w:tcPr>
          <w:p>
            <w:pPr>
              <w:jc w:val="center"/>
              <w:spacing w:after="0"/>
              <w:rPr>
                <w:sz w:val="20"/>
                <w:szCs w:val="20"/>
                <w:color w:val="auto"/>
              </w:rPr>
            </w:pPr>
            <w:r>
              <w:rPr>
                <w:rFonts w:ascii="Arial" w:cs="Arial" w:eastAsia="Arial" w:hAnsi="Arial"/>
                <w:sz w:val="13"/>
                <w:szCs w:val="13"/>
                <w:color w:val="093169"/>
              </w:rPr>
              <w:t>18,498</w:t>
            </w:r>
          </w:p>
        </w:tc>
        <w:tc>
          <w:tcPr>
            <w:tcW w:w="1000" w:type="dxa"/>
            <w:vAlign w:val="bottom"/>
          </w:tcPr>
          <w:p>
            <w:pPr>
              <w:jc w:val="center"/>
              <w:spacing w:after="0"/>
              <w:rPr>
                <w:sz w:val="20"/>
                <w:szCs w:val="20"/>
                <w:color w:val="auto"/>
              </w:rPr>
            </w:pPr>
            <w:r>
              <w:rPr>
                <w:rFonts w:ascii="Arial" w:cs="Arial" w:eastAsia="Arial" w:hAnsi="Arial"/>
                <w:sz w:val="13"/>
                <w:szCs w:val="13"/>
                <w:color w:val="093169"/>
              </w:rPr>
              <w:t>26,761</w:t>
            </w:r>
          </w:p>
        </w:tc>
        <w:tc>
          <w:tcPr>
            <w:tcW w:w="1040" w:type="dxa"/>
            <w:vAlign w:val="bottom"/>
          </w:tcPr>
          <w:p>
            <w:pPr>
              <w:jc w:val="center"/>
              <w:spacing w:after="0"/>
              <w:rPr>
                <w:sz w:val="20"/>
                <w:szCs w:val="20"/>
                <w:color w:val="auto"/>
              </w:rPr>
            </w:pPr>
            <w:r>
              <w:rPr>
                <w:rFonts w:ascii="Arial" w:cs="Arial" w:eastAsia="Arial" w:hAnsi="Arial"/>
                <w:sz w:val="13"/>
                <w:szCs w:val="13"/>
                <w:color w:val="093169"/>
              </w:rPr>
              <w:t>27,722</w:t>
            </w:r>
          </w:p>
        </w:tc>
        <w:tc>
          <w:tcPr>
            <w:tcW w:w="760" w:type="dxa"/>
            <w:vAlign w:val="bottom"/>
          </w:tcPr>
          <w:p>
            <w:pPr>
              <w:jc w:val="center"/>
              <w:ind w:left="215"/>
              <w:spacing w:after="0"/>
              <w:rPr>
                <w:sz w:val="20"/>
                <w:szCs w:val="20"/>
                <w:color w:val="auto"/>
              </w:rPr>
            </w:pPr>
            <w:r>
              <w:rPr>
                <w:rFonts w:ascii="Arial" w:cs="Arial" w:eastAsia="Arial" w:hAnsi="Arial"/>
                <w:sz w:val="13"/>
                <w:szCs w:val="13"/>
                <w:color w:val="093169"/>
              </w:rPr>
              <w:t>28,258</w:t>
            </w:r>
          </w:p>
        </w:tc>
      </w:tr>
      <w:tr>
        <w:trPr>
          <w:trHeight w:val="259"/>
        </w:trPr>
        <w:tc>
          <w:tcPr>
            <w:tcW w:w="720" w:type="dxa"/>
            <w:vAlign w:val="bottom"/>
          </w:tcPr>
          <w:p>
            <w:pPr>
              <w:jc w:val="center"/>
              <w:ind w:right="175"/>
              <w:spacing w:after="0"/>
              <w:rPr>
                <w:sz w:val="20"/>
                <w:szCs w:val="20"/>
                <w:color w:val="auto"/>
              </w:rPr>
            </w:pPr>
            <w:r>
              <w:rPr>
                <w:rFonts w:ascii="Arial" w:cs="Arial" w:eastAsia="Arial" w:hAnsi="Arial"/>
                <w:sz w:val="13"/>
                <w:szCs w:val="13"/>
                <w:color w:val="093169"/>
                <w:w w:val="98"/>
              </w:rPr>
              <w:t>7,030</w:t>
            </w:r>
          </w:p>
        </w:tc>
        <w:tc>
          <w:tcPr>
            <w:tcW w:w="1120" w:type="dxa"/>
            <w:vAlign w:val="bottom"/>
          </w:tcPr>
          <w:p>
            <w:pPr>
              <w:jc w:val="center"/>
              <w:spacing w:after="0"/>
              <w:rPr>
                <w:sz w:val="20"/>
                <w:szCs w:val="20"/>
                <w:color w:val="auto"/>
              </w:rPr>
            </w:pPr>
            <w:r>
              <w:rPr>
                <w:rFonts w:ascii="Arial" w:cs="Arial" w:eastAsia="Arial" w:hAnsi="Arial"/>
                <w:sz w:val="13"/>
                <w:szCs w:val="13"/>
                <w:color w:val="093169"/>
              </w:rPr>
              <w:t>11,851</w:t>
            </w:r>
          </w:p>
        </w:tc>
        <w:tc>
          <w:tcPr>
            <w:tcW w:w="1000" w:type="dxa"/>
            <w:vAlign w:val="bottom"/>
          </w:tcPr>
          <w:p>
            <w:pPr>
              <w:jc w:val="center"/>
              <w:spacing w:after="0"/>
              <w:rPr>
                <w:sz w:val="20"/>
                <w:szCs w:val="20"/>
                <w:color w:val="auto"/>
              </w:rPr>
            </w:pPr>
            <w:r>
              <w:rPr>
                <w:rFonts w:ascii="Arial" w:cs="Arial" w:eastAsia="Arial" w:hAnsi="Arial"/>
                <w:sz w:val="13"/>
                <w:szCs w:val="13"/>
                <w:color w:val="093169"/>
              </w:rPr>
              <w:t>25,787</w:t>
            </w:r>
          </w:p>
        </w:tc>
        <w:tc>
          <w:tcPr>
            <w:tcW w:w="1040" w:type="dxa"/>
            <w:vAlign w:val="bottom"/>
          </w:tcPr>
          <w:p>
            <w:pPr>
              <w:jc w:val="center"/>
              <w:spacing w:after="0"/>
              <w:rPr>
                <w:sz w:val="20"/>
                <w:szCs w:val="20"/>
                <w:color w:val="auto"/>
              </w:rPr>
            </w:pPr>
            <w:r>
              <w:rPr>
                <w:rFonts w:ascii="Arial" w:cs="Arial" w:eastAsia="Arial" w:hAnsi="Arial"/>
                <w:sz w:val="13"/>
                <w:szCs w:val="13"/>
                <w:color w:val="093169"/>
              </w:rPr>
              <w:t>16,344</w:t>
            </w:r>
          </w:p>
        </w:tc>
        <w:tc>
          <w:tcPr>
            <w:tcW w:w="760" w:type="dxa"/>
            <w:vAlign w:val="bottom"/>
          </w:tcPr>
          <w:p>
            <w:pPr>
              <w:jc w:val="center"/>
              <w:ind w:left="215"/>
              <w:spacing w:after="0"/>
              <w:rPr>
                <w:sz w:val="20"/>
                <w:szCs w:val="20"/>
                <w:color w:val="auto"/>
              </w:rPr>
            </w:pPr>
            <w:r>
              <w:rPr>
                <w:rFonts w:ascii="Arial" w:cs="Arial" w:eastAsia="Arial" w:hAnsi="Arial"/>
                <w:sz w:val="13"/>
                <w:szCs w:val="13"/>
                <w:color w:val="093169"/>
              </w:rPr>
              <w:t>17,114</w:t>
            </w:r>
          </w:p>
        </w:tc>
      </w:tr>
      <w:tr>
        <w:trPr>
          <w:trHeight w:val="270"/>
        </w:trPr>
        <w:tc>
          <w:tcPr>
            <w:tcW w:w="720" w:type="dxa"/>
            <w:vAlign w:val="bottom"/>
          </w:tcPr>
          <w:p>
            <w:pPr>
              <w:jc w:val="right"/>
              <w:ind w:right="315"/>
              <w:spacing w:after="0"/>
              <w:rPr>
                <w:sz w:val="20"/>
                <w:szCs w:val="20"/>
                <w:color w:val="auto"/>
              </w:rPr>
            </w:pPr>
            <w:r>
              <w:rPr>
                <w:rFonts w:ascii="Arial" w:cs="Arial" w:eastAsia="Arial" w:hAnsi="Arial"/>
                <w:sz w:val="13"/>
                <w:szCs w:val="13"/>
                <w:color w:val="093169"/>
              </w:rPr>
              <w:t>150</w:t>
            </w:r>
          </w:p>
        </w:tc>
        <w:tc>
          <w:tcPr>
            <w:tcW w:w="1120" w:type="dxa"/>
            <w:vAlign w:val="bottom"/>
          </w:tcPr>
          <w:p>
            <w:pPr>
              <w:jc w:val="right"/>
              <w:ind w:right="395"/>
              <w:spacing w:after="0"/>
              <w:rPr>
                <w:sz w:val="20"/>
                <w:szCs w:val="20"/>
                <w:color w:val="auto"/>
              </w:rPr>
            </w:pPr>
            <w:r>
              <w:rPr>
                <w:rFonts w:ascii="Arial" w:cs="Arial" w:eastAsia="Arial" w:hAnsi="Arial"/>
                <w:sz w:val="13"/>
                <w:szCs w:val="13"/>
                <w:color w:val="093169"/>
              </w:rPr>
              <w:t>422</w:t>
            </w:r>
          </w:p>
        </w:tc>
        <w:tc>
          <w:tcPr>
            <w:tcW w:w="1000" w:type="dxa"/>
            <w:vAlign w:val="bottom"/>
          </w:tcPr>
          <w:p>
            <w:pPr>
              <w:jc w:val="right"/>
              <w:ind w:right="355"/>
              <w:spacing w:after="0"/>
              <w:rPr>
                <w:sz w:val="20"/>
                <w:szCs w:val="20"/>
                <w:color w:val="auto"/>
              </w:rPr>
            </w:pPr>
            <w:r>
              <w:rPr>
                <w:rFonts w:ascii="Arial" w:cs="Arial" w:eastAsia="Arial" w:hAnsi="Arial"/>
                <w:sz w:val="13"/>
                <w:szCs w:val="13"/>
                <w:color w:val="093169"/>
              </w:rPr>
              <w:t>483</w:t>
            </w:r>
          </w:p>
        </w:tc>
        <w:tc>
          <w:tcPr>
            <w:tcW w:w="1040" w:type="dxa"/>
            <w:vAlign w:val="bottom"/>
          </w:tcPr>
          <w:p>
            <w:pPr>
              <w:jc w:val="right"/>
              <w:ind w:right="355"/>
              <w:spacing w:after="0"/>
              <w:rPr>
                <w:sz w:val="20"/>
                <w:szCs w:val="20"/>
                <w:color w:val="auto"/>
              </w:rPr>
            </w:pPr>
            <w:r>
              <w:rPr>
                <w:rFonts w:ascii="Arial" w:cs="Arial" w:eastAsia="Arial" w:hAnsi="Arial"/>
                <w:sz w:val="13"/>
                <w:szCs w:val="13"/>
                <w:color w:val="093169"/>
              </w:rPr>
              <w:t>376</w:t>
            </w:r>
          </w:p>
        </w:tc>
        <w:tc>
          <w:tcPr>
            <w:tcW w:w="760" w:type="dxa"/>
            <w:vAlign w:val="bottom"/>
          </w:tcPr>
          <w:p>
            <w:pPr>
              <w:jc w:val="right"/>
              <w:ind w:right="75"/>
              <w:spacing w:after="0"/>
              <w:rPr>
                <w:sz w:val="20"/>
                <w:szCs w:val="20"/>
                <w:color w:val="auto"/>
              </w:rPr>
            </w:pPr>
            <w:r>
              <w:rPr>
                <w:rFonts w:ascii="Arial" w:cs="Arial" w:eastAsia="Arial" w:hAnsi="Arial"/>
                <w:sz w:val="13"/>
                <w:szCs w:val="13"/>
                <w:color w:val="093169"/>
              </w:rPr>
              <w:t>373</w:t>
            </w:r>
          </w:p>
        </w:tc>
      </w:tr>
      <w:tr>
        <w:trPr>
          <w:trHeight w:val="412"/>
        </w:trPr>
        <w:tc>
          <w:tcPr>
            <w:tcW w:w="720" w:type="dxa"/>
            <w:vAlign w:val="bottom"/>
          </w:tcPr>
          <w:p>
            <w:pPr>
              <w:jc w:val="center"/>
              <w:ind w:right="175"/>
              <w:spacing w:after="0"/>
              <w:rPr>
                <w:sz w:val="20"/>
                <w:szCs w:val="20"/>
                <w:color w:val="auto"/>
              </w:rPr>
            </w:pPr>
            <w:r>
              <w:rPr>
                <w:rFonts w:ascii="Arial" w:cs="Arial" w:eastAsia="Arial" w:hAnsi="Arial"/>
                <w:sz w:val="13"/>
                <w:szCs w:val="13"/>
                <w:color w:val="093169"/>
                <w:w w:val="98"/>
              </w:rPr>
              <w:t>5,499</w:t>
            </w:r>
          </w:p>
        </w:tc>
        <w:tc>
          <w:tcPr>
            <w:tcW w:w="1120" w:type="dxa"/>
            <w:vAlign w:val="bottom"/>
          </w:tcPr>
          <w:p>
            <w:pPr>
              <w:jc w:val="center"/>
              <w:spacing w:after="0"/>
              <w:rPr>
                <w:sz w:val="20"/>
                <w:szCs w:val="20"/>
                <w:color w:val="auto"/>
              </w:rPr>
            </w:pPr>
            <w:r>
              <w:rPr>
                <w:rFonts w:ascii="Arial" w:cs="Arial" w:eastAsia="Arial" w:hAnsi="Arial"/>
                <w:sz w:val="13"/>
                <w:szCs w:val="13"/>
                <w:color w:val="093169"/>
                <w:w w:val="98"/>
              </w:rPr>
              <w:t>5,591</w:t>
            </w:r>
          </w:p>
        </w:tc>
        <w:tc>
          <w:tcPr>
            <w:tcW w:w="1000" w:type="dxa"/>
            <w:vAlign w:val="bottom"/>
          </w:tcPr>
          <w:p>
            <w:pPr>
              <w:jc w:val="center"/>
              <w:spacing w:after="0"/>
              <w:rPr>
                <w:sz w:val="20"/>
                <w:szCs w:val="20"/>
                <w:color w:val="auto"/>
              </w:rPr>
            </w:pPr>
            <w:r>
              <w:rPr>
                <w:rFonts w:ascii="Arial" w:cs="Arial" w:eastAsia="Arial" w:hAnsi="Arial"/>
                <w:sz w:val="13"/>
                <w:szCs w:val="13"/>
                <w:color w:val="093169"/>
                <w:w w:val="98"/>
              </w:rPr>
              <w:t>5,781</w:t>
            </w:r>
          </w:p>
        </w:tc>
        <w:tc>
          <w:tcPr>
            <w:tcW w:w="1040" w:type="dxa"/>
            <w:vAlign w:val="bottom"/>
          </w:tcPr>
          <w:p>
            <w:pPr>
              <w:jc w:val="center"/>
              <w:spacing w:after="0"/>
              <w:rPr>
                <w:sz w:val="20"/>
                <w:szCs w:val="20"/>
                <w:color w:val="auto"/>
              </w:rPr>
            </w:pPr>
            <w:r>
              <w:rPr>
                <w:rFonts w:ascii="Arial" w:cs="Arial" w:eastAsia="Arial" w:hAnsi="Arial"/>
                <w:sz w:val="13"/>
                <w:szCs w:val="13"/>
                <w:color w:val="093169"/>
                <w:w w:val="98"/>
              </w:rPr>
              <w:t>5,535</w:t>
            </w:r>
          </w:p>
        </w:tc>
        <w:tc>
          <w:tcPr>
            <w:tcW w:w="760" w:type="dxa"/>
            <w:vAlign w:val="bottom"/>
          </w:tcPr>
          <w:p>
            <w:pPr>
              <w:jc w:val="center"/>
              <w:ind w:left="215"/>
              <w:spacing w:after="0"/>
              <w:rPr>
                <w:sz w:val="20"/>
                <w:szCs w:val="20"/>
                <w:color w:val="auto"/>
              </w:rPr>
            </w:pPr>
            <w:r>
              <w:rPr>
                <w:rFonts w:ascii="Arial" w:cs="Arial" w:eastAsia="Arial" w:hAnsi="Arial"/>
                <w:sz w:val="13"/>
                <w:szCs w:val="13"/>
                <w:color w:val="093169"/>
                <w:w w:val="98"/>
              </w:rPr>
              <w:t>5,823</w:t>
            </w:r>
          </w:p>
        </w:tc>
      </w:tr>
      <w:tr>
        <w:trPr>
          <w:trHeight w:val="412"/>
        </w:trPr>
        <w:tc>
          <w:tcPr>
            <w:tcW w:w="7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093169"/>
              </w:rPr>
              <w:t>4,308</w:t>
            </w:r>
            <w:r>
              <w:rPr>
                <w:rFonts w:ascii="Arial" w:cs="Arial" w:eastAsia="Arial" w:hAnsi="Arial"/>
                <w:sz w:val="8"/>
                <w:szCs w:val="8"/>
                <w:color w:val="093169"/>
              </w:rPr>
              <w:t>(</w:t>
            </w:r>
          </w:p>
        </w:tc>
        <w:tc>
          <w:tcPr>
            <w:tcW w:w="1000" w:type="dxa"/>
            <w:vAlign w:val="bottom"/>
          </w:tcPr>
          <w:p>
            <w:pPr>
              <w:jc w:val="center"/>
              <w:spacing w:after="0"/>
              <w:rPr>
                <w:sz w:val="20"/>
                <w:szCs w:val="20"/>
                <w:color w:val="auto"/>
              </w:rPr>
            </w:pPr>
            <w:r>
              <w:rPr>
                <w:rFonts w:ascii="Arial" w:cs="Arial" w:eastAsia="Arial" w:hAnsi="Arial"/>
                <w:sz w:val="13"/>
                <w:szCs w:val="13"/>
                <w:color w:val="093169"/>
              </w:rPr>
              <w:t>42,957</w:t>
            </w:r>
          </w:p>
        </w:tc>
        <w:tc>
          <w:tcPr>
            <w:tcW w:w="1040" w:type="dxa"/>
            <w:vAlign w:val="bottom"/>
          </w:tcPr>
          <w:p>
            <w:pPr>
              <w:jc w:val="center"/>
              <w:spacing w:after="0"/>
              <w:rPr>
                <w:sz w:val="20"/>
                <w:szCs w:val="20"/>
                <w:color w:val="auto"/>
              </w:rPr>
            </w:pPr>
            <w:r>
              <w:rPr>
                <w:rFonts w:ascii="Arial" w:cs="Arial" w:eastAsia="Arial" w:hAnsi="Arial"/>
                <w:sz w:val="13"/>
                <w:szCs w:val="13"/>
                <w:color w:val="093169"/>
              </w:rPr>
              <w:t>60,316</w:t>
            </w:r>
          </w:p>
        </w:tc>
        <w:tc>
          <w:tcPr>
            <w:tcW w:w="760" w:type="dxa"/>
            <w:vAlign w:val="bottom"/>
          </w:tcPr>
          <w:p>
            <w:pPr>
              <w:jc w:val="center"/>
              <w:ind w:left="215"/>
              <w:spacing w:after="0"/>
              <w:rPr>
                <w:sz w:val="20"/>
                <w:szCs w:val="20"/>
                <w:color w:val="auto"/>
              </w:rPr>
            </w:pPr>
            <w:r>
              <w:rPr>
                <w:rFonts w:ascii="Arial" w:cs="Arial" w:eastAsia="Arial" w:hAnsi="Arial"/>
                <w:sz w:val="13"/>
                <w:szCs w:val="13"/>
                <w:color w:val="093169"/>
              </w:rPr>
              <w:t>84,378</w:t>
            </w:r>
          </w:p>
        </w:tc>
      </w:tr>
      <w:tr>
        <w:trPr>
          <w:trHeight w:val="259"/>
        </w:trPr>
        <w:tc>
          <w:tcPr>
            <w:tcW w:w="7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093169"/>
                <w:w w:val="97"/>
              </w:rPr>
              <w:t>(340,156)</w:t>
            </w:r>
            <w:r>
              <w:rPr>
                <w:rFonts w:ascii="Arial" w:cs="Arial" w:eastAsia="Arial" w:hAnsi="Arial"/>
                <w:sz w:val="8"/>
                <w:szCs w:val="8"/>
                <w:color w:val="093169"/>
                <w:w w:val="97"/>
              </w:rPr>
              <w:t>(8)</w:t>
            </w: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720" w:type="dxa"/>
            <w:vAlign w:val="bottom"/>
          </w:tcPr>
          <w:p>
            <w:pPr>
              <w:jc w:val="center"/>
              <w:ind w:right="195"/>
              <w:spacing w:after="0"/>
              <w:rPr>
                <w:sz w:val="20"/>
                <w:szCs w:val="20"/>
                <w:color w:val="auto"/>
              </w:rPr>
            </w:pPr>
            <w:r>
              <w:rPr>
                <w:rFonts w:ascii="Arial" w:cs="Arial" w:eastAsia="Arial" w:hAnsi="Arial"/>
                <w:sz w:val="13"/>
                <w:szCs w:val="13"/>
                <w:color w:val="093169"/>
                <w:w w:val="97"/>
              </w:rPr>
              <w:t>217,484</w:t>
            </w:r>
          </w:p>
        </w:tc>
        <w:tc>
          <w:tcPr>
            <w:tcW w:w="1120" w:type="dxa"/>
            <w:vAlign w:val="bottom"/>
          </w:tcPr>
          <w:p>
            <w:pPr>
              <w:jc w:val="center"/>
              <w:spacing w:after="0"/>
              <w:rPr>
                <w:sz w:val="20"/>
                <w:szCs w:val="20"/>
                <w:color w:val="auto"/>
              </w:rPr>
            </w:pPr>
            <w:r>
              <w:rPr>
                <w:rFonts w:ascii="Arial" w:cs="Arial" w:eastAsia="Arial" w:hAnsi="Arial"/>
                <w:sz w:val="13"/>
                <w:szCs w:val="13"/>
                <w:color w:val="093169"/>
              </w:rPr>
              <w:t>170,921</w:t>
            </w:r>
          </w:p>
        </w:tc>
        <w:tc>
          <w:tcPr>
            <w:tcW w:w="1000" w:type="dxa"/>
            <w:vAlign w:val="bottom"/>
          </w:tcPr>
          <w:p>
            <w:pPr>
              <w:jc w:val="center"/>
              <w:spacing w:after="0"/>
              <w:rPr>
                <w:sz w:val="20"/>
                <w:szCs w:val="20"/>
                <w:color w:val="auto"/>
              </w:rPr>
            </w:pPr>
            <w:r>
              <w:rPr>
                <w:rFonts w:ascii="Arial" w:cs="Arial" w:eastAsia="Arial" w:hAnsi="Arial"/>
                <w:sz w:val="13"/>
                <w:szCs w:val="13"/>
                <w:color w:val="093169"/>
                <w:w w:val="97"/>
              </w:rPr>
              <w:t>200,643</w:t>
            </w:r>
          </w:p>
        </w:tc>
        <w:tc>
          <w:tcPr>
            <w:tcW w:w="1040" w:type="dxa"/>
            <w:vAlign w:val="bottom"/>
          </w:tcPr>
          <w:p>
            <w:pPr>
              <w:jc w:val="center"/>
              <w:spacing w:after="0"/>
              <w:rPr>
                <w:sz w:val="20"/>
                <w:szCs w:val="20"/>
                <w:color w:val="auto"/>
              </w:rPr>
            </w:pPr>
            <w:r>
              <w:rPr>
                <w:rFonts w:ascii="Arial" w:cs="Arial" w:eastAsia="Arial" w:hAnsi="Arial"/>
                <w:sz w:val="13"/>
                <w:szCs w:val="13"/>
                <w:color w:val="093169"/>
              </w:rPr>
              <w:t>197,669</w:t>
            </w:r>
          </w:p>
        </w:tc>
        <w:tc>
          <w:tcPr>
            <w:tcW w:w="760" w:type="dxa"/>
            <w:vAlign w:val="bottom"/>
          </w:tcPr>
          <w:p>
            <w:pPr>
              <w:jc w:val="center"/>
              <w:ind w:left="235"/>
              <w:spacing w:after="0"/>
              <w:rPr>
                <w:sz w:val="20"/>
                <w:szCs w:val="20"/>
                <w:color w:val="auto"/>
              </w:rPr>
            </w:pPr>
            <w:r>
              <w:rPr>
                <w:rFonts w:ascii="Arial" w:cs="Arial" w:eastAsia="Arial" w:hAnsi="Arial"/>
                <w:sz w:val="13"/>
                <w:szCs w:val="13"/>
                <w:color w:val="093169"/>
                <w:w w:val="97"/>
              </w:rPr>
              <w:t>277,252</w:t>
            </w:r>
          </w:p>
        </w:tc>
      </w:tr>
      <w:tr>
        <w:trPr>
          <w:trHeight w:val="259"/>
        </w:trPr>
        <w:tc>
          <w:tcPr>
            <w:tcW w:w="720" w:type="dxa"/>
            <w:vAlign w:val="bottom"/>
          </w:tcPr>
          <w:p>
            <w:pPr>
              <w:jc w:val="center"/>
              <w:ind w:right="195"/>
              <w:spacing w:after="0"/>
              <w:rPr>
                <w:sz w:val="20"/>
                <w:szCs w:val="20"/>
                <w:color w:val="auto"/>
              </w:rPr>
            </w:pPr>
            <w:r>
              <w:rPr>
                <w:rFonts w:ascii="Arial" w:cs="Arial" w:eastAsia="Arial" w:hAnsi="Arial"/>
                <w:sz w:val="13"/>
                <w:szCs w:val="13"/>
                <w:color w:val="093169"/>
              </w:rPr>
              <w:t>2.29</w:t>
            </w:r>
          </w:p>
        </w:tc>
        <w:tc>
          <w:tcPr>
            <w:tcW w:w="1120" w:type="dxa"/>
            <w:vAlign w:val="bottom"/>
          </w:tcPr>
          <w:p>
            <w:pPr>
              <w:jc w:val="center"/>
              <w:spacing w:after="0"/>
              <w:rPr>
                <w:sz w:val="20"/>
                <w:szCs w:val="20"/>
                <w:color w:val="auto"/>
              </w:rPr>
            </w:pPr>
            <w:r>
              <w:rPr>
                <w:rFonts w:ascii="Arial" w:cs="Arial" w:eastAsia="Arial" w:hAnsi="Arial"/>
                <w:sz w:val="13"/>
                <w:szCs w:val="13"/>
                <w:color w:val="093169"/>
                <w:w w:val="94"/>
              </w:rPr>
              <w:t>1.79</w:t>
            </w:r>
          </w:p>
        </w:tc>
        <w:tc>
          <w:tcPr>
            <w:tcW w:w="1000" w:type="dxa"/>
            <w:vAlign w:val="bottom"/>
          </w:tcPr>
          <w:p>
            <w:pPr>
              <w:jc w:val="center"/>
              <w:spacing w:after="0"/>
              <w:rPr>
                <w:sz w:val="20"/>
                <w:szCs w:val="20"/>
                <w:color w:val="auto"/>
              </w:rPr>
            </w:pPr>
            <w:r>
              <w:rPr>
                <w:rFonts w:ascii="Arial" w:cs="Arial" w:eastAsia="Arial" w:hAnsi="Arial"/>
                <w:sz w:val="13"/>
                <w:szCs w:val="13"/>
                <w:color w:val="093169"/>
              </w:rPr>
              <w:t>2.07</w:t>
            </w:r>
          </w:p>
        </w:tc>
        <w:tc>
          <w:tcPr>
            <w:tcW w:w="1040" w:type="dxa"/>
            <w:vAlign w:val="bottom"/>
          </w:tcPr>
          <w:p>
            <w:pPr>
              <w:jc w:val="center"/>
              <w:spacing w:after="0"/>
              <w:rPr>
                <w:sz w:val="20"/>
                <w:szCs w:val="20"/>
                <w:color w:val="auto"/>
              </w:rPr>
            </w:pPr>
            <w:r>
              <w:rPr>
                <w:rFonts w:ascii="Arial" w:cs="Arial" w:eastAsia="Arial" w:hAnsi="Arial"/>
                <w:sz w:val="13"/>
                <w:szCs w:val="13"/>
                <w:color w:val="093169"/>
                <w:w w:val="94"/>
              </w:rPr>
              <w:t>2.02</w:t>
            </w:r>
          </w:p>
        </w:tc>
        <w:tc>
          <w:tcPr>
            <w:tcW w:w="760" w:type="dxa"/>
            <w:vAlign w:val="bottom"/>
          </w:tcPr>
          <w:p>
            <w:pPr>
              <w:jc w:val="center"/>
              <w:ind w:left="235"/>
              <w:spacing w:after="0"/>
              <w:rPr>
                <w:sz w:val="20"/>
                <w:szCs w:val="20"/>
                <w:color w:val="auto"/>
              </w:rPr>
            </w:pPr>
            <w:r>
              <w:rPr>
                <w:rFonts w:ascii="Arial" w:cs="Arial" w:eastAsia="Arial" w:hAnsi="Arial"/>
                <w:sz w:val="13"/>
                <w:szCs w:val="13"/>
                <w:color w:val="093169"/>
              </w:rPr>
              <w:t>2.82</w:t>
            </w:r>
          </w:p>
        </w:tc>
      </w:tr>
      <w:tr>
        <w:trPr>
          <w:trHeight w:val="270"/>
        </w:trPr>
        <w:tc>
          <w:tcPr>
            <w:tcW w:w="720" w:type="dxa"/>
            <w:vAlign w:val="bottom"/>
          </w:tcPr>
          <w:p>
            <w:pPr>
              <w:jc w:val="center"/>
              <w:ind w:right="195"/>
              <w:spacing w:after="0"/>
              <w:rPr>
                <w:sz w:val="20"/>
                <w:szCs w:val="20"/>
                <w:color w:val="auto"/>
              </w:rPr>
            </w:pPr>
            <w:r>
              <w:rPr>
                <w:rFonts w:ascii="Arial" w:cs="Arial" w:eastAsia="Arial" w:hAnsi="Arial"/>
                <w:sz w:val="13"/>
                <w:szCs w:val="13"/>
                <w:color w:val="093169"/>
                <w:w w:val="96"/>
              </w:rPr>
              <w:t>1.89</w:t>
            </w:r>
            <w:r>
              <w:rPr>
                <w:rFonts w:ascii="Arial" w:cs="Arial" w:eastAsia="Arial" w:hAnsi="Arial"/>
                <w:sz w:val="8"/>
                <w:szCs w:val="8"/>
                <w:color w:val="093169"/>
                <w:w w:val="96"/>
              </w:rPr>
              <w:t>(6)</w:t>
            </w:r>
          </w:p>
        </w:tc>
        <w:tc>
          <w:tcPr>
            <w:tcW w:w="1120" w:type="dxa"/>
            <w:vAlign w:val="bottom"/>
          </w:tcPr>
          <w:p>
            <w:pPr>
              <w:jc w:val="center"/>
              <w:spacing w:after="0"/>
              <w:rPr>
                <w:sz w:val="20"/>
                <w:szCs w:val="20"/>
                <w:color w:val="auto"/>
              </w:rPr>
            </w:pPr>
            <w:r>
              <w:rPr>
                <w:rFonts w:ascii="Arial" w:cs="Arial" w:eastAsia="Arial" w:hAnsi="Arial"/>
                <w:sz w:val="13"/>
                <w:szCs w:val="13"/>
                <w:color w:val="093169"/>
              </w:rPr>
              <w:t>1.47</w:t>
            </w:r>
            <w:r>
              <w:rPr>
                <w:rFonts w:ascii="Arial" w:cs="Arial" w:eastAsia="Arial" w:hAnsi="Arial"/>
                <w:sz w:val="8"/>
                <w:szCs w:val="8"/>
                <w:color w:val="093169"/>
              </w:rPr>
              <w:t>(9)</w:t>
            </w:r>
          </w:p>
        </w:tc>
        <w:tc>
          <w:tcPr>
            <w:tcW w:w="1000" w:type="dxa"/>
            <w:vAlign w:val="bottom"/>
          </w:tcPr>
          <w:p>
            <w:pPr>
              <w:jc w:val="center"/>
              <w:spacing w:after="0"/>
              <w:rPr>
                <w:sz w:val="20"/>
                <w:szCs w:val="20"/>
                <w:color w:val="auto"/>
              </w:rPr>
            </w:pPr>
            <w:r>
              <w:rPr>
                <w:rFonts w:ascii="Arial" w:cs="Arial" w:eastAsia="Arial" w:hAnsi="Arial"/>
                <w:sz w:val="13"/>
                <w:szCs w:val="13"/>
                <w:color w:val="093169"/>
              </w:rPr>
              <w:t>1.78</w:t>
            </w:r>
            <w:r>
              <w:rPr>
                <w:rFonts w:ascii="Arial" w:cs="Arial" w:eastAsia="Arial" w:hAnsi="Arial"/>
                <w:sz w:val="8"/>
                <w:szCs w:val="8"/>
                <w:color w:val="093169"/>
              </w:rPr>
              <w:t>(10)</w:t>
            </w:r>
          </w:p>
        </w:tc>
        <w:tc>
          <w:tcPr>
            <w:tcW w:w="1040" w:type="dxa"/>
            <w:vAlign w:val="bottom"/>
          </w:tcPr>
          <w:p>
            <w:pPr>
              <w:jc w:val="center"/>
              <w:spacing w:after="0"/>
              <w:rPr>
                <w:sz w:val="20"/>
                <w:szCs w:val="20"/>
                <w:color w:val="auto"/>
              </w:rPr>
            </w:pPr>
            <w:r>
              <w:rPr>
                <w:rFonts w:ascii="Arial" w:cs="Arial" w:eastAsia="Arial" w:hAnsi="Arial"/>
                <w:sz w:val="13"/>
                <w:szCs w:val="13"/>
                <w:color w:val="093169"/>
              </w:rPr>
              <w:t>1.73</w:t>
            </w:r>
            <w:r>
              <w:rPr>
                <w:rFonts w:ascii="Arial" w:cs="Arial" w:eastAsia="Arial" w:hAnsi="Arial"/>
                <w:sz w:val="8"/>
                <w:szCs w:val="8"/>
                <w:color w:val="093169"/>
              </w:rPr>
              <w:t>(11)</w:t>
            </w:r>
          </w:p>
        </w:tc>
        <w:tc>
          <w:tcPr>
            <w:tcW w:w="760" w:type="dxa"/>
            <w:vAlign w:val="bottom"/>
          </w:tcPr>
          <w:p>
            <w:pPr>
              <w:jc w:val="center"/>
              <w:ind w:left="215"/>
              <w:spacing w:after="0"/>
              <w:rPr>
                <w:sz w:val="20"/>
                <w:szCs w:val="20"/>
                <w:color w:val="auto"/>
              </w:rPr>
            </w:pPr>
            <w:r>
              <w:rPr>
                <w:rFonts w:ascii="Arial" w:cs="Arial" w:eastAsia="Arial" w:hAnsi="Arial"/>
                <w:sz w:val="13"/>
                <w:szCs w:val="13"/>
                <w:color w:val="093169"/>
              </w:rPr>
              <w:t>2.40</w:t>
            </w:r>
            <w:r>
              <w:rPr>
                <w:rFonts w:ascii="Arial" w:cs="Arial" w:eastAsia="Arial" w:hAnsi="Arial"/>
                <w:sz w:val="8"/>
                <w:szCs w:val="8"/>
                <w:color w:val="093169"/>
              </w:rPr>
              <w:t>(12)</w:t>
            </w:r>
          </w:p>
        </w:tc>
      </w:tr>
      <w:tr>
        <w:trPr>
          <w:trHeight w:val="259"/>
        </w:trPr>
        <w:tc>
          <w:tcPr>
            <w:tcW w:w="720" w:type="dxa"/>
            <w:vAlign w:val="bottom"/>
          </w:tcPr>
          <w:p>
            <w:pPr>
              <w:jc w:val="center"/>
              <w:ind w:right="175"/>
              <w:spacing w:after="0"/>
              <w:rPr>
                <w:sz w:val="20"/>
                <w:szCs w:val="20"/>
                <w:color w:val="auto"/>
              </w:rPr>
            </w:pPr>
            <w:r>
              <w:rPr>
                <w:rFonts w:ascii="Arial" w:cs="Arial" w:eastAsia="Arial" w:hAnsi="Arial"/>
                <w:sz w:val="13"/>
                <w:szCs w:val="13"/>
                <w:color w:val="093169"/>
              </w:rPr>
              <w:t>95,012</w:t>
            </w:r>
          </w:p>
        </w:tc>
        <w:tc>
          <w:tcPr>
            <w:tcW w:w="1120" w:type="dxa"/>
            <w:vAlign w:val="bottom"/>
          </w:tcPr>
          <w:p>
            <w:pPr>
              <w:jc w:val="center"/>
              <w:spacing w:after="0"/>
              <w:rPr>
                <w:sz w:val="20"/>
                <w:szCs w:val="20"/>
                <w:color w:val="auto"/>
              </w:rPr>
            </w:pPr>
            <w:r>
              <w:rPr>
                <w:rFonts w:ascii="Arial" w:cs="Arial" w:eastAsia="Arial" w:hAnsi="Arial"/>
                <w:sz w:val="13"/>
                <w:szCs w:val="13"/>
                <w:color w:val="093169"/>
              </w:rPr>
              <w:t>95,691</w:t>
            </w:r>
          </w:p>
        </w:tc>
        <w:tc>
          <w:tcPr>
            <w:tcW w:w="1000" w:type="dxa"/>
            <w:vAlign w:val="bottom"/>
          </w:tcPr>
          <w:p>
            <w:pPr>
              <w:jc w:val="center"/>
              <w:spacing w:after="0"/>
              <w:rPr>
                <w:sz w:val="20"/>
                <w:szCs w:val="20"/>
                <w:color w:val="auto"/>
              </w:rPr>
            </w:pPr>
            <w:r>
              <w:rPr>
                <w:rFonts w:ascii="Arial" w:cs="Arial" w:eastAsia="Arial" w:hAnsi="Arial"/>
                <w:sz w:val="13"/>
                <w:szCs w:val="13"/>
                <w:color w:val="093169"/>
              </w:rPr>
              <w:t>96,878</w:t>
            </w:r>
          </w:p>
        </w:tc>
        <w:tc>
          <w:tcPr>
            <w:tcW w:w="1040" w:type="dxa"/>
            <w:vAlign w:val="bottom"/>
          </w:tcPr>
          <w:p>
            <w:pPr>
              <w:jc w:val="center"/>
              <w:spacing w:after="0"/>
              <w:rPr>
                <w:sz w:val="20"/>
                <w:szCs w:val="20"/>
                <w:color w:val="auto"/>
              </w:rPr>
            </w:pPr>
            <w:r>
              <w:rPr>
                <w:rFonts w:ascii="Arial" w:cs="Arial" w:eastAsia="Arial" w:hAnsi="Arial"/>
                <w:sz w:val="13"/>
                <w:szCs w:val="13"/>
                <w:color w:val="093169"/>
              </w:rPr>
              <w:t>97,700</w:t>
            </w:r>
          </w:p>
        </w:tc>
        <w:tc>
          <w:tcPr>
            <w:tcW w:w="760" w:type="dxa"/>
            <w:vAlign w:val="bottom"/>
          </w:tcPr>
          <w:p>
            <w:pPr>
              <w:jc w:val="center"/>
              <w:ind w:left="215"/>
              <w:spacing w:after="0"/>
              <w:rPr>
                <w:sz w:val="20"/>
                <w:szCs w:val="20"/>
                <w:color w:val="auto"/>
              </w:rPr>
            </w:pPr>
            <w:r>
              <w:rPr>
                <w:rFonts w:ascii="Arial" w:cs="Arial" w:eastAsia="Arial" w:hAnsi="Arial"/>
                <w:sz w:val="13"/>
                <w:szCs w:val="13"/>
                <w:color w:val="093169"/>
              </w:rPr>
              <w:t>98,226</w:t>
            </w:r>
          </w:p>
        </w:tc>
      </w:tr>
      <w:tr>
        <w:trPr>
          <w:trHeight w:val="412"/>
        </w:trPr>
        <w:tc>
          <w:tcPr>
            <w:tcW w:w="720" w:type="dxa"/>
            <w:vAlign w:val="bottom"/>
          </w:tcPr>
          <w:p>
            <w:pPr>
              <w:jc w:val="center"/>
              <w:ind w:right="195"/>
              <w:spacing w:after="0"/>
              <w:rPr>
                <w:sz w:val="20"/>
                <w:szCs w:val="20"/>
                <w:color w:val="auto"/>
              </w:rPr>
            </w:pPr>
            <w:r>
              <w:rPr>
                <w:rFonts w:ascii="Arial" w:cs="Arial" w:eastAsia="Arial" w:hAnsi="Arial"/>
                <w:sz w:val="13"/>
                <w:szCs w:val="13"/>
                <w:color w:val="093169"/>
                <w:w w:val="97"/>
              </w:rPr>
              <w:t>115,830</w:t>
            </w:r>
          </w:p>
        </w:tc>
        <w:tc>
          <w:tcPr>
            <w:tcW w:w="1120" w:type="dxa"/>
            <w:vAlign w:val="bottom"/>
          </w:tcPr>
          <w:p>
            <w:pPr>
              <w:jc w:val="center"/>
              <w:spacing w:after="0"/>
              <w:rPr>
                <w:sz w:val="20"/>
                <w:szCs w:val="20"/>
                <w:color w:val="auto"/>
              </w:rPr>
            </w:pPr>
            <w:r>
              <w:rPr>
                <w:rFonts w:ascii="Arial" w:cs="Arial" w:eastAsia="Arial" w:hAnsi="Arial"/>
                <w:sz w:val="13"/>
                <w:szCs w:val="13"/>
                <w:color w:val="093169"/>
              </w:rPr>
              <w:t>117,237</w:t>
            </w:r>
          </w:p>
        </w:tc>
        <w:tc>
          <w:tcPr>
            <w:tcW w:w="1000" w:type="dxa"/>
            <w:vAlign w:val="bottom"/>
          </w:tcPr>
          <w:p>
            <w:pPr>
              <w:jc w:val="center"/>
              <w:spacing w:after="0"/>
              <w:rPr>
                <w:sz w:val="20"/>
                <w:szCs w:val="20"/>
                <w:color w:val="auto"/>
              </w:rPr>
            </w:pPr>
            <w:r>
              <w:rPr>
                <w:rFonts w:ascii="Arial" w:cs="Arial" w:eastAsia="Arial" w:hAnsi="Arial"/>
                <w:sz w:val="13"/>
                <w:szCs w:val="13"/>
                <w:color w:val="093169"/>
                <w:w w:val="97"/>
              </w:rPr>
              <w:t>113,730</w:t>
            </w:r>
          </w:p>
        </w:tc>
        <w:tc>
          <w:tcPr>
            <w:tcW w:w="1040" w:type="dxa"/>
            <w:vAlign w:val="bottom"/>
          </w:tcPr>
          <w:p>
            <w:pPr>
              <w:jc w:val="center"/>
              <w:spacing w:after="0"/>
              <w:rPr>
                <w:sz w:val="20"/>
                <w:szCs w:val="20"/>
                <w:color w:val="auto"/>
              </w:rPr>
            </w:pPr>
            <w:r>
              <w:rPr>
                <w:rFonts w:ascii="Arial" w:cs="Arial" w:eastAsia="Arial" w:hAnsi="Arial"/>
                <w:sz w:val="13"/>
                <w:szCs w:val="13"/>
                <w:color w:val="093169"/>
              </w:rPr>
              <w:t>115,261</w:t>
            </w:r>
          </w:p>
        </w:tc>
        <w:tc>
          <w:tcPr>
            <w:tcW w:w="760" w:type="dxa"/>
            <w:vAlign w:val="bottom"/>
          </w:tcPr>
          <w:p>
            <w:pPr>
              <w:jc w:val="center"/>
              <w:ind w:left="235"/>
              <w:spacing w:after="0"/>
              <w:rPr>
                <w:sz w:val="20"/>
                <w:szCs w:val="20"/>
                <w:color w:val="auto"/>
              </w:rPr>
            </w:pPr>
            <w:r>
              <w:rPr>
                <w:rFonts w:ascii="Arial" w:cs="Arial" w:eastAsia="Arial" w:hAnsi="Arial"/>
                <w:sz w:val="13"/>
                <w:szCs w:val="13"/>
                <w:color w:val="093169"/>
                <w:w w:val="97"/>
              </w:rPr>
              <w:t>116,068</w:t>
            </w:r>
          </w:p>
        </w:tc>
      </w:tr>
    </w:tbl>
    <w:p>
      <w:pPr>
        <w:spacing w:after="0" w:line="288" w:lineRule="exact"/>
        <w:rPr>
          <w:sz w:val="20"/>
          <w:szCs w:val="20"/>
          <w:color w:val="auto"/>
        </w:rPr>
      </w:pPr>
    </w:p>
    <w:p>
      <w:pPr>
        <w:ind w:left="285" w:hanging="285"/>
        <w:spacing w:after="0"/>
        <w:tabs>
          <w:tab w:leader="none" w:pos="285" w:val="left"/>
        </w:tabs>
        <w:numPr>
          <w:ilvl w:val="0"/>
          <w:numId w:val="7"/>
        </w:numPr>
        <w:rPr>
          <w:rFonts w:ascii="Arial" w:cs="Arial" w:eastAsia="Arial" w:hAnsi="Arial"/>
          <w:sz w:val="9"/>
          <w:szCs w:val="9"/>
          <w:color w:val="161616"/>
        </w:rPr>
      </w:pPr>
      <w:r>
        <w:rPr>
          <w:rFonts w:ascii="Arial" w:cs="Arial" w:eastAsia="Arial" w:hAnsi="Arial"/>
          <w:sz w:val="9"/>
          <w:szCs w:val="9"/>
          <w:color w:val="161616"/>
        </w:rPr>
        <w:t>For diluted non-GAAP per share calculations, excludes $1.9 million of interest expense for the three months</w:t>
      </w:r>
    </w:p>
    <w:p>
      <w:pPr>
        <w:spacing w:after="0" w:line="14" w:lineRule="exact"/>
        <w:rPr>
          <w:sz w:val="20"/>
          <w:szCs w:val="20"/>
          <w:color w:val="auto"/>
        </w:rPr>
      </w:pPr>
    </w:p>
    <w:p>
      <w:pPr>
        <w:ind w:left="285"/>
        <w:spacing w:after="0"/>
        <w:tabs>
          <w:tab w:leader="none" w:pos="4505" w:val="left"/>
        </w:tabs>
        <w:rPr>
          <w:sz w:val="20"/>
          <w:szCs w:val="20"/>
          <w:color w:val="auto"/>
        </w:rPr>
      </w:pPr>
      <w:r>
        <w:rPr>
          <w:rFonts w:ascii="Arial" w:cs="Arial" w:eastAsia="Arial" w:hAnsi="Arial"/>
          <w:sz w:val="9"/>
          <w:szCs w:val="9"/>
          <w:color w:val="161616"/>
        </w:rPr>
        <w:t>ended December 31, 2012 related to the contractual coupon interest rate on the Company's</w:t>
      </w:r>
      <w:r>
        <w:rPr>
          <w:sz w:val="20"/>
          <w:szCs w:val="20"/>
          <w:color w:val="auto"/>
        </w:rPr>
        <w:tab/>
      </w:r>
      <w:r>
        <w:rPr>
          <w:rFonts w:ascii="Arial" w:cs="Arial" w:eastAsia="Arial" w:hAnsi="Arial"/>
          <w:sz w:val="9"/>
          <w:szCs w:val="9"/>
          <w:color w:val="161616"/>
        </w:rPr>
        <w:t>1.875% convertible</w:t>
      </w:r>
    </w:p>
    <w:p>
      <w:pPr>
        <w:spacing w:after="0" w:line="2" w:lineRule="exact"/>
        <w:rPr>
          <w:sz w:val="20"/>
          <w:szCs w:val="20"/>
          <w:color w:val="auto"/>
        </w:rPr>
      </w:pPr>
    </w:p>
    <w:p>
      <w:pPr>
        <w:ind w:left="285"/>
        <w:spacing w:after="0"/>
        <w:rPr>
          <w:sz w:val="20"/>
          <w:szCs w:val="20"/>
          <w:color w:val="auto"/>
        </w:rPr>
      </w:pPr>
      <w:r>
        <w:rPr>
          <w:rFonts w:ascii="Arial" w:cs="Arial" w:eastAsia="Arial" w:hAnsi="Arial"/>
          <w:sz w:val="9"/>
          <w:szCs w:val="9"/>
          <w:color w:val="161616"/>
        </w:rPr>
        <w:t>senior notes, since these securities were dilutive</w:t>
      </w:r>
    </w:p>
    <w:p>
      <w:pPr>
        <w:spacing w:after="0" w:line="14" w:lineRule="exact"/>
        <w:rPr>
          <w:sz w:val="20"/>
          <w:szCs w:val="20"/>
          <w:color w:val="auto"/>
        </w:rPr>
      </w:pPr>
    </w:p>
    <w:p>
      <w:pPr>
        <w:ind w:left="285" w:hanging="285"/>
        <w:spacing w:after="0"/>
        <w:tabs>
          <w:tab w:leader="none" w:pos="285" w:val="left"/>
        </w:tabs>
        <w:numPr>
          <w:ilvl w:val="0"/>
          <w:numId w:val="8"/>
        </w:numPr>
        <w:rPr>
          <w:rFonts w:ascii="Arial" w:cs="Arial" w:eastAsia="Arial" w:hAnsi="Arial"/>
          <w:sz w:val="9"/>
          <w:szCs w:val="9"/>
          <w:color w:val="161616"/>
        </w:rPr>
      </w:pPr>
      <w:r>
        <w:rPr>
          <w:rFonts w:ascii="Arial" w:cs="Arial" w:eastAsia="Arial" w:hAnsi="Arial"/>
          <w:sz w:val="9"/>
          <w:szCs w:val="9"/>
          <w:color w:val="161616"/>
        </w:rPr>
        <w:t>For diluted non-GAAP per share calculations, excludes $1.9 million of interest expense for the three month</w:t>
      </w:r>
    </w:p>
    <w:p>
      <w:pPr>
        <w:spacing w:after="0" w:line="14" w:lineRule="exact"/>
        <w:rPr>
          <w:sz w:val="20"/>
          <w:szCs w:val="20"/>
          <w:color w:val="auto"/>
        </w:rPr>
      </w:pPr>
    </w:p>
    <w:p>
      <w:pPr>
        <w:ind w:left="285"/>
        <w:spacing w:after="0"/>
        <w:tabs>
          <w:tab w:leader="none" w:pos="3305" w:val="left"/>
        </w:tabs>
        <w:rPr>
          <w:sz w:val="20"/>
          <w:szCs w:val="20"/>
          <w:color w:val="auto"/>
        </w:rPr>
      </w:pPr>
      <w:r>
        <w:rPr>
          <w:rFonts w:ascii="Arial" w:cs="Arial" w:eastAsia="Arial" w:hAnsi="Arial"/>
          <w:sz w:val="9"/>
          <w:szCs w:val="9"/>
          <w:color w:val="161616"/>
        </w:rPr>
        <w:t>ended March 31, 2013 related to the contractual coupon interest</w:t>
      </w:r>
      <w:r>
        <w:rPr>
          <w:sz w:val="20"/>
          <w:szCs w:val="20"/>
          <w:color w:val="auto"/>
        </w:rPr>
        <w:tab/>
      </w:r>
      <w:r>
        <w:rPr>
          <w:rFonts w:ascii="Arial" w:cs="Arial" w:eastAsia="Arial" w:hAnsi="Arial"/>
          <w:sz w:val="9"/>
          <w:szCs w:val="9"/>
          <w:color w:val="161616"/>
        </w:rPr>
        <w:t>rate on the Company's 1.875% convertible</w:t>
      </w:r>
    </w:p>
    <w:p>
      <w:pPr>
        <w:spacing w:after="0" w:line="2" w:lineRule="exact"/>
        <w:rPr>
          <w:sz w:val="20"/>
          <w:szCs w:val="20"/>
          <w:color w:val="auto"/>
        </w:rPr>
      </w:pPr>
    </w:p>
    <w:p>
      <w:pPr>
        <w:ind w:left="285"/>
        <w:spacing w:after="0"/>
        <w:rPr>
          <w:sz w:val="20"/>
          <w:szCs w:val="20"/>
          <w:color w:val="auto"/>
        </w:rPr>
      </w:pPr>
      <w:r>
        <w:rPr>
          <w:rFonts w:ascii="Arial" w:cs="Arial" w:eastAsia="Arial" w:hAnsi="Arial"/>
          <w:sz w:val="9"/>
          <w:szCs w:val="9"/>
          <w:color w:val="161616"/>
        </w:rPr>
        <w:t>senior notes, since these securities were dilutive</w:t>
      </w:r>
    </w:p>
    <w:p>
      <w:pPr>
        <w:spacing w:after="0" w:line="14" w:lineRule="exact"/>
        <w:rPr>
          <w:sz w:val="20"/>
          <w:szCs w:val="20"/>
          <w:color w:val="auto"/>
        </w:rPr>
      </w:pPr>
    </w:p>
    <w:p>
      <w:pPr>
        <w:ind w:left="285" w:right="620" w:hanging="285"/>
        <w:spacing w:after="0" w:line="263" w:lineRule="auto"/>
        <w:tabs>
          <w:tab w:leader="none" w:pos="285" w:val="left"/>
        </w:tabs>
        <w:numPr>
          <w:ilvl w:val="0"/>
          <w:numId w:val="9"/>
        </w:numPr>
        <w:rPr>
          <w:rFonts w:ascii="Arial" w:cs="Arial" w:eastAsia="Arial" w:hAnsi="Arial"/>
          <w:sz w:val="9"/>
          <w:szCs w:val="9"/>
          <w:color w:val="161616"/>
        </w:rPr>
      </w:pPr>
      <w:r>
        <w:rPr>
          <w:rFonts w:ascii="Arial" w:cs="Arial" w:eastAsia="Arial" w:hAnsi="Arial"/>
          <w:sz w:val="9"/>
          <w:szCs w:val="9"/>
          <w:color w:val="161616"/>
        </w:rPr>
        <w:t>For diluted non-GAAP per share calculations, excludes $1.8 million of interest expense for the three month periods ended June 30, 2013 related to the contractual coupon interest rate on the Company's 1.875% convertible senior notes, since these securities were dilutive</w:t>
      </w:r>
    </w:p>
    <w:p>
      <w:pPr>
        <w:ind w:left="285" w:right="560" w:hanging="285"/>
        <w:spacing w:after="0" w:line="270" w:lineRule="auto"/>
        <w:tabs>
          <w:tab w:leader="none" w:pos="285" w:val="left"/>
        </w:tabs>
        <w:numPr>
          <w:ilvl w:val="0"/>
          <w:numId w:val="9"/>
        </w:numPr>
        <w:rPr>
          <w:rFonts w:ascii="Arial" w:cs="Arial" w:eastAsia="Arial" w:hAnsi="Arial"/>
          <w:sz w:val="9"/>
          <w:szCs w:val="9"/>
          <w:color w:val="161616"/>
        </w:rPr>
      </w:pPr>
      <w:r>
        <w:rPr>
          <w:rFonts w:ascii="Arial" w:cs="Arial" w:eastAsia="Arial" w:hAnsi="Arial"/>
          <w:sz w:val="9"/>
          <w:szCs w:val="9"/>
          <w:color w:val="161616"/>
        </w:rPr>
        <w:t>For diluted non-GAAP per share calculations, excludes $1.8 million of interest expense for the three months ended September 30, 2013, related to the contractual coupon interest rate on the Company's 1.875% convertible senior notes, since these securities were dilutive</w:t>
      </w:r>
    </w:p>
    <w:p>
      <w:pPr>
        <w:sectPr>
          <w:pgSz w:w="11900" w:h="16838" w:orient="portrait"/>
          <w:cols w:equalWidth="0" w:num="2">
            <w:col w:w="5340" w:space="275"/>
            <w:col w:w="5325"/>
          </w:cols>
          <w:pgMar w:left="580" w:top="515" w:right="379" w:bottom="1440" w:gutter="0" w:footer="0" w:header="0"/>
          <w:type w:val="continuous"/>
        </w:sectPr>
      </w:pPr>
    </w:p>
    <w:bookmarkStart w:id="42" w:name="page43"/>
    <w:bookmarkEnd w:id="42"/>
    <w:p>
      <w:pPr>
        <w:spacing w:after="0" w:line="270" w:lineRule="auto"/>
        <w:tabs>
          <w:tab w:leader="none" w:pos="28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8"/>
    </w:lvl>
  </w:abstractNum>
  <w:abstractNum w:abstractNumId="6">
    <w:nsid w:val="7545E146"/>
    <w:multiLevelType w:val="hybridMultilevel"/>
    <w:lvl w:ilvl="0">
      <w:lvlJc w:val="left"/>
      <w:lvlText w:val="%1)"/>
      <w:numFmt w:val="decimal"/>
      <w:start w:val="9"/>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2019-12-06T04:07:02Z</dcterms:created>
  <dcterms:modified xsi:type="dcterms:W3CDTF">2019-12-06T04:07:02Z</dcterms:modified>
</cp:coreProperties>
</file>