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Regeneron Pharmaceuticals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#75886F107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309,559</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5,126,999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5,126,999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12.344%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5,126,999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5,126,999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12.344%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5,126,999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5,126,999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12.344%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Regeneron Pharmaceuticals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777 Old Saw Mill River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55" w:orient="portrait"/>
          <w:cols w:equalWidth="0" w:num="1">
            <w:col w:w="10219"/>
          </w:cols>
          <w:pgMar w:left="240" w:top="244"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5,126,999</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12.344%</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309,559</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5,126,999</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Regeneron Pharmaceuticals Incorporated. The interest of one person, Fidelity Growth Company Fund, an investment company registered under the Investment Company Act of 1940, in the Common Stock of Regeneron Pharmaceuticals Incorporated, amounted to</w:t>
      </w:r>
    </w:p>
    <w:p>
      <w:pPr>
        <w:spacing w:after="0" w:line="9"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3,857,000 shares or 9.286% of the total outstanding Common Stock at December 31, 2002.</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419"/>
        <w:spacing w:after="0" w:line="236" w:lineRule="auto"/>
        <w:rPr>
          <w:sz w:val="20"/>
          <w:szCs w:val="20"/>
          <w:color w:val="auto"/>
        </w:rPr>
      </w:pPr>
      <w:r>
        <w:rPr>
          <w:rFonts w:ascii="Courier New" w:cs="Courier New" w:eastAsia="Courier New" w:hAnsi="Courier New"/>
          <w:sz w:val="18"/>
          <w:szCs w:val="18"/>
          <w:color w:val="auto"/>
        </w:rPr>
        <w:t>the Common Stock of Regeneron Pharmaceuticals Incorporated at December 31, 2002 is true, complete and correct.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February 14, 2003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4,817,940 shares or 11.600% of the Common Stock</w:t>
      </w:r>
    </w:p>
    <w:p>
      <w:pPr>
        <w:spacing w:after="0"/>
        <w:rPr>
          <w:sz w:val="20"/>
          <w:szCs w:val="20"/>
          <w:color w:val="auto"/>
        </w:rPr>
      </w:pPr>
      <w:r>
        <w:rPr>
          <w:rFonts w:ascii="Courier New" w:cs="Courier New" w:eastAsia="Courier New" w:hAnsi="Courier New"/>
          <w:sz w:val="18"/>
          <w:szCs w:val="18"/>
          <w:color w:val="auto"/>
        </w:rPr>
        <w:t>outstanding of Regeneron Pharmaceuticals Incorporated</w:t>
      </w:r>
    </w:p>
    <w:p>
      <w:pPr>
        <w:spacing w:after="0" w:line="237" w:lineRule="auto"/>
        <w:rPr>
          <w:sz w:val="20"/>
          <w:szCs w:val="20"/>
          <w:color w:val="auto"/>
        </w:rPr>
      </w:pPr>
      <w:r>
        <w:rPr>
          <w:rFonts w:ascii="Courier New" w:cs="Courier New" w:eastAsia="Courier New" w:hAnsi="Courier New"/>
          <w:sz w:val="18"/>
          <w:szCs w:val="18"/>
          <w:color w:val="auto"/>
        </w:rPr>
        <w:t>("the Company") as a result of acting as investment adviser</w:t>
      </w:r>
    </w:p>
    <w:p>
      <w:pPr>
        <w:spacing w:after="0"/>
        <w:rPr>
          <w:sz w:val="20"/>
          <w:szCs w:val="20"/>
          <w:color w:val="auto"/>
        </w:rPr>
      </w:pPr>
      <w:r>
        <w:rPr>
          <w:rFonts w:ascii="Courier New" w:cs="Courier New" w:eastAsia="Courier New" w:hAnsi="Courier New"/>
          <w:sz w:val="18"/>
          <w:szCs w:val="18"/>
          <w:color w:val="auto"/>
        </w:rPr>
        <w:t>to various investment companies registered under Section 8</w:t>
      </w:r>
    </w:p>
    <w:p>
      <w:pPr>
        <w:spacing w:after="0" w:line="237" w:lineRule="auto"/>
        <w:rPr>
          <w:sz w:val="20"/>
          <w:szCs w:val="20"/>
          <w:color w:val="auto"/>
        </w:rPr>
      </w:pPr>
      <w:r>
        <w:rPr>
          <w:rFonts w:ascii="Courier New" w:cs="Courier New" w:eastAsia="Courier New" w:hAnsi="Courier New"/>
          <w:sz w:val="18"/>
          <w:szCs w:val="18"/>
          <w:color w:val="auto"/>
        </w:rPr>
        <w:t>of the Investment Company Act of 1940.</w:t>
      </w:r>
    </w:p>
    <w:p>
      <w:pPr>
        <w:spacing w:after="0" w:line="207" w:lineRule="exact"/>
        <w:rPr>
          <w:sz w:val="20"/>
          <w:szCs w:val="20"/>
          <w:color w:val="auto"/>
        </w:rPr>
      </w:pPr>
    </w:p>
    <w:p>
      <w:pPr>
        <w:ind w:right="4199" w:firstLine="843"/>
        <w:spacing w:after="0" w:line="268" w:lineRule="auto"/>
        <w:rPr>
          <w:sz w:val="20"/>
          <w:szCs w:val="20"/>
          <w:color w:val="auto"/>
        </w:rPr>
      </w:pPr>
      <w:r>
        <w:rPr>
          <w:rFonts w:ascii="Courier New" w:cs="Courier New" w:eastAsia="Courier New" w:hAnsi="Courier New"/>
          <w:sz w:val="16"/>
          <w:szCs w:val="16"/>
          <w:color w:val="auto"/>
        </w:rPr>
        <w:t>The ownership of one investment company, Fidelity Growth Company Fund, amounted to 3,857,000 shares or</w:t>
      </w:r>
    </w:p>
    <w:p>
      <w:pPr>
        <w:ind w:right="4419"/>
        <w:spacing w:after="0" w:line="236" w:lineRule="auto"/>
        <w:rPr>
          <w:sz w:val="20"/>
          <w:szCs w:val="20"/>
          <w:color w:val="auto"/>
        </w:rPr>
      </w:pPr>
      <w:r>
        <w:rPr>
          <w:rFonts w:ascii="Courier New" w:cs="Courier New" w:eastAsia="Courier New" w:hAnsi="Courier New"/>
          <w:sz w:val="18"/>
          <w:szCs w:val="18"/>
          <w:color w:val="auto"/>
        </w:rPr>
        <w:t>9.286% of the Common Stock outstanding. Fidelity Growth Company Fund has its principal business office at 82 Devonshire Street, Boston, Massachusetts 02109.</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4,817,940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308,800 shares or 0.743%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308,800 shares and sole power to</w:t>
      </w:r>
    </w:p>
    <w:p>
      <w:pPr>
        <w:spacing w:after="0" w:line="237" w:lineRule="auto"/>
        <w:rPr>
          <w:sz w:val="20"/>
          <w:szCs w:val="20"/>
          <w:color w:val="auto"/>
        </w:rPr>
      </w:pPr>
      <w:r>
        <w:rPr>
          <w:rFonts w:ascii="Courier New" w:cs="Courier New" w:eastAsia="Courier New" w:hAnsi="Courier New"/>
          <w:sz w:val="18"/>
          <w:szCs w:val="18"/>
          <w:color w:val="auto"/>
        </w:rPr>
        <w:t>vote or to direct the voting of 308,800 shares of Common</w:t>
      </w:r>
    </w:p>
    <w:p>
      <w:pPr>
        <w:spacing w:after="0" w:line="238" w:lineRule="auto"/>
        <w:rPr>
          <w:sz w:val="20"/>
          <w:szCs w:val="20"/>
          <w:color w:val="auto"/>
        </w:rPr>
      </w:pPr>
      <w:r>
        <w:rPr>
          <w:rFonts w:ascii="Courier New" w:cs="Courier New" w:eastAsia="Courier New" w:hAnsi="Courier New"/>
          <w:sz w:val="18"/>
          <w:szCs w:val="18"/>
          <w:color w:val="auto"/>
        </w:rPr>
        <w:t>Stock owned by the institutional account(s) as reported</w:t>
      </w:r>
    </w:p>
    <w:p>
      <w:pPr>
        <w:spacing w:after="0"/>
        <w:rPr>
          <w:sz w:val="20"/>
          <w:szCs w:val="20"/>
          <w:color w:val="auto"/>
        </w:rPr>
      </w:pPr>
      <w:r>
        <w:rPr>
          <w:rFonts w:ascii="Courier New" w:cs="Courier New" w:eastAsia="Courier New" w:hAnsi="Courier New"/>
          <w:sz w:val="18"/>
          <w:szCs w:val="18"/>
          <w:color w:val="auto"/>
        </w:rPr>
        <w:t>above.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Geode Capital Management, LLC, 53 State Street,</w:t>
      </w:r>
    </w:p>
    <w:p>
      <w:pPr>
        <w:spacing w:after="0" w:line="238" w:lineRule="auto"/>
        <w:rPr>
          <w:sz w:val="20"/>
          <w:szCs w:val="20"/>
          <w:color w:val="auto"/>
        </w:rPr>
      </w:pPr>
      <w:r>
        <w:rPr>
          <w:rFonts w:ascii="Courier New" w:cs="Courier New" w:eastAsia="Courier New" w:hAnsi="Courier New"/>
          <w:sz w:val="18"/>
          <w:szCs w:val="18"/>
          <w:color w:val="auto"/>
        </w:rPr>
        <w:t>Boston, Massachusetts 02109, a Delaware limited liability</w:t>
      </w:r>
    </w:p>
    <w:p>
      <w:pPr>
        <w:spacing w:after="0"/>
        <w:rPr>
          <w:sz w:val="20"/>
          <w:szCs w:val="20"/>
          <w:color w:val="auto"/>
        </w:rPr>
      </w:pPr>
      <w:r>
        <w:rPr>
          <w:rFonts w:ascii="Courier New" w:cs="Courier New" w:eastAsia="Courier New" w:hAnsi="Courier New"/>
          <w:sz w:val="18"/>
          <w:szCs w:val="18"/>
          <w:color w:val="auto"/>
        </w:rPr>
        <w:t>company ("Geode LLC"), is the beneficial owner of 259</w:t>
      </w:r>
    </w:p>
    <w:p>
      <w:pPr>
        <w:spacing w:after="0" w:line="237" w:lineRule="auto"/>
        <w:rPr>
          <w:sz w:val="20"/>
          <w:szCs w:val="20"/>
          <w:color w:val="auto"/>
        </w:rPr>
      </w:pPr>
      <w:r>
        <w:rPr>
          <w:rFonts w:ascii="Courier New" w:cs="Courier New" w:eastAsia="Courier New" w:hAnsi="Courier New"/>
          <w:sz w:val="18"/>
          <w:szCs w:val="18"/>
          <w:color w:val="auto"/>
        </w:rPr>
        <w:t>shares or 0.001% of the outstanding common stock of the</w:t>
      </w:r>
    </w:p>
    <w:p>
      <w:pPr>
        <w:spacing w:after="0"/>
        <w:tabs>
          <w:tab w:leader="none" w:pos="104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Geode LLC is wholly-owned by Fidelity</w:t>
      </w:r>
    </w:p>
    <w:p>
      <w:pPr>
        <w:spacing w:after="0"/>
        <w:rPr>
          <w:sz w:val="20"/>
          <w:szCs w:val="20"/>
          <w:color w:val="auto"/>
        </w:rPr>
      </w:pPr>
      <w:r>
        <w:rPr>
          <w:rFonts w:ascii="Courier New" w:cs="Courier New" w:eastAsia="Courier New" w:hAnsi="Courier New"/>
          <w:sz w:val="18"/>
          <w:szCs w:val="18"/>
          <w:color w:val="auto"/>
        </w:rPr>
        <w:t>Investors III Limited Partnership ("FILP III"), a Delaware</w:t>
      </w:r>
    </w:p>
    <w:p>
      <w:pPr>
        <w:spacing w:after="0"/>
        <w:tabs>
          <w:tab w:leader="none" w:pos="2300" w:val="left"/>
        </w:tabs>
        <w:rPr>
          <w:sz w:val="20"/>
          <w:szCs w:val="20"/>
          <w:color w:val="auto"/>
        </w:rPr>
      </w:pPr>
      <w:r>
        <w:rPr>
          <w:rFonts w:ascii="Courier New" w:cs="Courier New" w:eastAsia="Courier New" w:hAnsi="Courier New"/>
          <w:sz w:val="18"/>
          <w:szCs w:val="18"/>
          <w:color w:val="auto"/>
        </w:rPr>
        <w:t>limited partnership.</w:t>
      </w:r>
      <w:r>
        <w:rPr>
          <w:sz w:val="20"/>
          <w:szCs w:val="20"/>
          <w:color w:val="auto"/>
        </w:rPr>
        <w:tab/>
      </w:r>
      <w:r>
        <w:rPr>
          <w:rFonts w:ascii="Courier New" w:cs="Courier New" w:eastAsia="Courier New" w:hAnsi="Courier New"/>
          <w:sz w:val="16"/>
          <w:szCs w:val="16"/>
          <w:color w:val="auto"/>
        </w:rPr>
        <w:t>Geode LLC is an investment adviser</w:t>
      </w:r>
    </w:p>
    <w:p>
      <w:pPr>
        <w:spacing w:after="0"/>
        <w:rPr>
          <w:sz w:val="20"/>
          <w:szCs w:val="20"/>
          <w:color w:val="auto"/>
        </w:rPr>
      </w:pPr>
      <w:r>
        <w:rPr>
          <w:rFonts w:ascii="Courier New" w:cs="Courier New" w:eastAsia="Courier New" w:hAnsi="Courier New"/>
          <w:sz w:val="18"/>
          <w:szCs w:val="18"/>
          <w:color w:val="auto"/>
        </w:rPr>
        <w:t>registered under Section 203 of the Investment Advisers Act</w:t>
      </w:r>
    </w:p>
    <w:p>
      <w:pPr>
        <w:spacing w:after="0" w:line="237" w:lineRule="auto"/>
        <w:rPr>
          <w:sz w:val="20"/>
          <w:szCs w:val="20"/>
          <w:color w:val="auto"/>
        </w:rPr>
      </w:pPr>
      <w:r>
        <w:rPr>
          <w:rFonts w:ascii="Courier New" w:cs="Courier New" w:eastAsia="Courier New" w:hAnsi="Courier New"/>
          <w:sz w:val="18"/>
          <w:szCs w:val="18"/>
          <w:color w:val="auto"/>
        </w:rPr>
        <w:t>of 1940. Fidelity Investors Management, LLC ("FIML"), a</w:t>
      </w:r>
    </w:p>
    <w:p>
      <w:pPr>
        <w:spacing w:after="0"/>
        <w:rPr>
          <w:sz w:val="20"/>
          <w:szCs w:val="20"/>
          <w:color w:val="auto"/>
        </w:rPr>
      </w:pPr>
      <w:r>
        <w:rPr>
          <w:rFonts w:ascii="Courier New" w:cs="Courier New" w:eastAsia="Courier New" w:hAnsi="Courier New"/>
          <w:sz w:val="18"/>
          <w:szCs w:val="18"/>
          <w:color w:val="auto"/>
        </w:rPr>
        <w:t>Delaware limited liability company, is the general partner</w:t>
      </w:r>
    </w:p>
    <w:p>
      <w:pPr>
        <w:spacing w:after="0" w:line="237" w:lineRule="auto"/>
        <w:rPr>
          <w:sz w:val="20"/>
          <w:szCs w:val="20"/>
          <w:color w:val="auto"/>
        </w:rPr>
      </w:pPr>
      <w:r>
        <w:rPr>
          <w:rFonts w:ascii="Courier New" w:cs="Courier New" w:eastAsia="Courier New" w:hAnsi="Courier New"/>
          <w:sz w:val="18"/>
          <w:szCs w:val="18"/>
          <w:color w:val="auto"/>
        </w:rPr>
        <w:t>and investment manager of FILP III, and is an investment</w:t>
      </w:r>
    </w:p>
    <w:p>
      <w:pPr>
        <w:spacing w:after="0" w:line="238" w:lineRule="auto"/>
        <w:rPr>
          <w:sz w:val="20"/>
          <w:szCs w:val="20"/>
          <w:color w:val="auto"/>
        </w:rPr>
      </w:pPr>
      <w:r>
        <w:rPr>
          <w:rFonts w:ascii="Courier New" w:cs="Courier New" w:eastAsia="Courier New" w:hAnsi="Courier New"/>
          <w:sz w:val="18"/>
          <w:szCs w:val="18"/>
          <w:color w:val="auto"/>
        </w:rPr>
        <w:t>manager registered under Section 203 of the Investment</w:t>
      </w:r>
    </w:p>
    <w:p>
      <w:pPr>
        <w:spacing w:after="0"/>
        <w:rPr>
          <w:sz w:val="20"/>
          <w:szCs w:val="20"/>
          <w:color w:val="auto"/>
        </w:rPr>
      </w:pPr>
      <w:r>
        <w:rPr>
          <w:rFonts w:ascii="Courier New" w:cs="Courier New" w:eastAsia="Courier New" w:hAnsi="Courier New"/>
          <w:sz w:val="18"/>
          <w:szCs w:val="18"/>
          <w:color w:val="auto"/>
        </w:rPr>
        <w:t>Advisers Act of 1940. The managers of Geode LLC, the</w:t>
      </w:r>
    </w:p>
    <w:p>
      <w:pPr>
        <w:spacing w:after="0" w:line="237" w:lineRule="auto"/>
        <w:rPr>
          <w:sz w:val="20"/>
          <w:szCs w:val="20"/>
          <w:color w:val="auto"/>
        </w:rPr>
      </w:pPr>
      <w:r>
        <w:rPr>
          <w:rFonts w:ascii="Courier New" w:cs="Courier New" w:eastAsia="Courier New" w:hAnsi="Courier New"/>
          <w:sz w:val="18"/>
          <w:szCs w:val="18"/>
          <w:color w:val="auto"/>
        </w:rPr>
        <w:t>members of FIML and the limited partners of FILP III are</w:t>
      </w:r>
    </w:p>
    <w:p>
      <w:pPr>
        <w:spacing w:after="0"/>
        <w:rPr>
          <w:sz w:val="20"/>
          <w:szCs w:val="20"/>
          <w:color w:val="auto"/>
        </w:rPr>
      </w:pPr>
      <w:r>
        <w:rPr>
          <w:rFonts w:ascii="Courier New" w:cs="Courier New" w:eastAsia="Courier New" w:hAnsi="Courier New"/>
          <w:sz w:val="18"/>
          <w:szCs w:val="18"/>
          <w:color w:val="auto"/>
        </w:rPr>
        <w:t>certain shareholders and employees of FMR Corp.</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Members of the Edward C. Johnson 3d family are the</w:t>
      </w:r>
    </w:p>
    <w:p>
      <w:pPr>
        <w:sectPr>
          <w:pgSz w:w="11900" w:h="16838" w:orient="portrait"/>
          <w:cols w:equalWidth="0" w:num="1">
            <w:col w:w="10219"/>
          </w:cols>
          <w:pgMar w:left="240" w:top="339" w:right="1440" w:bottom="0" w:gutter="0" w:footer="0" w:header="0"/>
        </w:sectPr>
      </w:pPr>
    </w:p>
    <w:bookmarkStart w:id="3" w:name="page4"/>
    <w:bookmarkEnd w:id="3"/>
    <w:p>
      <w:pPr>
        <w:ind w:right="4199"/>
        <w:spacing w:after="0" w:line="238" w:lineRule="auto"/>
        <w:rPr>
          <w:sz w:val="20"/>
          <w:szCs w:val="20"/>
          <w:color w:val="auto"/>
        </w:rPr>
      </w:pPr>
      <w:r>
        <w:rPr>
          <w:rFonts w:ascii="Courier New" w:cs="Courier New" w:eastAsia="Courier New" w:hAnsi="Courier New"/>
          <w:sz w:val="18"/>
          <w:szCs w:val="18"/>
          <w:color w:val="auto"/>
        </w:rPr>
        <w:t>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2003, agree and consent to the joint filing on their behalf of this Schedule 13G in connection with their beneficial ownership of the Common Stock of Regeneron Pharmaceuticals Incorporated at December 31, 2002.</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Growth Company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2019-12-19T21:26:36Z</dcterms:created>
  <dcterms:modified xsi:type="dcterms:W3CDTF">2019-12-19T21:26:36Z</dcterms:modified>
</cp:coreProperties>
</file>