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48" w:type="dxa"/>
        <w:tblCellMar>
          <w:top w:w="0" w:type="dxa"/>
          <w:left w:w="0" w:type="dxa"/>
          <w:bottom w:w="0" w:type="dxa"/>
          <w:right w:w="0" w:type="dxa"/>
        </w:tblCellMar>
      </w:tblPr>
      <w:tr>
        <w:trPr>
          <w:trHeight w:val="253"/>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22"/>
                <w:szCs w:val="22"/>
                <w:b w:val="1"/>
                <w:bCs w:val="1"/>
                <w:color w:val="auto"/>
                <w:w w:val="95"/>
              </w:rPr>
              <w:t>UNITED STATES</w:t>
            </w:r>
          </w:p>
        </w:tc>
        <w:tc>
          <w:tcPr>
            <w:tcW w:w="1020" w:type="dxa"/>
            <w:vAlign w:val="bottom"/>
          </w:tcPr>
          <w:p>
            <w:pPr>
              <w:spacing w:after="0"/>
              <w:rPr>
                <w:sz w:val="22"/>
                <w:szCs w:val="22"/>
                <w:color w:val="auto"/>
              </w:rPr>
            </w:pPr>
          </w:p>
        </w:tc>
      </w:tr>
      <w:tr>
        <w:trPr>
          <w:trHeight w:val="254"/>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c>
          <w:tcPr>
            <w:tcW w:w="1020" w:type="dxa"/>
            <w:vAlign w:val="bottom"/>
          </w:tcPr>
          <w:p>
            <w:pPr>
              <w:spacing w:after="0"/>
              <w:rPr>
                <w:sz w:val="22"/>
                <w:szCs w:val="22"/>
                <w:color w:val="auto"/>
              </w:rPr>
            </w:pPr>
          </w:p>
        </w:tc>
      </w:tr>
      <w:tr>
        <w:trPr>
          <w:trHeight w:val="190"/>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020" w:type="dxa"/>
            <w:vAlign w:val="bottom"/>
          </w:tcPr>
          <w:p>
            <w:pPr>
              <w:spacing w:after="0"/>
              <w:rPr>
                <w:sz w:val="16"/>
                <w:szCs w:val="16"/>
                <w:color w:val="auto"/>
              </w:rPr>
            </w:pPr>
          </w:p>
        </w:tc>
      </w:tr>
      <w:tr>
        <w:trPr>
          <w:trHeight w:val="391"/>
        </w:trPr>
        <w:tc>
          <w:tcPr>
            <w:tcW w:w="6500" w:type="dxa"/>
            <w:vAlign w:val="bottom"/>
          </w:tcPr>
          <w:p>
            <w:pPr>
              <w:jc w:val="center"/>
              <w:ind w:left="1647"/>
              <w:spacing w:after="0"/>
              <w:rPr>
                <w:sz w:val="20"/>
                <w:szCs w:val="20"/>
                <w:color w:val="auto"/>
              </w:rPr>
            </w:pPr>
            <w:r>
              <w:rPr>
                <w:rFonts w:ascii="Times New Roman" w:cs="Times New Roman" w:eastAsia="Times New Roman" w:hAnsi="Times New Roman"/>
                <w:sz w:val="22"/>
                <w:szCs w:val="22"/>
                <w:b w:val="1"/>
                <w:bCs w:val="1"/>
                <w:color w:val="auto"/>
                <w:w w:val="97"/>
              </w:rPr>
              <w:t>FORM 8-K</w:t>
            </w:r>
          </w:p>
        </w:tc>
        <w:tc>
          <w:tcPr>
            <w:tcW w:w="1020" w:type="dxa"/>
            <w:vAlign w:val="bottom"/>
          </w:tcPr>
          <w:p>
            <w:pPr>
              <w:spacing w:after="0"/>
              <w:rPr>
                <w:sz w:val="24"/>
                <w:szCs w:val="24"/>
                <w:color w:val="auto"/>
              </w:rPr>
            </w:pPr>
          </w:p>
        </w:tc>
      </w:tr>
      <w:tr>
        <w:trPr>
          <w:trHeight w:val="324"/>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CURRENT REPORT</w:t>
            </w:r>
          </w:p>
        </w:tc>
        <w:tc>
          <w:tcPr>
            <w:tcW w:w="1020" w:type="dxa"/>
            <w:vAlign w:val="bottom"/>
          </w:tcPr>
          <w:p>
            <w:pPr>
              <w:spacing w:after="0"/>
              <w:rPr>
                <w:sz w:val="24"/>
                <w:szCs w:val="24"/>
                <w:color w:val="auto"/>
              </w:rPr>
            </w:pPr>
          </w:p>
        </w:tc>
      </w:tr>
      <w:tr>
        <w:trPr>
          <w:trHeight w:val="238"/>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tc>
        <w:tc>
          <w:tcPr>
            <w:tcW w:w="1020" w:type="dxa"/>
            <w:vAlign w:val="bottom"/>
          </w:tcPr>
          <w:p>
            <w:pPr>
              <w:spacing w:after="0"/>
              <w:rPr>
                <w:sz w:val="20"/>
                <w:szCs w:val="20"/>
                <w:color w:val="auto"/>
              </w:rPr>
            </w:pPr>
          </w:p>
        </w:tc>
      </w:tr>
      <w:tr>
        <w:trPr>
          <w:trHeight w:val="190"/>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tc>
        <w:tc>
          <w:tcPr>
            <w:tcW w:w="1020" w:type="dxa"/>
            <w:vAlign w:val="bottom"/>
          </w:tcPr>
          <w:p>
            <w:pPr>
              <w:spacing w:after="0"/>
              <w:rPr>
                <w:sz w:val="16"/>
                <w:szCs w:val="16"/>
                <w:color w:val="auto"/>
              </w:rPr>
            </w:pPr>
          </w:p>
        </w:tc>
      </w:tr>
      <w:tr>
        <w:trPr>
          <w:trHeight w:val="267"/>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1"/>
                <w:szCs w:val="11"/>
                <w:b w:val="1"/>
                <w:bCs w:val="1"/>
                <w:color w:val="auto"/>
                <w:w w:val="97"/>
              </w:rPr>
              <w:t>Date of Report (Date of earliest event reported): January 8, 2024 (January 8, 2024)</w:t>
            </w:r>
          </w:p>
        </w:tc>
        <w:tc>
          <w:tcPr>
            <w:tcW w:w="1020" w:type="dxa"/>
            <w:vAlign w:val="bottom"/>
          </w:tcPr>
          <w:p>
            <w:pPr>
              <w:spacing w:after="0"/>
              <w:rPr>
                <w:sz w:val="23"/>
                <w:szCs w:val="23"/>
                <w:color w:val="auto"/>
              </w:rPr>
            </w:pPr>
          </w:p>
        </w:tc>
      </w:tr>
      <w:tr>
        <w:trPr>
          <w:trHeight w:val="376"/>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22"/>
                <w:szCs w:val="22"/>
                <w:b w:val="1"/>
                <w:bCs w:val="1"/>
                <w:color w:val="auto"/>
                <w:w w:val="98"/>
              </w:rPr>
              <w:t>REGENERON PHARMACEUTICALS, INC.</w:t>
            </w:r>
          </w:p>
        </w:tc>
        <w:tc>
          <w:tcPr>
            <w:tcW w:w="1020" w:type="dxa"/>
            <w:vAlign w:val="bottom"/>
          </w:tcPr>
          <w:p>
            <w:pPr>
              <w:spacing w:after="0"/>
              <w:rPr>
                <w:sz w:val="24"/>
                <w:szCs w:val="24"/>
                <w:color w:val="auto"/>
              </w:rPr>
            </w:pPr>
          </w:p>
        </w:tc>
      </w:tr>
      <w:tr>
        <w:trPr>
          <w:trHeight w:val="159"/>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1020" w:type="dxa"/>
            <w:vAlign w:val="bottom"/>
          </w:tcPr>
          <w:p>
            <w:pPr>
              <w:spacing w:after="0"/>
              <w:rPr>
                <w:sz w:val="13"/>
                <w:szCs w:val="13"/>
                <w:color w:val="auto"/>
              </w:rPr>
            </w:pPr>
          </w:p>
        </w:tc>
      </w:tr>
      <w:tr>
        <w:trPr>
          <w:trHeight w:val="273"/>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2"/>
                <w:szCs w:val="12"/>
                <w:b w:val="1"/>
                <w:bCs w:val="1"/>
                <w:color w:val="auto"/>
                <w:w w:val="99"/>
              </w:rPr>
              <w:t>New York</w:t>
            </w:r>
          </w:p>
        </w:tc>
        <w:tc>
          <w:tcPr>
            <w:tcW w:w="1020" w:type="dxa"/>
            <w:vAlign w:val="bottom"/>
          </w:tcPr>
          <w:p>
            <w:pPr>
              <w:spacing w:after="0"/>
              <w:rPr>
                <w:sz w:val="23"/>
                <w:szCs w:val="23"/>
                <w:color w:val="auto"/>
              </w:rPr>
            </w:pPr>
          </w:p>
        </w:tc>
      </w:tr>
      <w:tr>
        <w:trPr>
          <w:trHeight w:val="159"/>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tc>
        <w:tc>
          <w:tcPr>
            <w:tcW w:w="1020" w:type="dxa"/>
            <w:vAlign w:val="bottom"/>
          </w:tcPr>
          <w:p>
            <w:pPr>
              <w:spacing w:after="0"/>
              <w:rPr>
                <w:sz w:val="13"/>
                <w:szCs w:val="13"/>
                <w:color w:val="auto"/>
              </w:rPr>
            </w:pPr>
          </w:p>
        </w:tc>
      </w:tr>
      <w:tr>
        <w:trPr>
          <w:trHeight w:val="273"/>
        </w:trPr>
        <w:tc>
          <w:tcPr>
            <w:tcW w:w="6500" w:type="dxa"/>
            <w:vAlign w:val="bottom"/>
          </w:tcPr>
          <w:p>
            <w:pPr>
              <w:jc w:val="center"/>
              <w:ind w:right="3747"/>
              <w:spacing w:after="0"/>
              <w:rPr>
                <w:sz w:val="20"/>
                <w:szCs w:val="20"/>
                <w:color w:val="auto"/>
              </w:rPr>
            </w:pPr>
            <w:r>
              <w:rPr>
                <w:rFonts w:ascii="Times New Roman" w:cs="Times New Roman" w:eastAsia="Times New Roman" w:hAnsi="Times New Roman"/>
                <w:sz w:val="12"/>
                <w:szCs w:val="12"/>
                <w:b w:val="1"/>
                <w:bCs w:val="1"/>
                <w:color w:val="auto"/>
                <w:w w:val="99"/>
              </w:rPr>
              <w:t>000-19034</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13-3444607</w:t>
            </w:r>
          </w:p>
        </w:tc>
      </w:tr>
      <w:tr>
        <w:trPr>
          <w:trHeight w:val="144"/>
        </w:trPr>
        <w:tc>
          <w:tcPr>
            <w:tcW w:w="6500" w:type="dxa"/>
            <w:vAlign w:val="bottom"/>
          </w:tcPr>
          <w:p>
            <w:pPr>
              <w:jc w:val="center"/>
              <w:ind w:right="3747"/>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6500" w:type="dxa"/>
            <w:vAlign w:val="bottom"/>
          </w:tcPr>
          <w:p>
            <w:pPr>
              <w:jc w:val="center"/>
              <w:ind w:right="3747"/>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6500" w:type="dxa"/>
            <w:vAlign w:val="bottom"/>
          </w:tcPr>
          <w:p>
            <w:pPr>
              <w:jc w:val="center"/>
              <w:ind w:right="3747"/>
              <w:spacing w:after="0"/>
              <w:rPr>
                <w:sz w:val="20"/>
                <w:szCs w:val="20"/>
                <w:color w:val="auto"/>
              </w:rPr>
            </w:pPr>
            <w:r>
              <w:rPr>
                <w:rFonts w:ascii="Times New Roman" w:cs="Times New Roman" w:eastAsia="Times New Roman" w:hAnsi="Times New Roman"/>
                <w:sz w:val="12"/>
                <w:szCs w:val="12"/>
                <w:b w:val="1"/>
                <w:bCs w:val="1"/>
                <w:color w:val="auto"/>
                <w:w w:val="98"/>
              </w:rPr>
              <w:t>777 Old Saw Mill River Road, Tarrytown, New York</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10591-6707</w:t>
            </w:r>
          </w:p>
        </w:tc>
      </w:tr>
      <w:tr>
        <w:trPr>
          <w:trHeight w:val="159"/>
        </w:trPr>
        <w:tc>
          <w:tcPr>
            <w:tcW w:w="6500" w:type="dxa"/>
            <w:vAlign w:val="bottom"/>
          </w:tcPr>
          <w:p>
            <w:pPr>
              <w:jc w:val="center"/>
              <w:ind w:right="3767"/>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8"/>
        </w:trPr>
        <w:tc>
          <w:tcPr>
            <w:tcW w:w="6500" w:type="dxa"/>
            <w:vAlign w:val="bottom"/>
          </w:tcPr>
          <w:p>
            <w:pPr>
              <w:jc w:val="center"/>
              <w:ind w:left="1627"/>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(914) 847-7000</w:t>
            </w:r>
          </w:p>
        </w:tc>
        <w:tc>
          <w:tcPr>
            <w:tcW w:w="1020" w:type="dxa"/>
            <w:vAlign w:val="bottom"/>
          </w:tcPr>
          <w:p>
            <w:pPr>
              <w:spacing w:after="0"/>
              <w:rPr>
                <w:sz w:val="24"/>
                <w:szCs w:val="24"/>
                <w:color w:val="auto"/>
              </w:rPr>
            </w:pPr>
          </w:p>
        </w:tc>
      </w:tr>
    </w:tbl>
    <w:p>
      <w:pPr>
        <w:spacing w:after="0" w:line="1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1" w:lineRule="exact"/>
        <w:rPr>
          <w:sz w:val="24"/>
          <w:szCs w:val="24"/>
          <w:color w:val="auto"/>
        </w:rPr>
      </w:pPr>
    </w:p>
    <w:tbl>
      <w:tblPr>
        <w:tblLayout w:type="fixed"/>
        <w:tblInd w:w="18" w:type="dxa"/>
        <w:tblCellMar>
          <w:top w:w="0" w:type="dxa"/>
          <w:left w:w="0" w:type="dxa"/>
          <w:bottom w:w="0" w:type="dxa"/>
          <w:right w:w="0" w:type="dxa"/>
        </w:tblCellMar>
      </w:tblPr>
      <w:tr>
        <w:trPr>
          <w:trHeight w:val="162"/>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4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 par value $0.001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REGN</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NASDAQ Global Select Market</w:t>
            </w:r>
          </w:p>
        </w:tc>
      </w:tr>
    </w:tbl>
    <w:p>
      <w:pPr>
        <w:spacing w:after="0" w:line="133"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326390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85" w:right="2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54"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On January 8, 2024, at the 42nd Annual J.P. Morgan Healthcare Conference, Leonard S. Schleifer, M.D., Ph.D., Board Co-Chair, President and Chief Executive Officer of Regeneron Pharmaceuticals, Inc. (“</w:t>
      </w:r>
      <w:r>
        <w:rPr>
          <w:rFonts w:ascii="Times New Roman" w:cs="Times New Roman" w:eastAsia="Times New Roman" w:hAnsi="Times New Roman"/>
          <w:sz w:val="12"/>
          <w:szCs w:val="12"/>
          <w:u w:val="single" w:color="auto"/>
          <w:color w:val="auto"/>
        </w:rPr>
        <w:t>Regeneron</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George D. Yancopoulos, M.D., Ph.D., Board Co-Chair, President and Chief Scientific Officer of Regeneron, are providing a corporate update.</w:t>
      </w:r>
    </w:p>
    <w:p>
      <w:pPr>
        <w:spacing w:after="0" w:line="113" w:lineRule="exact"/>
        <w:rPr>
          <w:sz w:val="20"/>
          <w:szCs w:val="20"/>
          <w:color w:val="auto"/>
        </w:rPr>
      </w:pPr>
    </w:p>
    <w:p>
      <w:pPr>
        <w:ind w:right="160" w:firstLine="216"/>
        <w:spacing w:after="0" w:line="238" w:lineRule="auto"/>
        <w:rPr>
          <w:sz w:val="20"/>
          <w:szCs w:val="20"/>
          <w:color w:val="auto"/>
        </w:rPr>
      </w:pPr>
      <w:r>
        <w:rPr>
          <w:rFonts w:ascii="Times New Roman" w:cs="Times New Roman" w:eastAsia="Times New Roman" w:hAnsi="Times New Roman"/>
          <w:sz w:val="12"/>
          <w:szCs w:val="12"/>
          <w:color w:val="auto"/>
        </w:rPr>
        <w:t>The presentation includes information regarding the Company’s preliminary (unaudited) fourth quarter 2023 U.S. net product sales of EYLEA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HD (aflibercept) Injection 8 mg of approximately $123 million and the Company’s preliminary (unaudited) fourth quarter 2023 U.S. net product sales of EYLEA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(aflibercept) Injection of approximately $1.34 billion.</w:t>
      </w:r>
    </w:p>
    <w:p>
      <w:pPr>
        <w:spacing w:after="0" w:line="51" w:lineRule="exact"/>
        <w:rPr>
          <w:sz w:val="20"/>
          <w:szCs w:val="20"/>
          <w:color w:val="auto"/>
        </w:rPr>
      </w:pPr>
    </w:p>
    <w:p>
      <w:pPr>
        <w:jc w:val="both"/>
        <w:ind w:right="320" w:firstLine="216"/>
        <w:spacing w:after="0" w:line="265" w:lineRule="auto"/>
        <w:rPr>
          <w:sz w:val="20"/>
          <w:szCs w:val="20"/>
          <w:color w:val="auto"/>
        </w:rPr>
      </w:pPr>
      <w:r>
        <w:rPr>
          <w:rFonts w:ascii="Times New Roman" w:cs="Times New Roman" w:eastAsia="Times New Roman" w:hAnsi="Times New Roman"/>
          <w:sz w:val="12"/>
          <w:szCs w:val="12"/>
          <w:color w:val="auto"/>
        </w:rPr>
        <w:t>Additionally, the Company currently expects that its financial results calculated in accordance with U.S. generally accepted accounting principles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and its non-GAAP financial results for the fourth quarter 2023 will include an acquired in-process research and development (“</w:t>
      </w:r>
      <w:r>
        <w:rPr>
          <w:rFonts w:ascii="Times New Roman" w:cs="Times New Roman" w:eastAsia="Times New Roman" w:hAnsi="Times New Roman"/>
          <w:sz w:val="12"/>
          <w:szCs w:val="12"/>
          <w:u w:val="single" w:color="auto"/>
          <w:color w:val="auto"/>
        </w:rPr>
        <w:t>IPR&amp;D</w:t>
      </w:r>
      <w:r>
        <w:rPr>
          <w:rFonts w:ascii="Times New Roman" w:cs="Times New Roman" w:eastAsia="Times New Roman" w:hAnsi="Times New Roman"/>
          <w:sz w:val="12"/>
          <w:szCs w:val="12"/>
          <w:color w:val="auto"/>
        </w:rPr>
        <w:t>”) charge of $30 million on a pre-tax basis. This charge relates to a payment to extend the Company’s collaboration with Intellia Therapeutics, Inc. This acquired IPR&amp;D charge is expected to negatively impact each of GAAP and non-GAAP net income per diluted share for the fourth quarter 2023 by approximately $0.21.</w:t>
      </w:r>
    </w:p>
    <w:p>
      <w:pPr>
        <w:spacing w:after="0" w:line="119"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Acquired IPR&amp;D charges may include IPR&amp;D acquired in connection with asset acquisitions as well as up-front, opt-in, and certain development milestone payments related to collaboration and licensing agreements. Regeneron does not forecast such acquired IPR&amp;D charges due to the uncertainty of the future occurrence, magnitude, and timing of these transactions in any given period.</w:t>
      </w:r>
    </w:p>
    <w:p>
      <w:pPr>
        <w:spacing w:after="0" w:line="111"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Regeneron’s results for the fourth quarter 2023 have not been finalized and are subject to Regeneron’s financial statement closing procedures. There can be no assurance that actual results will not differ from the preliminary (unaudited) estimates described herein.</w:t>
      </w:r>
    </w:p>
    <w:p>
      <w:pPr>
        <w:spacing w:after="0" w:line="1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80" w:firstLine="216"/>
        <w:spacing w:after="0" w:line="279" w:lineRule="auto"/>
        <w:rPr>
          <w:sz w:val="20"/>
          <w:szCs w:val="20"/>
          <w:color w:val="auto"/>
        </w:rPr>
      </w:pPr>
      <w:r>
        <w:rPr>
          <w:rFonts w:ascii="Times New Roman" w:cs="Times New Roman" w:eastAsia="Times New Roman" w:hAnsi="Times New Roman"/>
          <w:sz w:val="12"/>
          <w:szCs w:val="12"/>
          <w:color w:val="auto"/>
        </w:rPr>
        <w:t>The information set forth under Item 2.02 of this Current Report on Form 8-K is incorporated by reference herein. A copy of the presentation referenced in Item 2.02 is furnished as Exhibit 99.1 to this Current Report on Form 8-K and is incorporated by reference in this Item 7.01.</w:t>
      </w:r>
    </w:p>
    <w:p>
      <w:pPr>
        <w:spacing w:after="0" w:line="111"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included in Item 2.02 and the information included or incorporated in Item 7.01 of this Current Report on Form 8-K,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2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56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1"/>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52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Presentation by Leonard S. Schleifer, M.D., Ph.D., Board Co-Chair, President and Chief Executive Officer of Regeneron Pharmaceuticals, Inc., and George D. Yancopoulos, M.D., Ph.D., Board Co-Chair, President and</w:t>
            </w:r>
          </w:p>
        </w:tc>
      </w:tr>
      <w:tr>
        <w:trPr>
          <w:trHeight w:val="124"/>
        </w:trPr>
        <w:tc>
          <w:tcPr>
            <w:tcW w:w="200" w:type="dxa"/>
            <w:vAlign w:val="bottom"/>
            <w:tcBorders>
              <w:top w:val="single" w:sz="8" w:color="0000EE"/>
            </w:tcBorders>
          </w:tcPr>
          <w:p>
            <w:pPr>
              <w:spacing w:after="0"/>
              <w:rPr>
                <w:sz w:val="10"/>
                <w:szCs w:val="10"/>
                <w:color w:val="auto"/>
              </w:rPr>
            </w:pPr>
          </w:p>
        </w:tc>
        <w:tc>
          <w:tcPr>
            <w:tcW w:w="580" w:type="dxa"/>
            <w:vAlign w:val="bottom"/>
          </w:tcPr>
          <w:p>
            <w:pPr>
              <w:spacing w:after="0"/>
              <w:rPr>
                <w:sz w:val="10"/>
                <w:szCs w:val="10"/>
                <w:color w:val="auto"/>
              </w:rPr>
            </w:pPr>
          </w:p>
        </w:tc>
        <w:tc>
          <w:tcPr>
            <w:tcW w:w="10460" w:type="dxa"/>
            <w:vAlign w:val="bottom"/>
            <w:tcBorders>
              <w:top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Chief Scientific Officer of Regeneron Pharmaceuticals, Inc., at the 42nd Annual J.P. Morgan Healthcare Conference.</w:t>
            </w:r>
          </w:p>
        </w:tc>
        <w:tc>
          <w:tcPr>
            <w:tcW w:w="60" w:type="dxa"/>
            <w:vAlign w:val="bottom"/>
          </w:tcPr>
          <w:p>
            <w:pPr>
              <w:spacing w:after="0"/>
              <w:rPr>
                <w:sz w:val="10"/>
                <w:szCs w:val="10"/>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80" w:type="dxa"/>
            <w:vAlign w:val="bottom"/>
          </w:tcPr>
          <w:p>
            <w:pPr>
              <w:spacing w:after="0"/>
              <w:rPr>
                <w:sz w:val="24"/>
                <w:szCs w:val="24"/>
                <w:color w:val="auto"/>
              </w:rPr>
            </w:pPr>
          </w:p>
        </w:tc>
        <w:tc>
          <w:tcPr>
            <w:tcW w:w="5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c>
          <w:tcPr>
            <w:tcW w:w="4920" w:type="dxa"/>
            <w:vAlign w:val="bottom"/>
            <w:gridSpan w:val="2"/>
          </w:tcPr>
          <w:p>
            <w:pPr>
              <w:spacing w:after="0"/>
              <w:rPr>
                <w:sz w:val="24"/>
                <w:szCs w:val="24"/>
                <w:color w:val="auto"/>
              </w:rPr>
            </w:pPr>
          </w:p>
        </w:tc>
      </w:tr>
      <w:tr>
        <w:trPr>
          <w:trHeight w:val="450"/>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i w:val="1"/>
          <w:iCs w:val="1"/>
          <w:color w:val="auto"/>
        </w:rPr>
        <w:t>Note Regarding Forward-Looking Statements</w:t>
      </w:r>
    </w:p>
    <w:p>
      <w:pPr>
        <w:spacing w:after="0" w:line="152" w:lineRule="exact"/>
        <w:rPr>
          <w:sz w:val="20"/>
          <w:szCs w:val="20"/>
          <w:color w:val="auto"/>
        </w:rPr>
      </w:pPr>
    </w:p>
    <w:p>
      <w:pPr>
        <w:ind w:right="40" w:firstLine="432"/>
        <w:spacing w:after="0" w:line="281" w:lineRule="auto"/>
        <w:rPr>
          <w:sz w:val="20"/>
          <w:szCs w:val="20"/>
          <w:color w:val="auto"/>
        </w:rPr>
      </w:pPr>
      <w:r>
        <w:rPr>
          <w:rFonts w:ascii="Times New Roman" w:cs="Times New Roman" w:eastAsia="Times New Roman" w:hAnsi="Times New Roman"/>
          <w:sz w:val="11"/>
          <w:szCs w:val="11"/>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i w:val="1"/>
          <w:iCs w:val="1"/>
          <w:color w:val="auto"/>
        </w:rPr>
        <w:t>among others, Regeneron’s expectations with respect to commercialization of its marketed products (including EYLEA</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HD (aflibercept) Injection 8 mg and EYLEA</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(aflibercept) Injection), competitive and other relevant developments affecting the market share of Regeneron’s marketed products, and other relevant factors (whether within or without Regeneron’s control) impacting the degree to which commercialization of Regeneron’s marketed products is successful, as well as the impact of any of the foregoing on Regeneron’s results of operations; Regeneron’s expected acquired in-process research and development charge for the quarterly period ended December 31, 2023 and its expected impact on GAAP and non-GAAP net income per diluted share for this period as discussed in this Report; and the potential for any license, collaboration, or supply agreement, including Regeneron's agreement with Intellia Therapeutics, Inc. referenced in this Report, to be cancelled or terminated.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Note Regarding Non-GAAP Financial Measures</w:t>
      </w:r>
    </w:p>
    <w:p>
      <w:pPr>
        <w:spacing w:after="0" w:line="15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This Report references non-GAAP net income per diluted share, which is a financial measure that is not calculated in accordance with U.S. Generally Accepted Accounting Principles (“GAAP”).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REGENERON PHARMACEUTICALS, INC.</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2"/>
          <w:szCs w:val="12"/>
          <w:color w:val="auto"/>
        </w:rPr>
        <w:t>Joseph J. LaRosa</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Executive Vice President, General Counsel and Secretary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January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4" w:name="page5"/>
    <w:bookmarkEnd w:id="4"/>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34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5358130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5358130</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2024-01-08T05:42:55Z</dcterms:created>
  <dcterms:modified xsi:type="dcterms:W3CDTF">2024-01-08T05:42:55Z</dcterms:modified>
</cp:coreProperties>
</file>