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5458996</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2530</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6093453</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2530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6095983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Rd</w:t>
      </w:r>
    </w:p>
    <w:p>
      <w:pPr>
        <w:spacing w:after="0" w:line="238" w:lineRule="auto"/>
        <w:rPr>
          <w:sz w:val="20"/>
          <w:szCs w:val="20"/>
          <w:color w:val="auto"/>
        </w:rPr>
      </w:pPr>
      <w:r>
        <w:rPr>
          <w:rFonts w:ascii="Courier New" w:cs="Courier New" w:eastAsia="Courier New" w:hAnsi="Courier New"/>
          <w:sz w:val="18"/>
          <w:szCs w:val="18"/>
          <w:color w:val="auto"/>
        </w:rPr>
        <w:t>Tarrytown NY 10591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6095983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5458996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6093453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REGENERON PHARMACEUTICALS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ectPr>
          <w:pgSz w:w="11900" w:h="16838" w:orient="portrait"/>
          <w:cols w:equalWidth="0" w:num="1">
            <w:col w:w="10219"/>
          </w:cols>
          <w:pgMar w:left="240" w:top="33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2019-12-15T20:49:32Z</dcterms:created>
  <dcterms:modified xsi:type="dcterms:W3CDTF">2019-12-15T20:49:32Z</dcterms:modified>
</cp:coreProperties>
</file>