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16, 2014 (January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6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000-19034</w:t>
            </w:r>
          </w:p>
        </w:tc>
        <w:tc>
          <w:tcPr>
            <w:tcW w:w="27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13-3444607</w:t>
            </w:r>
          </w:p>
        </w:tc>
      </w:tr>
      <w:tr>
        <w:trPr>
          <w:trHeight w:val="149"/>
        </w:trPr>
        <w:tc>
          <w:tcPr>
            <w:tcW w:w="56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2"/>
              </w:rPr>
              <w:t>(Commission</w:t>
            </w:r>
          </w:p>
        </w:tc>
        <w:tc>
          <w:tcPr>
            <w:tcW w:w="27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File Number)</w:t>
            </w:r>
          </w:p>
        </w:tc>
        <w:tc>
          <w:tcPr>
            <w:tcW w:w="27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6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6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On January 10, 2014,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License and Collaboration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with Bayer HealthCare LLC (“</w:t>
      </w:r>
      <w:r>
        <w:rPr>
          <w:rFonts w:ascii="Arial" w:cs="Arial" w:eastAsia="Arial" w:hAnsi="Arial"/>
          <w:sz w:val="17"/>
          <w:szCs w:val="17"/>
          <w:u w:val="single" w:color="auto"/>
          <w:color w:val="auto"/>
        </w:rPr>
        <w:t>Bayer HealthCare</w:t>
      </w:r>
      <w:r>
        <w:rPr>
          <w:rFonts w:ascii="Arial" w:cs="Arial" w:eastAsia="Arial" w:hAnsi="Arial"/>
          <w:sz w:val="17"/>
          <w:szCs w:val="17"/>
          <w:color w:val="auto"/>
        </w:rPr>
        <w:t>”). A summary description of the Agreement is provided below.</w:t>
      </w:r>
    </w:p>
    <w:p>
      <w:pPr>
        <w:spacing w:after="0" w:line="14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Agreement governs the joint development and commercialization of an antibody product candidate to the Platelet Derived Growth Factor Receptor Beta (PDGFR-b), including in combination with EYLEA</w:t>
      </w:r>
      <w:r>
        <w:rPr>
          <w:rFonts w:ascii="Arial" w:cs="Arial" w:eastAsia="Arial" w:hAnsi="Arial"/>
          <w:sz w:val="14"/>
          <w:szCs w:val="14"/>
          <w:color w:val="auto"/>
        </w:rPr>
        <w:t>®</w:t>
      </w:r>
      <w:r>
        <w:rPr>
          <w:rFonts w:ascii="Arial" w:cs="Arial" w:eastAsia="Arial" w:hAnsi="Arial"/>
          <w:sz w:val="17"/>
          <w:szCs w:val="17"/>
          <w:color w:val="auto"/>
        </w:rPr>
        <w:t xml:space="preserve"> (aflibercept) Injection, for the treatment of ocular diseases or disorders (“</w:t>
      </w:r>
      <w:r>
        <w:rPr>
          <w:rFonts w:ascii="Arial" w:cs="Arial" w:eastAsia="Arial" w:hAnsi="Arial"/>
          <w:sz w:val="17"/>
          <w:szCs w:val="17"/>
          <w:u w:val="single" w:color="auto"/>
          <w:color w:val="auto"/>
        </w:rPr>
        <w:t>Product</w:t>
      </w:r>
      <w:r>
        <w:rPr>
          <w:rFonts w:ascii="Arial" w:cs="Arial" w:eastAsia="Arial" w:hAnsi="Arial"/>
          <w:sz w:val="17"/>
          <w:szCs w:val="17"/>
          <w:color w:val="auto"/>
        </w:rPr>
        <w:t>”). Under the Agreement, Regeneron will conduct the initial development of the Product through completion of the first proof-of-concept study, upon which Bayer HealthCare will have a right to opt into the collaboration. Bayer Healthcare is obligated to make an upfront payment of $25.5 million to Regeneron, pay 25% of global development costs and 50% of development costs exclusively for the territory outside of the United States under the initial development plan, and reimburse Regeneron for 50% of certain development milestone payments to a third party (which percentage could be reduced to 25% under certain circumstances if Bayer Healthcare does not opt into the collaboration).</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If Bayer HealthCare opts into the collaboration, it will obtain exclusive commercialization rights to the Product outside of the United States, pay for 25% of global development costs and 50% of development costs exclusively for the territory outside of the United States, be responsible for a $20 million opt in payment and a $20 million development milestone to Regeneron (which milestone would be payable upon receipt of the first marketing approval in the European Union or Japan), share profits from ex-U.S. sales of the Product equally with Regeneron, and be responsible for certain payments to a third party, including royalties on ex-U.S. sales of the Product and 50% of development milestones. If Bayer HealthCare opts out of the collaboration, Regeneron will have exclusive rights to develop and commercialize the Product (except as a combination product with EYLEA) for use outside the United States.</w:t>
      </w:r>
    </w:p>
    <w:p>
      <w:pPr>
        <w:spacing w:after="0" w:line="165"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Regeneron also has the right to opt out of the collaboration upon completion of the first proof-of-concept study for the Product. If Regeneron opts out of the collaboration and Bayer HealthCare opts into the collaboration, Bayer HealthCare will obtain exclusive rights to the Product (except as a combination product with EYLEA) outside of the United States, be responsible for all development costs outside of the United States, be responsible for all payments to a third party, and will retain all of the profits from sales of the Product outside of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Regeneron retains exclusive commercialization rights to the Product in the United States and will retain all of the profits from U.S. sales of the Product.</w:t>
      </w:r>
    </w:p>
    <w:p>
      <w:pPr>
        <w:spacing w:after="0" w:line="24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Bayer HealthCare has also agreed to a “standstill” provision, which prohibits Bayer HealthCare and its affiliates from seeking to influence the control of the Company or acquiring more than 20% of the Company’s then outstanding shares of Class A Stock, par value $0.001 per share, and common stock, par value $0.001 per share. This standstill will remain in place until the fifth anniversary of the expiration or earlier termination of the Agreement, unless terminated earlier by the occurrence of certain enumerated transactions and events.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Product in the specified field outside of the United States and such discontinuation is acknowledged as permanent by both Regeneron and Bayer HealthCare in writing.</w:t>
      </w:r>
    </w:p>
    <w:p>
      <w:pPr>
        <w:sectPr>
          <w:pgSz w:w="11900" w:h="16838" w:orient="portrait"/>
          <w:cols w:equalWidth="0" w:num="1">
            <w:col w:w="11400"/>
          </w:cols>
          <w:pgMar w:left="240" w:top="270" w:right="259" w:bottom="1440" w:gutter="0" w:footer="0" w:header="0"/>
        </w:sectPr>
      </w:pPr>
    </w:p>
    <w:bookmarkStart w:id="2" w:name="page3"/>
    <w:bookmarkEnd w:id="2"/>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the Agreement is qualified in its entirety by reference to the full text of the Agreement, a copy of which will be filed with the Securities and Exchange Commission as an exhibit to the Company’s Quarterly Report on Form 10-Q for the quarterly period ending March 31, 2014.</w:t>
      </w:r>
    </w:p>
    <w:p>
      <w:pPr>
        <w:sectPr>
          <w:pgSz w:w="11900" w:h="16838" w:orient="portrait"/>
          <w:cols w:equalWidth="0" w:num="1">
            <w:col w:w="11320"/>
          </w:cols>
          <w:pgMar w:left="240" w:top="274" w:right="3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Senior Vice President, General Counsel and Secretary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16, 2014</w:t>
      </w:r>
    </w:p>
    <w:sectPr>
      <w:pgSz w:w="11900" w:h="16838" w:orient="portrait"/>
      <w:cols w:equalWidth="0" w:num="1">
        <w:col w:w="11200"/>
      </w:cols>
      <w:pgMar w:left="2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2019-12-06T04:10:47Z</dcterms:created>
  <dcterms:modified xsi:type="dcterms:W3CDTF">2019-12-06T04:10:47Z</dcterms:modified>
</cp:coreProperties>
</file>