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spacing w:after="0"/>
              <w:rPr>
                <w:rFonts w:ascii="Arial" w:cs="Arial" w:eastAsia="Arial" w:hAnsi="Arial"/>
                <w:sz w:val="22"/>
                <w:szCs w:val="22"/>
                <w:color w:val="0000EE"/>
                <w:w w:val="99"/>
              </w:rPr>
            </w:pPr>
            <w:hyperlink r:id="rId12">
              <w:r>
                <w:rPr>
                  <w:rFonts w:ascii="Arial" w:cs="Arial" w:eastAsia="Arial" w:hAnsi="Arial"/>
                  <w:sz w:val="22"/>
                  <w:szCs w:val="22"/>
                  <w:color w:val="0000EE"/>
                  <w:w w:val="99"/>
                </w:rPr>
                <w:t>Sanofi</w:t>
              </w:r>
            </w:hyperlink>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11"/>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9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color w:val="auto"/>
              </w:rPr>
              <w:t>Director</w:t>
            </w:r>
          </w:p>
        </w:tc>
        <w:tc>
          <w:tcPr>
            <w:tcW w:w="380" w:type="dxa"/>
            <w:vAlign w:val="bottom"/>
            <w:vMerge w:val="restart"/>
          </w:tcPr>
          <w:p>
            <w:pPr>
              <w:ind w:left="180"/>
              <w:spacing w:after="0"/>
              <w:rPr>
                <w:sz w:val="20"/>
                <w:szCs w:val="20"/>
                <w:color w:val="auto"/>
              </w:rPr>
            </w:pPr>
            <w:r>
              <w:rPr>
                <w:rFonts w:ascii="Arial" w:cs="Arial" w:eastAsia="Arial" w:hAnsi="Arial"/>
                <w:sz w:val="18"/>
                <w:szCs w:val="18"/>
                <w:color w:val="0000FF"/>
              </w:rPr>
              <w:t>X</w:t>
            </w: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color w:val="auto"/>
              </w:rPr>
              <w:t>Officer (give title</w:t>
            </w:r>
          </w:p>
        </w:tc>
        <w:tc>
          <w:tcPr>
            <w:tcW w:w="380" w:type="dxa"/>
            <w:vAlign w:val="bottom"/>
            <w:vMerge w:val="continue"/>
          </w:tcPr>
          <w:p>
            <w:pPr>
              <w:spacing w:after="0"/>
              <w:rPr>
                <w:sz w:val="5"/>
                <w:szCs w:val="5"/>
                <w:color w:val="auto"/>
              </w:rPr>
            </w:pPr>
          </w:p>
        </w:tc>
        <w:tc>
          <w:tcPr>
            <w:tcW w:w="1320" w:type="dxa"/>
            <w:vAlign w:val="bottom"/>
            <w:gridSpan w:val="3"/>
            <w:vMerge w:val="restart"/>
          </w:tcPr>
          <w:p>
            <w:pPr>
              <w:ind w:left="1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360" w:type="dxa"/>
            <w:vAlign w:val="bottom"/>
            <w:vMerge w:val="continue"/>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2"/>
          </w:tcPr>
          <w:p>
            <w:pPr>
              <w:ind w:left="640"/>
              <w:spacing w:after="0" w:line="155" w:lineRule="exact"/>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4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380" w:type="dxa"/>
            <w:vAlign w:val="bottom"/>
            <w:tcBorders>
              <w:top w:val="single" w:sz="8" w:color="2C2C2C"/>
            </w:tcBorders>
          </w:tcPr>
          <w:p>
            <w:pPr>
              <w:spacing w:after="0"/>
              <w:rPr>
                <w:sz w:val="13"/>
                <w:szCs w:val="13"/>
                <w:color w:val="auto"/>
              </w:rPr>
            </w:pPr>
          </w:p>
        </w:tc>
        <w:tc>
          <w:tcPr>
            <w:tcW w:w="140" w:type="dxa"/>
            <w:vAlign w:val="bottom"/>
            <w:tcBorders>
              <w:top w:val="single" w:sz="8" w:color="2C2C2C"/>
            </w:tcBorders>
          </w:tcPr>
          <w:p>
            <w:pPr>
              <w:spacing w:after="0"/>
              <w:rPr>
                <w:sz w:val="13"/>
                <w:szCs w:val="13"/>
                <w:color w:val="auto"/>
              </w:rPr>
            </w:pPr>
          </w:p>
        </w:tc>
        <w:tc>
          <w:tcPr>
            <w:tcW w:w="440" w:type="dxa"/>
            <w:vAlign w:val="bottom"/>
            <w:tcBorders>
              <w:top w:val="single" w:sz="8" w:color="2C2C2C"/>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gridSpan w:val="3"/>
          </w:tcPr>
          <w:p>
            <w:pPr>
              <w:ind w:left="80"/>
              <w:spacing w:after="0" w:line="115" w:lineRule="exact"/>
              <w:rPr>
                <w:sz w:val="20"/>
                <w:szCs w:val="20"/>
                <w:color w:val="auto"/>
              </w:rPr>
            </w:pPr>
            <w:r>
              <w:rPr>
                <w:rFonts w:ascii="Arial" w:cs="Arial" w:eastAsia="Arial" w:hAnsi="Arial"/>
                <w:sz w:val="12"/>
                <w:szCs w:val="12"/>
                <w:color w:val="auto"/>
              </w:rPr>
              <w:t>below)</w:t>
            </w:r>
          </w:p>
        </w:tc>
        <w:tc>
          <w:tcPr>
            <w:tcW w:w="380" w:type="dxa"/>
            <w:vAlign w:val="bottom"/>
          </w:tcPr>
          <w:p>
            <w:pPr>
              <w:spacing w:after="0"/>
              <w:rPr>
                <w:sz w:val="13"/>
                <w:szCs w:val="13"/>
                <w:color w:val="auto"/>
              </w:rPr>
            </w:pPr>
          </w:p>
        </w:tc>
        <w:tc>
          <w:tcPr>
            <w:tcW w:w="56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40" w:type="dxa"/>
            <w:vAlign w:val="bottom"/>
            <w:gridSpan w:val="7"/>
            <w:vMerge w:val="continue"/>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54, RUE LA BOETIE</w:t>
            </w: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5"/>
          </w:tcPr>
          <w:p>
            <w:pPr>
              <w:ind w:left="160"/>
              <w:spacing w:after="0"/>
              <w:rPr>
                <w:sz w:val="20"/>
                <w:szCs w:val="20"/>
                <w:color w:val="auto"/>
              </w:rPr>
            </w:pPr>
            <w:r>
              <w:rPr>
                <w:rFonts w:ascii="Arial" w:cs="Arial" w:eastAsia="Arial" w:hAnsi="Arial"/>
                <w:sz w:val="18"/>
                <w:szCs w:val="18"/>
                <w:color w:val="0000FF"/>
              </w:rPr>
              <w:t>09/16/2014</w:t>
            </w: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gridSpan w:val="2"/>
          </w:tcPr>
          <w:p>
            <w:pPr>
              <w:spacing w:after="0"/>
              <w:rPr>
                <w:sz w:val="9"/>
                <w:szCs w:val="9"/>
                <w:color w:val="auto"/>
              </w:rPr>
            </w:pPr>
          </w:p>
        </w:tc>
        <w:tc>
          <w:tcPr>
            <w:tcW w:w="2380" w:type="dxa"/>
            <w:vAlign w:val="bottom"/>
            <w:tcBorders>
              <w:bottom w:val="single" w:sz="8" w:color="2C2C2C"/>
            </w:tcBorders>
            <w:gridSpan w:val="6"/>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gridSpan w:val="6"/>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980" w:type="dxa"/>
            <w:vAlign w:val="bottom"/>
            <w:gridSpan w:val="11"/>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980" w:type="dxa"/>
            <w:vAlign w:val="bottom"/>
            <w:gridSpan w:val="11"/>
            <w:vMerge w:val="continue"/>
          </w:tcPr>
          <w:p>
            <w:pPr>
              <w:spacing w:after="0"/>
              <w:rPr>
                <w:sz w:val="8"/>
                <w:szCs w:val="8"/>
                <w:color w:val="auto"/>
              </w:rPr>
            </w:pPr>
          </w:p>
        </w:tc>
        <w:tc>
          <w:tcPr>
            <w:tcW w:w="33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3"/>
          </w:tcPr>
          <w:p>
            <w:pPr>
              <w:spacing w:after="0"/>
              <w:rPr>
                <w:sz w:val="20"/>
                <w:szCs w:val="20"/>
                <w:color w:val="auto"/>
              </w:rPr>
            </w:pPr>
            <w:r>
              <w:rPr>
                <w:rFonts w:ascii="Arial" w:cs="Arial" w:eastAsia="Arial" w:hAnsi="Arial"/>
                <w:sz w:val="14"/>
                <w:szCs w:val="14"/>
                <w:color w:val="auto"/>
              </w:rPr>
              <w:t>Line)</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PARIS</w:t>
            </w:r>
          </w:p>
        </w:tc>
        <w:tc>
          <w:tcPr>
            <w:tcW w:w="840" w:type="dxa"/>
            <w:vAlign w:val="bottom"/>
          </w:tcPr>
          <w:p>
            <w:pPr>
              <w:ind w:left="640"/>
              <w:spacing w:after="0"/>
              <w:rPr>
                <w:sz w:val="20"/>
                <w:szCs w:val="20"/>
                <w:color w:val="auto"/>
              </w:rPr>
            </w:pPr>
            <w:r>
              <w:rPr>
                <w:rFonts w:ascii="Arial" w:cs="Arial" w:eastAsia="Arial" w:hAnsi="Arial"/>
                <w:sz w:val="18"/>
                <w:szCs w:val="18"/>
                <w:color w:val="0000FF"/>
              </w:rPr>
              <w:t>I0</w:t>
            </w:r>
          </w:p>
        </w:tc>
        <w:tc>
          <w:tcPr>
            <w:tcW w:w="106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75008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8"/>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7"/>
          </w:tcPr>
          <w:p>
            <w:pPr>
              <w:ind w:left="10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color w:val="auto"/>
              </w:rPr>
              <w:t>Person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90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2380" w:type="dxa"/>
            <w:vAlign w:val="bottom"/>
            <w:tcBorders>
              <w:bottom w:val="single" w:sz="8" w:color="2C2C2C"/>
            </w:tcBorders>
            <w:gridSpan w:val="6"/>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5"/>
                <w:szCs w:val="15"/>
                <w:color w:val="auto"/>
              </w:rPr>
            </w:pPr>
          </w:p>
        </w:tc>
        <w:tc>
          <w:tcPr>
            <w:tcW w:w="3740" w:type="dxa"/>
            <w:vAlign w:val="bottom"/>
            <w:gridSpan w:val="11"/>
          </w:tcPr>
          <w:p>
            <w:pPr>
              <w:ind w:left="60"/>
              <w:spacing w:after="0"/>
              <w:rPr>
                <w:sz w:val="20"/>
                <w:szCs w:val="20"/>
                <w:color w:val="auto"/>
              </w:rPr>
            </w:pPr>
            <w:r>
              <w:rPr>
                <w:rFonts w:ascii="Arial" w:cs="Arial" w:eastAsia="Arial" w:hAnsi="Arial"/>
                <w:sz w:val="12"/>
                <w:szCs w:val="12"/>
                <w:b w:val="1"/>
                <w:bCs w:val="1"/>
                <w:color w:val="auto"/>
              </w:rPr>
              <w:t>4. Securities Acquired (A) or Disposed Of   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40" w:type="dxa"/>
            <w:vAlign w:val="bottom"/>
            <w:gridSpan w:val="6"/>
          </w:tcPr>
          <w:p>
            <w:pPr>
              <w:ind w:left="30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vMerge w:val="restart"/>
          </w:tcPr>
          <w:p>
            <w:pPr>
              <w:ind w:left="8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V</w:t>
            </w:r>
          </w:p>
        </w:tc>
        <w:tc>
          <w:tcPr>
            <w:tcW w:w="9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color w:val="0000FF"/>
                <w:w w:val="93"/>
              </w:rPr>
              <w:t>09/16/2014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35"/>
                <w:szCs w:val="35"/>
                <w:color w:val="0000FF"/>
                <w:w w:val="77"/>
                <w:vertAlign w:val="subscript"/>
              </w:rPr>
              <w:t>4,039</w:t>
            </w:r>
            <w:r>
              <w:rPr>
                <w:rFonts w:ascii="Arial" w:cs="Arial" w:eastAsia="Arial" w:hAnsi="Arial"/>
                <w:sz w:val="11"/>
                <w:szCs w:val="11"/>
                <w:color w:val="008000"/>
                <w:w w:val="77"/>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347.7774</w:t>
            </w:r>
            <w:r>
              <w:rPr>
                <w:rFonts w:ascii="Arial" w:cs="Arial" w:eastAsia="Arial" w:hAnsi="Arial"/>
                <w:sz w:val="22"/>
                <w:szCs w:val="22"/>
                <w:color w:val="008000"/>
                <w:w w:val="87"/>
                <w:vertAlign w:val="superscript"/>
              </w:rPr>
              <w:t>(1)(3)</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22,349,512</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color w:val="0000FF"/>
                <w:w w:val="93"/>
              </w:rPr>
              <w:t>09/16/2014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15,031</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349.1198</w:t>
            </w:r>
            <w:r>
              <w:rPr>
                <w:rFonts w:ascii="Arial" w:cs="Arial" w:eastAsia="Arial" w:hAnsi="Arial"/>
                <w:sz w:val="22"/>
                <w:szCs w:val="22"/>
                <w:color w:val="008000"/>
                <w:w w:val="87"/>
                <w:vertAlign w:val="superscript"/>
              </w:rPr>
              <w:t>(1)(5)</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22,364,543</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060" w:type="dxa"/>
            <w:vAlign w:val="bottom"/>
          </w:tcPr>
          <w:p>
            <w:pPr>
              <w:spacing w:after="0"/>
              <w:rPr>
                <w:sz w:val="22"/>
                <w:szCs w:val="22"/>
                <w:color w:val="auto"/>
              </w:rPr>
            </w:pPr>
          </w:p>
        </w:tc>
        <w:tc>
          <w:tcPr>
            <w:tcW w:w="1260" w:type="dxa"/>
            <w:vAlign w:val="bottom"/>
            <w:gridSpan w:val="2"/>
            <w:vMerge w:val="restart"/>
          </w:tcPr>
          <w:p>
            <w:pPr>
              <w:ind w:left="400"/>
              <w:spacing w:after="0"/>
              <w:rPr>
                <w:sz w:val="20"/>
                <w:szCs w:val="20"/>
                <w:color w:val="auto"/>
              </w:rPr>
            </w:pPr>
            <w:r>
              <w:rPr>
                <w:rFonts w:ascii="Arial" w:cs="Arial" w:eastAsia="Arial" w:hAnsi="Arial"/>
                <w:sz w:val="18"/>
                <w:szCs w:val="18"/>
                <w:color w:val="0000FF"/>
                <w:w w:val="93"/>
              </w:rPr>
              <w:t>09/16/2014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8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440" w:type="dxa"/>
            <w:vAlign w:val="bottom"/>
          </w:tcPr>
          <w:p>
            <w:pPr>
              <w:spacing w:after="0"/>
              <w:rPr>
                <w:sz w:val="22"/>
                <w:szCs w:val="22"/>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w w:val="81"/>
              </w:rPr>
              <w:t>12,647</w:t>
            </w:r>
            <w:r>
              <w:rPr>
                <w:rFonts w:ascii="Arial" w:cs="Arial" w:eastAsia="Arial" w:hAnsi="Arial"/>
                <w:sz w:val="22"/>
                <w:szCs w:val="22"/>
                <w:color w:val="008000"/>
                <w:w w:val="81"/>
                <w:vertAlign w:val="superscript"/>
              </w:rPr>
              <w:t>(1)(2)</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0000FF"/>
              </w:rPr>
              <w:t>A</w:t>
            </w:r>
          </w:p>
        </w:tc>
        <w:tc>
          <w:tcPr>
            <w:tcW w:w="1120" w:type="dxa"/>
            <w:vAlign w:val="bottom"/>
            <w:gridSpan w:val="5"/>
            <w:vMerge w:val="restart"/>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349.9076</w:t>
            </w:r>
            <w:r>
              <w:rPr>
                <w:rFonts w:ascii="Arial" w:cs="Arial" w:eastAsia="Arial" w:hAnsi="Arial"/>
                <w:sz w:val="22"/>
                <w:szCs w:val="22"/>
                <w:color w:val="008000"/>
                <w:w w:val="87"/>
                <w:vertAlign w:val="superscript"/>
              </w:rPr>
              <w:t>(1)(6)</w:t>
            </w:r>
          </w:p>
        </w:tc>
        <w:tc>
          <w:tcPr>
            <w:tcW w:w="180" w:type="dxa"/>
            <w:vAlign w:val="bottom"/>
          </w:tcPr>
          <w:p>
            <w:pPr>
              <w:spacing w:after="0"/>
              <w:rPr>
                <w:sz w:val="22"/>
                <w:szCs w:val="22"/>
                <w:color w:val="auto"/>
              </w:rPr>
            </w:pPr>
          </w:p>
        </w:tc>
        <w:tc>
          <w:tcPr>
            <w:tcW w:w="10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w w:val="86"/>
              </w:rPr>
              <w:t>22,377,190</w:t>
            </w:r>
          </w:p>
        </w:tc>
        <w:tc>
          <w:tcPr>
            <w:tcW w:w="38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20"/>
          </w:tcPr>
          <w:p>
            <w:pPr>
              <w:jc w:val="center"/>
              <w:ind w:left="8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40" w:type="dxa"/>
            <w:vAlign w:val="bottom"/>
            <w:gridSpan w:val="18"/>
          </w:tcPr>
          <w:p>
            <w:pPr>
              <w:jc w:val="center"/>
              <w:ind w:left="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0" w:type="dxa"/>
            <w:vAlign w:val="bottom"/>
          </w:tcPr>
          <w:p>
            <w:pPr>
              <w:spacing w:after="0"/>
              <w:rPr>
                <w:sz w:val="15"/>
                <w:szCs w:val="15"/>
                <w:color w:val="auto"/>
              </w:rPr>
            </w:pPr>
          </w:p>
        </w:tc>
        <w:tc>
          <w:tcPr>
            <w:tcW w:w="104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380" w:type="dxa"/>
            <w:vAlign w:val="bottom"/>
          </w:tcPr>
          <w:p>
            <w:pPr>
              <w:ind w:left="200"/>
              <w:spacing w:after="0"/>
              <w:rPr>
                <w:sz w:val="20"/>
                <w:szCs w:val="20"/>
                <w:color w:val="auto"/>
              </w:rPr>
            </w:pPr>
            <w:r>
              <w:rPr>
                <w:rFonts w:ascii="Arial" w:cs="Arial" w:eastAsia="Arial" w:hAnsi="Arial"/>
                <w:sz w:val="12"/>
                <w:szCs w:val="12"/>
                <w:b w:val="1"/>
                <w:bCs w:val="1"/>
                <w:color w:val="auto"/>
                <w:w w:val="95"/>
              </w:rPr>
              <w:t>10.</w:t>
            </w:r>
          </w:p>
        </w:tc>
        <w:tc>
          <w:tcPr>
            <w:tcW w:w="56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5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40" w:type="dxa"/>
            <w:vAlign w:val="bottom"/>
          </w:tcPr>
          <w:p>
            <w:pPr>
              <w:spacing w:after="0"/>
              <w:rPr>
                <w:sz w:val="13"/>
                <w:szCs w:val="13"/>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number of securities reported represents an aggregate number of shares purchased in multiple market transactions over a range of purchase prices. The price reported represents the weighted average price per share. The Reporting Person undertakes to provide the staff of the SEC, the Issuer, or a stockholder of the Issuer, upon request, the number of shares purchased by the Reporting Person at each separate price within the range.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acquired directly by sanofi-aventis Amerique du Nord ("SAAN").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$347.58 to $348.00 per share, inclusive.</w:t>
      </w:r>
    </w:p>
    <w:p>
      <w:pPr>
        <w:spacing w:after="0" w:line="41" w:lineRule="exact"/>
        <w:rPr>
          <w:rFonts w:ascii="Arial" w:cs="Arial" w:eastAsia="Arial" w:hAnsi="Arial"/>
          <w:sz w:val="14"/>
          <w:szCs w:val="14"/>
          <w:color w:val="008000"/>
        </w:rPr>
      </w:pPr>
    </w:p>
    <w:p>
      <w:pPr>
        <w:jc w:val="both"/>
        <w:ind w:left="40" w:right="14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Indirectly owned through (a) SAAN, a direct, wholly-owned subsidiary of Sanofi, and (b) Aventis Pharmaceuticals Inc. ("Aventis"), an indirect, wholly-owned subsidiary of SAAN. After giving effect to all acquisitions reported on this Form 4, the number of shares beneficially owned directly by SAAN and Aventis was 19,577,638 shares and 2,799,552 shares, respectively. Pursuant to the Amended and Restated Investor Agreement, dated as of January 11, 2014, by and among Sanofi, SAAN, sanofi-aventis US LLC, Aventis (collectively, the "Sanofi Parties") and the Issuer, the Sanofi Parties have agreed to vote their respective shares of the Issuer, subject to specified exceptions, in accordance with the recommendation of the Issuer's Board of Directors.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$348.67 to $349.66 per share,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Purchase prices range from $349.71 to $350.00 per share,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John Felitti, Associate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8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President, Corporate Law,</w:t>
      </w:r>
      <w:r>
        <w:rPr>
          <w:sz w:val="20"/>
          <w:szCs w:val="20"/>
          <w:color w:val="auto"/>
        </w:rPr>
        <w:tab/>
      </w:r>
      <w:r>
        <w:rPr>
          <w:rFonts w:ascii="Arial" w:cs="Arial" w:eastAsia="Arial" w:hAnsi="Arial"/>
          <w:sz w:val="15"/>
          <w:szCs w:val="15"/>
          <w:color w:val="0000FF"/>
        </w:rPr>
        <w:t>09/18/2014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Financial &amp;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2230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2140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2019-12-17T06:27:46Z</dcterms:created>
  <dcterms:modified xsi:type="dcterms:W3CDTF">2019-12-17T06:27:46Z</dcterms:modified>
</cp:coreProperties>
</file>