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GOLDBERG MURRAY A</w:t>
              </w:r>
            </w:hyperlink>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0000EE"/>
            </w:tcBorders>
            <w:gridSpan w:val="3"/>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3"/>
          </w:tcPr>
          <w:p>
            <w:pPr>
              <w:spacing w:after="0"/>
              <w:rPr>
                <w:sz w:val="4"/>
                <w:szCs w:val="4"/>
                <w:color w:val="auto"/>
              </w:rPr>
            </w:pPr>
          </w:p>
        </w:tc>
        <w:tc>
          <w:tcPr>
            <w:tcW w:w="1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94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spacing w:after="0"/>
              <w:rPr>
                <w:sz w:val="20"/>
                <w:szCs w:val="20"/>
                <w:color w:val="auto"/>
              </w:rPr>
            </w:pPr>
            <w:r>
              <w:rPr>
                <w:rFonts w:ascii="Arial" w:cs="Arial" w:eastAsia="Arial" w:hAnsi="Arial"/>
                <w:sz w:val="17"/>
                <w:szCs w:val="17"/>
                <w:color w:val="0000FF"/>
              </w:rPr>
              <w:t>SVP Finance and Admin CFO and</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6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05/20/2013</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1,777</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255.52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123,612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9,561</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256.61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114,051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3,516</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257.59</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110,535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8,989</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258.54</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101,546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8,566</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259.48</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92,980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18,542</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260.57</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74,438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8,774</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261.36</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65,664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1,910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262.14</w:t>
            </w:r>
            <w:r>
              <w:rPr>
                <w:rFonts w:ascii="Arial" w:cs="Arial" w:eastAsia="Arial" w:hAnsi="Arial"/>
                <w:sz w:val="22"/>
                <w:szCs w:val="22"/>
                <w:color w:val="008000"/>
                <w:w w:val="88"/>
                <w:vertAlign w:val="superscript"/>
              </w:rPr>
              <w:t>(9)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63,754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263.89</w:t>
            </w:r>
            <w:r>
              <w:rPr>
                <w:rFonts w:ascii="Arial" w:cs="Arial" w:eastAsia="Arial" w:hAnsi="Arial"/>
                <w:sz w:val="22"/>
                <w:szCs w:val="22"/>
                <w:color w:val="008000"/>
                <w:w w:val="86"/>
                <w:vertAlign w:val="superscript"/>
              </w:rPr>
              <w:t>(10)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61,554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05/21/2013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264.61</w:t>
            </w:r>
            <w:r>
              <w:rPr>
                <w:rFonts w:ascii="Arial" w:cs="Arial" w:eastAsia="Arial" w:hAnsi="Arial"/>
                <w:sz w:val="22"/>
                <w:szCs w:val="22"/>
                <w:color w:val="008000"/>
                <w:w w:val="86"/>
                <w:vertAlign w:val="superscript"/>
              </w:rPr>
              <w:t>(11)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58,554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5,618</w:t>
            </w:r>
          </w:p>
        </w:tc>
        <w:tc>
          <w:tcPr>
            <w:tcW w:w="280" w:type="dxa"/>
            <w:vAlign w:val="bottom"/>
          </w:tcPr>
          <w:p>
            <w:pPr>
              <w:spacing w:after="0"/>
              <w:rPr>
                <w:sz w:val="18"/>
                <w:szCs w:val="18"/>
                <w:color w:val="auto"/>
              </w:rPr>
            </w:pPr>
          </w:p>
        </w:tc>
        <w:tc>
          <w:tcPr>
            <w:tcW w:w="700" w:type="dxa"/>
            <w:vAlign w:val="bottom"/>
          </w:tcPr>
          <w:p>
            <w:pPr>
              <w:jc w:val="center"/>
              <w:ind w:right="305"/>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750</w:t>
            </w:r>
          </w:p>
        </w:tc>
        <w:tc>
          <w:tcPr>
            <w:tcW w:w="280" w:type="dxa"/>
            <w:vAlign w:val="bottom"/>
          </w:tcPr>
          <w:p>
            <w:pPr>
              <w:spacing w:after="0"/>
              <w:rPr>
                <w:sz w:val="22"/>
                <w:szCs w:val="22"/>
                <w:color w:val="auto"/>
              </w:rPr>
            </w:pPr>
          </w:p>
        </w:tc>
        <w:tc>
          <w:tcPr>
            <w:tcW w:w="700" w:type="dxa"/>
            <w:vAlign w:val="bottom"/>
            <w:vMerge w:val="restart"/>
          </w:tcPr>
          <w:p>
            <w:pPr>
              <w:jc w:val="center"/>
              <w:ind w:right="305"/>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ind w:right="322"/>
              <w:spacing w:after="0" w:line="134"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80" w:type="dxa"/>
            <w:vAlign w:val="bottom"/>
          </w:tcPr>
          <w:p>
            <w:pPr>
              <w:spacing w:after="0"/>
              <w:rPr>
                <w:sz w:val="12"/>
                <w:szCs w:val="1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gridSpan w:val="2"/>
            <w:vMerge w:val="restart"/>
          </w:tcPr>
          <w:p>
            <w:pPr>
              <w:jc w:val="center"/>
              <w:ind w:left="41"/>
              <w:spacing w:after="0"/>
              <w:rPr>
                <w:sz w:val="20"/>
                <w:szCs w:val="20"/>
                <w:color w:val="auto"/>
              </w:rPr>
            </w:pPr>
            <w:r>
              <w:rPr>
                <w:rFonts w:ascii="Arial" w:cs="Arial" w:eastAsia="Arial" w:hAnsi="Arial"/>
                <w:sz w:val="17"/>
                <w:szCs w:val="17"/>
                <w:color w:val="0000FF"/>
                <w:w w:val="91"/>
              </w:rPr>
              <w:t>952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color w:val="008000"/>
              </w:rPr>
              <w:t>(13)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940" w:type="dxa"/>
            <w:vAlign w:val="bottom"/>
            <w:vMerge w:val="restart"/>
          </w:tcPr>
          <w:p>
            <w:pPr>
              <w:jc w:val="center"/>
              <w:ind w:left="133"/>
              <w:spacing w:after="0" w:line="148" w:lineRule="exact"/>
              <w:rPr>
                <w:sz w:val="20"/>
                <w:szCs w:val="20"/>
                <w:color w:val="auto"/>
              </w:rPr>
            </w:pPr>
            <w:r>
              <w:rPr>
                <w:rFonts w:ascii="Arial" w:cs="Arial" w:eastAsia="Arial" w:hAnsi="Arial"/>
                <w:sz w:val="13"/>
                <w:szCs w:val="13"/>
                <w:color w:val="0000FF"/>
                <w:w w:val="95"/>
              </w:rPr>
              <w:t>05/21/2013</w:t>
            </w: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gridSpan w:val="3"/>
            <w:vMerge w:val="restart"/>
          </w:tcPr>
          <w:p>
            <w:pPr>
              <w:jc w:val="center"/>
              <w:ind w:right="160"/>
              <w:spacing w:after="0" w:line="148"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center"/>
              <w:ind w:left="198"/>
              <w:spacing w:after="0" w:line="148" w:lineRule="exact"/>
              <w:rPr>
                <w:sz w:val="20"/>
                <w:szCs w:val="20"/>
                <w:color w:val="auto"/>
              </w:rPr>
            </w:pPr>
            <w:r>
              <w:rPr>
                <w:rFonts w:ascii="Arial" w:cs="Arial" w:eastAsia="Arial" w:hAnsi="Arial"/>
                <w:sz w:val="13"/>
                <w:szCs w:val="13"/>
                <w:color w:val="0000FF"/>
                <w:w w:val="92"/>
              </w:rPr>
              <w:t>952</w:t>
            </w:r>
          </w:p>
        </w:tc>
        <w:tc>
          <w:tcPr>
            <w:tcW w:w="800" w:type="dxa"/>
            <w:vAlign w:val="bottom"/>
            <w:vMerge w:val="continue"/>
          </w:tcPr>
          <w:p>
            <w:pPr>
              <w:spacing w:after="0"/>
              <w:rPr>
                <w:sz w:val="5"/>
                <w:szCs w:val="5"/>
                <w:color w:val="auto"/>
              </w:rPr>
            </w:pPr>
          </w:p>
        </w:tc>
        <w:tc>
          <w:tcPr>
            <w:tcW w:w="78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12/17/2018</w:t>
            </w:r>
          </w:p>
        </w:tc>
        <w:tc>
          <w:tcPr>
            <w:tcW w:w="58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5,000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80" w:type="dxa"/>
            <w:vAlign w:val="bottom"/>
          </w:tcPr>
          <w:p>
            <w:pPr>
              <w:spacing w:after="0"/>
              <w:rPr>
                <w:sz w:val="12"/>
                <w:szCs w:val="1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gridSpan w:val="2"/>
            <w:vMerge w:val="restart"/>
          </w:tcPr>
          <w:p>
            <w:pPr>
              <w:jc w:val="center"/>
              <w:ind w:left="41"/>
              <w:spacing w:after="0"/>
              <w:rPr>
                <w:sz w:val="20"/>
                <w:szCs w:val="20"/>
                <w:color w:val="auto"/>
              </w:rPr>
            </w:pPr>
            <w:r>
              <w:rPr>
                <w:rFonts w:ascii="Arial" w:cs="Arial" w:eastAsia="Arial" w:hAnsi="Arial"/>
                <w:sz w:val="17"/>
                <w:szCs w:val="17"/>
                <w:color w:val="0000FF"/>
                <w:w w:val="89"/>
              </w:rPr>
              <w:t>3,071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color w:val="008000"/>
              </w:rPr>
              <w:t>(13)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20.32</w:t>
            </w:r>
          </w:p>
        </w:tc>
        <w:tc>
          <w:tcPr>
            <w:tcW w:w="940" w:type="dxa"/>
            <w:vAlign w:val="bottom"/>
            <w:vMerge w:val="restart"/>
          </w:tcPr>
          <w:p>
            <w:pPr>
              <w:jc w:val="center"/>
              <w:ind w:left="133"/>
              <w:spacing w:after="0" w:line="148" w:lineRule="exact"/>
              <w:rPr>
                <w:sz w:val="20"/>
                <w:szCs w:val="20"/>
                <w:color w:val="auto"/>
              </w:rPr>
            </w:pPr>
            <w:r>
              <w:rPr>
                <w:rFonts w:ascii="Arial" w:cs="Arial" w:eastAsia="Arial" w:hAnsi="Arial"/>
                <w:sz w:val="13"/>
                <w:szCs w:val="13"/>
                <w:color w:val="0000FF"/>
                <w:w w:val="95"/>
              </w:rPr>
              <w:t>05/21/2013</w:t>
            </w: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gridSpan w:val="3"/>
            <w:vMerge w:val="restart"/>
          </w:tcPr>
          <w:p>
            <w:pPr>
              <w:jc w:val="center"/>
              <w:ind w:right="160"/>
              <w:spacing w:after="0" w:line="148"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3,071</w:t>
            </w:r>
          </w:p>
        </w:tc>
        <w:tc>
          <w:tcPr>
            <w:tcW w:w="800" w:type="dxa"/>
            <w:vAlign w:val="bottom"/>
            <w:vMerge w:val="continue"/>
          </w:tcPr>
          <w:p>
            <w:pPr>
              <w:spacing w:after="0"/>
              <w:rPr>
                <w:sz w:val="5"/>
                <w:szCs w:val="5"/>
                <w:color w:val="auto"/>
              </w:rPr>
            </w:pPr>
          </w:p>
        </w:tc>
        <w:tc>
          <w:tcPr>
            <w:tcW w:w="78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12/18/2016</w:t>
            </w:r>
          </w:p>
        </w:tc>
        <w:tc>
          <w:tcPr>
            <w:tcW w:w="58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940" w:type="dxa"/>
            <w:vAlign w:val="bottom"/>
          </w:tcPr>
          <w:p>
            <w:pPr>
              <w:jc w:val="center"/>
              <w:ind w:left="133"/>
              <w:spacing w:after="0"/>
              <w:rPr>
                <w:sz w:val="20"/>
                <w:szCs w:val="20"/>
                <w:color w:val="auto"/>
              </w:rPr>
            </w:pPr>
            <w:r>
              <w:rPr>
                <w:rFonts w:ascii="Arial" w:cs="Arial" w:eastAsia="Arial" w:hAnsi="Arial"/>
                <w:sz w:val="13"/>
                <w:szCs w:val="13"/>
                <w:color w:val="0000FF"/>
                <w:w w:val="95"/>
              </w:rPr>
              <w:t>05/20/2013</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4"/>
          </w:tcPr>
          <w:p>
            <w:pPr>
              <w:jc w:val="center"/>
              <w:ind w:right="40"/>
              <w:spacing w:after="0" w:line="212" w:lineRule="exact"/>
              <w:rPr>
                <w:sz w:val="20"/>
                <w:szCs w:val="20"/>
                <w:color w:val="auto"/>
              </w:rPr>
            </w:pPr>
            <w:r>
              <w:rPr>
                <w:rFonts w:ascii="Arial" w:cs="Arial" w:eastAsia="Arial" w:hAnsi="Arial"/>
                <w:sz w:val="24"/>
                <w:szCs w:val="24"/>
                <w:color w:val="0000FF"/>
                <w:w w:val="89"/>
                <w:vertAlign w:val="subscript"/>
              </w:rPr>
              <w:t>M</w:t>
            </w:r>
            <w:r>
              <w:rPr>
                <w:rFonts w:ascii="Arial" w:cs="Arial" w:eastAsia="Arial" w:hAnsi="Arial"/>
                <w:sz w:val="11"/>
                <w:szCs w:val="11"/>
                <w:color w:val="008000"/>
                <w:w w:val="89"/>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center"/>
              <w:ind w:left="178"/>
              <w:spacing w:after="0"/>
              <w:rPr>
                <w:sz w:val="20"/>
                <w:szCs w:val="20"/>
                <w:color w:val="auto"/>
              </w:rPr>
            </w:pPr>
            <w:r>
              <w:rPr>
                <w:rFonts w:ascii="Arial" w:cs="Arial" w:eastAsia="Arial" w:hAnsi="Arial"/>
                <w:sz w:val="13"/>
                <w:szCs w:val="13"/>
                <w:color w:val="0000FF"/>
                <w:w w:val="95"/>
              </w:rPr>
              <w:t>12,798</w:t>
            </w:r>
          </w:p>
        </w:tc>
        <w:tc>
          <w:tcPr>
            <w:tcW w:w="800" w:type="dxa"/>
            <w:vAlign w:val="bottom"/>
          </w:tcPr>
          <w:p>
            <w:pPr>
              <w:ind w:left="320"/>
              <w:spacing w:after="0"/>
              <w:rPr>
                <w:sz w:val="20"/>
                <w:szCs w:val="20"/>
                <w:color w:val="auto"/>
              </w:rPr>
            </w:pPr>
            <w:r>
              <w:rPr>
                <w:rFonts w:ascii="Arial" w:cs="Arial" w:eastAsia="Arial" w:hAnsi="Arial"/>
                <w:sz w:val="11"/>
                <w:szCs w:val="11"/>
                <w:color w:val="008000"/>
              </w:rPr>
              <w:t>(12)</w:t>
            </w:r>
          </w:p>
        </w:tc>
        <w:tc>
          <w:tcPr>
            <w:tcW w:w="780" w:type="dxa"/>
            <w:vAlign w:val="bottom"/>
          </w:tcPr>
          <w:p>
            <w:pPr>
              <w:ind w:left="100"/>
              <w:spacing w:after="0"/>
              <w:rPr>
                <w:sz w:val="20"/>
                <w:szCs w:val="20"/>
                <w:color w:val="auto"/>
              </w:rPr>
            </w:pPr>
            <w:r>
              <w:rPr>
                <w:rFonts w:ascii="Arial" w:cs="Arial" w:eastAsia="Arial" w:hAnsi="Arial"/>
                <w:sz w:val="13"/>
                <w:szCs w:val="13"/>
                <w:color w:val="0000FF"/>
              </w:rPr>
              <w:t>12/17/2018</w:t>
            </w:r>
          </w:p>
        </w:tc>
        <w:tc>
          <w:tcPr>
            <w:tcW w:w="58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gridSpan w:val="2"/>
          </w:tcPr>
          <w:p>
            <w:pPr>
              <w:jc w:val="center"/>
              <w:ind w:left="21"/>
              <w:spacing w:after="0"/>
              <w:rPr>
                <w:sz w:val="20"/>
                <w:szCs w:val="20"/>
                <w:color w:val="auto"/>
              </w:rPr>
            </w:pPr>
            <w:r>
              <w:rPr>
                <w:rFonts w:ascii="Arial" w:cs="Arial" w:eastAsia="Arial" w:hAnsi="Arial"/>
                <w:sz w:val="17"/>
                <w:szCs w:val="17"/>
                <w:color w:val="0000FF"/>
                <w:w w:val="92"/>
              </w:rPr>
              <w:t>12,798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ind w:left="80"/>
              <w:spacing w:after="0"/>
              <w:rPr>
                <w:sz w:val="20"/>
                <w:szCs w:val="20"/>
                <w:color w:val="auto"/>
              </w:rPr>
            </w:pPr>
            <w:r>
              <w:rPr>
                <w:rFonts w:ascii="Arial" w:cs="Arial" w:eastAsia="Arial" w:hAnsi="Arial"/>
                <w:sz w:val="11"/>
                <w:szCs w:val="11"/>
                <w:color w:val="008000"/>
              </w:rPr>
              <w:t>(13)</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56,250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690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69024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8"/>
                <w:szCs w:val="18"/>
                <w:color w:val="auto"/>
              </w:rPr>
            </w:pPr>
          </w:p>
        </w:tc>
        <w:tc>
          <w:tcPr>
            <w:tcW w:w="8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20" w:type="dxa"/>
            <w:vAlign w:val="bottom"/>
          </w:tcPr>
          <w:p>
            <w:pPr>
              <w:jc w:val="center"/>
              <w:ind w:left="257"/>
              <w:spacing w:after="0"/>
              <w:rPr>
                <w:sz w:val="20"/>
                <w:szCs w:val="20"/>
                <w:color w:val="auto"/>
              </w:rPr>
            </w:pPr>
            <w:r>
              <w:rPr>
                <w:rFonts w:ascii="Arial" w:cs="Arial" w:eastAsia="Arial" w:hAnsi="Arial"/>
                <w:sz w:val="13"/>
                <w:szCs w:val="13"/>
                <w:color w:val="0000FF"/>
                <w:w w:val="95"/>
              </w:rPr>
              <w:t>16,250</w:t>
            </w:r>
          </w:p>
        </w:tc>
        <w:tc>
          <w:tcPr>
            <w:tcW w:w="82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3"/>
              <w:spacing w:after="0"/>
              <w:rPr>
                <w:sz w:val="20"/>
                <w:szCs w:val="20"/>
                <w:color w:val="auto"/>
              </w:rPr>
            </w:pPr>
            <w:r>
              <w:rPr>
                <w:rFonts w:ascii="Arial" w:cs="Arial" w:eastAsia="Arial" w:hAnsi="Arial"/>
                <w:sz w:val="17"/>
                <w:szCs w:val="17"/>
                <w:color w:val="0000FF"/>
                <w:w w:val="92"/>
              </w:rPr>
              <w:t>16,250</w:t>
            </w:r>
          </w:p>
        </w:tc>
        <w:tc>
          <w:tcPr>
            <w:tcW w:w="720" w:type="dxa"/>
            <w:vAlign w:val="bottom"/>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tcPr>
          <w:p>
            <w:pPr>
              <w:jc w:val="center"/>
              <w:spacing w:after="0"/>
              <w:rPr>
                <w:sz w:val="20"/>
                <w:szCs w:val="20"/>
                <w:color w:val="auto"/>
              </w:rPr>
            </w:pPr>
            <w:r>
              <w:rPr>
                <w:rFonts w:ascii="Arial" w:cs="Arial" w:eastAsia="Arial" w:hAnsi="Arial"/>
                <w:sz w:val="13"/>
                <w:szCs w:val="13"/>
                <w:color w:val="0000FF"/>
                <w:w w:val="90"/>
              </w:rPr>
              <w:t>40,000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jc w:val="center"/>
              <w:ind w:right="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8"/>
                <w:szCs w:val="18"/>
                <w:color w:val="auto"/>
              </w:rPr>
            </w:pPr>
          </w:p>
        </w:tc>
        <w:tc>
          <w:tcPr>
            <w:tcW w:w="8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20" w:type="dxa"/>
            <w:vAlign w:val="bottom"/>
          </w:tcPr>
          <w:p>
            <w:pPr>
              <w:jc w:val="center"/>
              <w:ind w:left="257"/>
              <w:spacing w:after="0"/>
              <w:rPr>
                <w:sz w:val="20"/>
                <w:szCs w:val="20"/>
                <w:color w:val="auto"/>
              </w:rPr>
            </w:pPr>
            <w:r>
              <w:rPr>
                <w:rFonts w:ascii="Arial" w:cs="Arial" w:eastAsia="Arial" w:hAnsi="Arial"/>
                <w:sz w:val="13"/>
                <w:szCs w:val="13"/>
                <w:color w:val="0000FF"/>
                <w:w w:val="95"/>
              </w:rPr>
              <w:t>20,000</w:t>
            </w:r>
          </w:p>
        </w:tc>
        <w:tc>
          <w:tcPr>
            <w:tcW w:w="82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700" w:type="dxa"/>
            <w:vAlign w:val="bottom"/>
          </w:tcPr>
          <w:p>
            <w:pPr>
              <w:jc w:val="center"/>
              <w:ind w:right="20"/>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3"/>
              <w:spacing w:after="0"/>
              <w:rPr>
                <w:sz w:val="20"/>
                <w:szCs w:val="20"/>
                <w:color w:val="auto"/>
              </w:rPr>
            </w:pPr>
            <w:r>
              <w:rPr>
                <w:rFonts w:ascii="Arial" w:cs="Arial" w:eastAsia="Arial" w:hAnsi="Arial"/>
                <w:sz w:val="17"/>
                <w:szCs w:val="17"/>
                <w:color w:val="0000FF"/>
                <w:w w:val="92"/>
              </w:rPr>
              <w:t>20,000</w:t>
            </w:r>
          </w:p>
        </w:tc>
        <w:tc>
          <w:tcPr>
            <w:tcW w:w="720" w:type="dxa"/>
            <w:vAlign w:val="bottom"/>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tcPr>
          <w:p>
            <w:pPr>
              <w:jc w:val="center"/>
              <w:spacing w:after="0"/>
              <w:rPr>
                <w:sz w:val="20"/>
                <w:szCs w:val="20"/>
                <w:color w:val="auto"/>
              </w:rPr>
            </w:pPr>
            <w:r>
              <w:rPr>
                <w:rFonts w:ascii="Arial" w:cs="Arial" w:eastAsia="Arial" w:hAnsi="Arial"/>
                <w:sz w:val="13"/>
                <w:szCs w:val="13"/>
                <w:color w:val="0000FF"/>
                <w:w w:val="90"/>
              </w:rPr>
              <w:t>20,000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jc w:val="center"/>
              <w:ind w:right="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8"/>
                <w:szCs w:val="18"/>
                <w:color w:val="auto"/>
              </w:rPr>
            </w:pPr>
          </w:p>
        </w:tc>
        <w:tc>
          <w:tcPr>
            <w:tcW w:w="8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20" w:type="dxa"/>
            <w:vAlign w:val="bottom"/>
          </w:tcPr>
          <w:p>
            <w:pPr>
              <w:jc w:val="center"/>
              <w:ind w:left="257"/>
              <w:spacing w:after="0"/>
              <w:rPr>
                <w:sz w:val="20"/>
                <w:szCs w:val="20"/>
                <w:color w:val="auto"/>
              </w:rPr>
            </w:pPr>
            <w:r>
              <w:rPr>
                <w:rFonts w:ascii="Arial" w:cs="Arial" w:eastAsia="Arial" w:hAnsi="Arial"/>
                <w:sz w:val="13"/>
                <w:szCs w:val="13"/>
                <w:color w:val="0000FF"/>
                <w:w w:val="95"/>
              </w:rPr>
              <w:t>20,000</w:t>
            </w:r>
          </w:p>
        </w:tc>
        <w:tc>
          <w:tcPr>
            <w:tcW w:w="82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700" w:type="dxa"/>
            <w:vAlign w:val="bottom"/>
          </w:tcPr>
          <w:p>
            <w:pPr>
              <w:jc w:val="center"/>
              <w:ind w:right="20"/>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3"/>
              <w:spacing w:after="0"/>
              <w:rPr>
                <w:sz w:val="20"/>
                <w:szCs w:val="20"/>
                <w:color w:val="auto"/>
              </w:rPr>
            </w:pPr>
            <w:r>
              <w:rPr>
                <w:rFonts w:ascii="Arial" w:cs="Arial" w:eastAsia="Arial" w:hAnsi="Arial"/>
                <w:sz w:val="17"/>
                <w:szCs w:val="17"/>
                <w:color w:val="0000FF"/>
                <w:w w:val="92"/>
              </w:rPr>
              <w:t>20,000</w:t>
            </w:r>
          </w:p>
        </w:tc>
        <w:tc>
          <w:tcPr>
            <w:tcW w:w="720" w:type="dxa"/>
            <w:vAlign w:val="bottom"/>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jc w:val="center"/>
              <w:ind w:right="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21.25</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8"/>
                <w:szCs w:val="18"/>
                <w:color w:val="auto"/>
              </w:rPr>
            </w:pPr>
          </w:p>
        </w:tc>
        <w:tc>
          <w:tcPr>
            <w:tcW w:w="8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20" w:type="dxa"/>
            <w:vAlign w:val="bottom"/>
          </w:tcPr>
          <w:p>
            <w:pPr>
              <w:jc w:val="center"/>
              <w:ind w:left="257"/>
              <w:spacing w:after="0"/>
              <w:rPr>
                <w:sz w:val="20"/>
                <w:szCs w:val="20"/>
                <w:color w:val="auto"/>
              </w:rPr>
            </w:pPr>
            <w:r>
              <w:rPr>
                <w:rFonts w:ascii="Arial" w:cs="Arial" w:eastAsia="Arial" w:hAnsi="Arial"/>
                <w:sz w:val="13"/>
                <w:szCs w:val="13"/>
                <w:color w:val="0000FF"/>
                <w:w w:val="95"/>
              </w:rPr>
              <w:t>50,000</w:t>
            </w:r>
          </w:p>
        </w:tc>
        <w:tc>
          <w:tcPr>
            <w:tcW w:w="820" w:type="dxa"/>
            <w:vAlign w:val="bottom"/>
          </w:tcPr>
          <w:p>
            <w:pPr>
              <w:jc w:val="center"/>
              <w:spacing w:after="0"/>
              <w:rPr>
                <w:sz w:val="20"/>
                <w:szCs w:val="20"/>
                <w:color w:val="auto"/>
              </w:rPr>
            </w:pPr>
            <w:r>
              <w:rPr>
                <w:rFonts w:ascii="Arial" w:cs="Arial" w:eastAsia="Arial" w:hAnsi="Arial"/>
                <w:sz w:val="11"/>
                <w:szCs w:val="11"/>
                <w:color w:val="008000"/>
                <w:w w:val="91"/>
              </w:rPr>
              <w:t>(15)</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jc w:val="center"/>
              <w:ind w:right="20"/>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3"/>
              <w:spacing w:after="0"/>
              <w:rPr>
                <w:sz w:val="20"/>
                <w:szCs w:val="20"/>
                <w:color w:val="auto"/>
              </w:rPr>
            </w:pPr>
            <w:r>
              <w:rPr>
                <w:rFonts w:ascii="Arial" w:cs="Arial" w:eastAsia="Arial" w:hAnsi="Arial"/>
                <w:sz w:val="17"/>
                <w:szCs w:val="17"/>
                <w:color w:val="0000FF"/>
                <w:w w:val="92"/>
              </w:rPr>
              <w:t>50,000</w:t>
            </w:r>
          </w:p>
        </w:tc>
        <w:tc>
          <w:tcPr>
            <w:tcW w:w="720" w:type="dxa"/>
            <w:vAlign w:val="bottom"/>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tcPr>
          <w:p>
            <w:pPr>
              <w:jc w:val="center"/>
              <w:spacing w:after="0"/>
              <w:rPr>
                <w:sz w:val="20"/>
                <w:szCs w:val="20"/>
                <w:color w:val="auto"/>
              </w:rPr>
            </w:pPr>
            <w:r>
              <w:rPr>
                <w:rFonts w:ascii="Arial" w:cs="Arial" w:eastAsia="Arial" w:hAnsi="Arial"/>
                <w:sz w:val="13"/>
                <w:szCs w:val="13"/>
                <w:color w:val="0000FF"/>
                <w:w w:val="90"/>
              </w:rPr>
              <w:t>29,670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jc w:val="center"/>
              <w:ind w:right="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21.25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2"/>
                <w:szCs w:val="12"/>
                <w:color w:val="auto"/>
              </w:rPr>
            </w:pPr>
          </w:p>
        </w:tc>
        <w:tc>
          <w:tcPr>
            <w:tcW w:w="840" w:type="dxa"/>
            <w:vAlign w:val="bottom"/>
            <w:vMerge w:val="restart"/>
          </w:tcPr>
          <w:p>
            <w:pPr>
              <w:ind w:left="100"/>
              <w:spacing w:after="0" w:line="27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vMerge w:val="restart"/>
          </w:tcPr>
          <w:p>
            <w:pPr>
              <w:jc w:val="center"/>
              <w:ind w:left="257"/>
              <w:spacing w:after="0"/>
              <w:rPr>
                <w:sz w:val="20"/>
                <w:szCs w:val="20"/>
                <w:color w:val="auto"/>
              </w:rPr>
            </w:pPr>
            <w:r>
              <w:rPr>
                <w:rFonts w:ascii="Arial" w:cs="Arial" w:eastAsia="Arial" w:hAnsi="Arial"/>
                <w:sz w:val="13"/>
                <w:szCs w:val="13"/>
                <w:color w:val="0000FF"/>
                <w:w w:val="92"/>
              </w:rPr>
              <w:t>6,250</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jc w:val="center"/>
              <w:ind w:right="20"/>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6,250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0"/>
              </w:rPr>
              <w:t>23,420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21.25</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8"/>
                <w:szCs w:val="18"/>
                <w:color w:val="auto"/>
              </w:rPr>
            </w:pPr>
          </w:p>
        </w:tc>
        <w:tc>
          <w:tcPr>
            <w:tcW w:w="8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20" w:type="dxa"/>
            <w:vAlign w:val="bottom"/>
          </w:tcPr>
          <w:p>
            <w:pPr>
              <w:jc w:val="center"/>
              <w:ind w:left="257"/>
              <w:spacing w:after="0"/>
              <w:rPr>
                <w:sz w:val="20"/>
                <w:szCs w:val="20"/>
                <w:color w:val="auto"/>
              </w:rPr>
            </w:pPr>
            <w:r>
              <w:rPr>
                <w:rFonts w:ascii="Arial" w:cs="Arial" w:eastAsia="Arial" w:hAnsi="Arial"/>
                <w:sz w:val="13"/>
                <w:szCs w:val="13"/>
                <w:color w:val="0000FF"/>
                <w:w w:val="95"/>
              </w:rPr>
              <w:t>15,000</w:t>
            </w:r>
          </w:p>
        </w:tc>
        <w:tc>
          <w:tcPr>
            <w:tcW w:w="820" w:type="dxa"/>
            <w:vAlign w:val="bottom"/>
          </w:tcPr>
          <w:p>
            <w:pPr>
              <w:jc w:val="center"/>
              <w:spacing w:after="0"/>
              <w:rPr>
                <w:sz w:val="20"/>
                <w:szCs w:val="20"/>
                <w:color w:val="auto"/>
              </w:rPr>
            </w:pPr>
            <w:r>
              <w:rPr>
                <w:rFonts w:ascii="Arial" w:cs="Arial" w:eastAsia="Arial" w:hAnsi="Arial"/>
                <w:sz w:val="11"/>
                <w:szCs w:val="11"/>
                <w:color w:val="008000"/>
                <w:w w:val="91"/>
              </w:rPr>
              <w:t>(12)</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jc w:val="center"/>
              <w:ind w:right="20"/>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3"/>
              <w:spacing w:after="0"/>
              <w:rPr>
                <w:sz w:val="20"/>
                <w:szCs w:val="20"/>
                <w:color w:val="auto"/>
              </w:rPr>
            </w:pPr>
            <w:r>
              <w:rPr>
                <w:rFonts w:ascii="Arial" w:cs="Arial" w:eastAsia="Arial" w:hAnsi="Arial"/>
                <w:sz w:val="17"/>
                <w:szCs w:val="17"/>
                <w:color w:val="0000FF"/>
                <w:w w:val="92"/>
              </w:rPr>
              <w:t>15,000</w:t>
            </w:r>
          </w:p>
        </w:tc>
        <w:tc>
          <w:tcPr>
            <w:tcW w:w="720" w:type="dxa"/>
            <w:vAlign w:val="bottom"/>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tcPr>
          <w:p>
            <w:pPr>
              <w:jc w:val="center"/>
              <w:spacing w:after="0"/>
              <w:rPr>
                <w:sz w:val="20"/>
                <w:szCs w:val="20"/>
                <w:color w:val="auto"/>
              </w:rPr>
            </w:pPr>
            <w:r>
              <w:rPr>
                <w:rFonts w:ascii="Arial" w:cs="Arial" w:eastAsia="Arial" w:hAnsi="Arial"/>
                <w:sz w:val="13"/>
                <w:szCs w:val="13"/>
                <w:color w:val="0000FF"/>
                <w:w w:val="92"/>
              </w:rPr>
              <w:t>8,420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jc w:val="center"/>
              <w:ind w:right="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21.25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2"/>
                <w:szCs w:val="12"/>
                <w:color w:val="auto"/>
              </w:rPr>
            </w:pPr>
          </w:p>
        </w:tc>
        <w:tc>
          <w:tcPr>
            <w:tcW w:w="840" w:type="dxa"/>
            <w:vAlign w:val="bottom"/>
            <w:vMerge w:val="restart"/>
          </w:tcPr>
          <w:p>
            <w:pPr>
              <w:ind w:left="100"/>
              <w:spacing w:after="0" w:line="27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vMerge w:val="restart"/>
          </w:tcPr>
          <w:p>
            <w:pPr>
              <w:jc w:val="center"/>
              <w:ind w:left="257"/>
              <w:spacing w:after="0"/>
              <w:rPr>
                <w:sz w:val="20"/>
                <w:szCs w:val="20"/>
                <w:color w:val="auto"/>
              </w:rPr>
            </w:pPr>
            <w:r>
              <w:rPr>
                <w:rFonts w:ascii="Arial" w:cs="Arial" w:eastAsia="Arial" w:hAnsi="Arial"/>
                <w:sz w:val="13"/>
                <w:szCs w:val="13"/>
                <w:color w:val="0000FF"/>
                <w:w w:val="92"/>
              </w:rPr>
              <w:t>3,750</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jc w:val="center"/>
              <w:ind w:right="20"/>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3,750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4,670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53.18</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05/20/2013</w:t>
            </w:r>
          </w:p>
        </w:tc>
        <w:tc>
          <w:tcPr>
            <w:tcW w:w="1120" w:type="dxa"/>
            <w:vAlign w:val="bottom"/>
          </w:tcPr>
          <w:p>
            <w:pPr>
              <w:spacing w:after="0"/>
              <w:rPr>
                <w:sz w:val="12"/>
                <w:szCs w:val="12"/>
                <w:color w:val="auto"/>
              </w:rPr>
            </w:pPr>
          </w:p>
        </w:tc>
        <w:tc>
          <w:tcPr>
            <w:tcW w:w="840" w:type="dxa"/>
            <w:vAlign w:val="bottom"/>
            <w:vMerge w:val="restart"/>
          </w:tcPr>
          <w:p>
            <w:pPr>
              <w:ind w:left="100"/>
              <w:spacing w:after="0" w:line="27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vMerge w:val="restart"/>
          </w:tcPr>
          <w:p>
            <w:pPr>
              <w:jc w:val="center"/>
              <w:ind w:left="257"/>
              <w:spacing w:after="0"/>
              <w:rPr>
                <w:sz w:val="20"/>
                <w:szCs w:val="20"/>
                <w:color w:val="auto"/>
              </w:rPr>
            </w:pPr>
            <w:r>
              <w:rPr>
                <w:rFonts w:ascii="Arial" w:cs="Arial" w:eastAsia="Arial" w:hAnsi="Arial"/>
                <w:sz w:val="13"/>
                <w:szCs w:val="13"/>
                <w:color w:val="0000FF"/>
                <w:w w:val="92"/>
              </w:rPr>
              <w:t>3,919</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000FF"/>
                <w:w w:val="92"/>
              </w:rPr>
              <w:t>07/27/2011</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12/15/2014</w:t>
            </w:r>
          </w:p>
        </w:tc>
        <w:tc>
          <w:tcPr>
            <w:tcW w:w="700" w:type="dxa"/>
            <w:vAlign w:val="bottom"/>
          </w:tcPr>
          <w:p>
            <w:pPr>
              <w:jc w:val="center"/>
              <w:ind w:right="20"/>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3,919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jc w:val="center"/>
              <w:ind w:right="20"/>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1,777 shares of Company stock on May 21, 2013 at prices ranging from $255.29 to $255.85.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9,561 shares of Company stock on May 21, 2013 at prices ranging from $256.26 to $256.99.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3,516 shares of Company stock on May 21, 2013 at prices ranging from $257.15 to $257.90.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8,989 shares of Company stock on May 21, 2013 at prices ranging from $258.00 to $258.97.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8,566 shares of Company stock on May 21, 2013 at prices ranging from $259.00 to $259.98. Upon request by the Commission staff, the Company, or a security holder of the Company, the reporting person will provide full information regarding the number of shares sold by the reporting person on May 21, 2013 at each separate price.</w:t>
      </w:r>
    </w:p>
    <w:p>
      <w:pPr>
        <w:ind w:left="20" w:right="22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18,542 shares of Company stock on May 21, 2013 at prices ranging from $260.00 to $260.98.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8,774 shares of Company stock on May 21, 2013 at prices ranging from $261.00 to $261.73. Upon request by the Commission staff, the Company, or a security holder of the Company, the reporting person will provide full information regarding the number of shares sold by the reporting person on May 21, 2013 at each separate price.</w:t>
      </w:r>
    </w:p>
    <w:p>
      <w:pPr>
        <w:ind w:left="20" w:right="30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1,910 shares of Company stock on May 21, 2013 at prices ranging from $262.06 to $262.23. Upon request by the Commission staff, the Company, or a security holder of the Company, the reporting person will provide full information regarding the number of shares sold by the reporting person on May 21, 2013 at each separate price.</w:t>
      </w:r>
    </w:p>
    <w:p>
      <w:pPr>
        <w:ind w:left="20" w:right="220" w:firstLine="8"/>
        <w:spacing w:after="0" w:line="303" w:lineRule="auto"/>
        <w:tabs>
          <w:tab w:leader="none" w:pos="22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2,200 shares of Company stock on May 21, 2013 at prices ranging from $263.58 to $263.99. Upon request by the Commission staff, the Company, or a security holder of the Company, the reporting person will provide full information regarding the number of shares sold by the reporting person on May 21, 2013 at each separate price.</w:t>
      </w:r>
    </w:p>
    <w:p>
      <w:pPr>
        <w:ind w:left="20" w:right="220" w:firstLine="8"/>
        <w:spacing w:after="0" w:line="303" w:lineRule="auto"/>
        <w:tabs>
          <w:tab w:leader="none" w:pos="21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3,000 shares of Company stock on May 21, 2013 at prices ranging from $264.26 to $264.96. Upon request by the Commission staff, the Company, or a security holder of the Company, the reporting person will provide full information regarding the number of shares sold by the reporting person on May 21, 2013 at each separate price.</w:t>
      </w:r>
    </w:p>
    <w:p>
      <w:pPr>
        <w:ind w:left="220" w:hanging="19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1" w:lineRule="exact"/>
        <w:rPr>
          <w:rFonts w:ascii="Arial" w:cs="Arial" w:eastAsia="Arial" w:hAnsi="Arial"/>
          <w:sz w:val="13"/>
          <w:szCs w:val="13"/>
          <w:color w:val="008000"/>
        </w:rPr>
      </w:pPr>
    </w:p>
    <w:p>
      <w:pPr>
        <w:ind w:left="220" w:hanging="19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1" w:lineRule="exact"/>
        <w:rPr>
          <w:rFonts w:ascii="Arial" w:cs="Arial" w:eastAsia="Arial" w:hAnsi="Arial"/>
          <w:sz w:val="13"/>
          <w:szCs w:val="13"/>
          <w:color w:val="008000"/>
        </w:rPr>
      </w:pPr>
    </w:p>
    <w:p>
      <w:pPr>
        <w:ind w:left="20" w:right="460" w:firstLine="8"/>
        <w:spacing w:after="0" w:line="272" w:lineRule="auto"/>
        <w:tabs>
          <w:tab w:leader="none" w:pos="2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17, 2008, the reporting person was granted an option to purchase 56,250 shares of Common Stock. The option was eligible to vest, partially or in full, on December 31, 2011, based on the extent to which the company satisfied certain performance criteria. The performance criteria were met and the option vested as to all shares.</w:t>
      </w:r>
    </w:p>
    <w:p>
      <w:pPr>
        <w:spacing w:after="0" w:line="9" w:lineRule="exact"/>
        <w:rPr>
          <w:rFonts w:ascii="Arial" w:cs="Arial" w:eastAsia="Arial" w:hAnsi="Arial"/>
          <w:sz w:val="13"/>
          <w:szCs w:val="13"/>
          <w:color w:val="008000"/>
        </w:rPr>
      </w:pPr>
    </w:p>
    <w:p>
      <w:pPr>
        <w:ind w:left="20" w:right="460" w:firstLine="8"/>
        <w:spacing w:after="0" w:line="272" w:lineRule="auto"/>
        <w:tabs>
          <w:tab w:leader="none" w:pos="2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14, 2009, the reporting person was granted an option to purchase 56,250 shares of Common Stock. The option was eligible to vest, partially or in full, on December 31, 2012, based on the extent to which the company satisfied certain performance criteria. The performance criteria were met and the option vested as to all shares.</w:t>
      </w:r>
    </w:p>
    <w:p>
      <w:pPr>
        <w:spacing w:after="0" w:line="2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/s/**Murray A. Goldberg</w:t>
            </w:r>
          </w:p>
        </w:tc>
        <w:tc>
          <w:tcPr>
            <w:tcW w:w="5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05/22/2013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65" w:orient="portrait"/>
          <w:cols w:equalWidth="0" w:num="1">
            <w:col w:w="11500"/>
          </w:cols>
          <w:pgMar w:left="260" w:top="188" w:right="13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2019-12-18T10:10:42Z</dcterms:created>
  <dcterms:modified xsi:type="dcterms:W3CDTF">2019-12-18T10:10:42Z</dcterms:modified>
</cp:coreProperties>
</file>