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7"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1)(1)</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75886F107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2005</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ind w:right="1879" w:firstLine="8"/>
        <w:spacing w:after="0" w:line="237"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The</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information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required</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the remainder of</w:t>
            </w:r>
          </w:p>
        </w:tc>
        <w:tc>
          <w:tcPr>
            <w:tcW w:w="29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this cover page shall not</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be deemed to be "filed"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w:t>
            </w:r>
          </w:p>
        </w:tc>
        <w:tc>
          <w:tcPr>
            <w:tcW w:w="5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purpose of Section 18 of the Securities Exchange</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Act of 1934</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("Act") or otherwise</w:t>
            </w:r>
          </w:p>
        </w:tc>
        <w:tc>
          <w:tcPr>
            <w:tcW w:w="5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subject to the liabilities of that section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Act but</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shall be subject to</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all</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other provisions</w:t>
            </w:r>
          </w:p>
        </w:tc>
        <w:tc>
          <w:tcPr>
            <w:tcW w:w="2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of the Act (however, see</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Notes).</w:t>
            </w: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5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75886F105</w:t>
      </w:r>
    </w:p>
    <w:p>
      <w:pPr>
        <w:spacing w:after="0" w:line="201" w:lineRule="exact"/>
        <w:rPr>
          <w:sz w:val="20"/>
          <w:szCs w:val="20"/>
          <w:color w:val="auto"/>
        </w:rPr>
      </w:pPr>
    </w:p>
    <w:p>
      <w:pPr>
        <w:ind w:left="1380" w:hanging="1372"/>
        <w:spacing w:after="0"/>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38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P. ROY VAGELOS, M.D.</w:t>
      </w:r>
    </w:p>
    <w:p>
      <w:pPr>
        <w:spacing w:after="0" w:line="203" w:lineRule="exact"/>
        <w:rPr>
          <w:sz w:val="20"/>
          <w:szCs w:val="20"/>
          <w:color w:val="auto"/>
        </w:rPr>
      </w:pPr>
    </w:p>
    <w:p>
      <w:pPr>
        <w:ind w:left="1380" w:hanging="1372"/>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 ]</w:t>
      </w:r>
    </w:p>
    <w:p>
      <w:pPr>
        <w:ind w:left="7060" w:hanging="415"/>
        <w:spacing w:after="0" w:line="238" w:lineRule="auto"/>
        <w:tabs>
          <w:tab w:leader="none" w:pos="7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380" w:hanging="1372"/>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1380" w:right="5059" w:hanging="1372"/>
        <w:spacing w:after="0" w:line="290" w:lineRule="auto"/>
        <w:tabs>
          <w:tab w:leader="none" w:pos="13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2,451,139 (SEE ITEM 4)</w:t>
            </w:r>
          </w:p>
        </w:tc>
      </w:tr>
      <w:tr>
        <w:trPr>
          <w:trHeight w:val="405"/>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491,414 (SEE ITEM 4)</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2,451,139 (SEE ITEM 4)</w:t>
            </w:r>
          </w:p>
        </w:tc>
      </w:tr>
      <w:tr>
        <w:trPr>
          <w:trHeight w:val="203"/>
        </w:trPr>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491,414 (SEE ITEM 4)</w:t>
            </w:r>
          </w:p>
        </w:tc>
      </w:tr>
    </w:tbl>
    <w:p>
      <w:pPr>
        <w:spacing w:after="0" w:line="207" w:lineRule="exact"/>
        <w:rPr>
          <w:sz w:val="20"/>
          <w:szCs w:val="20"/>
          <w:color w:val="auto"/>
        </w:rPr>
      </w:pPr>
    </w:p>
    <w:p>
      <w:pPr>
        <w:ind w:left="1380" w:right="2519" w:hanging="1372"/>
        <w:spacing w:after="0" w:line="235"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2,942,553 (SEE ITEM 4)</w:t>
      </w:r>
    </w:p>
    <w:p>
      <w:pPr>
        <w:spacing w:after="0" w:line="208" w:lineRule="exact"/>
        <w:rPr>
          <w:sz w:val="20"/>
          <w:szCs w:val="20"/>
          <w:color w:val="auto"/>
        </w:rPr>
      </w:pPr>
    </w:p>
    <w:p>
      <w:pPr>
        <w:ind w:left="1380" w:right="2419" w:hanging="1372"/>
        <w:spacing w:after="0" w:line="235"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8" w:lineRule="exact"/>
        <w:rPr>
          <w:rFonts w:ascii="Courier New" w:cs="Courier New" w:eastAsia="Courier New" w:hAnsi="Courier New"/>
          <w:sz w:val="18"/>
          <w:szCs w:val="18"/>
          <w:color w:val="auto"/>
        </w:rPr>
      </w:pPr>
    </w:p>
    <w:p>
      <w:pPr>
        <w:ind w:left="1380" w:right="3899" w:hanging="1372"/>
        <w:spacing w:after="0" w:line="235"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 (SEE ITEM 4)</w:t>
      </w:r>
    </w:p>
    <w:p>
      <w:pPr>
        <w:spacing w:after="0" w:line="208" w:lineRule="exact"/>
        <w:rPr>
          <w:rFonts w:ascii="Courier New" w:cs="Courier New" w:eastAsia="Courier New" w:hAnsi="Courier New"/>
          <w:sz w:val="18"/>
          <w:szCs w:val="18"/>
          <w:color w:val="auto"/>
        </w:rPr>
      </w:pPr>
    </w:p>
    <w:p>
      <w:pPr>
        <w:ind w:left="1380" w:right="6319" w:hanging="1372"/>
        <w:spacing w:after="0" w:line="235"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1(a). NAME OF ISSUER: Regeneron Pharmaceuticals, Inc.</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1(b). ADDRESS OF ISSUER'S</w:t>
      </w:r>
    </w:p>
    <w:p>
      <w:pPr>
        <w:spacing w:after="0" w:line="4" w:lineRule="exact"/>
        <w:rPr>
          <w:sz w:val="20"/>
          <w:szCs w:val="20"/>
          <w:color w:val="auto"/>
        </w:rPr>
      </w:pPr>
    </w:p>
    <w:p>
      <w:pPr>
        <w:ind w:left="4540" w:right="2839" w:hanging="3264"/>
        <w:spacing w:after="0" w:line="290" w:lineRule="auto"/>
        <w:tabs>
          <w:tab w:leader="none" w:pos="4520" w:val="left"/>
        </w:tabs>
        <w:rPr>
          <w:sz w:val="20"/>
          <w:szCs w:val="20"/>
          <w:color w:val="auto"/>
        </w:rPr>
      </w:pPr>
      <w:r>
        <w:rPr>
          <w:rFonts w:ascii="Courier New" w:cs="Courier New" w:eastAsia="Courier New" w:hAnsi="Courier New"/>
          <w:sz w:val="18"/>
          <w:szCs w:val="18"/>
          <w:color w:val="auto"/>
        </w:rPr>
        <w:t>PRINCIPAL EXECUTIVE OFFICES:</w:t>
      </w:r>
      <w:r>
        <w:rPr>
          <w:sz w:val="20"/>
          <w:szCs w:val="20"/>
          <w:color w:val="auto"/>
        </w:rPr>
        <w:tab/>
      </w:r>
      <w:r>
        <w:rPr>
          <w:rFonts w:ascii="Courier New" w:cs="Courier New" w:eastAsia="Courier New" w:hAnsi="Courier New"/>
          <w:sz w:val="16"/>
          <w:szCs w:val="16"/>
          <w:color w:val="auto"/>
        </w:rPr>
        <w:t>770 Old Saw Mill River Road Tarrytown, New York 10591</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560" w:val="left"/>
          <w:tab w:leader="none" w:pos="48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NAMES OF PERSONS FILING:</w:t>
      </w:r>
      <w:r>
        <w:rPr>
          <w:sz w:val="20"/>
          <w:szCs w:val="20"/>
          <w:color w:val="auto"/>
        </w:rPr>
        <w:tab/>
      </w:r>
      <w:r>
        <w:rPr>
          <w:rFonts w:ascii="Courier New" w:cs="Courier New" w:eastAsia="Courier New" w:hAnsi="Courier New"/>
          <w:sz w:val="16"/>
          <w:szCs w:val="16"/>
          <w:color w:val="auto"/>
        </w:rPr>
        <w:t>P. Roy Vagelos, M.D.</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Regeneron Pharmaceuticals, Inc.</w:t>
      </w:r>
    </w:p>
    <w:p>
      <w:pPr>
        <w:spacing w:after="0" w:line="238" w:lineRule="auto"/>
        <w:rPr>
          <w:sz w:val="20"/>
          <w:szCs w:val="20"/>
          <w:color w:val="auto"/>
        </w:rPr>
      </w:pPr>
      <w:r>
        <w:rPr>
          <w:rFonts w:ascii="Courier New" w:cs="Courier New" w:eastAsia="Courier New" w:hAnsi="Courier New"/>
          <w:sz w:val="18"/>
          <w:szCs w:val="18"/>
          <w:color w:val="auto"/>
        </w:rPr>
        <w:t>770 Old Saw Mill Road</w:t>
      </w:r>
    </w:p>
    <w:p>
      <w:pPr>
        <w:spacing w:after="0"/>
        <w:rPr>
          <w:sz w:val="20"/>
          <w:szCs w:val="20"/>
          <w:color w:val="auto"/>
        </w:rPr>
      </w:pPr>
      <w:r>
        <w:rPr>
          <w:rFonts w:ascii="Courier New" w:cs="Courier New" w:eastAsia="Courier New" w:hAnsi="Courier New"/>
          <w:sz w:val="18"/>
          <w:szCs w:val="18"/>
          <w:color w:val="auto"/>
        </w:rPr>
        <w:t>Tarrytown, New York 10591</w:t>
      </w:r>
    </w:p>
    <w:p>
      <w:pPr>
        <w:spacing w:after="0" w:line="200" w:lineRule="exact"/>
        <w:rPr>
          <w:sz w:val="20"/>
          <w:szCs w:val="20"/>
          <w:color w:val="auto"/>
        </w:rPr>
      </w:pPr>
    </w:p>
    <w:p>
      <w:pPr>
        <w:spacing w:after="0"/>
        <w:tabs>
          <w:tab w:leader="none" w:pos="620" w:val="left"/>
          <w:tab w:leader="none" w:pos="1560" w:val="left"/>
        </w:tabs>
        <w:rPr>
          <w:sz w:val="20"/>
          <w:szCs w:val="20"/>
          <w:color w:val="auto"/>
        </w:rPr>
      </w:pPr>
      <w:r>
        <w:rPr>
          <w:rFonts w:ascii="Courier New" w:cs="Courier New" w:eastAsia="Courier New" w:hAnsi="Courier New"/>
          <w:sz w:val="18"/>
          <w:szCs w:val="18"/>
          <w:color w:val="auto"/>
        </w:rPr>
        <w:t>ITEM</w:t>
        <w:tab/>
        <w:t>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of America</w:t>
      </w:r>
    </w:p>
    <w:p>
      <w:pPr>
        <w:spacing w:after="0" w:line="201" w:lineRule="exact"/>
        <w:rPr>
          <w:sz w:val="20"/>
          <w:szCs w:val="20"/>
          <w:color w:val="auto"/>
        </w:rPr>
      </w:pPr>
    </w:p>
    <w:p>
      <w:pPr>
        <w:spacing w:after="0"/>
        <w:tabs>
          <w:tab w:leader="none" w:pos="620" w:val="left"/>
          <w:tab w:leader="none" w:pos="1560" w:val="left"/>
        </w:tabs>
        <w:rPr>
          <w:sz w:val="20"/>
          <w:szCs w:val="20"/>
          <w:color w:val="auto"/>
        </w:rPr>
      </w:pPr>
      <w:r>
        <w:rPr>
          <w:rFonts w:ascii="Courier New" w:cs="Courier New" w:eastAsia="Courier New" w:hAnsi="Courier New"/>
          <w:sz w:val="18"/>
          <w:szCs w:val="18"/>
          <w:color w:val="auto"/>
        </w:rPr>
        <w:t>ITEM</w:t>
        <w:tab/>
        <w:t>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2(e).</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CUSIP</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NUMBER:</w:t>
            </w:r>
          </w:p>
        </w:tc>
      </w:tr>
      <w:tr>
        <w:trPr>
          <w:trHeight w:val="40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rPr>
              <w:t>75886F105</w:t>
            </w:r>
          </w:p>
        </w:tc>
        <w:tc>
          <w:tcPr>
            <w:tcW w:w="8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3.</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IF THIS</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w w:val="97"/>
              </w:rPr>
              <w:t>STATEMENT IS FILED PURSUANT TO RULE 13d-1(b),</w:t>
            </w:r>
          </w:p>
        </w:tc>
      </w:tr>
    </w:tbl>
    <w:p>
      <w:pPr>
        <w:ind w:left="1280"/>
        <w:spacing w:after="0" w:line="238" w:lineRule="auto"/>
        <w:rPr>
          <w:sz w:val="20"/>
          <w:szCs w:val="20"/>
          <w:color w:val="auto"/>
        </w:rPr>
      </w:pPr>
      <w:r>
        <w:rPr>
          <w:rFonts w:ascii="Courier New" w:cs="Courier New" w:eastAsia="Courier New" w:hAnsi="Courier New"/>
          <w:sz w:val="18"/>
          <w:szCs w:val="18"/>
          <w:color w:val="auto"/>
        </w:rPr>
        <w:t>OR 13d-2(b) OR (c), CHECK WHETHER THE PERSON FILING IS A:</w:t>
      </w: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6" w:lineRule="exact"/>
        <w:rPr>
          <w:sz w:val="20"/>
          <w:szCs w:val="20"/>
          <w:color w:val="auto"/>
        </w:rPr>
      </w:pPr>
    </w:p>
    <w:p>
      <w:pPr>
        <w:ind w:left="1280" w:right="219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280" w:right="377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13d- 1(b)(1)(ii)(G);</w:t>
      </w:r>
    </w:p>
    <w:p>
      <w:pPr>
        <w:spacing w:after="0" w:line="208"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620" w:val="left"/>
          <w:tab w:leader="none" w:pos="1560" w:val="left"/>
        </w:tabs>
        <w:rPr>
          <w:sz w:val="20"/>
          <w:szCs w:val="20"/>
          <w:color w:val="auto"/>
        </w:rPr>
      </w:pPr>
      <w:r>
        <w:rPr>
          <w:rFonts w:ascii="Courier New" w:cs="Courier New" w:eastAsia="Courier New" w:hAnsi="Courier New"/>
          <w:sz w:val="18"/>
          <w:szCs w:val="18"/>
          <w:color w:val="auto"/>
        </w:rPr>
        <w:t>ITEM</w:t>
        <w:tab/>
        <w:t>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80" w:hanging="640"/>
        <w:spacing w:after="0"/>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2,942,553 shares, including 203,199 shares held by the Marianthi Foundation and 288,215 shares held by the Pindaros Foundation. These Foundations are not-for-profit corporations of which Dr. Vagelos is an officer and director. Dr. Vagelos disclaims beneficial ownership of the shares held by these Foundations.</w:t>
      </w:r>
    </w:p>
    <w:p>
      <w:pPr>
        <w:spacing w:after="0" w:line="203" w:lineRule="exact"/>
        <w:rPr>
          <w:sz w:val="20"/>
          <w:szCs w:val="20"/>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5.3%, based on 54,092,268 shares outstanding as of December 31, 2005, as reported by the Issuer, and 1,593,124 shares underlying options held by Dr. Vagelos which were exercisable as of December 31, 2005 or became exercisable within 60 days thereafter as described in Item 4(c).</w:t>
      </w:r>
    </w:p>
    <w:p>
      <w:pPr>
        <w:spacing w:after="0" w:line="202" w:lineRule="exact"/>
        <w:rPr>
          <w:sz w:val="20"/>
          <w:szCs w:val="20"/>
          <w:color w:val="auto"/>
        </w:rPr>
      </w:pPr>
    </w:p>
    <w:p>
      <w:pPr>
        <w:ind w:left="1280" w:hanging="640"/>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2,451,139 shares which consist of (i) 1,128</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shares held in an account under the Issuer's 401(k) Plan as of December 31, 2005; (ii) 1,593,124 shares purchasable upon exercise of options granted to Dr. Vagelos under the Issuer's 1990 and 2000 Long - Term Incentive Plans which were exercisable as of December 31, 2005 or became exercisable within 60 days thereafter; (iii) 400,500 shares held in a charitable lead annuity trust of which Dr. Vagelos is the sole trustee; and (iv) an aggregate of 456,337 shares held in three grantor retained annuity trusts of which Dr. Vagelos is the sole trustee.</w:t>
      </w:r>
    </w:p>
    <w:p>
      <w:pPr>
        <w:spacing w:after="0" w:line="207" w:lineRule="exact"/>
        <w:rPr>
          <w:sz w:val="20"/>
          <w:szCs w:val="20"/>
          <w:color w:val="auto"/>
        </w:rPr>
      </w:pPr>
    </w:p>
    <w:p>
      <w:pPr>
        <w:ind w:left="1900" w:hanging="628"/>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7" w:lineRule="exact"/>
        <w:rPr>
          <w:sz w:val="20"/>
          <w:szCs w:val="20"/>
          <w:color w:val="auto"/>
        </w:rPr>
      </w:pPr>
    </w:p>
    <w:p>
      <w:pPr>
        <w:ind w:right="2199" w:firstLine="1896"/>
        <w:spacing w:after="0" w:line="236" w:lineRule="auto"/>
        <w:rPr>
          <w:sz w:val="20"/>
          <w:szCs w:val="20"/>
          <w:color w:val="auto"/>
        </w:rPr>
      </w:pPr>
      <w:r>
        <w:rPr>
          <w:rFonts w:ascii="Courier New" w:cs="Courier New" w:eastAsia="Courier New" w:hAnsi="Courier New"/>
          <w:sz w:val="18"/>
          <w:szCs w:val="18"/>
          <w:color w:val="auto"/>
        </w:rPr>
        <w:t>491,414 shares which consist of 203,199 shares held by the Marianthi Foundation and 288,215 shares held by the Pindros Foundation. Dr. Vagelos disclaims beneficial ownership of these shares.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7" w:lineRule="exact"/>
        <w:rPr>
          <w:sz w:val="20"/>
          <w:szCs w:val="20"/>
          <w:color w:val="auto"/>
        </w:rPr>
      </w:pPr>
    </w:p>
    <w:p>
      <w:pPr>
        <w:ind w:right="2199" w:firstLine="1896"/>
        <w:spacing w:after="0" w:line="237" w:lineRule="auto"/>
        <w:rPr>
          <w:sz w:val="20"/>
          <w:szCs w:val="20"/>
          <w:color w:val="auto"/>
        </w:rPr>
      </w:pPr>
      <w:r>
        <w:rPr>
          <w:rFonts w:ascii="Courier New" w:cs="Courier New" w:eastAsia="Courier New" w:hAnsi="Courier New"/>
          <w:sz w:val="18"/>
          <w:szCs w:val="18"/>
          <w:color w:val="auto"/>
        </w:rPr>
        <w:t>2,451,139 shares which consist of (i) 1,128 shares held in an account under the Issuer's 401(k) Plan as of December 31, 2005; (ii) 1,593,124 shares purchasable upon exercise of options granted to Dr. Vagelos under the Issuer's 1990 and 2000 Long-Term Incentive Plans which were exercisable as of December 31, 2005 or became exercisable within 60 days thereafter; (iii) 400,550 shares held in a charitable lead annuity trust of which Dr. Vagelos is the sole trustee; and (iv) an aggregate of 456,337 shares held in three grantor retained annuity trusts of which Dr. Vagelos is the sole trustee.</w:t>
      </w:r>
    </w:p>
    <w:p>
      <w:pPr>
        <w:spacing w:after="0" w:line="208" w:lineRule="exact"/>
        <w:rPr>
          <w:sz w:val="20"/>
          <w:szCs w:val="20"/>
          <w:color w:val="auto"/>
        </w:rPr>
      </w:pPr>
    </w:p>
    <w:p>
      <w:pPr>
        <w:ind w:left="1900" w:hanging="628"/>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sz w:val="20"/>
          <w:szCs w:val="20"/>
          <w:color w:val="auto"/>
        </w:rPr>
      </w:pPr>
    </w:p>
    <w:p>
      <w:pPr>
        <w:jc w:val="both"/>
        <w:ind w:right="2199" w:firstLine="1896"/>
        <w:spacing w:after="0" w:line="236" w:lineRule="auto"/>
        <w:rPr>
          <w:sz w:val="20"/>
          <w:szCs w:val="20"/>
          <w:color w:val="auto"/>
        </w:rPr>
      </w:pPr>
      <w:r>
        <w:rPr>
          <w:rFonts w:ascii="Courier New" w:cs="Courier New" w:eastAsia="Courier New" w:hAnsi="Courier New"/>
          <w:sz w:val="18"/>
          <w:szCs w:val="18"/>
          <w:color w:val="auto"/>
        </w:rPr>
        <w:t>491,414 shares which consist of 203,199 shares held by the Marianthi Foundation and 288,215 shares held by the Pindaros Foundation. Dr. Vagelos disclaims beneficial ownership of these shares.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7220" w:type="dxa"/>
            <w:vAlign w:val="bottom"/>
          </w:tcPr>
          <w:p>
            <w:pPr>
              <w:ind w:left="4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405"/>
        </w:trPr>
        <w:tc>
          <w:tcPr>
            <w:tcW w:w="54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Not</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applicable.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7220" w:type="dxa"/>
            <w:vAlign w:val="bottom"/>
          </w:tcPr>
          <w:p>
            <w:pPr>
              <w:ind w:left="460"/>
              <w:spacing w:after="0"/>
              <w:rPr>
                <w:sz w:val="20"/>
                <w:szCs w:val="20"/>
                <w:color w:val="auto"/>
              </w:rPr>
            </w:pPr>
            <w:r>
              <w:rPr>
                <w:rFonts w:ascii="Courier New" w:cs="Courier New" w:eastAsia="Courier New" w:hAnsi="Courier New"/>
                <w:sz w:val="18"/>
                <w:szCs w:val="18"/>
                <w:color w:val="auto"/>
                <w:w w:val="97"/>
              </w:rPr>
              <w:t>OWNERSHIP OF MORE THAN FIVE PERCENT ON BEHALF OF ANOTHER PERSON.</w:t>
            </w:r>
          </w:p>
        </w:tc>
      </w:tr>
      <w:tr>
        <w:trPr>
          <w:trHeight w:val="405"/>
        </w:trPr>
        <w:tc>
          <w:tcPr>
            <w:tcW w:w="54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Not</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applicable.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7220" w:type="dxa"/>
            <w:vAlign w:val="bottom"/>
          </w:tcPr>
          <w:p>
            <w:pPr>
              <w:ind w:left="4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405"/>
        </w:trPr>
        <w:tc>
          <w:tcPr>
            <w:tcW w:w="54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Not</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applicable.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7220" w:type="dxa"/>
            <w:vAlign w:val="bottom"/>
          </w:tcPr>
          <w:p>
            <w:pPr>
              <w:ind w:left="4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54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Not</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applicable.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9.</w:t>
            </w:r>
          </w:p>
        </w:tc>
        <w:tc>
          <w:tcPr>
            <w:tcW w:w="7220" w:type="dxa"/>
            <w:vAlign w:val="bottom"/>
          </w:tcPr>
          <w:p>
            <w:pPr>
              <w:ind w:left="46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405"/>
        </w:trPr>
        <w:tc>
          <w:tcPr>
            <w:tcW w:w="54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Not</w:t>
            </w:r>
          </w:p>
        </w:tc>
        <w:tc>
          <w:tcPr>
            <w:tcW w:w="7220" w:type="dxa"/>
            <w:vAlign w:val="bottom"/>
          </w:tcPr>
          <w:p>
            <w:pPr>
              <w:ind w:left="160"/>
              <w:spacing w:after="0"/>
              <w:rPr>
                <w:sz w:val="20"/>
                <w:szCs w:val="20"/>
                <w:color w:val="auto"/>
              </w:rPr>
            </w:pPr>
            <w:r>
              <w:rPr>
                <w:rFonts w:ascii="Courier New" w:cs="Courier New" w:eastAsia="Courier New" w:hAnsi="Courier New"/>
                <w:sz w:val="18"/>
                <w:szCs w:val="18"/>
                <w:color w:val="auto"/>
              </w:rPr>
              <w:t>applicable.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10.</w:t>
            </w:r>
          </w:p>
        </w:tc>
        <w:tc>
          <w:tcPr>
            <w:tcW w:w="7220" w:type="dxa"/>
            <w:vAlign w:val="bottom"/>
          </w:tcPr>
          <w:p>
            <w:pPr>
              <w:ind w:left="460"/>
              <w:spacing w:after="0"/>
              <w:rPr>
                <w:sz w:val="20"/>
                <w:szCs w:val="20"/>
                <w:color w:val="auto"/>
              </w:rPr>
            </w:pPr>
            <w:r>
              <w:rPr>
                <w:rFonts w:ascii="Courier New" w:cs="Courier New" w:eastAsia="Courier New" w:hAnsi="Courier New"/>
                <w:sz w:val="18"/>
                <w:szCs w:val="18"/>
                <w:color w:val="auto"/>
              </w:rPr>
              <w:t>CERTIFICATION.</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By signing below</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w w:val="98"/>
              </w:rPr>
              <w:t>I certify that, to the</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w w:val="98"/>
              </w:rPr>
              <w:t>best of my knowledge and</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belief, the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referred to above were</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not acquired and are not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held</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for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purpose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or with</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effect of changing</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influencing the control of</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the</w:t>
            </w:r>
          </w:p>
        </w:tc>
      </w:tr>
    </w:tbl>
    <w:p>
      <w:pPr>
        <w:spacing w:after="0" w:line="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issuer of the securities and were not acquired and are not held in connection with or as a participant in any transaction having that purpose or effect.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 Roy Vagelos</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 Roy Vagelos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upperLetter"/>
      <w:start w:val="24"/>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lvl w:ilvl="1">
      <w:lvlJc w:val="left"/>
      <w:lvlText w:val="(%2)"/>
      <w:numFmt w:val="lowerLetter"/>
      <w:start w:val="2"/>
    </w:lvl>
  </w:abstractNum>
  <w:abstractNum w:abstractNumId="9">
    <w:nsid w:val="1BEFD79F"/>
    <w:multiLevelType w:val="hybridMultilevel"/>
    <w:lvl w:ilvl="0">
      <w:lvlJc w:val="left"/>
      <w:lvlText w:val="3"/>
      <w:numFmt w:val="bullet"/>
      <w:start w:val="1"/>
    </w:lvl>
  </w:abstractNum>
  <w:abstractNum w:abstractNumId="10">
    <w:nsid w:val="41A7C4C9"/>
    <w:multiLevelType w:val="hybridMultilevel"/>
    <w:lvl w:ilvl="0">
      <w:lvlJc w:val="left"/>
      <w:lvlText w:val="4"/>
      <w:numFmt w:val="bullet"/>
      <w:start w:val="1"/>
    </w:lvl>
  </w:abstractNum>
  <w:abstractNum w:abstractNumId="11">
    <w:nsid w:val="6B68079A"/>
    <w:multiLevelType w:val="hybridMultilevel"/>
    <w:lvl w:ilvl="0">
      <w:lvlJc w:val="left"/>
      <w:lvlText w:val="9"/>
      <w:numFmt w:val="bullet"/>
      <w:start w:val="1"/>
    </w:lvl>
  </w:abstractNum>
  <w:abstractNum w:abstractNumId="12">
    <w:nsid w:val="4E6AFB66"/>
    <w:multiLevelType w:val="hybridMultilevel"/>
    <w:lvl w:ilvl="0">
      <w:lvlJc w:val="left"/>
      <w:lvlText w:val="%1"/>
      <w:numFmt w:val="decimal"/>
      <w:start w:val="10"/>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lowerLetter"/>
      <w:start w:val="3"/>
    </w:lvl>
    <w:lvl w:ilvl="1">
      <w:lvlJc w:val="left"/>
      <w:lvlText w:val="(%2)"/>
      <w:numFmt w:val="lowerLetter"/>
      <w:start w:val="9"/>
    </w:lvl>
  </w:abstractNum>
  <w:abstractNum w:abstractNumId="17">
    <w:nsid w:val="7C83E458"/>
    <w:multiLevelType w:val="hybridMultilevel"/>
    <w:lvl w:ilvl="0">
      <w:lvlJc w:val="left"/>
      <w:lvlText w:val="(%1)"/>
      <w:numFmt w:val="lowerRoman"/>
      <w:start w:val="2"/>
    </w:lvl>
  </w:abstractNum>
  <w:abstractNum w:abstractNumId="18">
    <w:nsid w:val="257130A3"/>
    <w:multiLevelType w:val="hybridMultilevel"/>
    <w:lvl w:ilvl="0">
      <w:lvlJc w:val="left"/>
      <w:lvlText w:val="(%1)"/>
      <w:numFmt w:val="lowerRoman"/>
      <w:start w:val="4"/>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2019-12-20T02:37:57Z</dcterms:created>
  <dcterms:modified xsi:type="dcterms:W3CDTF">2019-12-20T02:37:57Z</dcterms:modified>
</cp:coreProperties>
</file>