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769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69239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00"/>
          </w:cols>
          <w:pgMar w:left="240" w:top="220"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Sanofi</w:t>
              </w:r>
            </w:hyperlink>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bottom w:val="single" w:sz="8" w:color="0000EE"/>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INC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REGN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below)</w:t>
            </w:r>
          </w:p>
        </w:tc>
        <w:tc>
          <w:tcPr>
            <w:tcW w:w="380" w:type="dxa"/>
            <w:vAlign w:val="bottom"/>
          </w:tcPr>
          <w:p>
            <w:pPr>
              <w:spacing w:after="0"/>
              <w:rPr>
                <w:sz w:val="3"/>
                <w:szCs w:val="3"/>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8"/>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54, RUE LA BOETIE</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0000FF"/>
              </w:rPr>
              <w:t>07/10/2014</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980" w:type="dxa"/>
            <w:vAlign w:val="bottom"/>
            <w:gridSpan w:val="12"/>
            <w:vMerge w:val="continue"/>
          </w:tcPr>
          <w:p>
            <w:pPr>
              <w:spacing w:after="0"/>
              <w:rPr>
                <w:sz w:val="6"/>
                <w:szCs w:val="6"/>
                <w:color w:val="auto"/>
              </w:rPr>
            </w:pPr>
          </w:p>
        </w:tc>
        <w:tc>
          <w:tcPr>
            <w:tcW w:w="33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PARIS</w:t>
            </w: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jc w:val="center"/>
              <w:ind w:left="184"/>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20" w:type="dxa"/>
            <w:vAlign w:val="bottom"/>
            <w:gridSpan w:val="2"/>
            <w:vMerge w:val="restart"/>
          </w:tcPr>
          <w:p>
            <w:pPr>
              <w:jc w:val="center"/>
              <w:ind w:right="25"/>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1"/>
                <w:szCs w:val="11"/>
                <w:color w:val="auto"/>
              </w:rPr>
            </w:pP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2,470</w:t>
            </w:r>
            <w:r>
              <w:rPr>
                <w:rFonts w:ascii="Times New Roman" w:cs="Times New Roman" w:eastAsia="Times New Roman" w:hAnsi="Times New Roman"/>
                <w:sz w:val="11"/>
                <w:szCs w:val="11"/>
                <w:color w:val="008000"/>
                <w:w w:val="84"/>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306.7679</w:t>
            </w:r>
            <w:r>
              <w:rPr>
                <w:rFonts w:ascii="Times New Roman" w:cs="Times New Roman" w:eastAsia="Times New Roman" w:hAnsi="Times New Roman"/>
                <w:sz w:val="22"/>
                <w:szCs w:val="22"/>
                <w:color w:val="008000"/>
                <w:w w:val="91"/>
                <w:vertAlign w:val="superscript"/>
              </w:rPr>
              <w:t>(1)(3)</w:t>
            </w: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0000FF"/>
              </w:rPr>
              <w:t>21,603,211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35"/>
                <w:szCs w:val="35"/>
                <w:color w:val="0000FF"/>
                <w:w w:val="84"/>
                <w:vertAlign w:val="subscript"/>
              </w:rPr>
              <w:t>2,502</w:t>
            </w:r>
            <w:r>
              <w:rPr>
                <w:rFonts w:ascii="Times New Roman" w:cs="Times New Roman" w:eastAsia="Times New Roman" w:hAnsi="Times New Roman"/>
                <w:sz w:val="11"/>
                <w:szCs w:val="11"/>
                <w:color w:val="008000"/>
                <w:w w:val="84"/>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307.6361</w:t>
            </w:r>
            <w:r>
              <w:rPr>
                <w:rFonts w:ascii="Times New Roman" w:cs="Times New Roman" w:eastAsia="Times New Roman" w:hAnsi="Times New Roman"/>
                <w:sz w:val="22"/>
                <w:szCs w:val="22"/>
                <w:color w:val="008000"/>
                <w:w w:val="91"/>
                <w:vertAlign w:val="superscript"/>
              </w:rPr>
              <w:t>(1)(5)</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21,605,713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17,347</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308.5518</w:t>
            </w:r>
            <w:r>
              <w:rPr>
                <w:rFonts w:ascii="Times New Roman" w:cs="Times New Roman" w:eastAsia="Times New Roman" w:hAnsi="Times New Roman"/>
                <w:sz w:val="22"/>
                <w:szCs w:val="22"/>
                <w:color w:val="008000"/>
                <w:w w:val="91"/>
                <w:vertAlign w:val="superscript"/>
              </w:rPr>
              <w:t>(1)(6)</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21,623,060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26,891</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309.5559</w:t>
            </w:r>
            <w:r>
              <w:rPr>
                <w:rFonts w:ascii="Times New Roman" w:cs="Times New Roman" w:eastAsia="Times New Roman" w:hAnsi="Times New Roman"/>
                <w:sz w:val="22"/>
                <w:szCs w:val="22"/>
                <w:color w:val="008000"/>
                <w:w w:val="91"/>
                <w:vertAlign w:val="superscript"/>
              </w:rPr>
              <w:t>(1)(7)</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21,649,951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53,994</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1"/>
              </w:rPr>
              <w:t>$</w:t>
            </w:r>
            <w:r>
              <w:rPr>
                <w:rFonts w:ascii="Times New Roman" w:cs="Times New Roman" w:eastAsia="Times New Roman" w:hAnsi="Times New Roman"/>
                <w:sz w:val="18"/>
                <w:szCs w:val="18"/>
                <w:color w:val="0000FF"/>
                <w:w w:val="91"/>
              </w:rPr>
              <w:t>310.4759</w:t>
            </w:r>
            <w:r>
              <w:rPr>
                <w:rFonts w:ascii="Times New Roman" w:cs="Times New Roman" w:eastAsia="Times New Roman" w:hAnsi="Times New Roman"/>
                <w:sz w:val="22"/>
                <w:szCs w:val="22"/>
                <w:color w:val="008000"/>
                <w:w w:val="91"/>
                <w:vertAlign w:val="superscript"/>
              </w:rPr>
              <w:t>(1)(8)</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21,703,945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15,815</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9"/>
              </w:rPr>
              <w:t>$</w:t>
            </w:r>
            <w:r>
              <w:rPr>
                <w:rFonts w:ascii="Times New Roman" w:cs="Times New Roman" w:eastAsia="Times New Roman" w:hAnsi="Times New Roman"/>
                <w:sz w:val="18"/>
                <w:szCs w:val="18"/>
                <w:color w:val="0000FF"/>
                <w:w w:val="89"/>
              </w:rPr>
              <w:t>311.1672</w:t>
            </w:r>
            <w:r>
              <w:rPr>
                <w:rFonts w:ascii="Times New Roman" w:cs="Times New Roman" w:eastAsia="Times New Roman" w:hAnsi="Times New Roman"/>
                <w:sz w:val="22"/>
                <w:szCs w:val="22"/>
                <w:color w:val="008000"/>
                <w:w w:val="89"/>
                <w:vertAlign w:val="superscript"/>
              </w:rPr>
              <w:t>(1)(9)</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21,719,760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20,638</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312.6233</w:t>
            </w:r>
            <w:r>
              <w:rPr>
                <w:rFonts w:ascii="Times New Roman" w:cs="Times New Roman" w:eastAsia="Times New Roman" w:hAnsi="Times New Roman"/>
                <w:sz w:val="22"/>
                <w:szCs w:val="22"/>
                <w:color w:val="008000"/>
                <w:w w:val="90"/>
                <w:vertAlign w:val="superscript"/>
              </w:rPr>
              <w:t>(1)(10)</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21,740,398</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18,057</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313.4687</w:t>
            </w:r>
            <w:r>
              <w:rPr>
                <w:rFonts w:ascii="Times New Roman" w:cs="Times New Roman" w:eastAsia="Times New Roman" w:hAnsi="Times New Roman"/>
                <w:sz w:val="22"/>
                <w:szCs w:val="22"/>
                <w:color w:val="008000"/>
                <w:w w:val="90"/>
                <w:vertAlign w:val="superscript"/>
              </w:rPr>
              <w:t>(1)(11)</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21,758,455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60" w:type="dxa"/>
            <w:vAlign w:val="bottom"/>
          </w:tcPr>
          <w:p>
            <w:pPr>
              <w:spacing w:after="0"/>
              <w:rPr>
                <w:sz w:val="22"/>
                <w:szCs w:val="22"/>
                <w:color w:val="auto"/>
              </w:rPr>
            </w:pPr>
          </w:p>
        </w:tc>
        <w:tc>
          <w:tcPr>
            <w:tcW w:w="1200" w:type="dxa"/>
            <w:vAlign w:val="bottom"/>
            <w:vMerge w:val="restart"/>
          </w:tcPr>
          <w:p>
            <w:pPr>
              <w:jc w:val="center"/>
              <w:ind w:left="244"/>
              <w:spacing w:after="0"/>
              <w:rPr>
                <w:sz w:val="20"/>
                <w:szCs w:val="20"/>
                <w:color w:val="auto"/>
              </w:rPr>
            </w:pPr>
            <w:r>
              <w:rPr>
                <w:rFonts w:ascii="Times New Roman" w:cs="Times New Roman" w:eastAsia="Times New Roman" w:hAnsi="Times New Roman"/>
                <w:sz w:val="18"/>
                <w:szCs w:val="18"/>
                <w:color w:val="0000FF"/>
                <w:w w:val="97"/>
              </w:rPr>
              <w:t>07/10/2014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88"/>
              </w:rPr>
              <w:t>17,286</w:t>
            </w:r>
            <w:r>
              <w:rPr>
                <w:rFonts w:ascii="Times New Roman" w:cs="Times New Roman" w:eastAsia="Times New Roman" w:hAnsi="Times New Roman"/>
                <w:sz w:val="22"/>
                <w:szCs w:val="22"/>
                <w:color w:val="008000"/>
                <w:w w:val="88"/>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5"/>
              <w:spacing w:after="0"/>
              <w:rPr>
                <w:sz w:val="20"/>
                <w:szCs w:val="20"/>
                <w:color w:val="auto"/>
              </w:rPr>
            </w:pPr>
            <w:r>
              <w:rPr>
                <w:rFonts w:ascii="Times New Roman" w:cs="Times New Roman" w:eastAsia="Times New Roman" w:hAnsi="Times New Roman"/>
                <w:sz w:val="18"/>
                <w:szCs w:val="18"/>
                <w:color w:val="0000FF"/>
                <w:w w:val="91"/>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w:t>
            </w:r>
            <w:r>
              <w:rPr>
                <w:rFonts w:ascii="Times New Roman" w:cs="Times New Roman" w:eastAsia="Times New Roman" w:hAnsi="Times New Roman"/>
                <w:sz w:val="18"/>
                <w:szCs w:val="18"/>
                <w:color w:val="0000FF"/>
                <w:w w:val="90"/>
              </w:rPr>
              <w:t>314.5763</w:t>
            </w:r>
            <w:r>
              <w:rPr>
                <w:rFonts w:ascii="Times New Roman" w:cs="Times New Roman" w:eastAsia="Times New Roman" w:hAnsi="Times New Roman"/>
                <w:sz w:val="22"/>
                <w:szCs w:val="22"/>
                <w:color w:val="008000"/>
                <w:w w:val="90"/>
                <w:vertAlign w:val="superscript"/>
              </w:rPr>
              <w:t>(1)(12)</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rPr>
              <w:t>21,775,741</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gridSpan w:val="4"/>
            <w:vMerge w:val="continue"/>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60" w:type="dxa"/>
            <w:vAlign w:val="bottom"/>
            <w:gridSpan w:val="18"/>
          </w:tcPr>
          <w:p>
            <w:pPr>
              <w:jc w:val="center"/>
              <w:ind w:left="1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440"/>
              <w:spacing w:after="0"/>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28" w:lineRule="exact"/>
        <w:rPr>
          <w:rFonts w:ascii="Times New Roman" w:cs="Times New Roman" w:eastAsia="Times New Roman" w:hAnsi="Times New Roman"/>
          <w:sz w:val="14"/>
          <w:szCs w:val="14"/>
          <w:color w:val="008000"/>
        </w:rPr>
      </w:pPr>
    </w:p>
    <w:p>
      <w:pPr>
        <w:ind w:left="40" w:right="3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Represents shares acquired directly by sanofi-aventis Amerique du Nord ("SAAN"). The shares were purchased pursuant to a plan intended to comply with Rule 10b5-1(c)(1)(i) under the Exchange Act, entered into with a broker on June 27, 2014.</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$305.95 to $306.90 per share, inclusive.</w:t>
      </w:r>
    </w:p>
    <w:p>
      <w:pPr>
        <w:spacing w:after="0" w:line="41" w:lineRule="exact"/>
        <w:rPr>
          <w:rFonts w:ascii="Times New Roman" w:cs="Times New Roman" w:eastAsia="Times New Roman" w:hAnsi="Times New Roman"/>
          <w:sz w:val="14"/>
          <w:szCs w:val="14"/>
          <w:color w:val="008000"/>
        </w:rPr>
      </w:pPr>
    </w:p>
    <w:p>
      <w:pPr>
        <w:jc w:val="both"/>
        <w:ind w:left="40" w:right="140" w:firstLine="9"/>
        <w:spacing w:after="0" w:line="23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18,976,189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28"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$307.00 to $307.98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$308.00 to $308.99 per share, inclusive.</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$309.00 to $309.99 per share, inclusive.</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$310.00 to $310.99 per share, inclusive.</w:t>
      </w:r>
    </w:p>
    <w:p>
      <w:pPr>
        <w:spacing w:after="0" w:line="41" w:lineRule="exact"/>
        <w:rPr>
          <w:rFonts w:ascii="Times New Roman" w:cs="Times New Roman" w:eastAsia="Times New Roman" w:hAnsi="Times New Roman"/>
          <w:sz w:val="14"/>
          <w:szCs w:val="14"/>
          <w:color w:val="008000"/>
        </w:rPr>
      </w:pPr>
    </w:p>
    <w:p>
      <w:pPr>
        <w:ind w:left="140" w:hanging="131"/>
        <w:spacing w:after="0"/>
        <w:tabs>
          <w:tab w:leader="none" w:pos="14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$311.00 to $311.99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$312.00 to $312.99 per share, inclusive.</w:t>
      </w:r>
    </w:p>
    <w:p>
      <w:pPr>
        <w:spacing w:after="0" w:line="41" w:lineRule="exact"/>
        <w:rPr>
          <w:rFonts w:ascii="Times New Roman" w:cs="Times New Roman" w:eastAsia="Times New Roman" w:hAnsi="Times New Roman"/>
          <w:sz w:val="14"/>
          <w:szCs w:val="14"/>
          <w:color w:val="008000"/>
        </w:rPr>
      </w:pPr>
    </w:p>
    <w:p>
      <w:pPr>
        <w:ind w:left="200" w:hanging="191"/>
        <w:spacing w:after="0"/>
        <w:tabs>
          <w:tab w:leader="none" w:pos="20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$313.01 to $314.00 per share, inclusive.</w:t>
      </w:r>
    </w:p>
    <w:p>
      <w:pPr>
        <w:spacing w:after="0" w:line="41"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Purchase prices range from $314.02 to $315.00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-10160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 w:lineRule="exact"/>
        <w:rPr>
          <w:sz w:val="20"/>
          <w:szCs w:val="20"/>
          <w:color w:val="auto"/>
        </w:rPr>
      </w:pPr>
    </w:p>
    <w:p>
      <w:pPr>
        <w:ind w:left="6820"/>
        <w:spacing w:after="0"/>
        <w:tabs>
          <w:tab w:leader="none" w:pos="9100" w:val="left"/>
        </w:tabs>
        <w:rPr>
          <w:sz w:val="20"/>
          <w:szCs w:val="20"/>
          <w:color w:val="auto"/>
        </w:rPr>
      </w:pPr>
      <w:r>
        <w:rPr>
          <w:rFonts w:ascii="Times New Roman" w:cs="Times New Roman" w:eastAsia="Times New Roman" w:hAnsi="Times New Roman"/>
          <w:sz w:val="18"/>
          <w:szCs w:val="18"/>
          <w:color w:val="0000FF"/>
        </w:rPr>
        <w:t>President, Corporate Law,</w:t>
      </w:r>
      <w:r>
        <w:rPr>
          <w:sz w:val="20"/>
          <w:szCs w:val="20"/>
          <w:color w:val="auto"/>
        </w:rPr>
        <w:tab/>
      </w:r>
      <w:r>
        <w:rPr>
          <w:rFonts w:ascii="Times New Roman" w:cs="Times New Roman" w:eastAsia="Times New Roman" w:hAnsi="Times New Roman"/>
          <w:sz w:val="16"/>
          <w:szCs w:val="16"/>
          <w:color w:val="0000FF"/>
        </w:rPr>
        <w:t>07/14/2014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Times New Roman" w:cs="Times New Roman" w:eastAsia="Times New Roman" w:hAnsi="Times New Roman"/>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2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7"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2019-12-17T06:25:01Z</dcterms:created>
  <dcterms:modified xsi:type="dcterms:W3CDTF">2019-12-17T06:25:01Z</dcterms:modified>
</cp:coreProperties>
</file>