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____1____)*</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Regeneron Pharmaceutical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75886F10</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1998</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jc w:val="center"/>
        <w:ind w:right="1559"/>
        <w:spacing w:after="0"/>
        <w:tabs>
          <w:tab w:leader="none" w:pos="200" w:val="left"/>
          <w:tab w:leader="none" w:pos="180" w:val="left"/>
          <w:tab w:leader="none" w:pos="180" w:val="left"/>
        </w:tabs>
        <w:rPr>
          <w:sz w:val="20"/>
          <w:szCs w:val="20"/>
          <w:color w:val="auto"/>
        </w:rPr>
      </w:pPr>
      <w:r>
        <w:rPr>
          <w:rFonts w:ascii="Courier New" w:cs="Courier New" w:eastAsia="Courier New" w:hAnsi="Courier New"/>
          <w:sz w:val="18"/>
          <w:szCs w:val="18"/>
          <w:color w:val="auto"/>
        </w:rPr>
        <w:t>Check the</w:t>
        <w:tab/>
        <w:t>appropriate</w:t>
        <w:tab/>
        <w:t>box to designate</w:t>
      </w:r>
      <w:r>
        <w:rPr>
          <w:sz w:val="20"/>
          <w:szCs w:val="20"/>
          <w:color w:val="auto"/>
        </w:rPr>
        <w:tab/>
      </w:r>
      <w:r>
        <w:rPr>
          <w:rFonts w:ascii="Courier New" w:cs="Courier New" w:eastAsia="Courier New" w:hAnsi="Courier New"/>
          <w:sz w:val="16"/>
          <w:szCs w:val="16"/>
          <w:color w:val="auto"/>
        </w:rPr>
        <w:t>the rule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which this Schedule is filed:</w:t>
      </w:r>
    </w:p>
    <w:p>
      <w:pPr>
        <w:spacing w:after="0" w:line="207" w:lineRule="exact"/>
        <w:rPr>
          <w:sz w:val="24"/>
          <w:szCs w:val="24"/>
          <w:color w:val="auto"/>
        </w:rPr>
      </w:pPr>
    </w:p>
    <w:p>
      <w:pPr>
        <w:jc w:val="both"/>
        <w:ind w:left="3380" w:right="5059" w:hanging="1"/>
        <w:spacing w:after="0" w:line="279" w:lineRule="auto"/>
        <w:tabs>
          <w:tab w:leader="none" w:pos="38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125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8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w:t>
            </w:r>
          </w:p>
        </w:tc>
        <w:tc>
          <w:tcPr>
            <w:tcW w:w="2420" w:type="dxa"/>
            <w:vAlign w:val="bottom"/>
          </w:tcPr>
          <w:p>
            <w:pPr>
              <w:spacing w:after="0"/>
              <w:rPr>
                <w:sz w:val="17"/>
                <w:szCs w:val="17"/>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75886F10</w:t>
            </w:r>
          </w:p>
        </w:tc>
        <w:tc>
          <w:tcPr>
            <w:tcW w:w="24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2 of 4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9"/>
              </w:rPr>
              <w:t>------------------</w:t>
            </w:r>
          </w:p>
        </w:tc>
        <w:tc>
          <w:tcPr>
            <w:tcW w:w="2420" w:type="dxa"/>
            <w:vAlign w:val="bottom"/>
          </w:tcPr>
          <w:p>
            <w:pPr>
              <w:spacing w:after="0"/>
              <w:rPr>
                <w:sz w:val="17"/>
                <w:szCs w:val="17"/>
                <w:color w:val="auto"/>
              </w:rPr>
            </w:pP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Warburg Pincus Asset Management, 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13-2673503</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7480" w:hanging="414"/>
        <w:spacing w:after="0" w:line="238" w:lineRule="auto"/>
        <w:tabs>
          <w:tab w:leader="none" w:pos="7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480" w:hanging="414"/>
        <w:spacing w:after="0" w:line="238" w:lineRule="auto"/>
        <w:tabs>
          <w:tab w:leader="none" w:pos="7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0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00" w:type="dxa"/>
            <w:vAlign w:val="bottom"/>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0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2960" w:right="4739" w:hanging="318"/>
        <w:spacing w:after="0" w:line="357" w:lineRule="auto"/>
        <w:tabs>
          <w:tab w:leader="none" w:pos="2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Not applicable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160" w:right="187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1"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160" w:right="451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640" w:type="dxa"/>
            <w:vAlign w:val="bottom"/>
            <w:gridSpan w:val="2"/>
          </w:tcPr>
          <w:p>
            <w:pPr>
              <w:ind w:left="1060"/>
              <w:spacing w:after="0"/>
              <w:rPr>
                <w:sz w:val="20"/>
                <w:szCs w:val="20"/>
                <w:color w:val="auto"/>
              </w:rPr>
            </w:pPr>
            <w:r>
              <w:rPr>
                <w:rFonts w:ascii="Courier New" w:cs="Courier New" w:eastAsia="Courier New" w:hAnsi="Courier New"/>
                <w:sz w:val="18"/>
                <w:szCs w:val="18"/>
                <w:color w:val="auto"/>
                <w:w w:val="96"/>
              </w:rPr>
              <w:t>Name of Issuer:</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4580" w:type="dxa"/>
            <w:vAlign w:val="bottom"/>
            <w:gridSpan w:val="5"/>
          </w:tcPr>
          <w:p>
            <w:pPr>
              <w:ind w:left="1060"/>
              <w:spacing w:after="0" w:line="203" w:lineRule="exact"/>
              <w:rPr>
                <w:sz w:val="20"/>
                <w:szCs w:val="20"/>
                <w:color w:val="auto"/>
              </w:rPr>
            </w:pPr>
            <w:r>
              <w:rPr>
                <w:rFonts w:ascii="Courier New" w:cs="Courier New" w:eastAsia="Courier New" w:hAnsi="Courier New"/>
                <w:sz w:val="18"/>
                <w:szCs w:val="18"/>
                <w:color w:val="auto"/>
              </w:rPr>
              <w:t>Regeneron Pharmaceutical Inc.</w:t>
            </w:r>
          </w:p>
        </w:tc>
        <w:tc>
          <w:tcPr>
            <w:tcW w:w="1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320" w:type="dxa"/>
            <w:vAlign w:val="bottom"/>
            <w:gridSpan w:val="6"/>
          </w:tcPr>
          <w:p>
            <w:pPr>
              <w:ind w:left="10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20" w:type="dxa"/>
            <w:vAlign w:val="bottom"/>
            <w:gridSpan w:val="6"/>
          </w:tcPr>
          <w:p>
            <w:pPr>
              <w:ind w:left="1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20" w:type="dxa"/>
            <w:vAlign w:val="bottom"/>
          </w:tcPr>
          <w:p>
            <w:pPr>
              <w:spacing w:after="0"/>
              <w:rPr>
                <w:sz w:val="17"/>
                <w:szCs w:val="17"/>
                <w:color w:val="auto"/>
              </w:rPr>
            </w:pPr>
          </w:p>
        </w:tc>
        <w:tc>
          <w:tcPr>
            <w:tcW w:w="3900" w:type="dxa"/>
            <w:vAlign w:val="bottom"/>
            <w:gridSpan w:val="4"/>
          </w:tcPr>
          <w:p>
            <w:pPr>
              <w:ind w:left="1060"/>
              <w:spacing w:after="0" w:line="203" w:lineRule="exact"/>
              <w:rPr>
                <w:sz w:val="20"/>
                <w:szCs w:val="20"/>
                <w:color w:val="auto"/>
              </w:rPr>
            </w:pPr>
            <w:r>
              <w:rPr>
                <w:rFonts w:ascii="Courier New" w:cs="Courier New" w:eastAsia="Courier New" w:hAnsi="Courier New"/>
                <w:sz w:val="18"/>
                <w:szCs w:val="18"/>
                <w:color w:val="auto"/>
                <w:w w:val="96"/>
              </w:rPr>
              <w:t>777 Old Saw Mill River Road</w:t>
            </w: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6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Tarrytown, NY</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10591-6707</w:t>
            </w: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900" w:type="dxa"/>
            <w:vAlign w:val="bottom"/>
            <w:gridSpan w:val="4"/>
          </w:tcPr>
          <w:p>
            <w:pPr>
              <w:ind w:left="1060"/>
              <w:spacing w:after="0"/>
              <w:rPr>
                <w:sz w:val="20"/>
                <w:szCs w:val="20"/>
                <w:color w:val="auto"/>
              </w:rPr>
            </w:pPr>
            <w:r>
              <w:rPr>
                <w:rFonts w:ascii="Courier New" w:cs="Courier New" w:eastAsia="Courier New" w:hAnsi="Courier New"/>
                <w:sz w:val="18"/>
                <w:szCs w:val="18"/>
                <w:color w:val="auto"/>
              </w:rPr>
              <w:t>Name of Person Filing</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gridSpan w:val="4"/>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320" w:type="dxa"/>
            <w:vAlign w:val="bottom"/>
            <w:gridSpan w:val="6"/>
          </w:tcPr>
          <w:p>
            <w:pPr>
              <w:ind w:left="1060"/>
              <w:spacing w:after="0" w:line="203" w:lineRule="exact"/>
              <w:rPr>
                <w:sz w:val="20"/>
                <w:szCs w:val="20"/>
                <w:color w:val="auto"/>
              </w:rPr>
            </w:pPr>
            <w:r>
              <w:rPr>
                <w:rFonts w:ascii="Courier New" w:cs="Courier New" w:eastAsia="Courier New" w:hAnsi="Courier New"/>
                <w:sz w:val="18"/>
                <w:szCs w:val="18"/>
                <w:color w:val="auto"/>
              </w:rPr>
              <w:t>Warburg Pincus Asset Management, Inc.</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320" w:type="dxa"/>
            <w:vAlign w:val="bottom"/>
            <w:gridSpan w:val="6"/>
          </w:tcPr>
          <w:p>
            <w:pPr>
              <w:ind w:left="10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20" w:type="dxa"/>
            <w:vAlign w:val="bottom"/>
            <w:gridSpan w:val="6"/>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6320" w:type="dxa"/>
            <w:vAlign w:val="bottom"/>
            <w:gridSpan w:val="6"/>
          </w:tcPr>
          <w:p>
            <w:pPr>
              <w:ind w:left="1060"/>
              <w:spacing w:after="0" w:line="203" w:lineRule="exact"/>
              <w:rPr>
                <w:sz w:val="20"/>
                <w:szCs w:val="20"/>
                <w:color w:val="auto"/>
              </w:rPr>
            </w:pPr>
            <w:r>
              <w:rPr>
                <w:rFonts w:ascii="Courier New" w:cs="Courier New" w:eastAsia="Courier New" w:hAnsi="Courier New"/>
                <w:sz w:val="18"/>
                <w:szCs w:val="18"/>
                <w:color w:val="auto"/>
              </w:rPr>
              <w:t>466 Lexington Avenue, New York, New York 10017</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64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Citizenship:</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580" w:type="dxa"/>
            <w:vAlign w:val="bottom"/>
            <w:gridSpan w:val="5"/>
          </w:tcPr>
          <w:p>
            <w:pPr>
              <w:ind w:left="1060"/>
              <w:spacing w:after="0"/>
              <w:rPr>
                <w:sz w:val="20"/>
                <w:szCs w:val="20"/>
                <w:color w:val="auto"/>
              </w:rPr>
            </w:pPr>
            <w:r>
              <w:rPr>
                <w:rFonts w:ascii="Courier New" w:cs="Courier New" w:eastAsia="Courier New" w:hAnsi="Courier New"/>
                <w:sz w:val="18"/>
                <w:szCs w:val="18"/>
                <w:color w:val="auto"/>
              </w:rPr>
              <w:t>Title of Class of Securities:</w:t>
            </w:r>
          </w:p>
        </w:tc>
        <w:tc>
          <w:tcPr>
            <w:tcW w:w="174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580" w:type="dxa"/>
            <w:vAlign w:val="bottom"/>
            <w:gridSpan w:val="5"/>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6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Common Stock</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64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CUSIP Number:</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w w:val="96"/>
              </w:rPr>
              <w:t>-------------</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75886F10</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3900" w:type="dxa"/>
            <w:vAlign w:val="bottom"/>
            <w:gridSpan w:val="4"/>
          </w:tcPr>
          <w:p>
            <w:pPr>
              <w:ind w:left="1060"/>
              <w:spacing w:after="0"/>
              <w:rPr>
                <w:sz w:val="20"/>
                <w:szCs w:val="20"/>
                <w:color w:val="auto"/>
              </w:rPr>
            </w:pPr>
            <w:r>
              <w:rPr>
                <w:rFonts w:ascii="Courier New" w:cs="Courier New" w:eastAsia="Courier New" w:hAnsi="Courier New"/>
                <w:sz w:val="18"/>
                <w:szCs w:val="18"/>
                <w:color w:val="auto"/>
              </w:rPr>
              <w:t>If the reporting person is</w:t>
            </w:r>
          </w:p>
        </w:tc>
        <w:tc>
          <w:tcPr>
            <w:tcW w:w="2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an investment adviser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accordance with</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ss.</w:t>
            </w:r>
          </w:p>
        </w:tc>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240.13d-1(b)(1)(ii)(E),</w:t>
            </w:r>
          </w:p>
        </w:tc>
      </w:tr>
      <w:tr>
        <w:trPr>
          <w:trHeight w:val="203"/>
        </w:trPr>
        <w:tc>
          <w:tcPr>
            <w:tcW w:w="2320" w:type="dxa"/>
            <w:vAlign w:val="bottom"/>
          </w:tcPr>
          <w:p>
            <w:pPr>
              <w:spacing w:after="0"/>
              <w:rPr>
                <w:sz w:val="17"/>
                <w:szCs w:val="17"/>
                <w:color w:val="auto"/>
              </w:rPr>
            </w:pPr>
          </w:p>
        </w:tc>
        <w:tc>
          <w:tcPr>
            <w:tcW w:w="26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6"/>
              </w:rPr>
              <w:t>check this box.</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Ownership:</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6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320" w:type="dxa"/>
            <w:vAlign w:val="bottom"/>
            <w:gridSpan w:val="6"/>
          </w:tcPr>
          <w:p>
            <w:pPr>
              <w:ind w:left="10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20" w:type="dxa"/>
            <w:vAlign w:val="bottom"/>
            <w:gridSpan w:val="6"/>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If this</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statement</w:t>
            </w:r>
          </w:p>
        </w:tc>
        <w:tc>
          <w:tcPr>
            <w:tcW w:w="31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is being filed to report the</w:t>
            </w:r>
          </w:p>
        </w:tc>
      </w:tr>
      <w:tr>
        <w:trPr>
          <w:trHeight w:val="203"/>
        </w:trPr>
        <w:tc>
          <w:tcPr>
            <w:tcW w:w="2320" w:type="dxa"/>
            <w:vAlign w:val="bottom"/>
          </w:tcPr>
          <w:p>
            <w:pPr>
              <w:spacing w:after="0"/>
              <w:rPr>
                <w:sz w:val="17"/>
                <w:szCs w:val="17"/>
                <w:color w:val="auto"/>
              </w:rPr>
            </w:pPr>
          </w:p>
        </w:tc>
        <w:tc>
          <w:tcPr>
            <w:tcW w:w="316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fact that as of the</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hereof</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 reporting</w:t>
            </w:r>
          </w:p>
        </w:tc>
      </w:tr>
      <w:tr>
        <w:trPr>
          <w:trHeight w:val="203"/>
        </w:trPr>
        <w:tc>
          <w:tcPr>
            <w:tcW w:w="2320" w:type="dxa"/>
            <w:vAlign w:val="bottom"/>
          </w:tcPr>
          <w:p>
            <w:pPr>
              <w:spacing w:after="0"/>
              <w:rPr>
                <w:sz w:val="17"/>
                <w:szCs w:val="17"/>
                <w:color w:val="auto"/>
              </w:rPr>
            </w:pP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has ceased</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to  be</w:t>
            </w:r>
          </w:p>
        </w:tc>
        <w:tc>
          <w:tcPr>
            <w:tcW w:w="2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the beneficial owner</w:t>
            </w:r>
          </w:p>
        </w:tc>
      </w:tr>
      <w:tr>
        <w:trPr>
          <w:trHeight w:val="203"/>
        </w:trPr>
        <w:tc>
          <w:tcPr>
            <w:tcW w:w="2320" w:type="dxa"/>
            <w:vAlign w:val="bottom"/>
          </w:tcPr>
          <w:p>
            <w:pPr>
              <w:spacing w:after="0"/>
              <w:rPr>
                <w:sz w:val="17"/>
                <w:szCs w:val="17"/>
                <w:color w:val="auto"/>
              </w:rPr>
            </w:pPr>
          </w:p>
        </w:tc>
        <w:tc>
          <w:tcPr>
            <w:tcW w:w="6320" w:type="dxa"/>
            <w:vAlign w:val="bottom"/>
            <w:gridSpan w:val="6"/>
          </w:tcPr>
          <w:p>
            <w:pPr>
              <w:ind w:left="1060"/>
              <w:spacing w:after="0" w:line="203" w:lineRule="exact"/>
              <w:rPr>
                <w:sz w:val="20"/>
                <w:szCs w:val="20"/>
                <w:color w:val="auto"/>
              </w:rPr>
            </w:pPr>
            <w:r>
              <w:rPr>
                <w:rFonts w:ascii="Courier New" w:cs="Courier New" w:eastAsia="Courier New" w:hAnsi="Courier New"/>
                <w:sz w:val="18"/>
                <w:szCs w:val="18"/>
                <w:color w:val="auto"/>
              </w:rPr>
              <w:t>of  more  than  five  percent  of  the  class of</w:t>
            </w:r>
          </w:p>
        </w:tc>
      </w:tr>
      <w:tr>
        <w:trPr>
          <w:trHeight w:val="203"/>
        </w:trPr>
        <w:tc>
          <w:tcPr>
            <w:tcW w:w="2320" w:type="dxa"/>
            <w:vAlign w:val="bottom"/>
          </w:tcPr>
          <w:p>
            <w:pPr>
              <w:spacing w:after="0"/>
              <w:rPr>
                <w:sz w:val="17"/>
                <w:szCs w:val="17"/>
                <w:color w:val="auto"/>
              </w:rPr>
            </w:pPr>
          </w:p>
        </w:tc>
        <w:tc>
          <w:tcPr>
            <w:tcW w:w="4580" w:type="dxa"/>
            <w:vAlign w:val="bottom"/>
            <w:gridSpan w:val="5"/>
          </w:tcPr>
          <w:p>
            <w:pPr>
              <w:ind w:left="1060"/>
              <w:spacing w:after="0" w:line="203" w:lineRule="exact"/>
              <w:rPr>
                <w:sz w:val="20"/>
                <w:szCs w:val="20"/>
                <w:color w:val="auto"/>
              </w:rPr>
            </w:pPr>
            <w:r>
              <w:rPr>
                <w:rFonts w:ascii="Courier New" w:cs="Courier New" w:eastAsia="Courier New" w:hAnsi="Courier New"/>
                <w:sz w:val="18"/>
                <w:szCs w:val="18"/>
                <w:color w:val="auto"/>
              </w:rPr>
              <w:t>securities,  check the following</w:t>
            </w:r>
          </w:p>
        </w:tc>
        <w:tc>
          <w:tcPr>
            <w:tcW w:w="1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[X]</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320" w:type="dxa"/>
            <w:vAlign w:val="bottom"/>
            <w:gridSpan w:val="6"/>
          </w:tcPr>
          <w:p>
            <w:pPr>
              <w:ind w:left="1060"/>
              <w:spacing w:after="0"/>
              <w:rPr>
                <w:sz w:val="20"/>
                <w:szCs w:val="20"/>
                <w:color w:val="auto"/>
              </w:rPr>
            </w:pPr>
            <w:r>
              <w:rPr>
                <w:rFonts w:ascii="Courier New" w:cs="Courier New" w:eastAsia="Courier New" w:hAnsi="Courier New"/>
                <w:sz w:val="18"/>
                <w:szCs w:val="18"/>
                <w:color w:val="auto"/>
              </w:rPr>
              <w:t>Ownership of More than Five Percent on Behalf of</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20" w:type="dxa"/>
            <w:vAlign w:val="bottom"/>
            <w:gridSpan w:val="6"/>
          </w:tcPr>
          <w:p>
            <w:pPr>
              <w:ind w:left="1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20" w:type="dxa"/>
            <w:vAlign w:val="bottom"/>
          </w:tcPr>
          <w:p>
            <w:pPr>
              <w:spacing w:after="0"/>
              <w:rPr>
                <w:sz w:val="17"/>
                <w:szCs w:val="17"/>
                <w:color w:val="auto"/>
              </w:rPr>
            </w:pPr>
          </w:p>
        </w:tc>
        <w:tc>
          <w:tcPr>
            <w:tcW w:w="26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6"/>
              </w:rPr>
              <w:t>Another Person:</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6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6"/>
              </w:rPr>
              <w:t>---------------</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6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11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5800" w:type="dxa"/>
            <w:vAlign w:val="bottom"/>
            <w:gridSpan w:val="5"/>
          </w:tcPr>
          <w:p>
            <w:pPr>
              <w:ind w:left="960"/>
              <w:spacing w:after="0"/>
              <w:rPr>
                <w:sz w:val="20"/>
                <w:szCs w:val="20"/>
                <w:color w:val="auto"/>
              </w:rPr>
            </w:pPr>
            <w:r>
              <w:rPr>
                <w:rFonts w:ascii="Courier New" w:cs="Courier New" w:eastAsia="Courier New" w:hAnsi="Courier New"/>
                <w:sz w:val="18"/>
                <w:szCs w:val="18"/>
                <w:color w:val="auto"/>
              </w:rPr>
              <w:t>Identification and Classification of the</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0" w:type="dxa"/>
            <w:vAlign w:val="bottom"/>
            <w:gridSpan w:val="5"/>
          </w:tcPr>
          <w:p>
            <w:pPr>
              <w:ind w:left="1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580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rPr>
              <w:t>Subsidiary Which Acquired the Security Being</w:t>
            </w:r>
          </w:p>
        </w:tc>
      </w:tr>
      <w:tr>
        <w:trPr>
          <w:trHeight w:val="203"/>
        </w:trPr>
        <w:tc>
          <w:tcPr>
            <w:tcW w:w="2740" w:type="dxa"/>
            <w:vAlign w:val="bottom"/>
          </w:tcPr>
          <w:p>
            <w:pPr>
              <w:spacing w:after="0"/>
              <w:rPr>
                <w:sz w:val="17"/>
                <w:szCs w:val="17"/>
                <w:color w:val="auto"/>
              </w:rPr>
            </w:pPr>
          </w:p>
        </w:tc>
        <w:tc>
          <w:tcPr>
            <w:tcW w:w="580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580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rPr>
              <w:t>Reported on By the Parent Holding Company:</w:t>
            </w:r>
          </w:p>
        </w:tc>
      </w:tr>
      <w:tr>
        <w:trPr>
          <w:trHeight w:val="203"/>
        </w:trPr>
        <w:tc>
          <w:tcPr>
            <w:tcW w:w="2740" w:type="dxa"/>
            <w:vAlign w:val="bottom"/>
          </w:tcPr>
          <w:p>
            <w:pPr>
              <w:spacing w:after="0"/>
              <w:rPr>
                <w:sz w:val="17"/>
                <w:szCs w:val="17"/>
                <w:color w:val="auto"/>
              </w:rPr>
            </w:pPr>
          </w:p>
        </w:tc>
        <w:tc>
          <w:tcPr>
            <w:tcW w:w="580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2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5800" w:type="dxa"/>
            <w:vAlign w:val="bottom"/>
            <w:gridSpan w:val="5"/>
          </w:tcPr>
          <w:p>
            <w:pPr>
              <w:ind w:left="960"/>
              <w:spacing w:after="0"/>
              <w:rPr>
                <w:sz w:val="20"/>
                <w:szCs w:val="20"/>
                <w:color w:val="auto"/>
              </w:rPr>
            </w:pPr>
            <w:r>
              <w:rPr>
                <w:rFonts w:ascii="Courier New" w:cs="Courier New" w:eastAsia="Courier New" w:hAnsi="Courier New"/>
                <w:sz w:val="18"/>
                <w:szCs w:val="18"/>
                <w:color w:val="auto"/>
              </w:rPr>
              <w:t>Identification and Classification of Members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0" w:type="dxa"/>
            <w:vAlign w:val="bottom"/>
            <w:gridSpan w:val="5"/>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rPr>
                <w:sz w:val="17"/>
                <w:szCs w:val="17"/>
                <w:color w:val="auto"/>
              </w:rPr>
            </w:pPr>
          </w:p>
        </w:tc>
        <w:tc>
          <w:tcPr>
            <w:tcW w:w="2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of the Group:</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440" w:type="dxa"/>
            <w:vAlign w:val="bottom"/>
            <w:gridSpan w:val="4"/>
          </w:tcPr>
          <w:p>
            <w:pPr>
              <w:ind w:left="960"/>
              <w:spacing w:after="0"/>
              <w:rPr>
                <w:sz w:val="20"/>
                <w:szCs w:val="20"/>
                <w:color w:val="auto"/>
              </w:rPr>
            </w:pPr>
            <w:r>
              <w:rPr>
                <w:rFonts w:ascii="Courier New" w:cs="Courier New" w:eastAsia="Courier New" w:hAnsi="Courier New"/>
                <w:sz w:val="18"/>
                <w:szCs w:val="18"/>
                <w:color w:val="auto"/>
              </w:rPr>
              <w:t>Notice of Dissolution of Group:</w:t>
            </w:r>
          </w:p>
        </w:tc>
        <w:tc>
          <w:tcPr>
            <w:tcW w:w="136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4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8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Certification:</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580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w w:val="99"/>
              </w:rPr>
              <w:t>Inasmuch as the reporting person is no longer</w:t>
            </w:r>
          </w:p>
        </w:tc>
      </w:tr>
      <w:tr>
        <w:trPr>
          <w:trHeight w:val="203"/>
        </w:trPr>
        <w:tc>
          <w:tcPr>
            <w:tcW w:w="2740" w:type="dxa"/>
            <w:vAlign w:val="bottom"/>
          </w:tcPr>
          <w:p>
            <w:pPr>
              <w:spacing w:after="0"/>
              <w:rPr>
                <w:sz w:val="17"/>
                <w:szCs w:val="17"/>
                <w:color w:val="auto"/>
              </w:rPr>
            </w:pPr>
          </w:p>
        </w:tc>
        <w:tc>
          <w:tcPr>
            <w:tcW w:w="2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the  beneficial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owner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more</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than  five</w:t>
            </w:r>
          </w:p>
        </w:tc>
      </w:tr>
      <w:tr>
        <w:trPr>
          <w:trHeight w:val="203"/>
        </w:trPr>
        <w:tc>
          <w:tcPr>
            <w:tcW w:w="2740" w:type="dxa"/>
            <w:vAlign w:val="bottom"/>
          </w:tcPr>
          <w:p>
            <w:pPr>
              <w:spacing w:after="0"/>
              <w:rPr>
                <w:sz w:val="17"/>
                <w:szCs w:val="17"/>
                <w:color w:val="auto"/>
              </w:rPr>
            </w:pPr>
          </w:p>
        </w:tc>
        <w:tc>
          <w:tcPr>
            <w:tcW w:w="338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percent of the  number</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of shares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2740" w:type="dxa"/>
            <w:vAlign w:val="bottom"/>
          </w:tcPr>
          <w:p>
            <w:pPr>
              <w:spacing w:after="0"/>
              <w:rPr>
                <w:sz w:val="17"/>
                <w:szCs w:val="17"/>
                <w:color w:val="auto"/>
              </w:rPr>
            </w:pPr>
          </w:p>
        </w:tc>
        <w:tc>
          <w:tcPr>
            <w:tcW w:w="1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of the</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issuer of the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referenced</w:t>
            </w:r>
          </w:p>
        </w:tc>
      </w:tr>
      <w:tr>
        <w:trPr>
          <w:trHeight w:val="203"/>
        </w:trPr>
        <w:tc>
          <w:tcPr>
            <w:tcW w:w="2740" w:type="dxa"/>
            <w:vAlign w:val="bottom"/>
          </w:tcPr>
          <w:p>
            <w:pPr>
              <w:spacing w:after="0"/>
              <w:rPr>
                <w:sz w:val="17"/>
                <w:szCs w:val="17"/>
                <w:color w:val="auto"/>
              </w:rPr>
            </w:pPr>
          </w:p>
        </w:tc>
        <w:tc>
          <w:tcPr>
            <w:tcW w:w="1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herein,</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reporting</w:t>
            </w: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 has no further</w:t>
            </w:r>
          </w:p>
        </w:tc>
      </w:tr>
      <w:tr>
        <w:trPr>
          <w:trHeight w:val="203"/>
        </w:trPr>
        <w:tc>
          <w:tcPr>
            <w:tcW w:w="2740" w:type="dxa"/>
            <w:vAlign w:val="bottom"/>
          </w:tcPr>
          <w:p>
            <w:pPr>
              <w:spacing w:after="0"/>
              <w:rPr>
                <w:sz w:val="17"/>
                <w:szCs w:val="17"/>
                <w:color w:val="auto"/>
              </w:rPr>
            </w:pPr>
          </w:p>
        </w:tc>
        <w:tc>
          <w:tcPr>
            <w:tcW w:w="338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reporting  obligation</w:t>
            </w: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under Section 13(d) of</w:t>
            </w:r>
          </w:p>
        </w:tc>
      </w:tr>
      <w:tr>
        <w:trPr>
          <w:trHeight w:val="203"/>
        </w:trPr>
        <w:tc>
          <w:tcPr>
            <w:tcW w:w="2740" w:type="dxa"/>
            <w:vAlign w:val="bottom"/>
          </w:tcPr>
          <w:p>
            <w:pPr>
              <w:spacing w:after="0"/>
              <w:rPr>
                <w:sz w:val="17"/>
                <w:szCs w:val="17"/>
                <w:color w:val="auto"/>
              </w:rPr>
            </w:pPr>
          </w:p>
        </w:tc>
        <w:tc>
          <w:tcPr>
            <w:tcW w:w="580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rPr>
              <w:t>the Act with respect to such issuer.</w:t>
            </w:r>
          </w:p>
        </w:tc>
      </w:tr>
      <w:tr>
        <w:trPr>
          <w:trHeight w:val="608"/>
        </w:trPr>
        <w:tc>
          <w:tcPr>
            <w:tcW w:w="2740" w:type="dxa"/>
            <w:vAlign w:val="bottom"/>
          </w:tcPr>
          <w:p>
            <w:pPr>
              <w:spacing w:after="0"/>
              <w:rPr>
                <w:sz w:val="24"/>
                <w:szCs w:val="24"/>
                <w:color w:val="auto"/>
              </w:rPr>
            </w:pPr>
          </w:p>
        </w:tc>
        <w:tc>
          <w:tcPr>
            <w:tcW w:w="1740" w:type="dxa"/>
            <w:vAlign w:val="bottom"/>
          </w:tcPr>
          <w:p>
            <w:pPr>
              <w:ind w:left="740"/>
              <w:spacing w:after="0"/>
              <w:rPr>
                <w:sz w:val="20"/>
                <w:szCs w:val="20"/>
                <w:color w:val="auto"/>
              </w:rPr>
            </w:pPr>
            <w:r>
              <w:rPr>
                <w:rFonts w:ascii="Courier New" w:cs="Courier New" w:eastAsia="Courier New" w:hAnsi="Courier New"/>
                <w:sz w:val="18"/>
                <w:szCs w:val="18"/>
                <w:color w:val="auto"/>
              </w:rPr>
              <w:t>SIGNATURE</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740" w:type="dxa"/>
            <w:vAlign w:val="bottom"/>
          </w:tcPr>
          <w:p>
            <w:pPr>
              <w:ind w:left="960"/>
              <w:spacing w:after="0"/>
              <w:rPr>
                <w:sz w:val="20"/>
                <w:szCs w:val="20"/>
                <w:color w:val="auto"/>
              </w:rPr>
            </w:pPr>
            <w:r>
              <w:rPr>
                <w:rFonts w:ascii="Courier New" w:cs="Courier New" w:eastAsia="Courier New" w:hAnsi="Courier New"/>
                <w:sz w:val="18"/>
                <w:szCs w:val="18"/>
                <w:color w:val="auto"/>
              </w:rPr>
              <w:t>After reasonable</w:t>
            </w:r>
          </w:p>
        </w:tc>
        <w:tc>
          <w:tcPr>
            <w:tcW w:w="5800" w:type="dxa"/>
            <w:vAlign w:val="bottom"/>
            <w:gridSpan w:val="5"/>
          </w:tcPr>
          <w:p>
            <w:pPr>
              <w:jc w:val="right"/>
              <w:ind w:right="12"/>
              <w:spacing w:after="0"/>
              <w:rPr>
                <w:sz w:val="20"/>
                <w:szCs w:val="20"/>
                <w:color w:val="auto"/>
              </w:rPr>
            </w:pPr>
            <w:r>
              <w:rPr>
                <w:rFonts w:ascii="Courier New" w:cs="Courier New" w:eastAsia="Courier New" w:hAnsi="Courier New"/>
                <w:sz w:val="18"/>
                <w:szCs w:val="18"/>
                <w:color w:val="auto"/>
                <w:w w:val="99"/>
              </w:rPr>
              <w:t>inquiry and to the best of my knowledge and belief, I</w:t>
            </w: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certify that the information  set forth in this statement is true,</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complete and</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correct.</w:t>
            </w: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Dated: March 22, 1999</w:t>
            </w: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10"/>
        </w:trPr>
        <w:tc>
          <w:tcPr>
            <w:tcW w:w="2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By: /s/ Linda S. Iovan</w:t>
            </w:r>
          </w:p>
        </w:tc>
        <w:tc>
          <w:tcPr>
            <w:tcW w:w="136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6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Name:</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Linda S. Iovan</w:t>
            </w:r>
          </w:p>
        </w:tc>
        <w:tc>
          <w:tcPr>
            <w:tcW w:w="13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13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lvl w:ilvl="1">
      <w:lvlJc w:val="left"/>
      <w:lvlText w:val="%2"/>
      <w:numFmt w:val="decimal"/>
      <w:start w:val="1"/>
    </w:lvl>
  </w:abstractNum>
  <w:abstractNum w:abstractNumId="2">
    <w:nsid w:val="3D1B58BA"/>
    <w:multiLevelType w:val="hybridMultilevel"/>
    <w:lvl w:ilvl="0">
      <w:lvlJc w:val="left"/>
      <w:lvlText w:val="-"/>
      <w:numFmt w:val="bullet"/>
      <w:start w:val="1"/>
    </w:lvl>
    <w:lvl w:ilvl="1">
      <w:lvlJc w:val="left"/>
      <w:lvlText w:val="(%2)"/>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8"/>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2020-02-22T12:31:30Z</dcterms:created>
  <dcterms:modified xsi:type="dcterms:W3CDTF">2020-02-22T12:31:30Z</dcterms:modified>
</cp:coreProperties>
</file>