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49" w:orient="portrait"/>
          <w:cols w:equalWidth="0" w:num="1">
            <w:col w:w="11200"/>
          </w:cols>
          <w:pgMar w:left="320" w:top="261" w:right="37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0001226690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REGENERON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000-19034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777 OLD SAW MILL RIVER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TARRYTOWN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10591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9148477000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YANCOPOULOS GEORGE</w:t>
      </w:r>
    </w:p>
    <w:p>
      <w:pPr>
        <w:spacing w:after="0" w:line="44" w:lineRule="exact"/>
        <w:rPr>
          <w:sz w:val="24"/>
          <w:szCs w:val="24"/>
          <w:color w:val="auto"/>
        </w:rPr>
      </w:pPr>
    </w:p>
    <w:p>
      <w:pPr>
        <w:sectPr>
          <w:pgSz w:w="11900" w:h="16849" w:orient="portrait"/>
          <w:cols w:equalWidth="0" w:num="2">
            <w:col w:w="5880" w:space="720"/>
            <w:col w:w="4600"/>
          </w:cols>
          <w:pgMar w:left="320" w:top="261" w:right="379" w:bottom="0" w:gutter="0" w:footer="0" w:header="0"/>
          <w:type w:val="continuous"/>
        </w:sectPr>
      </w:pPr>
    </w:p>
    <w:p>
      <w:pPr>
        <w:jc w:val="both"/>
        <w:ind w:lef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9" w:orient="portrait"/>
          <w:cols w:equalWidth="0" w:num="1">
            <w:col w:w="11200"/>
          </w:cols>
          <w:pgMar w:left="320" w:top="261" w:right="37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Title of the Class of</w:t>
            </w:r>
          </w:p>
        </w:tc>
        <w:tc>
          <w:tcPr>
            <w:tcW w:w="230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w w:val="96"/>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9"/>
              </w:rPr>
              <w:t>UBS Financial Services,</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Boulevard</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9"/>
              </w:rPr>
              <w:t>UBS Financial Services,</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Boulevard</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07016</w:t>
            </w: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9"/>
              </w:rPr>
              <w:t>UBS Financial Services,</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Boulevard</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9"/>
              </w:rPr>
              <w:t>UBS Financial Services,</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4212</w:t>
            </w: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9"/>
              </w:rPr>
              <w:t>3791032.92</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107128838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01/02/2024   NASDAQ</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tabs>
          <w:tab w:leader="none" w:pos="1200" w:val="left"/>
          <w:tab w:leader="none" w:pos="2520" w:val="left"/>
          <w:tab w:leader="none" w:pos="3740" w:val="left"/>
          <w:tab w:leader="none" w:pos="5040" w:val="left"/>
        </w:tabs>
        <w:rPr>
          <w:sz w:val="20"/>
          <w:szCs w:val="20"/>
          <w:color w:val="auto"/>
        </w:rPr>
      </w:pPr>
      <w:r>
        <w:rPr>
          <w:rFonts w:ascii="Times New Roman" w:cs="Times New Roman" w:eastAsia="Times New Roman" w:hAnsi="Times New Roman"/>
          <w:sz w:val="22"/>
          <w:szCs w:val="22"/>
          <w:color w:val="auto"/>
        </w:rPr>
        <w:t>4212</w:t>
      </w:r>
      <w:r>
        <w:rPr>
          <w:sz w:val="20"/>
          <w:szCs w:val="20"/>
          <w:color w:val="auto"/>
        </w:rPr>
        <w:tab/>
      </w:r>
      <w:r>
        <w:rPr>
          <w:rFonts w:ascii="Times New Roman" w:cs="Times New Roman" w:eastAsia="Times New Roman" w:hAnsi="Times New Roman"/>
          <w:sz w:val="22"/>
          <w:szCs w:val="22"/>
          <w:color w:val="auto"/>
        </w:rPr>
        <w:t>3791107.48</w:t>
        <w:tab/>
        <w:t>107128838</w:t>
        <w:tab/>
        <w:t>01/02/2024</w:t>
      </w:r>
      <w:r>
        <w:rPr>
          <w:sz w:val="20"/>
          <w:szCs w:val="20"/>
          <w:color w:val="auto"/>
        </w:rPr>
        <w:tab/>
      </w:r>
      <w:r>
        <w:rPr>
          <w:rFonts w:ascii="Times New Roman" w:cs="Times New Roman" w:eastAsia="Times New Roman" w:hAnsi="Times New Roman"/>
          <w:sz w:val="21"/>
          <w:szCs w:val="21"/>
          <w:color w:val="auto"/>
        </w:rPr>
        <w:t>NASDAQ</w:t>
      </w: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spacing w:after="0"/>
        <w:tabs>
          <w:tab w:leader="none" w:pos="1200" w:val="left"/>
          <w:tab w:leader="none" w:pos="2520" w:val="left"/>
          <w:tab w:leader="none" w:pos="3740" w:val="left"/>
          <w:tab w:leader="none" w:pos="5040" w:val="left"/>
        </w:tabs>
        <w:rPr>
          <w:sz w:val="20"/>
          <w:szCs w:val="20"/>
          <w:color w:val="auto"/>
        </w:rPr>
      </w:pPr>
      <w:r>
        <w:rPr>
          <w:rFonts w:ascii="Times New Roman" w:cs="Times New Roman" w:eastAsia="Times New Roman" w:hAnsi="Times New Roman"/>
          <w:sz w:val="22"/>
          <w:szCs w:val="22"/>
          <w:color w:val="auto"/>
        </w:rPr>
        <w:t>4212</w:t>
      </w:r>
      <w:r>
        <w:rPr>
          <w:sz w:val="20"/>
          <w:szCs w:val="20"/>
          <w:color w:val="auto"/>
        </w:rPr>
        <w:tab/>
      </w:r>
      <w:r>
        <w:rPr>
          <w:rFonts w:ascii="Times New Roman" w:cs="Times New Roman" w:eastAsia="Times New Roman" w:hAnsi="Times New Roman"/>
          <w:sz w:val="22"/>
          <w:szCs w:val="22"/>
          <w:color w:val="auto"/>
        </w:rPr>
        <w:t>3791066.20</w:t>
        <w:tab/>
        <w:t>107128838</w:t>
        <w:tab/>
        <w:t>01/02/2024</w:t>
      </w:r>
      <w:r>
        <w:rPr>
          <w:sz w:val="20"/>
          <w:szCs w:val="20"/>
          <w:color w:val="auto"/>
        </w:rPr>
        <w:tab/>
      </w:r>
      <w:r>
        <w:rPr>
          <w:rFonts w:ascii="Times New Roman" w:cs="Times New Roman" w:eastAsia="Times New Roman" w:hAnsi="Times New Roman"/>
          <w:sz w:val="21"/>
          <w:szCs w:val="21"/>
          <w:color w:val="auto"/>
        </w:rPr>
        <w:t>NASDAQ</w:t>
      </w:r>
    </w:p>
    <w:p>
      <w:pPr>
        <w:spacing w:after="0" w:line="200" w:lineRule="exact"/>
        <w:rPr>
          <w:sz w:val="24"/>
          <w:szCs w:val="24"/>
          <w:color w:val="auto"/>
        </w:rPr>
      </w:pPr>
    </w:p>
    <w:p>
      <w:pPr>
        <w:spacing w:after="0" w:line="209" w:lineRule="exact"/>
        <w:rPr>
          <w:sz w:val="24"/>
          <w:szCs w:val="24"/>
          <w:color w:val="auto"/>
        </w:rPr>
      </w:pPr>
    </w:p>
    <w:p>
      <w:pPr>
        <w:spacing w:after="0"/>
        <w:tabs>
          <w:tab w:leader="none" w:pos="1200" w:val="left"/>
          <w:tab w:leader="none" w:pos="2520" w:val="left"/>
          <w:tab w:leader="none" w:pos="3740" w:val="left"/>
          <w:tab w:leader="none" w:pos="5040" w:val="left"/>
        </w:tabs>
        <w:rPr>
          <w:sz w:val="20"/>
          <w:szCs w:val="20"/>
          <w:color w:val="auto"/>
        </w:rPr>
      </w:pPr>
      <w:r>
        <w:rPr>
          <w:rFonts w:ascii="Times New Roman" w:cs="Times New Roman" w:eastAsia="Times New Roman" w:hAnsi="Times New Roman"/>
          <w:sz w:val="22"/>
          <w:szCs w:val="22"/>
          <w:color w:val="auto"/>
        </w:rPr>
        <w:t>4212</w:t>
      </w:r>
      <w:r>
        <w:rPr>
          <w:sz w:val="20"/>
          <w:szCs w:val="20"/>
          <w:color w:val="auto"/>
        </w:rPr>
        <w:tab/>
      </w:r>
      <w:r>
        <w:rPr>
          <w:rFonts w:ascii="Times New Roman" w:cs="Times New Roman" w:eastAsia="Times New Roman" w:hAnsi="Times New Roman"/>
          <w:sz w:val="22"/>
          <w:szCs w:val="22"/>
          <w:color w:val="auto"/>
        </w:rPr>
        <w:t>3791130.64</w:t>
        <w:tab/>
        <w:t>107128838</w:t>
        <w:tab/>
        <w:t>01/02/2024</w:t>
      </w:r>
      <w:r>
        <w:rPr>
          <w:sz w:val="20"/>
          <w:szCs w:val="20"/>
          <w:color w:val="auto"/>
        </w:rPr>
        <w:tab/>
      </w:r>
      <w:r>
        <w:rPr>
          <w:rFonts w:ascii="Times New Roman" w:cs="Times New Roman" w:eastAsia="Times New Roman" w:hAnsi="Times New Roman"/>
          <w:sz w:val="21"/>
          <w:szCs w:val="21"/>
          <w:color w:val="auto"/>
        </w:rPr>
        <w:t>NASDAQ</w:t>
      </w:r>
    </w:p>
    <w:p>
      <w:pPr>
        <w:sectPr>
          <w:pgSz w:w="11900" w:h="16849" w:orient="portrait"/>
          <w:cols w:equalWidth="0" w:num="2">
            <w:col w:w="4660" w:space="220"/>
            <w:col w:w="6320"/>
          </w:cols>
          <w:pgMar w:left="320" w:top="261" w:right="379" w:bottom="0" w:gutter="0" w:footer="0" w:header="0"/>
          <w:type w:val="continuous"/>
        </w:sectPr>
      </w:pPr>
    </w:p>
    <w:bookmarkStart w:id="1" w:name="page2"/>
    <w:bookmarkEnd w:id="1"/>
    <w:p>
      <w:pPr>
        <w:ind w:left="2500"/>
        <w:spacing w:after="0"/>
        <w:rPr>
          <w:sz w:val="20"/>
          <w:szCs w:val="20"/>
          <w:color w:val="auto"/>
        </w:rPr>
      </w:pPr>
      <w:r>
        <w:rPr>
          <w:rFonts w:ascii="Times New Roman" w:cs="Times New Roman" w:eastAsia="Times New Roman" w:hAnsi="Times New Roman"/>
          <w:sz w:val="22"/>
          <w:szCs w:val="22"/>
          <w:color w:val="auto"/>
        </w:rPr>
        <w:t>1000 Harbor Boulevard</w:t>
      </w:r>
    </w:p>
    <w:p>
      <w:pPr>
        <w:spacing w:after="0" w:line="1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Weehawken  NJ  07086</w:t>
      </w: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111" w:right="339" w:bottom="0" w:gutter="0" w:footer="0" w:header="0"/>
        </w:sectPr>
      </w:pPr>
    </w:p>
    <w:p>
      <w:pPr>
        <w:spacing w:after="0" w:line="200" w:lineRule="exact"/>
        <w:rPr>
          <w:sz w:val="20"/>
          <w:szCs w:val="20"/>
          <w:color w:val="auto"/>
        </w:rPr>
      </w:pP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40" w:type="dxa"/>
            <w:vAlign w:val="bottom"/>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440" w:type="dxa"/>
            <w:vAlign w:val="bottom"/>
            <w:vMerge w:val="restart"/>
          </w:tcPr>
          <w:p>
            <w:pPr>
              <w:jc w:val="center"/>
              <w:ind w:left="2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1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440" w:type="dxa"/>
            <w:vAlign w:val="bottom"/>
            <w:vMerge w:val="restart"/>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53"/>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Acquired via</w:t>
            </w:r>
          </w:p>
        </w:tc>
        <w:tc>
          <w:tcPr>
            <w:tcW w:w="0" w:type="dxa"/>
            <w:vAlign w:val="bottom"/>
          </w:tcPr>
          <w:p>
            <w:pPr>
              <w:spacing w:after="0"/>
              <w:rPr>
                <w:sz w:val="1"/>
                <w:szCs w:val="1"/>
                <w:color w:val="auto"/>
              </w:rPr>
            </w:pPr>
          </w:p>
        </w:tc>
      </w:tr>
      <w:tr>
        <w:trPr>
          <w:trHeight w:val="324"/>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560" w:type="dxa"/>
            <w:vAlign w:val="bottom"/>
            <w:gridSpan w:val="2"/>
          </w:tcPr>
          <w:p>
            <w:pPr>
              <w:ind w:left="140"/>
              <w:spacing w:after="0" w:line="323" w:lineRule="exact"/>
              <w:rPr>
                <w:sz w:val="20"/>
                <w:szCs w:val="20"/>
                <w:color w:val="auto"/>
              </w:rPr>
            </w:pPr>
            <w:r>
              <w:rPr>
                <w:rFonts w:ascii="Times New Roman" w:cs="Times New Roman" w:eastAsia="Times New Roman" w:hAnsi="Times New Roman"/>
                <w:sz w:val="19"/>
                <w:szCs w:val="19"/>
                <w:color w:val="auto"/>
              </w:rPr>
              <w:t xml:space="preserve">12/17/2012 </w:t>
            </w:r>
            <w:r>
              <w:rPr>
                <w:rFonts w:ascii="Times New Roman" w:cs="Times New Roman" w:eastAsia="Times New Roman" w:hAnsi="Times New Roman"/>
                <w:sz w:val="37"/>
                <w:szCs w:val="37"/>
                <w:color w:val="auto"/>
                <w:vertAlign w:val="subscript"/>
              </w:rPr>
              <w:t>GRAT</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4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Acquired via</w:t>
            </w:r>
          </w:p>
        </w:tc>
        <w:tc>
          <w:tcPr>
            <w:tcW w:w="0" w:type="dxa"/>
            <w:vAlign w:val="bottom"/>
          </w:tcPr>
          <w:p>
            <w:pPr>
              <w:spacing w:after="0"/>
              <w:rPr>
                <w:sz w:val="1"/>
                <w:szCs w:val="1"/>
                <w:color w:val="auto"/>
              </w:rPr>
            </w:pPr>
          </w:p>
        </w:tc>
      </w:tr>
      <w:tr>
        <w:trPr>
          <w:trHeight w:val="324"/>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560" w:type="dxa"/>
            <w:vAlign w:val="bottom"/>
            <w:gridSpan w:val="2"/>
          </w:tcPr>
          <w:p>
            <w:pPr>
              <w:ind w:left="140"/>
              <w:spacing w:after="0" w:line="323" w:lineRule="exact"/>
              <w:rPr>
                <w:sz w:val="20"/>
                <w:szCs w:val="20"/>
                <w:color w:val="auto"/>
              </w:rPr>
            </w:pPr>
            <w:r>
              <w:rPr>
                <w:rFonts w:ascii="Times New Roman" w:cs="Times New Roman" w:eastAsia="Times New Roman" w:hAnsi="Times New Roman"/>
                <w:sz w:val="19"/>
                <w:szCs w:val="19"/>
                <w:color w:val="auto"/>
              </w:rPr>
              <w:t xml:space="preserve">12/14/2013 </w:t>
            </w:r>
            <w:r>
              <w:rPr>
                <w:rFonts w:ascii="Times New Roman" w:cs="Times New Roman" w:eastAsia="Times New Roman" w:hAnsi="Times New Roman"/>
                <w:sz w:val="37"/>
                <w:szCs w:val="37"/>
                <w:color w:val="auto"/>
                <w:vertAlign w:val="subscript"/>
              </w:rPr>
              <w:t>GRAT</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4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Acquired via</w:t>
            </w:r>
          </w:p>
        </w:tc>
        <w:tc>
          <w:tcPr>
            <w:tcW w:w="0" w:type="dxa"/>
            <w:vAlign w:val="bottom"/>
          </w:tcPr>
          <w:p>
            <w:pPr>
              <w:spacing w:after="0"/>
              <w:rPr>
                <w:sz w:val="1"/>
                <w:szCs w:val="1"/>
                <w:color w:val="auto"/>
              </w:rPr>
            </w:pPr>
          </w:p>
        </w:tc>
      </w:tr>
      <w:tr>
        <w:trPr>
          <w:trHeight w:val="324"/>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560" w:type="dxa"/>
            <w:vAlign w:val="bottom"/>
            <w:gridSpan w:val="2"/>
          </w:tcPr>
          <w:p>
            <w:pPr>
              <w:ind w:left="140"/>
              <w:spacing w:after="0" w:line="323" w:lineRule="exact"/>
              <w:rPr>
                <w:sz w:val="20"/>
                <w:szCs w:val="20"/>
                <w:color w:val="auto"/>
              </w:rPr>
            </w:pPr>
            <w:r>
              <w:rPr>
                <w:rFonts w:ascii="Times New Roman" w:cs="Times New Roman" w:eastAsia="Times New Roman" w:hAnsi="Times New Roman"/>
                <w:sz w:val="19"/>
                <w:szCs w:val="19"/>
                <w:color w:val="auto"/>
              </w:rPr>
              <w:t xml:space="preserve">12/14/2013 </w:t>
            </w:r>
            <w:r>
              <w:rPr>
                <w:rFonts w:ascii="Times New Roman" w:cs="Times New Roman" w:eastAsia="Times New Roman" w:hAnsi="Times New Roman"/>
                <w:sz w:val="37"/>
                <w:szCs w:val="37"/>
                <w:color w:val="auto"/>
                <w:vertAlign w:val="subscript"/>
              </w:rPr>
              <w:t>GRAT</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4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Acquired Via</w:t>
            </w:r>
          </w:p>
        </w:tc>
        <w:tc>
          <w:tcPr>
            <w:tcW w:w="0" w:type="dxa"/>
            <w:vAlign w:val="bottom"/>
          </w:tcPr>
          <w:p>
            <w:pPr>
              <w:spacing w:after="0"/>
              <w:rPr>
                <w:sz w:val="1"/>
                <w:szCs w:val="1"/>
                <w:color w:val="auto"/>
              </w:rPr>
            </w:pPr>
          </w:p>
        </w:tc>
      </w:tr>
      <w:tr>
        <w:trPr>
          <w:trHeight w:val="571"/>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56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 xml:space="preserve">12/17/2012 </w:t>
            </w:r>
            <w:r>
              <w:rPr>
                <w:rFonts w:ascii="Times New Roman" w:cs="Times New Roman" w:eastAsia="Times New Roman" w:hAnsi="Times New Roman"/>
                <w:sz w:val="43"/>
                <w:szCs w:val="43"/>
                <w:color w:val="auto"/>
                <w:vertAlign w:val="subscript"/>
              </w:rPr>
              <w:t>GRAT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160" w:type="dxa"/>
        <w:tblCellMar>
          <w:top w:w="0" w:type="dxa"/>
          <w:left w:w="0" w:type="dxa"/>
          <w:bottom w:w="0" w:type="dxa"/>
          <w:right w:w="0" w:type="dxa"/>
        </w:tblCellMar>
      </w:tblPr>
      <w:tr>
        <w:trPr>
          <w:trHeight w:val="253"/>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George</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4212</w:t>
            </w:r>
          </w:p>
        </w:tc>
        <w:tc>
          <w:tcPr>
            <w:tcW w:w="0" w:type="dxa"/>
            <w:vAlign w:val="bottom"/>
          </w:tcPr>
          <w:p>
            <w:pPr>
              <w:spacing w:after="0"/>
              <w:rPr>
                <w:sz w:val="1"/>
                <w:szCs w:val="1"/>
                <w:color w:val="auto"/>
              </w:rPr>
            </w:pPr>
          </w:p>
        </w:tc>
      </w:tr>
      <w:tr>
        <w:trPr>
          <w:trHeight w:val="161"/>
        </w:trPr>
        <w:tc>
          <w:tcPr>
            <w:tcW w:w="2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Yancopoulos</w:t>
            </w:r>
          </w:p>
        </w:tc>
        <w:tc>
          <w:tcPr>
            <w:tcW w:w="1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George</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4212</w:t>
            </w:r>
          </w:p>
        </w:tc>
        <w:tc>
          <w:tcPr>
            <w:tcW w:w="0" w:type="dxa"/>
            <w:vAlign w:val="bottom"/>
          </w:tcPr>
          <w:p>
            <w:pPr>
              <w:spacing w:after="0"/>
              <w:rPr>
                <w:sz w:val="1"/>
                <w:szCs w:val="1"/>
                <w:color w:val="auto"/>
              </w:rPr>
            </w:pPr>
          </w:p>
        </w:tc>
      </w:tr>
      <w:tr>
        <w:trPr>
          <w:trHeight w:val="161"/>
        </w:trPr>
        <w:tc>
          <w:tcPr>
            <w:tcW w:w="2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Yancopoulos</w:t>
            </w:r>
          </w:p>
        </w:tc>
        <w:tc>
          <w:tcPr>
            <w:tcW w:w="1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George</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4212</w:t>
            </w:r>
          </w:p>
        </w:tc>
        <w:tc>
          <w:tcPr>
            <w:tcW w:w="0" w:type="dxa"/>
            <w:vAlign w:val="bottom"/>
          </w:tcPr>
          <w:p>
            <w:pPr>
              <w:spacing w:after="0"/>
              <w:rPr>
                <w:sz w:val="1"/>
                <w:szCs w:val="1"/>
                <w:color w:val="auto"/>
              </w:rPr>
            </w:pPr>
          </w:p>
        </w:tc>
      </w:tr>
      <w:tr>
        <w:trPr>
          <w:trHeight w:val="161"/>
        </w:trPr>
        <w:tc>
          <w:tcPr>
            <w:tcW w:w="2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Yancopoulos</w:t>
            </w:r>
          </w:p>
        </w:tc>
        <w:tc>
          <w:tcPr>
            <w:tcW w:w="1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George</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4212</w:t>
            </w:r>
          </w:p>
        </w:tc>
        <w:tc>
          <w:tcPr>
            <w:tcW w:w="0" w:type="dxa"/>
            <w:vAlign w:val="bottom"/>
          </w:tcPr>
          <w:p>
            <w:pPr>
              <w:spacing w:after="0"/>
              <w:rPr>
                <w:sz w:val="1"/>
                <w:szCs w:val="1"/>
                <w:color w:val="auto"/>
              </w:rPr>
            </w:pPr>
          </w:p>
        </w:tc>
      </w:tr>
      <w:tr>
        <w:trPr>
          <w:trHeight w:val="161"/>
        </w:trPr>
        <w:tc>
          <w:tcPr>
            <w:tcW w:w="2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Yancopoulos</w:t>
            </w:r>
          </w:p>
        </w:tc>
        <w:tc>
          <w:tcPr>
            <w:tcW w:w="1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960120</wp:posOffset>
            </wp:positionH>
            <wp:positionV relativeFrom="paragraph">
              <wp:posOffset>-1258570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960120</wp:posOffset>
            </wp:positionH>
            <wp:positionV relativeFrom="paragraph">
              <wp:posOffset>-915670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960120</wp:posOffset>
            </wp:positionH>
            <wp:positionV relativeFrom="paragraph">
              <wp:posOffset>-572770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960120</wp:posOffset>
            </wp:positionH>
            <wp:positionV relativeFrom="paragraph">
              <wp:posOffset>-229870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12/17/2012 N/A</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12/14/2013 N/A</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12/14/2013 N/A</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12/17/2012 N/A</w:t>
      </w:r>
    </w:p>
    <w:p>
      <w:pPr>
        <w:spacing w:after="0" w:line="414" w:lineRule="exact"/>
        <w:rPr>
          <w:sz w:val="20"/>
          <w:szCs w:val="20"/>
          <w:color w:val="auto"/>
        </w:rPr>
      </w:pPr>
    </w:p>
    <w:p>
      <w:pPr>
        <w:sectPr>
          <w:pgSz w:w="11900" w:h="16838" w:orient="portrait"/>
          <w:cols w:equalWidth="0" w:num="3">
            <w:col w:w="3940" w:space="320"/>
            <w:col w:w="4080" w:space="180"/>
            <w:col w:w="2720"/>
          </w:cols>
          <w:pgMar w:left="320" w:top="111" w:right="339" w:bottom="0" w:gutter="0" w:footer="0" w:header="0"/>
          <w:type w:val="continuous"/>
        </w:sectPr>
      </w:pP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1460" w:right="260"/>
        <w:spacing w:after="0" w:line="253" w:lineRule="auto"/>
        <w:rPr>
          <w:sz w:val="20"/>
          <w:szCs w:val="20"/>
          <w:color w:val="auto"/>
        </w:rPr>
      </w:pPr>
      <w:r>
        <w:rPr>
          <w:rFonts w:ascii="Times New Roman" w:cs="Times New Roman" w:eastAsia="Times New Roman" w:hAnsi="Times New Roman"/>
          <w:sz w:val="21"/>
          <w:szCs w:val="21"/>
          <w:color w:val="auto"/>
        </w:rPr>
        <w:t>4,212 shares represented in this filing are being sold under the George D. Yancopoulos 2020 Irrv Trust FBO Demetra Yancopoulos; 4,212 shares represented in this filing are being sold under the George D. Yancopoulos</w:t>
      </w:r>
    </w:p>
    <w:p>
      <w:pPr>
        <w:spacing w:after="0" w:line="1" w:lineRule="exact"/>
        <w:rPr>
          <w:sz w:val="20"/>
          <w:szCs w:val="20"/>
          <w:color w:val="auto"/>
        </w:rPr>
      </w:pPr>
    </w:p>
    <w:p>
      <w:pPr>
        <w:jc w:val="both"/>
        <w:ind w:left="1460" w:right="80" w:hanging="1419"/>
        <w:spacing w:after="0" w:line="235" w:lineRule="auto"/>
        <w:tabs>
          <w:tab w:leader="none" w:pos="144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2020 Irrv Trust FBO Lukas Yancopoulos; 4,212 shares represented in this filing are being sold under the George D. Yancopoulos 2020 Irrv Trust FBO Ourania Yancopoulos and 4,212 shares represented in this filing are being sold under the George D. Yancopoulos 2020 Irrv Trust FBO Damis Yancopoulos.</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 01/02/2024</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Plan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Adoption or</w:t>
      </w:r>
    </w:p>
    <w:p>
      <w:pPr>
        <w:ind w:left="40"/>
        <w:spacing w:after="0" w:line="189" w:lineRule="auto"/>
        <w:tabs>
          <w:tab w:leader="none" w:pos="1440" w:val="left"/>
        </w:tabs>
        <w:rPr>
          <w:sz w:val="20"/>
          <w:szCs w:val="20"/>
          <w:color w:val="auto"/>
        </w:rPr>
      </w:pPr>
      <w:r>
        <w:rPr>
          <w:rFonts w:ascii="Times New Roman" w:cs="Times New Roman" w:eastAsia="Times New Roman" w:hAnsi="Times New Roman"/>
          <w:sz w:val="28"/>
          <w:szCs w:val="28"/>
          <w:color w:val="auto"/>
          <w:vertAlign w:val="superscript"/>
        </w:rPr>
        <w:t>Giving of</w:t>
      </w:r>
      <w:r>
        <w:rPr>
          <w:sz w:val="20"/>
          <w:szCs w:val="20"/>
          <w:color w:val="auto"/>
        </w:rPr>
        <w:tab/>
      </w:r>
      <w:r>
        <w:rPr>
          <w:rFonts w:ascii="Times New Roman" w:cs="Times New Roman" w:eastAsia="Times New Roman" w:hAnsi="Times New Roman"/>
          <w:sz w:val="16"/>
          <w:szCs w:val="16"/>
          <w:color w:val="auto"/>
        </w:rPr>
        <w:t>11/29/2022</w:t>
      </w:r>
    </w:p>
    <w:p>
      <w:pPr>
        <w:ind w:left="40"/>
        <w:spacing w:after="0" w:line="230" w:lineRule="auto"/>
        <w:rPr>
          <w:sz w:val="20"/>
          <w:szCs w:val="20"/>
          <w:color w:val="auto"/>
        </w:rPr>
      </w:pPr>
      <w:r>
        <w:rPr>
          <w:rFonts w:ascii="Times New Roman" w:cs="Times New Roman" w:eastAsia="Times New Roman" w:hAnsi="Times New Roman"/>
          <w:sz w:val="22"/>
          <w:szCs w:val="22"/>
          <w:color w:val="auto"/>
        </w:rPr>
        <w:t>Instruction, If</w:t>
      </w:r>
    </w:p>
    <w:p>
      <w:pPr>
        <w:ind w:left="40"/>
        <w:spacing w:after="0" w:line="231" w:lineRule="auto"/>
        <w:rPr>
          <w:sz w:val="20"/>
          <w:szCs w:val="20"/>
          <w:color w:val="auto"/>
        </w:rPr>
      </w:pPr>
      <w:r>
        <w:rPr>
          <w:rFonts w:ascii="Times New Roman" w:cs="Times New Roman" w:eastAsia="Times New Roman" w:hAnsi="Times New Roman"/>
          <w:sz w:val="22"/>
          <w:szCs w:val="22"/>
          <w:color w:val="auto"/>
        </w:rPr>
        <w:t>Relying on</w:t>
      </w:r>
    </w:p>
    <w:p>
      <w:pPr>
        <w:ind w:left="40"/>
        <w:spacing w:after="0"/>
        <w:rPr>
          <w:sz w:val="20"/>
          <w:szCs w:val="20"/>
          <w:color w:val="auto"/>
        </w:rPr>
      </w:pPr>
      <w:r>
        <w:rPr>
          <w:rFonts w:ascii="Times New Roman" w:cs="Times New Roman" w:eastAsia="Times New Roman" w:hAnsi="Times New Roman"/>
          <w:sz w:val="22"/>
          <w:szCs w:val="22"/>
          <w:color w:val="auto"/>
        </w:rPr>
        <w:t>Rule 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UBS Financial Services Inc, as attorney-in-fact for George Yancopoulos</w:t>
      </w:r>
    </w:p>
    <w:p>
      <w:pPr>
        <w:sectPr>
          <w:pgSz w:w="11900" w:h="16838" w:orient="portrait"/>
          <w:cols w:equalWidth="0" w:num="1">
            <w:col w:w="11240"/>
          </w:cols>
          <w:pgMar w:left="320" w:top="111" w:right="339" w:bottom="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111"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2024-01-02T15:16:53Z</dcterms:created>
  <dcterms:modified xsi:type="dcterms:W3CDTF">2024-01-02T15:16:53Z</dcterms:modified>
</cp:coreProperties>
</file>