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41" w:lineRule="exact"/>
        <w:rPr>
          <w:sz w:val="24"/>
          <w:szCs w:val="24"/>
          <w:color w:val="auto"/>
        </w:rPr>
      </w:pPr>
    </w:p>
    <w:p>
      <w:pPr>
        <w:ind w:left="7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67" w:lineRule="exact"/>
        <w:rPr>
          <w:sz w:val="24"/>
          <w:szCs w:val="24"/>
          <w:color w:val="auto"/>
        </w:rPr>
      </w:pPr>
    </w:p>
    <w:p>
      <w:pPr>
        <w:ind w:left="380"/>
        <w:spacing w:after="0" w:line="238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38735</wp:posOffset>
            </wp:positionH>
            <wp:positionV relativeFrom="paragraph">
              <wp:posOffset>-243205</wp:posOffset>
            </wp:positionV>
            <wp:extent cx="136525" cy="13652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6525" cy="1365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4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3"/>
        </w:trPr>
        <w:tc>
          <w:tcPr>
            <w:tcW w:w="6540" w:type="dxa"/>
            <w:vAlign w:val="bottom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40" w:type="dxa"/>
            <w:vAlign w:val="bottom"/>
            <w:vMerge w:val="restart"/>
          </w:tcPr>
          <w:p>
            <w:pPr>
              <w:jc w:val="center"/>
              <w:ind w:right="173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9"/>
        </w:trPr>
        <w:tc>
          <w:tcPr>
            <w:tcW w:w="65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"/>
        </w:trPr>
        <w:tc>
          <w:tcPr>
            <w:tcW w:w="6540" w:type="dxa"/>
            <w:vAlign w:val="bottom"/>
            <w:vMerge w:val="restart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0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6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8"/>
        </w:trPr>
        <w:tc>
          <w:tcPr>
            <w:tcW w:w="6540" w:type="dxa"/>
            <w:vAlign w:val="bottom"/>
            <w:vMerge w:val="restart"/>
          </w:tcPr>
          <w:p>
            <w:pPr>
              <w:jc w:val="center"/>
              <w:ind w:right="15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4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5481955</wp:posOffset>
            </wp:positionH>
            <wp:positionV relativeFrom="paragraph">
              <wp:posOffset>-650875</wp:posOffset>
            </wp:positionV>
            <wp:extent cx="59690" cy="66421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42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4145280</wp:posOffset>
            </wp:positionH>
            <wp:positionV relativeFrom="paragraph">
              <wp:posOffset>-650875</wp:posOffset>
            </wp:positionV>
            <wp:extent cx="59690" cy="66421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42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-1696720</wp:posOffset>
            </wp:positionH>
            <wp:positionV relativeFrom="paragraph">
              <wp:posOffset>20320</wp:posOffset>
            </wp:positionV>
            <wp:extent cx="7323455" cy="553529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23455" cy="553529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41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60" w:space="300"/>
            <w:col w:w="8860"/>
          </w:cols>
          <w:pgMar w:left="240" w:top="225" w:right="139" w:bottom="1440" w:gutter="0" w:footer="0" w:header="0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64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2"/>
                <w:szCs w:val="22"/>
                <w:color w:val="auto"/>
                <w:vertAlign w:val="superscript"/>
              </w:rPr>
              <w:t>*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040" w:type="dxa"/>
            <w:vAlign w:val="bottom"/>
            <w:gridSpan w:val="9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540" w:type="dxa"/>
            <w:vAlign w:val="bottom"/>
            <w:gridSpan w:val="10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360" w:type="dxa"/>
            <w:vAlign w:val="bottom"/>
            <w:gridSpan w:val="3"/>
            <w:vMerge w:val="restart"/>
          </w:tcPr>
          <w:p>
            <w:pPr>
              <w:spacing w:after="0"/>
              <w:rPr>
                <w:rFonts w:ascii="Arial" w:cs="Arial" w:eastAsia="Arial" w:hAnsi="Arial"/>
                <w:sz w:val="21"/>
                <w:szCs w:val="21"/>
                <w:color w:val="0000EE"/>
                <w:w w:val="99"/>
              </w:rPr>
            </w:pPr>
            <w:hyperlink r:id="rId12">
              <w:r>
                <w:rPr>
                  <w:rFonts w:ascii="Arial" w:cs="Arial" w:eastAsia="Arial" w:hAnsi="Arial"/>
                  <w:sz w:val="21"/>
                  <w:szCs w:val="21"/>
                  <w:color w:val="0000EE"/>
                  <w:w w:val="99"/>
                </w:rPr>
                <w:t>GOLDBERG MURRAY A</w:t>
              </w:r>
            </w:hyperlink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740" w:type="dxa"/>
            <w:vAlign w:val="bottom"/>
            <w:gridSpan w:val="11"/>
          </w:tcPr>
          <w:p>
            <w:pPr>
              <w:ind w:left="80"/>
              <w:spacing w:after="0" w:line="107" w:lineRule="exact"/>
              <w:rPr>
                <w:rFonts w:ascii="Arial" w:cs="Arial" w:eastAsia="Arial" w:hAnsi="Arial"/>
                <w:sz w:val="12"/>
                <w:szCs w:val="12"/>
                <w:color w:val="0000EE"/>
              </w:rPr>
            </w:pPr>
            <w:hyperlink r:id="rId13">
              <w:r>
                <w:rPr>
                  <w:rFonts w:ascii="Arial" w:cs="Arial" w:eastAsia="Arial" w:hAnsi="Arial"/>
                  <w:sz w:val="12"/>
                  <w:szCs w:val="12"/>
                  <w:color w:val="0000EE"/>
                </w:rPr>
                <w:t>REGENERON PHARMACEUTICALS</w:t>
              </w:r>
            </w:hyperlink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720" w:type="dxa"/>
            <w:vAlign w:val="bottom"/>
            <w:gridSpan w:val="5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3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2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3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540" w:type="dxa"/>
            <w:vAlign w:val="bottom"/>
            <w:gridSpan w:val="4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360" w:type="dxa"/>
            <w:vAlign w:val="bottom"/>
            <w:tcBorders>
              <w:bottom w:val="single" w:sz="8" w:color="0000EE"/>
            </w:tcBorders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  <w:vMerge w:val="restart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20" w:type="dxa"/>
            <w:vAlign w:val="bottom"/>
            <w:gridSpan w:val="4"/>
            <w:vMerge w:val="restart"/>
          </w:tcPr>
          <w:p>
            <w:pPr>
              <w:ind w:left="80"/>
              <w:spacing w:after="0" w:line="222" w:lineRule="exact"/>
              <w:rPr>
                <w:rFonts w:ascii="Arial" w:cs="Arial" w:eastAsia="Arial" w:hAnsi="Arial"/>
                <w:sz w:val="21"/>
                <w:szCs w:val="21"/>
                <w:color w:val="0000EE"/>
                <w:w w:val="97"/>
              </w:rPr>
            </w:pPr>
            <w:hyperlink r:id="rId13">
              <w:r>
                <w:rPr>
                  <w:rFonts w:ascii="Arial" w:cs="Arial" w:eastAsia="Arial" w:hAnsi="Arial"/>
                  <w:sz w:val="21"/>
                  <w:szCs w:val="21"/>
                  <w:color w:val="0000EE"/>
                  <w:w w:val="97"/>
                </w:rPr>
                <w:t xml:space="preserve">INC </w:t>
              </w:r>
              <w:r>
                <w:rPr>
                  <w:rFonts w:ascii="Arial" w:cs="Arial" w:eastAsia="Arial" w:hAnsi="Arial"/>
                  <w:sz w:val="21"/>
                  <w:szCs w:val="21"/>
                  <w:color w:val="000000"/>
                  <w:w w:val="97"/>
                </w:rPr>
                <w:t>[</w:t>
              </w:r>
              <w:r>
                <w:rPr>
                  <w:rFonts w:ascii="Arial" w:cs="Arial" w:eastAsia="Arial" w:hAnsi="Arial"/>
                  <w:sz w:val="21"/>
                  <w:szCs w:val="21"/>
                  <w:color w:val="0000EE"/>
                  <w:w w:val="97"/>
                </w:rPr>
                <w:t xml:space="preserve"> </w:t>
              </w:r>
              <w:r>
                <w:rPr>
                  <w:rFonts w:ascii="Arial" w:cs="Arial" w:eastAsia="Arial" w:hAnsi="Arial"/>
                  <w:sz w:val="17"/>
                  <w:szCs w:val="17"/>
                  <w:color w:val="0000FF"/>
                  <w:w w:val="97"/>
                </w:rPr>
                <w:t>REGN</w:t>
              </w:r>
              <w:r>
                <w:rPr>
                  <w:rFonts w:ascii="Arial" w:cs="Arial" w:eastAsia="Arial" w:hAnsi="Arial"/>
                  <w:sz w:val="21"/>
                  <w:szCs w:val="21"/>
                  <w:color w:val="0000EE"/>
                  <w:w w:val="97"/>
                </w:rPr>
                <w:t xml:space="preserve"> </w:t>
              </w:r>
              <w:r>
                <w:rPr>
                  <w:rFonts w:ascii="Arial" w:cs="Arial" w:eastAsia="Arial" w:hAnsi="Arial"/>
                  <w:sz w:val="21"/>
                  <w:szCs w:val="21"/>
                  <w:color w:val="000000"/>
                  <w:w w:val="97"/>
                </w:rPr>
                <w:t>]</w:t>
              </w:r>
            </w:hyperlink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360" w:type="dxa"/>
            <w:vAlign w:val="bottom"/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  <w:gridSpan w:val="3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540" w:type="dxa"/>
            <w:vAlign w:val="bottom"/>
            <w:gridSpan w:val="4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1920" w:type="dxa"/>
            <w:vAlign w:val="bottom"/>
            <w:gridSpan w:val="3"/>
            <w:vMerge w:val="restart"/>
          </w:tcPr>
          <w:p>
            <w:pPr>
              <w:ind w:left="6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14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40" w:type="dxa"/>
            <w:vAlign w:val="bottom"/>
            <w:gridSpan w:val="9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3. Date of Earliest Transaction (Month/Day/Year)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9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40" w:type="dxa"/>
            <w:vAlign w:val="bottom"/>
            <w:gridSpan w:val="9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80" w:type="dxa"/>
            <w:vAlign w:val="bottom"/>
            <w:gridSpan w:val="7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SVP F&amp;A, CFO, Treas &amp; Asst Sec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040" w:type="dxa"/>
            <w:vAlign w:val="bottom"/>
            <w:gridSpan w:val="9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08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680" w:type="dxa"/>
            <w:vAlign w:val="bottom"/>
            <w:gridSpan w:val="5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777 OLD SAW MILL RIVER ROAD</w:t>
            </w:r>
          </w:p>
        </w:tc>
        <w:tc>
          <w:tcPr>
            <w:tcW w:w="1420" w:type="dxa"/>
            <w:vAlign w:val="bottom"/>
            <w:gridSpan w:val="6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12/18/2009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8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8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2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100" w:type="dxa"/>
            <w:vAlign w:val="bottom"/>
            <w:tcBorders>
              <w:bottom w:val="single" w:sz="8" w:color="2C2C2C"/>
            </w:tcBorders>
            <w:gridSpan w:val="7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740" w:type="dxa"/>
            <w:vAlign w:val="bottom"/>
            <w:gridSpan w:val="11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540" w:type="dxa"/>
            <w:vAlign w:val="bottom"/>
            <w:gridSpan w:val="10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740" w:type="dxa"/>
            <w:vAlign w:val="bottom"/>
            <w:gridSpan w:val="11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540" w:type="dxa"/>
            <w:vAlign w:val="bottom"/>
            <w:gridSpan w:val="10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6"/>
              </w:rPr>
              <w:t>Line)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54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TARRYTOWN  NY</w:t>
            </w:r>
          </w:p>
        </w:tc>
        <w:tc>
          <w:tcPr>
            <w:tcW w:w="11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10591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540" w:type="dxa"/>
            <w:vAlign w:val="bottom"/>
            <w:gridSpan w:val="10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80" w:type="dxa"/>
            <w:vAlign w:val="bottom"/>
            <w:gridSpan w:val="7"/>
          </w:tcPr>
          <w:p>
            <w:pPr>
              <w:ind w:left="16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920" w:type="dxa"/>
            <w:vAlign w:val="bottom"/>
            <w:gridSpan w:val="3"/>
            <w:vMerge w:val="restart"/>
          </w:tcPr>
          <w:p>
            <w:pPr>
              <w:ind w:left="6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14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3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540" w:type="dxa"/>
            <w:vAlign w:val="bottom"/>
            <w:tcBorders>
              <w:top w:val="single" w:sz="8" w:color="2C2C2C"/>
            </w:tcBorders>
            <w:gridSpan w:val="21"/>
          </w:tcPr>
          <w:p>
            <w:pPr>
              <w:ind w:left="8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 - Non-Derivative Securities Acquired, Disposed of, or Beneficially Owned</w:t>
            </w: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3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4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900" w:type="dxa"/>
            <w:vAlign w:val="bottom"/>
            <w:gridSpan w:val="6"/>
          </w:tcPr>
          <w:p>
            <w:pPr>
              <w:ind w:left="8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900" w:type="dxa"/>
            <w:vAlign w:val="bottom"/>
            <w:gridSpan w:val="6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0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Execution Date,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900" w:type="dxa"/>
            <w:vAlign w:val="bottom"/>
            <w:gridSpan w:val="6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Securities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  <w:gridSpan w:val="2"/>
          </w:tcPr>
          <w:p>
            <w:pPr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00" w:type="dxa"/>
            <w:vAlign w:val="bottom"/>
            <w:gridSpan w:val="6"/>
          </w:tcPr>
          <w:p>
            <w:pPr>
              <w:ind w:left="80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60" w:type="dxa"/>
            <w:vAlign w:val="bottom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58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40" w:type="dxa"/>
            <w:vAlign w:val="bottom"/>
            <w:gridSpan w:val="4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restart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3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20" w:type="dxa"/>
            <w:vAlign w:val="bottom"/>
            <w:gridSpan w:val="3"/>
            <w:vMerge w:val="restart"/>
          </w:tcPr>
          <w:p>
            <w:pPr>
              <w:jc w:val="right"/>
              <w:ind w:righ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1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3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0" w:type="dxa"/>
            <w:vAlign w:val="bottom"/>
            <w:tcBorders>
              <w:top w:val="single" w:sz="8" w:color="2C2C2C"/>
            </w:tcBorders>
            <w:gridSpan w:val="20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700" w:type="dxa"/>
            <w:vAlign w:val="bottom"/>
            <w:gridSpan w:val="17"/>
          </w:tcPr>
          <w:p>
            <w:pPr>
              <w:jc w:val="right"/>
              <w:ind w:righ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2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40" w:type="dxa"/>
            <w:vAlign w:val="bottom"/>
            <w:gridSpan w:val="4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32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60" w:type="dxa"/>
            <w:vAlign w:val="bottom"/>
            <w:gridSpan w:val="5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Transaction</w:t>
            </w:r>
          </w:p>
        </w:tc>
        <w:tc>
          <w:tcPr>
            <w:tcW w:w="660" w:type="dxa"/>
            <w:vAlign w:val="bottom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3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20" w:type="dxa"/>
            <w:vAlign w:val="bottom"/>
            <w:gridSpan w:val="5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2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60" w:type="dxa"/>
            <w:vAlign w:val="bottom"/>
            <w:gridSpan w:val="5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40" w:type="dxa"/>
            <w:vAlign w:val="bottom"/>
            <w:gridSpan w:val="4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Underlying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2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20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20" w:type="dxa"/>
            <w:vAlign w:val="bottom"/>
            <w:gridSpan w:val="5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20" w:type="dxa"/>
            <w:vAlign w:val="bottom"/>
            <w:gridSpan w:val="5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(I) (Instr.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 (Instr.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66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Incentive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60" w:type="dxa"/>
            <w:vAlign w:val="bottom"/>
            <w:gridSpan w:val="2"/>
            <w:vMerge w:val="restart"/>
          </w:tcPr>
          <w:p>
            <w:pPr>
              <w:jc w:val="right"/>
              <w:ind w:right="4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8"/>
              </w:rPr>
              <w:t>4,705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6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Option</w:t>
            </w:r>
          </w:p>
        </w:tc>
        <w:tc>
          <w:tcPr>
            <w:tcW w:w="800" w:type="dxa"/>
            <w:vAlign w:val="bottom"/>
            <w:vMerge w:val="restart"/>
          </w:tcPr>
          <w:p>
            <w:pPr>
              <w:ind w:left="22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21.25</w:t>
            </w:r>
          </w:p>
        </w:tc>
        <w:tc>
          <w:tcPr>
            <w:tcW w:w="940" w:type="dxa"/>
            <w:vAlign w:val="bottom"/>
            <w:vMerge w:val="restart"/>
          </w:tcPr>
          <w:p>
            <w:pPr>
              <w:jc w:val="right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12/18/2009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gridSpan w:val="4"/>
            <w:vMerge w:val="restart"/>
          </w:tcPr>
          <w:p>
            <w:pPr>
              <w:ind w:left="6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A</w:t>
            </w:r>
          </w:p>
        </w:tc>
        <w:tc>
          <w:tcPr>
            <w:tcW w:w="660" w:type="dxa"/>
            <w:vAlign w:val="bottom"/>
            <w:vMerge w:val="restart"/>
          </w:tcPr>
          <w:p>
            <w:pPr>
              <w:jc w:val="right"/>
              <w:ind w:right="99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4,705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restart"/>
          </w:tcPr>
          <w:p>
            <w:pPr>
              <w:ind w:left="6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12/18/2019</w:t>
            </w:r>
          </w:p>
        </w:tc>
        <w:tc>
          <w:tcPr>
            <w:tcW w:w="7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jc w:val="right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4,705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34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5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6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(right to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buy)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Non-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Qualified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80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21.25</w:t>
            </w:r>
          </w:p>
        </w:tc>
        <w:tc>
          <w:tcPr>
            <w:tcW w:w="9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12/18/2009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4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A</w:t>
            </w:r>
          </w:p>
        </w:tc>
        <w:tc>
          <w:tcPr>
            <w:tcW w:w="660" w:type="dxa"/>
            <w:vAlign w:val="bottom"/>
          </w:tcPr>
          <w:p>
            <w:pPr>
              <w:jc w:val="right"/>
              <w:ind w:right="7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32,795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12/18/2019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60" w:type="dxa"/>
            <w:vAlign w:val="bottom"/>
            <w:gridSpan w:val="2"/>
          </w:tcPr>
          <w:p>
            <w:pPr>
              <w:jc w:val="right"/>
              <w:ind w:right="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8"/>
              </w:rPr>
              <w:t>32,795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62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32,795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9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00FF"/>
              </w:rPr>
              <w:t>Option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160"/>
              <w:spacing w:after="0" w:line="9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00FF"/>
              </w:rPr>
              <w:t>Stock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80"/>
        <w:spacing w:after="0" w:line="236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0000FF"/>
        </w:rPr>
        <w:t>(right to</w:t>
      </w:r>
    </w:p>
    <w:p>
      <w:pPr>
        <w:spacing w:after="0" w:line="1" w:lineRule="exact"/>
        <w:rPr>
          <w:sz w:val="20"/>
          <w:szCs w:val="20"/>
          <w:color w:val="auto"/>
        </w:r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0000FF"/>
        </w:rPr>
        <w:t>buy)</w:t>
      </w:r>
    </w:p>
    <w:p>
      <w:pPr>
        <w:spacing w:after="0" w:line="101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8" w:lineRule="exact"/>
        <w:rPr>
          <w:sz w:val="20"/>
          <w:szCs w:val="20"/>
          <w:color w:val="auto"/>
        </w:rPr>
      </w:pPr>
    </w:p>
    <w:p>
      <w:pPr>
        <w:ind w:left="180" w:hanging="132"/>
        <w:spacing w:after="0"/>
        <w:tabs>
          <w:tab w:leader="none" w:pos="180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The stock option award (combined incentive stock option and non-qualified stock option) vests in four equal annual installments, commencing one year after the date of grant.</w:t>
      </w:r>
    </w:p>
    <w:p>
      <w:pPr>
        <w:spacing w:after="0" w:line="51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180" w:hanging="132"/>
        <w:spacing w:after="0"/>
        <w:tabs>
          <w:tab w:leader="none" w:pos="180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Exercisable date, exercise date, exercise price, purchase price, sales price, and/or expiration date is not applicable in this case.</w:t>
      </w:r>
    </w:p>
    <w:p>
      <w:pPr>
        <w:spacing w:after="0" w:line="68" w:lineRule="exact"/>
        <w:rPr>
          <w:sz w:val="20"/>
          <w:szCs w:val="20"/>
          <w:color w:val="auto"/>
        </w:rPr>
      </w:pPr>
    </w:p>
    <w:tbl>
      <w:tblPr>
        <w:tblLayout w:type="fixed"/>
        <w:tblInd w:w="686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178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8"/>
              </w:rPr>
              <w:t>/s/**Murray A. Goldberg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12/21/2009</w:t>
            </w:r>
          </w:p>
        </w:tc>
      </w:tr>
      <w:tr>
        <w:trPr>
          <w:trHeight w:val="235"/>
        </w:trPr>
        <w:tc>
          <w:tcPr>
            <w:tcW w:w="23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</w:tr>
    </w:tbl>
    <w:p>
      <w:pPr>
        <w:spacing w:after="0" w:line="40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8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2" w:lineRule="exact"/>
        <w:rPr>
          <w:sz w:val="20"/>
          <w:szCs w:val="20"/>
          <w:color w:val="auto"/>
        </w:rPr>
      </w:pPr>
    </w:p>
    <w:p>
      <w:pPr>
        <w:jc w:val="both"/>
        <w:ind w:left="40" w:right="3740" w:firstLine="8"/>
        <w:spacing w:after="0" w:line="321" w:lineRule="auto"/>
        <w:tabs>
          <w:tab w:leader="none" w:pos="182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20"/>
      </w:cols>
      <w:pgMar w:left="240" w:top="225" w:right="1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1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226435" TargetMode="External"/><Relationship Id="rId13" Type="http://schemas.openxmlformats.org/officeDocument/2006/relationships/hyperlink" Target="http://www.sec.gov/cgi-bin/browse-edgar?action=getcompany&amp;CIK=0000872589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2019-12-18T10:24:58Z</dcterms:created>
  <dcterms:modified xsi:type="dcterms:W3CDTF">2019-12-18T10:24:58Z</dcterms:modified>
</cp:coreProperties>
</file>