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40"/>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140"/>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40"/>
        <w:spacing w:after="0"/>
        <w:rPr>
          <w:sz w:val="20"/>
          <w:szCs w:val="20"/>
          <w:color w:val="auto"/>
        </w:rPr>
      </w:pPr>
      <w:r>
        <w:rPr>
          <w:rFonts w:ascii="Arial" w:cs="Arial" w:eastAsia="Arial" w:hAnsi="Arial"/>
          <w:sz w:val="22"/>
          <w:szCs w:val="22"/>
          <w:b w:val="1"/>
          <w:bCs w:val="1"/>
          <w:color w:val="auto"/>
        </w:rPr>
        <w:t>WASHINGTON, D.C. 20549</w:t>
      </w:r>
    </w:p>
    <w:p>
      <w:pPr>
        <w:spacing w:after="0" w:line="209" w:lineRule="exact"/>
        <w:rPr>
          <w:sz w:val="24"/>
          <w:szCs w:val="24"/>
          <w:color w:val="auto"/>
        </w:rPr>
      </w:pPr>
    </w:p>
    <w:p>
      <w:pPr>
        <w:jc w:val="center"/>
        <w:ind w:right="140"/>
        <w:spacing w:after="0"/>
        <w:rPr>
          <w:sz w:val="20"/>
          <w:szCs w:val="20"/>
          <w:color w:val="auto"/>
        </w:rPr>
      </w:pPr>
      <w:r>
        <w:rPr>
          <w:rFonts w:ascii="Arial" w:cs="Arial" w:eastAsia="Arial" w:hAnsi="Arial"/>
          <w:sz w:val="22"/>
          <w:szCs w:val="22"/>
          <w:b w:val="1"/>
          <w:bCs w:val="1"/>
          <w:color w:val="auto"/>
        </w:rPr>
        <w:t>FORM 8-K</w:t>
      </w:r>
    </w:p>
    <w:p>
      <w:pPr>
        <w:spacing w:after="0" w:line="14" w:lineRule="exact"/>
        <w:rPr>
          <w:sz w:val="24"/>
          <w:szCs w:val="24"/>
          <w:color w:val="auto"/>
        </w:rPr>
      </w:pPr>
    </w:p>
    <w:p>
      <w:pPr>
        <w:jc w:val="center"/>
        <w:ind w:right="140"/>
        <w:spacing w:after="0"/>
        <w:rPr>
          <w:sz w:val="20"/>
          <w:szCs w:val="20"/>
          <w:color w:val="auto"/>
        </w:rPr>
      </w:pPr>
      <w:r>
        <w:rPr>
          <w:rFonts w:ascii="Arial" w:cs="Arial" w:eastAsia="Arial" w:hAnsi="Arial"/>
          <w:sz w:val="22"/>
          <w:szCs w:val="22"/>
          <w:b w:val="1"/>
          <w:bCs w:val="1"/>
          <w:color w:val="auto"/>
        </w:rPr>
        <w:t>CURRENT REPORT</w:t>
      </w:r>
    </w:p>
    <w:p>
      <w:pPr>
        <w:spacing w:after="0" w:line="222" w:lineRule="exact"/>
        <w:rPr>
          <w:sz w:val="24"/>
          <w:szCs w:val="24"/>
          <w:color w:val="auto"/>
        </w:rPr>
      </w:pPr>
    </w:p>
    <w:p>
      <w:pPr>
        <w:jc w:val="center"/>
        <w:ind w:right="140"/>
        <w:spacing w:after="0"/>
        <w:rPr>
          <w:sz w:val="20"/>
          <w:szCs w:val="20"/>
          <w:color w:val="auto"/>
        </w:rPr>
      </w:pPr>
      <w:r>
        <w:rPr>
          <w:rFonts w:ascii="Arial" w:cs="Arial" w:eastAsia="Arial" w:hAnsi="Arial"/>
          <w:sz w:val="18"/>
          <w:szCs w:val="18"/>
          <w:b w:val="1"/>
          <w:bCs w:val="1"/>
          <w:color w:val="auto"/>
        </w:rPr>
        <w:t>Pursuant to Section 13 or 15(d) of the</w:t>
      </w:r>
    </w:p>
    <w:p>
      <w:pPr>
        <w:spacing w:after="0" w:line="21" w:lineRule="exact"/>
        <w:rPr>
          <w:sz w:val="24"/>
          <w:szCs w:val="24"/>
          <w:color w:val="auto"/>
        </w:rPr>
      </w:pPr>
    </w:p>
    <w:p>
      <w:pPr>
        <w:jc w:val="center"/>
        <w:ind w:right="140"/>
        <w:spacing w:after="0"/>
        <w:rPr>
          <w:sz w:val="20"/>
          <w:szCs w:val="20"/>
          <w:color w:val="auto"/>
        </w:rPr>
      </w:pPr>
      <w:r>
        <w:rPr>
          <w:rFonts w:ascii="Arial" w:cs="Arial" w:eastAsia="Arial" w:hAnsi="Arial"/>
          <w:sz w:val="18"/>
          <w:szCs w:val="18"/>
          <w:b w:val="1"/>
          <w:bCs w:val="1"/>
          <w:color w:val="auto"/>
        </w:rPr>
        <w:t>Securities Exchange Act of 1934</w:t>
      </w:r>
    </w:p>
    <w:p>
      <w:pPr>
        <w:spacing w:after="0" w:line="259" w:lineRule="exact"/>
        <w:rPr>
          <w:sz w:val="24"/>
          <w:szCs w:val="24"/>
          <w:color w:val="auto"/>
        </w:rPr>
      </w:pPr>
    </w:p>
    <w:p>
      <w:pPr>
        <w:jc w:val="center"/>
        <w:ind w:right="100"/>
        <w:spacing w:after="0"/>
        <w:rPr>
          <w:sz w:val="20"/>
          <w:szCs w:val="20"/>
          <w:color w:val="auto"/>
        </w:rPr>
      </w:pPr>
      <w:r>
        <w:rPr>
          <w:rFonts w:ascii="Arial" w:cs="Arial" w:eastAsia="Arial" w:hAnsi="Arial"/>
          <w:sz w:val="18"/>
          <w:szCs w:val="18"/>
          <w:color w:val="auto"/>
        </w:rPr>
        <w:t>Date of Report (Date of earliest event reported):  July 29, 2010 (July 28, 2010)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1168400</wp:posOffset>
            </wp:positionH>
            <wp:positionV relativeFrom="paragraph">
              <wp:posOffset>19685</wp:posOffset>
            </wp:positionV>
            <wp:extent cx="474218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742180" cy="8890"/>
                    </a:xfrm>
                    <a:prstGeom prst="rect">
                      <a:avLst/>
                    </a:prstGeom>
                    <a:noFill/>
                  </pic:spPr>
                </pic:pic>
              </a:graphicData>
            </a:graphic>
          </wp:anchor>
        </w:drawing>
      </w:r>
    </w:p>
    <w:p>
      <w:pPr>
        <w:spacing w:after="0" w:line="267" w:lineRule="exact"/>
        <w:rPr>
          <w:sz w:val="24"/>
          <w:szCs w:val="24"/>
          <w:color w:val="auto"/>
        </w:rPr>
      </w:pPr>
    </w:p>
    <w:p>
      <w:pPr>
        <w:jc w:val="center"/>
        <w:ind w:right="140"/>
        <w:spacing w:after="0"/>
        <w:rPr>
          <w:sz w:val="20"/>
          <w:szCs w:val="20"/>
          <w:color w:val="auto"/>
        </w:rPr>
      </w:pPr>
      <w:r>
        <w:rPr>
          <w:rFonts w:ascii="Arial" w:cs="Arial" w:eastAsia="Arial" w:hAnsi="Arial"/>
          <w:sz w:val="18"/>
          <w:szCs w:val="18"/>
          <w:b w:val="1"/>
          <w:bCs w:val="1"/>
          <w:color w:val="auto"/>
        </w:rPr>
        <w:t>REGENERON PHARMACEUTICALS,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2403475</wp:posOffset>
            </wp:positionH>
            <wp:positionV relativeFrom="paragraph">
              <wp:posOffset>23495</wp:posOffset>
            </wp:positionV>
            <wp:extent cx="22809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280920" cy="8890"/>
                    </a:xfrm>
                    <a:prstGeom prst="rect">
                      <a:avLst/>
                    </a:prstGeom>
                    <a:noFill/>
                  </pic:spPr>
                </pic:pic>
              </a:graphicData>
            </a:graphic>
          </wp:anchor>
        </w:drawing>
      </w:r>
    </w:p>
    <w:p>
      <w:pPr>
        <w:spacing w:after="0" w:line="36" w:lineRule="exact"/>
        <w:rPr>
          <w:sz w:val="24"/>
          <w:szCs w:val="24"/>
          <w:color w:val="auto"/>
        </w:rPr>
      </w:pPr>
    </w:p>
    <w:p>
      <w:pPr>
        <w:jc w:val="center"/>
        <w:ind w:right="140"/>
        <w:spacing w:after="0"/>
        <w:rPr>
          <w:sz w:val="20"/>
          <w:szCs w:val="20"/>
          <w:color w:val="auto"/>
        </w:rPr>
      </w:pPr>
      <w:r>
        <w:rPr>
          <w:rFonts w:ascii="Arial" w:cs="Arial" w:eastAsia="Arial" w:hAnsi="Arial"/>
          <w:sz w:val="18"/>
          <w:szCs w:val="18"/>
          <w:color w:val="auto"/>
        </w:rPr>
        <w:t>(Exact Name of Registrant as Specified in Charter)</w:t>
      </w:r>
    </w:p>
    <w:p>
      <w:pPr>
        <w:spacing w:after="0" w:line="273" w:lineRule="exact"/>
        <w:rPr>
          <w:sz w:val="24"/>
          <w:szCs w:val="24"/>
          <w:color w:val="auto"/>
        </w:rPr>
      </w:pPr>
    </w:p>
    <w:tbl>
      <w:tblPr>
        <w:tblLayout w:type="fixed"/>
        <w:tblInd w:w="160" w:type="dxa"/>
        <w:tblCellMar>
          <w:top w:w="0" w:type="dxa"/>
          <w:left w:w="0" w:type="dxa"/>
          <w:bottom w:w="0" w:type="dxa"/>
          <w:right w:w="0" w:type="dxa"/>
        </w:tblCellMar>
      </w:tblPr>
      <w:tr>
        <w:trPr>
          <w:trHeight w:val="237"/>
        </w:trPr>
        <w:tc>
          <w:tcPr>
            <w:tcW w:w="2980" w:type="dxa"/>
            <w:vAlign w:val="bottom"/>
          </w:tcPr>
          <w:p>
            <w:pPr>
              <w:jc w:val="center"/>
              <w:spacing w:after="0"/>
              <w:rPr>
                <w:sz w:val="20"/>
                <w:szCs w:val="20"/>
                <w:color w:val="auto"/>
              </w:rPr>
            </w:pPr>
            <w:r>
              <w:rPr>
                <w:rFonts w:ascii="Arial" w:cs="Arial" w:eastAsia="Arial" w:hAnsi="Arial"/>
                <w:sz w:val="18"/>
                <w:szCs w:val="18"/>
                <w:b w:val="1"/>
                <w:bCs w:val="1"/>
                <w:color w:val="auto"/>
                <w:w w:val="90"/>
              </w:rPr>
              <w:t>New York</w:t>
            </w:r>
          </w:p>
        </w:tc>
        <w:tc>
          <w:tcPr>
            <w:tcW w:w="3860" w:type="dxa"/>
            <w:vAlign w:val="bottom"/>
            <w:gridSpan w:val="3"/>
          </w:tcPr>
          <w:p>
            <w:pPr>
              <w:jc w:val="right"/>
              <w:ind w:right="1012"/>
              <w:spacing w:after="0"/>
              <w:rPr>
                <w:sz w:val="20"/>
                <w:szCs w:val="20"/>
                <w:color w:val="auto"/>
              </w:rPr>
            </w:pPr>
            <w:r>
              <w:rPr>
                <w:rFonts w:ascii="Arial" w:cs="Arial" w:eastAsia="Arial" w:hAnsi="Arial"/>
                <w:sz w:val="18"/>
                <w:szCs w:val="18"/>
                <w:b w:val="1"/>
                <w:bCs w:val="1"/>
                <w:color w:val="auto"/>
              </w:rPr>
              <w:t>000-19034</w:t>
            </w:r>
          </w:p>
        </w:tc>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960" w:type="dxa"/>
            <w:vAlign w:val="bottom"/>
          </w:tcPr>
          <w:p>
            <w:pPr>
              <w:jc w:val="right"/>
              <w:ind w:right="1012"/>
              <w:spacing w:after="0"/>
              <w:rPr>
                <w:sz w:val="20"/>
                <w:szCs w:val="20"/>
                <w:color w:val="auto"/>
              </w:rPr>
            </w:pPr>
            <w:r>
              <w:rPr>
                <w:rFonts w:ascii="Arial" w:cs="Arial" w:eastAsia="Arial" w:hAnsi="Arial"/>
                <w:sz w:val="18"/>
                <w:szCs w:val="18"/>
                <w:b w:val="1"/>
                <w:bCs w:val="1"/>
                <w:color w:val="auto"/>
              </w:rPr>
              <w:t>13-3444607</w:t>
            </w:r>
          </w:p>
        </w:tc>
      </w:tr>
      <w:tr>
        <w:trPr>
          <w:trHeight w:val="222"/>
        </w:trPr>
        <w:tc>
          <w:tcPr>
            <w:tcW w:w="29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(State or other jurisdiction of</w:t>
            </w:r>
          </w:p>
        </w:tc>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0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(Commission File No.)</w:t>
            </w:r>
          </w:p>
        </w:tc>
        <w:tc>
          <w:tcPr>
            <w:tcW w:w="8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2960" w:type="dxa"/>
            <w:vAlign w:val="bottom"/>
            <w:tcBorders>
              <w:top w:val="single" w:sz="8" w:color="auto"/>
            </w:tcBorders>
          </w:tcPr>
          <w:p>
            <w:pPr>
              <w:jc w:val="center"/>
              <w:ind w:right="52"/>
              <w:spacing w:after="0"/>
              <w:rPr>
                <w:sz w:val="20"/>
                <w:szCs w:val="20"/>
                <w:color w:val="auto"/>
              </w:rPr>
            </w:pPr>
            <w:r>
              <w:rPr>
                <w:rFonts w:ascii="Arial" w:cs="Arial" w:eastAsia="Arial" w:hAnsi="Arial"/>
                <w:sz w:val="18"/>
                <w:szCs w:val="18"/>
                <w:color w:val="auto"/>
                <w:w w:val="91"/>
              </w:rPr>
              <w:t>(I.R.S. Employer Identification No.)</w:t>
            </w:r>
          </w:p>
        </w:tc>
      </w:tr>
      <w:tr>
        <w:trPr>
          <w:trHeight w:val="235"/>
        </w:trPr>
        <w:tc>
          <w:tcPr>
            <w:tcW w:w="2980" w:type="dxa"/>
            <w:vAlign w:val="bottom"/>
          </w:tcPr>
          <w:p>
            <w:pPr>
              <w:jc w:val="center"/>
              <w:spacing w:after="0"/>
              <w:rPr>
                <w:sz w:val="20"/>
                <w:szCs w:val="20"/>
                <w:color w:val="auto"/>
              </w:rPr>
            </w:pPr>
            <w:r>
              <w:rPr>
                <w:rFonts w:ascii="Arial" w:cs="Arial" w:eastAsia="Arial" w:hAnsi="Arial"/>
                <w:sz w:val="18"/>
                <w:szCs w:val="18"/>
                <w:color w:val="auto"/>
                <w:w w:val="90"/>
              </w:rPr>
              <w:t>Incorporation)</w:t>
            </w:r>
          </w:p>
        </w:tc>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960" w:type="dxa"/>
            <w:vAlign w:val="bottom"/>
          </w:tcPr>
          <w:p>
            <w:pPr>
              <w:spacing w:after="0"/>
              <w:rPr>
                <w:sz w:val="20"/>
                <w:szCs w:val="20"/>
                <w:color w:val="auto"/>
              </w:rPr>
            </w:pPr>
          </w:p>
        </w:tc>
      </w:tr>
      <w:tr>
        <w:trPr>
          <w:trHeight w:val="495"/>
        </w:trPr>
        <w:tc>
          <w:tcPr>
            <w:tcW w:w="2980" w:type="dxa"/>
            <w:vAlign w:val="bottom"/>
          </w:tcPr>
          <w:p>
            <w:pPr>
              <w:spacing w:after="0"/>
              <w:rPr>
                <w:sz w:val="24"/>
                <w:szCs w:val="24"/>
                <w:color w:val="auto"/>
              </w:rPr>
            </w:pPr>
          </w:p>
        </w:tc>
        <w:tc>
          <w:tcPr>
            <w:tcW w:w="4860" w:type="dxa"/>
            <w:vAlign w:val="bottom"/>
            <w:gridSpan w:val="5"/>
          </w:tcPr>
          <w:p>
            <w:pPr>
              <w:jc w:val="center"/>
              <w:spacing w:after="0"/>
              <w:rPr>
                <w:sz w:val="20"/>
                <w:szCs w:val="20"/>
                <w:color w:val="auto"/>
              </w:rPr>
            </w:pPr>
            <w:r>
              <w:rPr>
                <w:rFonts w:ascii="Arial" w:cs="Arial" w:eastAsia="Arial" w:hAnsi="Arial"/>
                <w:sz w:val="18"/>
                <w:szCs w:val="18"/>
                <w:b w:val="1"/>
                <w:bCs w:val="1"/>
                <w:color w:val="auto"/>
                <w:w w:val="90"/>
              </w:rPr>
              <w:t>777 Old Saw Mill River Road, Tarrytown, New York 10591-6707</w:t>
            </w:r>
          </w:p>
        </w:tc>
        <w:tc>
          <w:tcPr>
            <w:tcW w:w="2960" w:type="dxa"/>
            <w:vAlign w:val="bottom"/>
          </w:tcPr>
          <w:p>
            <w:pPr>
              <w:spacing w:after="0"/>
              <w:rPr>
                <w:sz w:val="24"/>
                <w:szCs w:val="24"/>
                <w:color w:val="auto"/>
              </w:rPr>
            </w:pPr>
          </w:p>
        </w:tc>
      </w:tr>
      <w:tr>
        <w:trPr>
          <w:trHeight w:val="228"/>
        </w:trPr>
        <w:tc>
          <w:tcPr>
            <w:tcW w:w="29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40" w:type="dxa"/>
            <w:vAlign w:val="bottom"/>
            <w:tcBorders>
              <w:top w:val="single" w:sz="8" w:color="auto"/>
            </w:tcBorders>
            <w:gridSpan w:val="4"/>
          </w:tcPr>
          <w:p>
            <w:pPr>
              <w:jc w:val="center"/>
              <w:ind w:right="20"/>
              <w:spacing w:after="0"/>
              <w:rPr>
                <w:sz w:val="20"/>
                <w:szCs w:val="20"/>
                <w:color w:val="auto"/>
              </w:rPr>
            </w:pPr>
            <w:r>
              <w:rPr>
                <w:rFonts w:ascii="Arial" w:cs="Arial" w:eastAsia="Arial" w:hAnsi="Arial"/>
                <w:sz w:val="18"/>
                <w:szCs w:val="18"/>
                <w:color w:val="auto"/>
                <w:w w:val="90"/>
              </w:rPr>
              <w:t>(Address of principal executive offices, including zip code)</w:t>
            </w:r>
          </w:p>
        </w:tc>
        <w:tc>
          <w:tcPr>
            <w:tcW w:w="2960" w:type="dxa"/>
            <w:vAlign w:val="bottom"/>
          </w:tcPr>
          <w:p>
            <w:pPr>
              <w:spacing w:after="0"/>
              <w:rPr>
                <w:sz w:val="19"/>
                <w:szCs w:val="19"/>
                <w:color w:val="auto"/>
              </w:rPr>
            </w:pPr>
          </w:p>
        </w:tc>
      </w:tr>
    </w:tbl>
    <w:p>
      <w:pPr>
        <w:spacing w:after="0" w:line="258" w:lineRule="exact"/>
        <w:rPr>
          <w:sz w:val="24"/>
          <w:szCs w:val="24"/>
          <w:color w:val="auto"/>
        </w:rPr>
      </w:pPr>
    </w:p>
    <w:p>
      <w:pPr>
        <w:jc w:val="center"/>
        <w:ind w:right="100"/>
        <w:spacing w:after="0"/>
        <w:rPr>
          <w:sz w:val="20"/>
          <w:szCs w:val="20"/>
          <w:color w:val="auto"/>
        </w:rPr>
      </w:pPr>
      <w:r>
        <w:rPr>
          <w:rFonts w:ascii="Arial" w:cs="Arial" w:eastAsia="Arial" w:hAnsi="Arial"/>
          <w:sz w:val="18"/>
          <w:szCs w:val="18"/>
          <w:b w:val="1"/>
          <w:bCs w:val="1"/>
          <w:color w:val="auto"/>
        </w:rPr>
        <w:t>(914) 347-7000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2480310</wp:posOffset>
            </wp:positionH>
            <wp:positionV relativeFrom="paragraph">
              <wp:posOffset>23495</wp:posOffset>
            </wp:positionV>
            <wp:extent cx="211836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118360" cy="8890"/>
                    </a:xfrm>
                    <a:prstGeom prst="rect">
                      <a:avLst/>
                    </a:prstGeom>
                    <a:noFill/>
                  </pic:spPr>
                </pic:pic>
              </a:graphicData>
            </a:graphic>
          </wp:anchor>
        </w:drawing>
      </w:r>
    </w:p>
    <w:p>
      <w:pPr>
        <w:spacing w:after="0" w:line="22" w:lineRule="exact"/>
        <w:rPr>
          <w:sz w:val="24"/>
          <w:szCs w:val="24"/>
          <w:color w:val="auto"/>
        </w:rPr>
      </w:pPr>
    </w:p>
    <w:p>
      <w:pPr>
        <w:jc w:val="center"/>
        <w:ind w:right="140"/>
        <w:spacing w:after="0"/>
        <w:rPr>
          <w:sz w:val="20"/>
          <w:szCs w:val="20"/>
          <w:color w:val="auto"/>
        </w:rPr>
      </w:pPr>
      <w:r>
        <w:rPr>
          <w:rFonts w:ascii="Arial" w:cs="Arial" w:eastAsia="Arial" w:hAnsi="Arial"/>
          <w:sz w:val="18"/>
          <w:szCs w:val="18"/>
          <w:color w:val="auto"/>
        </w:rPr>
        <w:t>(Registrant's telephone number, including area code)</w:t>
      </w:r>
    </w:p>
    <w:p>
      <w:pPr>
        <w:spacing w:after="0" w:line="266" w:lineRule="exact"/>
        <w:rPr>
          <w:sz w:val="24"/>
          <w:szCs w:val="24"/>
          <w:color w:val="auto"/>
        </w:rPr>
      </w:pPr>
    </w:p>
    <w:p>
      <w:pPr>
        <w:ind w:left="140"/>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213" w:lineRule="exact"/>
        <w:rPr>
          <w:sz w:val="24"/>
          <w:szCs w:val="24"/>
          <w:color w:val="auto"/>
        </w:rPr>
      </w:pPr>
    </w:p>
    <w:p>
      <w:pPr>
        <w:ind w:left="280" w:hanging="277"/>
        <w:spacing w:after="0"/>
        <w:tabs>
          <w:tab w:leader="none" w:pos="28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Arial" w:cs="Arial" w:eastAsia="Arial" w:hAnsi="Arial"/>
          <w:sz w:val="18"/>
          <w:szCs w:val="18"/>
          <w:color w:val="auto"/>
        </w:rPr>
      </w:pPr>
    </w:p>
    <w:p>
      <w:pPr>
        <w:ind w:left="280" w:hanging="277"/>
        <w:spacing w:after="0"/>
        <w:tabs>
          <w:tab w:leader="none" w:pos="28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ind w:left="280" w:hanging="277"/>
        <w:spacing w:after="0"/>
        <w:tabs>
          <w:tab w:leader="none" w:pos="2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280" w:hanging="277"/>
        <w:spacing w:after="0"/>
        <w:tabs>
          <w:tab w:leader="none" w:pos="2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-85090</wp:posOffset>
            </wp:positionH>
            <wp:positionV relativeFrom="paragraph">
              <wp:posOffset>231775</wp:posOffset>
            </wp:positionV>
            <wp:extent cx="7267575"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280"/>
          </w:cols>
          <w:pgMar w:left="380" w:top="463"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u w:val="single" w:color="auto"/>
          <w:color w:val="auto"/>
        </w:rPr>
        <w:t>Item 1.01</w:t>
      </w:r>
      <w:r>
        <w:rPr>
          <w:rFonts w:ascii="Arial" w:cs="Arial" w:eastAsia="Arial" w:hAnsi="Arial"/>
          <w:sz w:val="18"/>
          <w:szCs w:val="18"/>
          <w:b w:val="1"/>
          <w:bCs w:val="1"/>
          <w:color w:val="auto"/>
        </w:rPr>
        <w:t xml:space="preserve"> Entry into a Material Definitive Agreement.</w:t>
      </w:r>
    </w:p>
    <w:p>
      <w:pPr>
        <w:spacing w:after="0" w:line="285" w:lineRule="exact"/>
        <w:rPr>
          <w:sz w:val="20"/>
          <w:szCs w:val="20"/>
          <w:color w:val="auto"/>
        </w:rPr>
      </w:pPr>
    </w:p>
    <w:p>
      <w:pPr>
        <w:jc w:val="both"/>
        <w:ind w:firstLine="330"/>
        <w:spacing w:after="0" w:line="291" w:lineRule="auto"/>
        <w:rPr>
          <w:sz w:val="20"/>
          <w:szCs w:val="20"/>
          <w:color w:val="auto"/>
        </w:rPr>
      </w:pPr>
      <w:r>
        <w:rPr>
          <w:rFonts w:ascii="Arial" w:cs="Arial" w:eastAsia="Arial" w:hAnsi="Arial"/>
          <w:sz w:val="16"/>
          <w:szCs w:val="16"/>
          <w:color w:val="auto"/>
        </w:rPr>
        <w:t>On July 28, 2010, Regeneron Pharmaceuticals, Inc. (“Regeneron”) and Astellas Pharma Inc. (“Astellas”) announced that they had agreed to extend the terms of a March 30, 2007 non-exclusive license agreement, under which Astellas licensed certain rights to use Regeneron’s VelocImmune® technology to discover human monoclonal antibodies. The agreement, which was to expire in June 2013, was extended for ten years, to June 2023. Under the terms of the amended agreement, Astellas will make a $165 million up-front payment to Regeneron in August 2010 (the “Up-Front Payment”). In addition, Astellas will make a $130 million payment to Regeneron in June 2018 (the “Second Payment”), unless the agreement is terminated prior to that date. Astellas is no longer required to make $20 million annual payments to Regeneron in June 2011 or June 2012.</w:t>
      </w:r>
    </w:p>
    <w:p>
      <w:pPr>
        <w:spacing w:after="0" w:line="228" w:lineRule="exact"/>
        <w:rPr>
          <w:sz w:val="20"/>
          <w:szCs w:val="20"/>
          <w:color w:val="auto"/>
        </w:rPr>
      </w:pPr>
    </w:p>
    <w:p>
      <w:pPr>
        <w:jc w:val="both"/>
        <w:ind w:firstLine="284"/>
        <w:spacing w:after="0" w:line="298" w:lineRule="auto"/>
        <w:rPr>
          <w:sz w:val="20"/>
          <w:szCs w:val="20"/>
          <w:color w:val="auto"/>
        </w:rPr>
      </w:pPr>
      <w:r>
        <w:rPr>
          <w:rFonts w:ascii="Arial" w:cs="Arial" w:eastAsia="Arial" w:hAnsi="Arial"/>
          <w:sz w:val="16"/>
          <w:szCs w:val="16"/>
          <w:color w:val="auto"/>
        </w:rPr>
        <w:t>Astellas has the right to terminate the agreement at any time by providing 90 days advance written notice to Regeneron. Under certain limited circumstances, such as a material breach of the agreement by Regeneron, Astellas may terminate the agreement and receive a refund of a portion of the Up-Front Payment or, if such termination occurs after June 2018, the Second Payment. As per the terms of the original March 30, 2007 license agreement, Regeneron is entitled to receive a mid-single digit royalty on any future sales of antibody products discovered by Astellas using Regeneron’s VelocImmune technology.</w:t>
      </w:r>
    </w:p>
    <w:p>
      <w:pPr>
        <w:spacing w:after="0" w:line="221" w:lineRule="exact"/>
        <w:rPr>
          <w:sz w:val="20"/>
          <w:szCs w:val="20"/>
          <w:color w:val="auto"/>
        </w:rPr>
      </w:pPr>
    </w:p>
    <w:p>
      <w:pPr>
        <w:ind w:left="280"/>
        <w:spacing w:after="0"/>
        <w:rPr>
          <w:sz w:val="20"/>
          <w:szCs w:val="20"/>
          <w:color w:val="auto"/>
        </w:rPr>
      </w:pPr>
      <w:r>
        <w:rPr>
          <w:rFonts w:ascii="Arial" w:cs="Arial" w:eastAsia="Arial" w:hAnsi="Arial"/>
          <w:sz w:val="18"/>
          <w:szCs w:val="18"/>
          <w:color w:val="auto"/>
        </w:rPr>
        <w:t>A copy of the press release announcing the amended agreement is furnished as Exhibit 99.1 to this Form 8-K.</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2.02</w:t>
      </w:r>
      <w:r>
        <w:rPr>
          <w:rFonts w:ascii="Arial" w:cs="Arial" w:eastAsia="Arial" w:hAnsi="Arial"/>
          <w:sz w:val="18"/>
          <w:szCs w:val="18"/>
          <w:b w:val="1"/>
          <w:bCs w:val="1"/>
          <w:color w:val="auto"/>
        </w:rPr>
        <w:t xml:space="preserve"> Results of Operations and Financial Condition.</w:t>
      </w:r>
    </w:p>
    <w:p>
      <w:pPr>
        <w:spacing w:after="0" w:line="285" w:lineRule="exact"/>
        <w:rPr>
          <w:sz w:val="20"/>
          <w:szCs w:val="20"/>
          <w:color w:val="auto"/>
        </w:rPr>
      </w:pPr>
    </w:p>
    <w:p>
      <w:pPr>
        <w:ind w:firstLine="270"/>
        <w:spacing w:after="0" w:line="259" w:lineRule="auto"/>
        <w:rPr>
          <w:sz w:val="20"/>
          <w:szCs w:val="20"/>
          <w:color w:val="auto"/>
        </w:rPr>
      </w:pPr>
      <w:r>
        <w:rPr>
          <w:rFonts w:ascii="Arial" w:cs="Arial" w:eastAsia="Arial" w:hAnsi="Arial"/>
          <w:sz w:val="18"/>
          <w:szCs w:val="18"/>
          <w:color w:val="auto"/>
        </w:rPr>
        <w:t>On July 28, 2010, Regeneron Pharmaceuticals, Inc. issued a press release announcing its financial and operating results for the quarter ended June 30, 2010. The press release is being furnished to the Securities and Exchange Commission pursuant to Item 2.02 of Form 8-K and is attached as Exhibit 99.2 to this Form 8-K.</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9.01</w:t>
      </w:r>
      <w:r>
        <w:rPr>
          <w:rFonts w:ascii="Arial" w:cs="Arial" w:eastAsia="Arial" w:hAnsi="Arial"/>
          <w:sz w:val="18"/>
          <w:szCs w:val="18"/>
          <w:b w:val="1"/>
          <w:bCs w:val="1"/>
          <w:color w:val="auto"/>
        </w:rPr>
        <w:t xml:space="preserve"> Financial Statements and Exhibits.</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58" w:lineRule="exact"/>
        <w:rPr>
          <w:sz w:val="20"/>
          <w:szCs w:val="20"/>
          <w:color w:val="auto"/>
        </w:rPr>
      </w:pPr>
    </w:p>
    <w:p>
      <w:pPr>
        <w:spacing w:after="0"/>
        <w:rPr>
          <w:sz w:val="20"/>
          <w:szCs w:val="20"/>
          <w:color w:val="auto"/>
        </w:rPr>
      </w:pPr>
      <w:r>
        <w:rPr>
          <w:rFonts w:ascii="Arial" w:cs="Arial" w:eastAsia="Arial" w:hAnsi="Arial"/>
          <w:sz w:val="34"/>
          <w:szCs w:val="34"/>
          <w:color w:val="auto"/>
          <w:vertAlign w:val="subscript"/>
        </w:rPr>
        <w:t>99.1</w:t>
      </w:r>
      <w:r>
        <w:rPr>
          <w:rFonts w:ascii="Arial" w:cs="Arial" w:eastAsia="Arial" w:hAnsi="Arial"/>
          <w:sz w:val="17"/>
          <w:szCs w:val="17"/>
          <w:color w:val="auto"/>
        </w:rPr>
        <w:t xml:space="preserve"> Press Release dated April 28, 2010 Announcing Extension of March 30, 2007 VelocImmune</w:t>
      </w:r>
      <w:r>
        <w:rPr>
          <w:rFonts w:ascii="Arial" w:cs="Arial" w:eastAsia="Arial" w:hAnsi="Arial"/>
          <w:sz w:val="23"/>
          <w:szCs w:val="23"/>
          <w:color w:val="auto"/>
          <w:vertAlign w:val="superscript"/>
        </w:rPr>
        <w:t>®</w:t>
      </w:r>
      <w:r>
        <w:rPr>
          <w:rFonts w:ascii="Arial" w:cs="Arial" w:eastAsia="Arial" w:hAnsi="Arial"/>
          <w:sz w:val="17"/>
          <w:szCs w:val="17"/>
          <w:color w:val="auto"/>
        </w:rPr>
        <w:t xml:space="preserve"> License Agreement with Astellas Pharma Inc.</w:t>
      </w: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color w:val="auto"/>
        </w:rPr>
        <w:t>99.2 Press Release dated April 28, 2010 Announcing Financial and Operating Results for the Quarter Ended June 30,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2" w:name="page3"/>
    <w:bookmarkEnd w:id="2"/>
    <w:p>
      <w:pPr>
        <w:jc w:val="center"/>
        <w:ind w:right="-219"/>
        <w:spacing w:after="0"/>
        <w:rPr>
          <w:sz w:val="20"/>
          <w:szCs w:val="20"/>
          <w:color w:val="auto"/>
        </w:rPr>
      </w:pPr>
      <w:r>
        <w:rPr>
          <w:rFonts w:ascii="Arial" w:cs="Arial" w:eastAsia="Arial" w:hAnsi="Arial"/>
          <w:sz w:val="18"/>
          <w:szCs w:val="18"/>
          <w:color w:val="auto"/>
        </w:rPr>
        <w:t>SIGNATURES</w:t>
      </w:r>
    </w:p>
    <w:p>
      <w:pPr>
        <w:spacing w:after="0" w:line="279" w:lineRule="exact"/>
        <w:rPr>
          <w:sz w:val="20"/>
          <w:szCs w:val="20"/>
          <w:color w:val="auto"/>
        </w:rPr>
      </w:pPr>
    </w:p>
    <w:p>
      <w:pPr>
        <w:ind w:firstLine="270"/>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13" w:lineRule="exact"/>
        <w:rPr>
          <w:sz w:val="20"/>
          <w:szCs w:val="20"/>
          <w:color w:val="auto"/>
        </w:rPr>
      </w:pPr>
    </w:p>
    <w:p>
      <w:pPr>
        <w:spacing w:after="0"/>
        <w:tabs>
          <w:tab w:leader="none" w:pos="5020" w:val="left"/>
        </w:tabs>
        <w:rPr>
          <w:sz w:val="20"/>
          <w:szCs w:val="20"/>
          <w:color w:val="auto"/>
        </w:rPr>
      </w:pPr>
      <w:r>
        <w:rPr>
          <w:rFonts w:ascii="Arial" w:cs="Arial" w:eastAsia="Arial" w:hAnsi="Arial"/>
          <w:sz w:val="18"/>
          <w:szCs w:val="18"/>
          <w:color w:val="auto"/>
        </w:rPr>
        <w:t>Date: July 29, 2010</w:t>
      </w:r>
      <w:r>
        <w:rPr>
          <w:sz w:val="20"/>
          <w:szCs w:val="20"/>
          <w:color w:val="auto"/>
        </w:rPr>
        <w:tab/>
      </w:r>
      <w:r>
        <w:rPr>
          <w:rFonts w:ascii="Arial" w:cs="Arial" w:eastAsia="Arial" w:hAnsi="Arial"/>
          <w:sz w:val="16"/>
          <w:szCs w:val="16"/>
          <w:color w:val="auto"/>
        </w:rPr>
        <w:t>REGENERON PHARMACEUTICALS, INC.</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Stuart Kolinski</w:t>
      </w:r>
    </w:p>
    <w:p>
      <w:pPr>
        <w:spacing w:after="0" w:line="50"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Name: Stuart Kolinski</w:t>
      </w:r>
    </w:p>
    <w:p>
      <w:pPr>
        <w:spacing w:after="0" w:line="36"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Title:  Senior Vice President and General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200"/>
          </w:cols>
          <w:pgMar w:left="240" w:top="374" w:right="45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22"/>
        </w:trPr>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8020" w:type="dxa"/>
            <w:vAlign w:val="bottom"/>
          </w:tcPr>
          <w:p>
            <w:pPr>
              <w:ind w:left="1840"/>
              <w:spacing w:after="0"/>
              <w:rPr>
                <w:sz w:val="20"/>
                <w:szCs w:val="20"/>
                <w:color w:val="auto"/>
              </w:rPr>
            </w:pPr>
            <w:r>
              <w:rPr>
                <w:rFonts w:ascii="Arial" w:cs="Arial" w:eastAsia="Arial" w:hAnsi="Arial"/>
                <w:sz w:val="18"/>
                <w:szCs w:val="18"/>
                <w:color w:val="auto"/>
              </w:rPr>
              <w:t>Exhibit Index</w:t>
            </w:r>
          </w:p>
        </w:tc>
        <w:tc>
          <w:tcPr>
            <w:tcW w:w="20" w:type="dxa"/>
            <w:vAlign w:val="bottom"/>
          </w:tcPr>
          <w:p>
            <w:pPr>
              <w:spacing w:after="0"/>
              <w:rPr>
                <w:sz w:val="19"/>
                <w:szCs w:val="19"/>
                <w:color w:val="auto"/>
              </w:rPr>
            </w:pPr>
          </w:p>
        </w:tc>
      </w:tr>
      <w:tr>
        <w:trPr>
          <w:trHeight w:val="480"/>
        </w:trPr>
        <w:tc>
          <w:tcPr>
            <w:tcW w:w="580" w:type="dxa"/>
            <w:vAlign w:val="bottom"/>
          </w:tcPr>
          <w:p>
            <w:pPr>
              <w:spacing w:after="0"/>
              <w:rPr>
                <w:sz w:val="20"/>
                <w:szCs w:val="20"/>
                <w:color w:val="auto"/>
              </w:rPr>
            </w:pPr>
            <w:r>
              <w:rPr>
                <w:rFonts w:ascii="Arial" w:cs="Arial" w:eastAsia="Arial" w:hAnsi="Arial"/>
                <w:sz w:val="18"/>
                <w:szCs w:val="18"/>
                <w:color w:val="auto"/>
                <w:w w:val="87"/>
              </w:rPr>
              <w:t>Number</w:t>
            </w:r>
          </w:p>
        </w:tc>
        <w:tc>
          <w:tcPr>
            <w:tcW w:w="2820" w:type="dxa"/>
            <w:vAlign w:val="bottom"/>
            <w:gridSpan w:val="2"/>
          </w:tcPr>
          <w:p>
            <w:pPr>
              <w:ind w:left="340"/>
              <w:spacing w:after="0"/>
              <w:rPr>
                <w:sz w:val="20"/>
                <w:szCs w:val="20"/>
                <w:color w:val="auto"/>
              </w:rPr>
            </w:pPr>
            <w:r>
              <w:rPr>
                <w:rFonts w:ascii="Arial" w:cs="Arial" w:eastAsia="Arial" w:hAnsi="Arial"/>
                <w:sz w:val="18"/>
                <w:szCs w:val="18"/>
                <w:color w:val="auto"/>
              </w:rPr>
              <w:t>Description</w:t>
            </w:r>
          </w:p>
        </w:tc>
        <w:tc>
          <w:tcPr>
            <w:tcW w:w="80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
        </w:trPr>
        <w:tc>
          <w:tcPr>
            <w:tcW w:w="580" w:type="dxa"/>
            <w:vAlign w:val="bottom"/>
            <w:shd w:val="clear" w:color="auto" w:fill="000000"/>
          </w:tcPr>
          <w:p>
            <w:pPr>
              <w:spacing w:after="0" w:line="20" w:lineRule="exact"/>
              <w:rPr>
                <w:sz w:val="1"/>
                <w:szCs w:val="1"/>
                <w:color w:val="auto"/>
              </w:rPr>
            </w:pPr>
          </w:p>
        </w:tc>
        <w:tc>
          <w:tcPr>
            <w:tcW w:w="340" w:type="dxa"/>
            <w:vAlign w:val="bottom"/>
            <w:shd w:val="clear" w:color="auto" w:fill="C0C0C0"/>
          </w:tcPr>
          <w:p>
            <w:pPr>
              <w:spacing w:after="0" w:line="20" w:lineRule="exact"/>
              <w:rPr>
                <w:sz w:val="1"/>
                <w:szCs w:val="1"/>
                <w:color w:val="auto"/>
              </w:rPr>
            </w:pPr>
          </w:p>
        </w:tc>
        <w:tc>
          <w:tcPr>
            <w:tcW w:w="2480" w:type="dxa"/>
            <w:vAlign w:val="bottom"/>
            <w:shd w:val="clear" w:color="auto" w:fill="000000"/>
          </w:tcPr>
          <w:p>
            <w:pPr>
              <w:spacing w:after="0" w:line="20" w:lineRule="exact"/>
              <w:rPr>
                <w:sz w:val="1"/>
                <w:szCs w:val="1"/>
                <w:color w:val="auto"/>
              </w:rPr>
            </w:pPr>
          </w:p>
        </w:tc>
        <w:tc>
          <w:tcPr>
            <w:tcW w:w="80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43"/>
        </w:trPr>
        <w:tc>
          <w:tcPr>
            <w:tcW w:w="580" w:type="dxa"/>
            <w:vAlign w:val="bottom"/>
            <w:shd w:val="clear" w:color="auto" w:fill="C0C0C0"/>
          </w:tcPr>
          <w:p>
            <w:pPr>
              <w:spacing w:after="0"/>
              <w:rPr>
                <w:sz w:val="20"/>
                <w:szCs w:val="20"/>
                <w:color w:val="auto"/>
              </w:rPr>
            </w:pPr>
            <w:r>
              <w:rPr>
                <w:rFonts w:ascii="Arial" w:cs="Arial" w:eastAsia="Arial" w:hAnsi="Arial"/>
                <w:sz w:val="18"/>
                <w:szCs w:val="18"/>
                <w:color w:val="auto"/>
              </w:rPr>
              <w:t>99.1</w:t>
            </w:r>
          </w:p>
        </w:tc>
        <w:tc>
          <w:tcPr>
            <w:tcW w:w="2820" w:type="dxa"/>
            <w:vAlign w:val="bottom"/>
            <w:gridSpan w:val="2"/>
            <w:shd w:val="clear" w:color="auto" w:fill="C0C0C0"/>
          </w:tcPr>
          <w:p>
            <w:pPr>
              <w:ind w:left="340"/>
              <w:spacing w:after="0"/>
              <w:rPr>
                <w:sz w:val="20"/>
                <w:szCs w:val="20"/>
                <w:color w:val="auto"/>
              </w:rPr>
            </w:pPr>
            <w:r>
              <w:rPr>
                <w:rFonts w:ascii="Arial" w:cs="Arial" w:eastAsia="Arial" w:hAnsi="Arial"/>
                <w:sz w:val="18"/>
                <w:szCs w:val="18"/>
                <w:color w:val="auto"/>
                <w:w w:val="86"/>
              </w:rPr>
              <w:t>Press Release dated April 28, 2010</w:t>
            </w:r>
          </w:p>
        </w:tc>
        <w:tc>
          <w:tcPr>
            <w:tcW w:w="8020" w:type="dxa"/>
            <w:vAlign w:val="bottom"/>
            <w:shd w:val="clear" w:color="auto" w:fill="C0C0C0"/>
          </w:tcPr>
          <w:p>
            <w:pPr>
              <w:ind w:left="20"/>
              <w:spacing w:after="0"/>
              <w:rPr>
                <w:sz w:val="20"/>
                <w:szCs w:val="20"/>
                <w:color w:val="auto"/>
              </w:rPr>
            </w:pPr>
            <w:r>
              <w:rPr>
                <w:rFonts w:ascii="Arial" w:cs="Arial" w:eastAsia="Arial" w:hAnsi="Arial"/>
                <w:sz w:val="18"/>
                <w:szCs w:val="18"/>
                <w:color w:val="auto"/>
                <w:w w:val="96"/>
              </w:rPr>
              <w:t>Announcing Extension of March 30, 2007 VelocImmune® License Agreement with Astellas Pharma Inc.</w:t>
            </w:r>
          </w:p>
        </w:tc>
        <w:tc>
          <w:tcPr>
            <w:tcW w:w="20" w:type="dxa"/>
            <w:vAlign w:val="bottom"/>
          </w:tcPr>
          <w:p>
            <w:pPr>
              <w:spacing w:after="0"/>
              <w:rPr>
                <w:sz w:val="21"/>
                <w:szCs w:val="21"/>
                <w:color w:val="auto"/>
              </w:rPr>
            </w:pPr>
          </w:p>
        </w:tc>
      </w:tr>
      <w:tr>
        <w:trPr>
          <w:trHeight w:val="243"/>
        </w:trPr>
        <w:tc>
          <w:tcPr>
            <w:tcW w:w="5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480" w:type="dxa"/>
            <w:vAlign w:val="bottom"/>
          </w:tcPr>
          <w:p>
            <w:pPr>
              <w:spacing w:after="0"/>
              <w:rPr>
                <w:sz w:val="21"/>
                <w:szCs w:val="21"/>
                <w:color w:val="auto"/>
              </w:rPr>
            </w:pPr>
          </w:p>
        </w:tc>
        <w:tc>
          <w:tcPr>
            <w:tcW w:w="802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43"/>
        </w:trPr>
        <w:tc>
          <w:tcPr>
            <w:tcW w:w="580" w:type="dxa"/>
            <w:vAlign w:val="bottom"/>
            <w:shd w:val="clear" w:color="auto" w:fill="C0C0C0"/>
          </w:tcPr>
          <w:p>
            <w:pPr>
              <w:spacing w:after="0"/>
              <w:rPr>
                <w:sz w:val="20"/>
                <w:szCs w:val="20"/>
                <w:color w:val="auto"/>
              </w:rPr>
            </w:pPr>
            <w:r>
              <w:rPr>
                <w:rFonts w:ascii="Arial" w:cs="Arial" w:eastAsia="Arial" w:hAnsi="Arial"/>
                <w:sz w:val="18"/>
                <w:szCs w:val="18"/>
                <w:color w:val="auto"/>
              </w:rPr>
              <w:t>99.2</w:t>
            </w:r>
          </w:p>
        </w:tc>
        <w:tc>
          <w:tcPr>
            <w:tcW w:w="2820" w:type="dxa"/>
            <w:vAlign w:val="bottom"/>
            <w:gridSpan w:val="2"/>
            <w:shd w:val="clear" w:color="auto" w:fill="C0C0C0"/>
          </w:tcPr>
          <w:p>
            <w:pPr>
              <w:ind w:left="340"/>
              <w:spacing w:after="0"/>
              <w:rPr>
                <w:sz w:val="20"/>
                <w:szCs w:val="20"/>
                <w:color w:val="auto"/>
              </w:rPr>
            </w:pPr>
            <w:r>
              <w:rPr>
                <w:rFonts w:ascii="Arial" w:cs="Arial" w:eastAsia="Arial" w:hAnsi="Arial"/>
                <w:sz w:val="18"/>
                <w:szCs w:val="18"/>
                <w:color w:val="auto"/>
                <w:w w:val="86"/>
              </w:rPr>
              <w:t>Press Release dated April 28, 2010</w:t>
            </w:r>
          </w:p>
        </w:tc>
        <w:tc>
          <w:tcPr>
            <w:tcW w:w="8020" w:type="dxa"/>
            <w:vAlign w:val="bottom"/>
            <w:shd w:val="clear" w:color="auto" w:fill="C0C0C0"/>
          </w:tcPr>
          <w:p>
            <w:pPr>
              <w:ind w:left="20"/>
              <w:spacing w:after="0"/>
              <w:rPr>
                <w:sz w:val="20"/>
                <w:szCs w:val="20"/>
                <w:color w:val="auto"/>
              </w:rPr>
            </w:pPr>
            <w:r>
              <w:rPr>
                <w:rFonts w:ascii="Arial" w:cs="Arial" w:eastAsia="Arial" w:hAnsi="Arial"/>
                <w:sz w:val="18"/>
                <w:szCs w:val="18"/>
                <w:color w:val="auto"/>
              </w:rPr>
              <w:t>Announcing Financial and Operating Results for the Quarter ended June 30, 2010.</w:t>
            </w:r>
          </w:p>
        </w:tc>
        <w:tc>
          <w:tcPr>
            <w:tcW w:w="20" w:type="dxa"/>
            <w:vAlign w:val="bottom"/>
          </w:tcPr>
          <w:p>
            <w:pPr>
              <w:spacing w:after="0"/>
              <w:rPr>
                <w:sz w:val="21"/>
                <w:szCs w:val="21"/>
                <w:color w:val="auto"/>
              </w:rPr>
            </w:pPr>
          </w:p>
        </w:tc>
      </w:tr>
      <w:tr>
        <w:trPr>
          <w:trHeight w:val="361"/>
        </w:trPr>
        <w:tc>
          <w:tcPr>
            <w:tcW w:w="58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2480" w:type="dxa"/>
            <w:vAlign w:val="bottom"/>
            <w:tcBorders>
              <w:bottom w:val="single" w:sz="8" w:color="808080"/>
            </w:tcBorders>
          </w:tcPr>
          <w:p>
            <w:pPr>
              <w:spacing w:after="0"/>
              <w:rPr>
                <w:sz w:val="24"/>
                <w:szCs w:val="24"/>
                <w:color w:val="auto"/>
              </w:rPr>
            </w:pPr>
          </w:p>
        </w:tc>
        <w:tc>
          <w:tcPr>
            <w:tcW w:w="802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374" w:right="21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color w:val="auto"/>
        </w:rPr>
        <w:t>Exhibit 99.1</w:t>
      </w:r>
    </w:p>
    <w:p>
      <w:pPr>
        <w:spacing w:after="0" w:line="232" w:lineRule="exact"/>
        <w:rPr>
          <w:sz w:val="20"/>
          <w:szCs w:val="20"/>
          <w:color w:val="auto"/>
        </w:rPr>
      </w:pPr>
    </w:p>
    <w:p>
      <w:pPr>
        <w:spacing w:after="0"/>
        <w:rPr>
          <w:sz w:val="20"/>
          <w:szCs w:val="20"/>
          <w:color w:val="auto"/>
        </w:rPr>
      </w:pPr>
      <w:r>
        <w:rPr>
          <w:rFonts w:ascii="Arial" w:cs="Arial" w:eastAsia="Arial" w:hAnsi="Arial"/>
          <w:sz w:val="24"/>
          <w:szCs w:val="24"/>
          <w:b w:val="1"/>
          <w:bCs w:val="1"/>
          <w:u w:val="single" w:color="auto"/>
          <w:color w:val="auto"/>
        </w:rPr>
        <w:t>FOR IMMEDIATE RELEASE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ind w:right="5000"/>
        <w:spacing w:after="0" w:line="344" w:lineRule="auto"/>
        <w:rPr>
          <w:sz w:val="20"/>
          <w:szCs w:val="20"/>
          <w:color w:val="auto"/>
        </w:rPr>
      </w:pPr>
      <w:r>
        <w:rPr>
          <w:rFonts w:ascii="Arial" w:cs="Arial" w:eastAsia="Arial" w:hAnsi="Arial"/>
          <w:sz w:val="21"/>
          <w:szCs w:val="21"/>
          <w:b w:val="1"/>
          <w:bCs w:val="1"/>
          <w:color w:val="0E4CBA"/>
        </w:rPr>
        <w:t xml:space="preserve">Astellas to Pay $295 Million to Extend License of Regeneron’s </w:t>
      </w:r>
      <w:r>
        <w:rPr>
          <w:rFonts w:ascii="Arial" w:cs="Arial" w:eastAsia="Arial" w:hAnsi="Arial"/>
          <w:sz w:val="21"/>
          <w:szCs w:val="21"/>
          <w:b w:val="1"/>
          <w:bCs w:val="1"/>
          <w:i w:val="1"/>
          <w:iCs w:val="1"/>
          <w:color w:val="0E4CBA"/>
        </w:rPr>
        <w:t>VelocImmune</w:t>
      </w:r>
      <w:r>
        <w:rPr>
          <w:rFonts w:ascii="Arial" w:cs="Arial" w:eastAsia="Arial" w:hAnsi="Arial"/>
          <w:sz w:val="29"/>
          <w:szCs w:val="29"/>
          <w:b w:val="1"/>
          <w:bCs w:val="1"/>
          <w:i w:val="1"/>
          <w:iCs w:val="1"/>
          <w:color w:val="0E4CBA"/>
          <w:vertAlign w:val="superscript"/>
        </w:rPr>
        <w:t>®</w:t>
      </w:r>
      <w:r>
        <w:rPr>
          <w:rFonts w:ascii="Arial" w:cs="Arial" w:eastAsia="Arial" w:hAnsi="Arial"/>
          <w:sz w:val="21"/>
          <w:szCs w:val="21"/>
          <w:b w:val="1"/>
          <w:bCs w:val="1"/>
          <w:i w:val="1"/>
          <w:iCs w:val="1"/>
          <w:color w:val="0E4CBA"/>
        </w:rPr>
        <w:t xml:space="preserve"> </w:t>
      </w:r>
      <w:r>
        <w:rPr>
          <w:rFonts w:ascii="Arial" w:cs="Arial" w:eastAsia="Arial" w:hAnsi="Arial"/>
          <w:sz w:val="21"/>
          <w:szCs w:val="21"/>
          <w:b w:val="1"/>
          <w:bCs w:val="1"/>
          <w:color w:val="0E4CBA"/>
        </w:rPr>
        <w:t>Antibody Technology through 2023</w:t>
      </w:r>
    </w:p>
    <w:p>
      <w:pPr>
        <w:spacing w:after="0"/>
        <w:rPr>
          <w:sz w:val="20"/>
          <w:szCs w:val="20"/>
          <w:color w:val="auto"/>
        </w:rPr>
      </w:pPr>
      <w:r>
        <w:rPr>
          <w:rFonts w:ascii="Arial" w:cs="Arial" w:eastAsia="Arial" w:hAnsi="Arial"/>
          <w:sz w:val="16"/>
          <w:szCs w:val="16"/>
          <w:b w:val="1"/>
          <w:bCs w:val="1"/>
          <w:color w:val="auto"/>
        </w:rPr>
        <w:t xml:space="preserve">Tarrytown, NY and Tokyo, Japan </w:t>
      </w:r>
      <w:r>
        <w:rPr>
          <w:rFonts w:ascii="Arial" w:cs="Arial" w:eastAsia="Arial" w:hAnsi="Arial"/>
          <w:sz w:val="16"/>
          <w:szCs w:val="16"/>
          <w:color w:val="auto"/>
        </w:rPr>
        <w:t>–</w:t>
      </w:r>
      <w:r>
        <w:rPr>
          <w:rFonts w:ascii="Arial" w:cs="Arial" w:eastAsia="Arial" w:hAnsi="Arial"/>
          <w:sz w:val="16"/>
          <w:szCs w:val="16"/>
          <w:b w:val="1"/>
          <w:bCs w:val="1"/>
          <w:color w:val="auto"/>
        </w:rPr>
        <w:t xml:space="preserve"> (July 28, 2010) </w:t>
      </w:r>
      <w:r>
        <w:rPr>
          <w:rFonts w:ascii="Arial" w:cs="Arial" w:eastAsia="Arial" w:hAnsi="Arial"/>
          <w:sz w:val="16"/>
          <w:szCs w:val="16"/>
          <w:color w:val="auto"/>
        </w:rPr>
        <w:t>– Regeneron Pharmaceuticals, Inc. (“Regeneron”; Nasdaq:</w:t>
      </w:r>
      <w:r>
        <w:rPr>
          <w:rFonts w:ascii="Arial" w:cs="Arial" w:eastAsia="Arial" w:hAnsi="Arial"/>
          <w:sz w:val="16"/>
          <w:szCs w:val="16"/>
          <w:b w:val="1"/>
          <w:bCs w:val="1"/>
          <w:color w:val="auto"/>
        </w:rPr>
        <w:t xml:space="preserve"> REGN) </w:t>
      </w:r>
      <w:r>
        <w:rPr>
          <w:rFonts w:ascii="Arial" w:cs="Arial" w:eastAsia="Arial" w:hAnsi="Arial"/>
          <w:sz w:val="16"/>
          <w:szCs w:val="16"/>
          <w:color w:val="auto"/>
        </w:rPr>
        <w:t>and Astellas Pharma Inc. (“Astellas”;</w:t>
      </w:r>
    </w:p>
    <w:p>
      <w:pPr>
        <w:spacing w:after="0" w:line="44" w:lineRule="exact"/>
        <w:rPr>
          <w:sz w:val="20"/>
          <w:szCs w:val="20"/>
          <w:color w:val="auto"/>
        </w:rPr>
      </w:pPr>
    </w:p>
    <w:p>
      <w:pPr>
        <w:ind w:right="220"/>
        <w:spacing w:after="0" w:line="225" w:lineRule="auto"/>
        <w:rPr>
          <w:sz w:val="20"/>
          <w:szCs w:val="20"/>
          <w:color w:val="auto"/>
        </w:rPr>
      </w:pPr>
      <w:r>
        <w:rPr>
          <w:rFonts w:ascii="Arial" w:cs="Arial" w:eastAsia="Arial" w:hAnsi="Arial"/>
          <w:sz w:val="18"/>
          <w:szCs w:val="18"/>
          <w:color w:val="auto"/>
        </w:rPr>
        <w:t xml:space="preserve">Headquarters: Tokyo, Japan; President &amp; CEO: Masafumi Nogimori) announced today that Astellas has extended through 2023 the non-exclusive license agreement that allows Astellas to utilize Regeneron’s </w:t>
      </w:r>
      <w:r>
        <w:rPr>
          <w:rFonts w:ascii="Arial" w:cs="Arial" w:eastAsia="Arial" w:hAnsi="Arial"/>
          <w:sz w:val="18"/>
          <w:szCs w:val="18"/>
          <w:i w:val="1"/>
          <w:iCs w:val="1"/>
          <w:color w:val="auto"/>
        </w:rPr>
        <w:t>VelocImmune</w:t>
      </w:r>
      <w:r>
        <w:rPr>
          <w:rFonts w:ascii="Arial" w:cs="Arial" w:eastAsia="Arial" w:hAnsi="Arial"/>
          <w:sz w:val="24"/>
          <w:szCs w:val="24"/>
          <w:i w:val="1"/>
          <w:iCs w:val="1"/>
          <w:color w:val="auto"/>
          <w:vertAlign w:val="superscript"/>
        </w:rPr>
        <w:t>®</w:t>
      </w:r>
      <w:r>
        <w:rPr>
          <w:rFonts w:ascii="Arial" w:cs="Arial" w:eastAsia="Arial" w:hAnsi="Arial"/>
          <w:sz w:val="18"/>
          <w:szCs w:val="18"/>
          <w:color w:val="auto"/>
        </w:rPr>
        <w:t xml:space="preserve"> technology in its internal research programs to discover fully human monoclonal antibody product candidates.</w:t>
      </w:r>
    </w:p>
    <w:p>
      <w:pPr>
        <w:spacing w:after="0" w:line="238"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 xml:space="preserve">Astellas will pay $165 million upfront and another $130 million in June 2018 unless it terminates the agreement prior to that date. Upon commercialization of any antibody products discovered utilizing </w:t>
      </w:r>
      <w:r>
        <w:rPr>
          <w:rFonts w:ascii="Arial" w:cs="Arial" w:eastAsia="Arial" w:hAnsi="Arial"/>
          <w:sz w:val="18"/>
          <w:szCs w:val="18"/>
          <w:i w:val="1"/>
          <w:iCs w:val="1"/>
          <w:color w:val="auto"/>
        </w:rPr>
        <w:t>VelocImmune</w:t>
      </w:r>
      <w:r>
        <w:rPr>
          <w:rFonts w:ascii="Arial" w:cs="Arial" w:eastAsia="Arial" w:hAnsi="Arial"/>
          <w:sz w:val="18"/>
          <w:szCs w:val="18"/>
          <w:color w:val="auto"/>
        </w:rPr>
        <w:t>, Astellas will pay a mid-single-digit royalty on product sales.</w:t>
      </w:r>
    </w:p>
    <w:p>
      <w:pPr>
        <w:spacing w:after="0" w:line="213" w:lineRule="exact"/>
        <w:rPr>
          <w:sz w:val="20"/>
          <w:szCs w:val="20"/>
          <w:color w:val="auto"/>
        </w:rPr>
      </w:pPr>
    </w:p>
    <w:p>
      <w:pPr>
        <w:jc w:val="both"/>
        <w:spacing w:after="0" w:line="335" w:lineRule="auto"/>
        <w:rPr>
          <w:sz w:val="20"/>
          <w:szCs w:val="20"/>
          <w:color w:val="auto"/>
        </w:rPr>
      </w:pPr>
      <w:r>
        <w:rPr>
          <w:rFonts w:ascii="Arial" w:cs="Arial" w:eastAsia="Arial" w:hAnsi="Arial"/>
          <w:sz w:val="15"/>
          <w:szCs w:val="15"/>
          <w:color w:val="auto"/>
        </w:rPr>
        <w:t xml:space="preserve">In March 2007, Astellas and Regeneron entered into a six-year </w:t>
      </w:r>
      <w:r>
        <w:rPr>
          <w:rFonts w:ascii="Arial" w:cs="Arial" w:eastAsia="Arial" w:hAnsi="Arial"/>
          <w:sz w:val="15"/>
          <w:szCs w:val="15"/>
          <w:i w:val="1"/>
          <w:iCs w:val="1"/>
          <w:color w:val="auto"/>
        </w:rPr>
        <w:t>VelocImmune</w:t>
      </w:r>
      <w:r>
        <w:rPr>
          <w:rFonts w:ascii="Arial" w:cs="Arial" w:eastAsia="Arial" w:hAnsi="Arial"/>
          <w:sz w:val="15"/>
          <w:szCs w:val="15"/>
          <w:color w:val="auto"/>
        </w:rPr>
        <w:t xml:space="preserve"> license agreement pursuant to which Astellas made license payments of $20 million per year in 2007 through 2010. This amendment supersedes the original agreement and as such, Astellas will no longer make annual license payments in 2011 and 2012. Approximately 20 monoclonal antibody projects using </w:t>
      </w:r>
      <w:r>
        <w:rPr>
          <w:rFonts w:ascii="Arial" w:cs="Arial" w:eastAsia="Arial" w:hAnsi="Arial"/>
          <w:sz w:val="15"/>
          <w:szCs w:val="15"/>
          <w:i w:val="1"/>
          <w:iCs w:val="1"/>
          <w:color w:val="auto"/>
        </w:rPr>
        <w:t>VelocImmune</w:t>
      </w:r>
      <w:r>
        <w:rPr>
          <w:rFonts w:ascii="Arial" w:cs="Arial" w:eastAsia="Arial" w:hAnsi="Arial"/>
          <w:sz w:val="15"/>
          <w:szCs w:val="15"/>
          <w:color w:val="auto"/>
        </w:rPr>
        <w:t xml:space="preserve"> technology are ongoing at Astellas and Agensys, Inc., a U.S. affiliate of Astellas.</w:t>
      </w:r>
    </w:p>
    <w:p>
      <w:pPr>
        <w:spacing w:after="0" w:line="169"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VelocImmune</w:t>
      </w:r>
      <w:r>
        <w:rPr>
          <w:rFonts w:ascii="Arial" w:cs="Arial" w:eastAsia="Arial" w:hAnsi="Arial"/>
          <w:sz w:val="18"/>
          <w:szCs w:val="18"/>
          <w:color w:val="auto"/>
        </w:rPr>
        <w:t xml:space="preserve"> is the centerpiece of Regeneron’s suite of technologies for the discovery and development of fully human monoclonal antibodies,” said George D. Yancopoulos, M.D., Ph.D., President of Regeneron Research Laboratories and Regeneron's Chief Scientific Officer. “We are pleased that Astellas, a company with a clear strategic commitment to developing therapeutic antibodies, has elected to continue to utilize the </w:t>
      </w:r>
      <w:r>
        <w:rPr>
          <w:rFonts w:ascii="Arial" w:cs="Arial" w:eastAsia="Arial" w:hAnsi="Arial"/>
          <w:sz w:val="18"/>
          <w:szCs w:val="18"/>
          <w:i w:val="1"/>
          <w:iCs w:val="1"/>
          <w:color w:val="auto"/>
        </w:rPr>
        <w:t>VelocImmune</w:t>
      </w:r>
      <w:r>
        <w:rPr>
          <w:rFonts w:ascii="Arial" w:cs="Arial" w:eastAsia="Arial" w:hAnsi="Arial"/>
          <w:sz w:val="18"/>
          <w:szCs w:val="18"/>
          <w:color w:val="auto"/>
        </w:rPr>
        <w:t xml:space="preserve"> platform for its internal development programs.”</w:t>
      </w:r>
    </w:p>
    <w:p>
      <w:pPr>
        <w:spacing w:after="0" w:line="224"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 xml:space="preserve">“We are excited about this extension of the license agreement with Regeneron,” said Shinichi Tsukamoto, Ph.D., Astellas’ Senior Vice President, Drug Discovery Research. “As described in our recently announced mid-term management plan toward FY2014, Astellas is putting the highest strategic priority on the development of antibody drugs, and </w:t>
      </w:r>
      <w:r>
        <w:rPr>
          <w:rFonts w:ascii="Arial" w:cs="Arial" w:eastAsia="Arial" w:hAnsi="Arial"/>
          <w:sz w:val="16"/>
          <w:szCs w:val="16"/>
          <w:i w:val="1"/>
          <w:iCs w:val="1"/>
          <w:color w:val="auto"/>
        </w:rPr>
        <w:t>VelocImmune</w:t>
      </w:r>
      <w:r>
        <w:rPr>
          <w:rFonts w:ascii="Arial" w:cs="Arial" w:eastAsia="Arial" w:hAnsi="Arial"/>
          <w:sz w:val="16"/>
          <w:szCs w:val="16"/>
          <w:color w:val="auto"/>
        </w:rPr>
        <w:t xml:space="preserve"> will continue to be the indispensable technology for our antibody drug development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191135</wp:posOffset>
            </wp:positionV>
            <wp:extent cx="7267575"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374"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i w:val="1"/>
          <w:iCs w:val="1"/>
          <w:u w:val="single" w:color="auto"/>
          <w:color w:val="auto"/>
        </w:rPr>
        <w:t>VelocImmune</w:t>
      </w:r>
    </w:p>
    <w:p>
      <w:pPr>
        <w:spacing w:after="0" w:line="15" w:lineRule="exact"/>
        <w:rPr>
          <w:sz w:val="20"/>
          <w:szCs w:val="20"/>
          <w:color w:val="auto"/>
        </w:rPr>
      </w:pPr>
    </w:p>
    <w:p>
      <w:pPr>
        <w:ind w:right="40"/>
        <w:spacing w:after="0" w:line="307" w:lineRule="auto"/>
        <w:rPr>
          <w:sz w:val="20"/>
          <w:szCs w:val="20"/>
          <w:color w:val="auto"/>
        </w:rPr>
      </w:pPr>
      <w:r>
        <w:rPr>
          <w:rFonts w:ascii="Arial" w:cs="Arial" w:eastAsia="Arial" w:hAnsi="Arial"/>
          <w:sz w:val="16"/>
          <w:szCs w:val="16"/>
          <w:color w:val="auto"/>
        </w:rPr>
        <w:t xml:space="preserve">Regeneron’s </w:t>
      </w:r>
      <w:r>
        <w:rPr>
          <w:rFonts w:ascii="Arial" w:cs="Arial" w:eastAsia="Arial" w:hAnsi="Arial"/>
          <w:sz w:val="16"/>
          <w:szCs w:val="16"/>
          <w:i w:val="1"/>
          <w:iCs w:val="1"/>
          <w:color w:val="auto"/>
        </w:rPr>
        <w:t>VelocImmune</w:t>
      </w:r>
      <w:r>
        <w:rPr>
          <w:rFonts w:ascii="Arial" w:cs="Arial" w:eastAsia="Arial" w:hAnsi="Arial"/>
          <w:sz w:val="16"/>
          <w:szCs w:val="16"/>
          <w:color w:val="auto"/>
        </w:rPr>
        <w:t xml:space="preserve"> technology offers the potential to increase dramatically the speed and efficiency of discovering fully-human, therapeutic monoclonal antibodies. The </w:t>
      </w:r>
      <w:r>
        <w:rPr>
          <w:rFonts w:ascii="Arial" w:cs="Arial" w:eastAsia="Arial" w:hAnsi="Arial"/>
          <w:sz w:val="16"/>
          <w:szCs w:val="16"/>
          <w:i w:val="1"/>
          <w:iCs w:val="1"/>
          <w:color w:val="auto"/>
        </w:rPr>
        <w:t>VelocImmune</w:t>
      </w:r>
      <w:r>
        <w:rPr>
          <w:rFonts w:ascii="Arial" w:cs="Arial" w:eastAsia="Arial" w:hAnsi="Arial"/>
          <w:sz w:val="16"/>
          <w:szCs w:val="16"/>
          <w:color w:val="auto"/>
        </w:rPr>
        <w:t xml:space="preserve"> platform generates fully human monoclonal antibodies (hMAbs) to address clinically relevant targets of therapeutic interest. The </w:t>
      </w:r>
      <w:r>
        <w:rPr>
          <w:rFonts w:ascii="Arial" w:cs="Arial" w:eastAsia="Arial" w:hAnsi="Arial"/>
          <w:sz w:val="16"/>
          <w:szCs w:val="16"/>
          <w:i w:val="1"/>
          <w:iCs w:val="1"/>
          <w:color w:val="auto"/>
        </w:rPr>
        <w:t xml:space="preserve">VelocImmune </w:t>
      </w:r>
      <w:r>
        <w:rPr>
          <w:rFonts w:ascii="Arial" w:cs="Arial" w:eastAsia="Arial" w:hAnsi="Arial"/>
          <w:sz w:val="16"/>
          <w:szCs w:val="16"/>
          <w:color w:val="auto"/>
        </w:rPr>
        <w:t>mouse, unlike other hMAb mice, mounts a robust immune response that is virtually indistinguishable from that of a wild type mouse, resulting in a</w:t>
      </w:r>
      <w:r>
        <w:rPr>
          <w:rFonts w:ascii="Arial" w:cs="Arial" w:eastAsia="Arial" w:hAnsi="Arial"/>
          <w:sz w:val="16"/>
          <w:szCs w:val="16"/>
          <w:i w:val="1"/>
          <w:iCs w:val="1"/>
          <w:color w:val="auto"/>
        </w:rPr>
        <w:t xml:space="preserve"> </w:t>
      </w:r>
      <w:r>
        <w:rPr>
          <w:rFonts w:ascii="Arial" w:cs="Arial" w:eastAsia="Arial" w:hAnsi="Arial"/>
          <w:sz w:val="16"/>
          <w:szCs w:val="16"/>
          <w:color w:val="auto"/>
        </w:rPr>
        <w:t>reliable and efficient platform for discovering fully human monoclonal antibodies.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About Astellas</w:t>
      </w:r>
    </w:p>
    <w:p>
      <w:pPr>
        <w:spacing w:after="0" w:line="21" w:lineRule="exact"/>
        <w:rPr>
          <w:sz w:val="20"/>
          <w:szCs w:val="20"/>
          <w:color w:val="auto"/>
        </w:rPr>
      </w:pPr>
    </w:p>
    <w:p>
      <w:pPr>
        <w:spacing w:after="0" w:line="237" w:lineRule="auto"/>
        <w:rPr>
          <w:sz w:val="20"/>
          <w:szCs w:val="20"/>
          <w:color w:val="auto"/>
        </w:rPr>
      </w:pPr>
      <w:r>
        <w:rPr>
          <w:rFonts w:ascii="Arial" w:cs="Arial" w:eastAsia="Arial" w:hAnsi="Arial"/>
          <w:sz w:val="17"/>
          <w:szCs w:val="17"/>
          <w:color w:val="auto"/>
        </w:rPr>
        <w:t>Astellas Pharma Inc., located in Tokyo, Japan, is a pharmaceutical company dedicated to improving the health of people around the world through the provision of innovative and reliable pharmaceutical products. Astellas has approximately 15,000 employees worldwide. The organization is committed to becoming a global category leader by rapidly establishing a business model in urology, immunology &amp; infectious diseases, neuroscience, DM complications &amp; metabolic diseases and oncology. Astellas has discovered a treatment for over-active bladder (OAB), Vesicare</w:t>
      </w:r>
      <w:r>
        <w:rPr>
          <w:rFonts w:ascii="Arial" w:cs="Arial" w:eastAsia="Arial" w:hAnsi="Arial"/>
          <w:sz w:val="23"/>
          <w:szCs w:val="23"/>
          <w:color w:val="auto"/>
          <w:vertAlign w:val="superscript"/>
        </w:rPr>
        <w:t>®</w:t>
      </w:r>
      <w:r>
        <w:rPr>
          <w:rFonts w:ascii="Arial" w:cs="Arial" w:eastAsia="Arial" w:hAnsi="Arial"/>
          <w:sz w:val="17"/>
          <w:szCs w:val="17"/>
          <w:color w:val="auto"/>
        </w:rPr>
        <w:t xml:space="preserve"> (solifenacin succinate) and an immunosuppressant, Prograf</w:t>
      </w:r>
      <w:r>
        <w:rPr>
          <w:rFonts w:ascii="Arial" w:cs="Arial" w:eastAsia="Arial" w:hAnsi="Arial"/>
          <w:sz w:val="23"/>
          <w:szCs w:val="23"/>
          <w:color w:val="auto"/>
          <w:vertAlign w:val="superscript"/>
        </w:rPr>
        <w:t>®</w:t>
      </w:r>
      <w:r>
        <w:rPr>
          <w:rFonts w:ascii="Arial" w:cs="Arial" w:eastAsia="Arial" w:hAnsi="Arial"/>
          <w:sz w:val="17"/>
          <w:szCs w:val="17"/>
          <w:color w:val="auto"/>
        </w:rPr>
        <w:t xml:space="preserve"> (tacrolimus), which have enabled Astellas to become an established leader in both Urology and Transplant. For more information on Astellas Pharma Inc., please visit Astellas’ website at http://www.astellas.com/en.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223520</wp:posOffset>
            </wp:positionV>
            <wp:extent cx="7267575"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360"/>
          </w:cols>
          <w:pgMar w:left="240" w:top="374" w:right="29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About Regeneron Pharmaceuticals</w:t>
      </w:r>
    </w:p>
    <w:p>
      <w:pPr>
        <w:spacing w:after="0" w:line="21" w:lineRule="exact"/>
        <w:rPr>
          <w:sz w:val="20"/>
          <w:szCs w:val="20"/>
          <w:color w:val="auto"/>
        </w:rPr>
      </w:pPr>
    </w:p>
    <w:p>
      <w:pPr>
        <w:ind w:right="80"/>
        <w:spacing w:after="0" w:line="261" w:lineRule="auto"/>
        <w:rPr>
          <w:sz w:val="20"/>
          <w:szCs w:val="20"/>
          <w:color w:val="auto"/>
        </w:rPr>
      </w:pPr>
      <w:r>
        <w:rPr>
          <w:rFonts w:ascii="Arial" w:cs="Arial" w:eastAsia="Arial" w:hAnsi="Arial"/>
          <w:sz w:val="16"/>
          <w:szCs w:val="16"/>
          <w:color w:val="auto"/>
        </w:rPr>
        <w:t>Regeneron is a fully integrated biopharmaceutical company that discovers, develops, and commercializes medicines for the treatment of serious medical conditions. In addition to ARCALYST</w:t>
      </w:r>
      <w:r>
        <w:rPr>
          <w:rFonts w:ascii="Arial" w:cs="Arial" w:eastAsia="Arial" w:hAnsi="Arial"/>
          <w:sz w:val="27"/>
          <w:szCs w:val="27"/>
          <w:color w:val="auto"/>
          <w:vertAlign w:val="superscript"/>
        </w:rPr>
        <w:t>®</w:t>
      </w:r>
      <w:r>
        <w:rPr>
          <w:rFonts w:ascii="Arial" w:cs="Arial" w:eastAsia="Arial" w:hAnsi="Arial"/>
          <w:sz w:val="16"/>
          <w:szCs w:val="16"/>
          <w:color w:val="auto"/>
        </w:rPr>
        <w:t xml:space="preserve"> (rilonacept) Injection for Subcutaneous Use, its first commercialized product, Regeneron has therapeutic candidates in Phase 3 clinical trials for the potential treatment of gout, diseases of the eye (wet age-related macular degeneration and central retinal vein occlusion), and certain cancers. Additional therapeutic candidates developed from proprietary Regeneron technologies for creating fully human monoclonal antibodies are in earlier stage development programs in rheumatoid arthritis and other inflammatory conditions, pain, cholesterol reduction, allergic and immune conditions and cancer. Additional information about Regeneron and recent news releases are available on Regeneron's web site at www.regeneron.com</w:t>
      </w:r>
      <w:r>
        <w:rPr>
          <w:rFonts w:ascii="Arial" w:cs="Arial" w:eastAsia="Arial" w:hAnsi="Arial"/>
          <w:sz w:val="19"/>
          <w:szCs w:val="19"/>
          <w:color w:val="auto"/>
        </w:rPr>
        <w:t>.</w:t>
      </w:r>
    </w:p>
    <w:p>
      <w:pPr>
        <w:spacing w:after="0" w:line="206"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This news release includes forward-looking statements about Regeneron and its products, development programs, finances, and business, all of which involve a number of risks and uncertainties. These include, among others, risks and timing associated with preclinical and clinical development of Regeneron's drug candidates, determinations by regulatory and administrative governmental authorities which may delay or restrict Regeneron's ability to continue to develop or commercialize its product and drug candidates, competing drugs that are superior to Regeneron's product and drug candidates, uncertainty of market acceptance of Regeneron's product and drug candidates, unanticipated expenses, the availability and cost of capital, the costs of developing, producing, and selling products, the potential for any license or collaboration agreement, including Regeneron's agreements with Astellas, the sanofi-aventis Group and Bayer HealthCare, to be canceled or terminated without any product success, and risks associated with third party intellectual property. A more complete description of these and other material risks can be found in Regeneron's filings with the United States Securities and Exchange Commission (SEC), including its Form 10-K for the year ended December 31, 2009 and Form 10-Q for the quarter ended March 31, 2010. Regeneron does not undertake any obligation to update publicly any forward-looking statement, whether as a result of new information, future events, or otherwise, unless required by law.</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400" w:type="dxa"/>
            <w:vAlign w:val="bottom"/>
          </w:tcPr>
          <w:p>
            <w:pPr>
              <w:spacing w:after="0"/>
              <w:rPr>
                <w:sz w:val="19"/>
                <w:szCs w:val="19"/>
                <w:color w:val="auto"/>
              </w:rPr>
            </w:pPr>
          </w:p>
        </w:tc>
        <w:tc>
          <w:tcPr>
            <w:tcW w:w="7040" w:type="dxa"/>
            <w:vAlign w:val="bottom"/>
          </w:tcPr>
          <w:p>
            <w:pPr>
              <w:ind w:left="1180"/>
              <w:spacing w:after="0"/>
              <w:rPr>
                <w:sz w:val="20"/>
                <w:szCs w:val="20"/>
                <w:color w:val="auto"/>
              </w:rPr>
            </w:pPr>
            <w:r>
              <w:rPr>
                <w:rFonts w:ascii="Arial" w:cs="Arial" w:eastAsia="Arial" w:hAnsi="Arial"/>
                <w:sz w:val="18"/>
                <w:szCs w:val="18"/>
                <w:color w:val="auto"/>
              </w:rPr>
              <w:t>###</w:t>
            </w:r>
          </w:p>
        </w:tc>
      </w:tr>
      <w:tr>
        <w:trPr>
          <w:trHeight w:val="486"/>
        </w:trPr>
        <w:tc>
          <w:tcPr>
            <w:tcW w:w="4400" w:type="dxa"/>
            <w:vAlign w:val="bottom"/>
          </w:tcPr>
          <w:p>
            <w:pPr>
              <w:spacing w:after="0"/>
              <w:rPr>
                <w:sz w:val="20"/>
                <w:szCs w:val="20"/>
                <w:color w:val="auto"/>
              </w:rPr>
            </w:pPr>
            <w:r>
              <w:rPr>
                <w:rFonts w:ascii="Arial" w:cs="Arial" w:eastAsia="Arial" w:hAnsi="Arial"/>
                <w:sz w:val="18"/>
                <w:szCs w:val="18"/>
                <w:b w:val="1"/>
                <w:bCs w:val="1"/>
                <w:color w:val="auto"/>
              </w:rPr>
              <w:t>Contact Information:</w:t>
            </w:r>
          </w:p>
        </w:tc>
        <w:tc>
          <w:tcPr>
            <w:tcW w:w="7040" w:type="dxa"/>
            <w:vAlign w:val="bottom"/>
          </w:tcPr>
          <w:p>
            <w:pPr>
              <w:spacing w:after="0"/>
              <w:rPr>
                <w:sz w:val="24"/>
                <w:szCs w:val="24"/>
                <w:color w:val="auto"/>
              </w:rPr>
            </w:pPr>
          </w:p>
        </w:tc>
      </w:tr>
      <w:tr>
        <w:trPr>
          <w:trHeight w:val="243"/>
        </w:trPr>
        <w:tc>
          <w:tcPr>
            <w:tcW w:w="4400" w:type="dxa"/>
            <w:vAlign w:val="bottom"/>
          </w:tcPr>
          <w:p>
            <w:pPr>
              <w:spacing w:after="0"/>
              <w:rPr>
                <w:sz w:val="20"/>
                <w:szCs w:val="20"/>
                <w:color w:val="auto"/>
              </w:rPr>
            </w:pPr>
            <w:r>
              <w:rPr>
                <w:rFonts w:ascii="Arial" w:cs="Arial" w:eastAsia="Arial" w:hAnsi="Arial"/>
                <w:sz w:val="18"/>
                <w:szCs w:val="18"/>
                <w:b w:val="1"/>
                <w:bCs w:val="1"/>
                <w:color w:val="auto"/>
              </w:rPr>
              <w:t>Astellas</w:t>
            </w:r>
          </w:p>
        </w:tc>
        <w:tc>
          <w:tcPr>
            <w:tcW w:w="7040" w:type="dxa"/>
            <w:vAlign w:val="bottom"/>
          </w:tcPr>
          <w:p>
            <w:pPr>
              <w:spacing w:after="0"/>
              <w:rPr>
                <w:sz w:val="21"/>
                <w:szCs w:val="21"/>
                <w:color w:val="auto"/>
              </w:rPr>
            </w:pPr>
          </w:p>
        </w:tc>
      </w:tr>
      <w:tr>
        <w:trPr>
          <w:trHeight w:val="243"/>
        </w:trPr>
        <w:tc>
          <w:tcPr>
            <w:tcW w:w="4400" w:type="dxa"/>
            <w:vAlign w:val="bottom"/>
          </w:tcPr>
          <w:p>
            <w:pPr>
              <w:spacing w:after="0"/>
              <w:rPr>
                <w:sz w:val="20"/>
                <w:szCs w:val="20"/>
                <w:color w:val="auto"/>
              </w:rPr>
            </w:pPr>
            <w:r>
              <w:rPr>
                <w:rFonts w:ascii="Arial" w:cs="Arial" w:eastAsia="Arial" w:hAnsi="Arial"/>
                <w:sz w:val="18"/>
                <w:szCs w:val="18"/>
                <w:color w:val="auto"/>
              </w:rPr>
              <w:t>Corporate Communications</w:t>
            </w:r>
          </w:p>
        </w:tc>
        <w:tc>
          <w:tcPr>
            <w:tcW w:w="7040" w:type="dxa"/>
            <w:vAlign w:val="bottom"/>
          </w:tcPr>
          <w:p>
            <w:pPr>
              <w:spacing w:after="0"/>
              <w:rPr>
                <w:sz w:val="21"/>
                <w:szCs w:val="21"/>
                <w:color w:val="auto"/>
              </w:rPr>
            </w:pPr>
          </w:p>
        </w:tc>
      </w:tr>
      <w:tr>
        <w:trPr>
          <w:trHeight w:val="243"/>
        </w:trPr>
        <w:tc>
          <w:tcPr>
            <w:tcW w:w="4400" w:type="dxa"/>
            <w:vAlign w:val="bottom"/>
          </w:tcPr>
          <w:p>
            <w:pPr>
              <w:spacing w:after="0"/>
              <w:rPr>
                <w:sz w:val="20"/>
                <w:szCs w:val="20"/>
                <w:color w:val="auto"/>
              </w:rPr>
            </w:pPr>
            <w:r>
              <w:rPr>
                <w:rFonts w:ascii="Arial" w:cs="Arial" w:eastAsia="Arial" w:hAnsi="Arial"/>
                <w:sz w:val="18"/>
                <w:szCs w:val="18"/>
                <w:color w:val="auto"/>
              </w:rPr>
              <w:t>Tel: +81-3-3244-3201 Fax: +81-3-5201-7473</w:t>
            </w:r>
          </w:p>
        </w:tc>
        <w:tc>
          <w:tcPr>
            <w:tcW w:w="7040" w:type="dxa"/>
            <w:vAlign w:val="bottom"/>
          </w:tcPr>
          <w:p>
            <w:pPr>
              <w:spacing w:after="0"/>
              <w:rPr>
                <w:sz w:val="21"/>
                <w:szCs w:val="21"/>
                <w:color w:val="auto"/>
              </w:rPr>
            </w:pPr>
          </w:p>
        </w:tc>
      </w:tr>
      <w:tr>
        <w:trPr>
          <w:trHeight w:val="243"/>
        </w:trPr>
        <w:tc>
          <w:tcPr>
            <w:tcW w:w="4400" w:type="dxa"/>
            <w:vAlign w:val="bottom"/>
          </w:tcPr>
          <w:p>
            <w:pPr>
              <w:spacing w:after="0"/>
              <w:rPr>
                <w:sz w:val="20"/>
                <w:szCs w:val="20"/>
                <w:color w:val="auto"/>
              </w:rPr>
            </w:pPr>
            <w:r>
              <w:rPr>
                <w:rFonts w:ascii="Arial" w:cs="Arial" w:eastAsia="Arial" w:hAnsi="Arial"/>
                <w:sz w:val="18"/>
                <w:szCs w:val="18"/>
                <w:color w:val="auto"/>
              </w:rPr>
              <w:t>http://www.astellas.com/en</w:t>
            </w:r>
          </w:p>
        </w:tc>
        <w:tc>
          <w:tcPr>
            <w:tcW w:w="7040" w:type="dxa"/>
            <w:vAlign w:val="bottom"/>
          </w:tcPr>
          <w:p>
            <w:pPr>
              <w:spacing w:after="0"/>
              <w:rPr>
                <w:sz w:val="21"/>
                <w:szCs w:val="21"/>
                <w:color w:val="auto"/>
              </w:rPr>
            </w:pPr>
          </w:p>
        </w:tc>
      </w:tr>
      <w:tr>
        <w:trPr>
          <w:trHeight w:val="480"/>
        </w:trPr>
        <w:tc>
          <w:tcPr>
            <w:tcW w:w="4400" w:type="dxa"/>
            <w:vAlign w:val="bottom"/>
          </w:tcPr>
          <w:p>
            <w:pPr>
              <w:spacing w:after="0"/>
              <w:rPr>
                <w:sz w:val="20"/>
                <w:szCs w:val="20"/>
                <w:color w:val="auto"/>
              </w:rPr>
            </w:pPr>
            <w:r>
              <w:rPr>
                <w:rFonts w:ascii="Arial" w:cs="Arial" w:eastAsia="Arial" w:hAnsi="Arial"/>
                <w:sz w:val="18"/>
                <w:szCs w:val="18"/>
                <w:b w:val="1"/>
                <w:bCs w:val="1"/>
                <w:color w:val="auto"/>
              </w:rPr>
              <w:t>Regeneron</w:t>
            </w:r>
          </w:p>
        </w:tc>
        <w:tc>
          <w:tcPr>
            <w:tcW w:w="7040" w:type="dxa"/>
            <w:vAlign w:val="bottom"/>
          </w:tcPr>
          <w:p>
            <w:pPr>
              <w:spacing w:after="0"/>
              <w:rPr>
                <w:sz w:val="24"/>
                <w:szCs w:val="24"/>
                <w:color w:val="auto"/>
              </w:rPr>
            </w:pP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Michael Aberman, M.D.</w:t>
            </w:r>
          </w:p>
        </w:tc>
        <w:tc>
          <w:tcPr>
            <w:tcW w:w="7040" w:type="dxa"/>
            <w:vAlign w:val="bottom"/>
          </w:tcPr>
          <w:p>
            <w:pPr>
              <w:ind w:left="1260"/>
              <w:spacing w:after="0"/>
              <w:rPr>
                <w:sz w:val="20"/>
                <w:szCs w:val="20"/>
                <w:color w:val="auto"/>
              </w:rPr>
            </w:pPr>
            <w:r>
              <w:rPr>
                <w:rFonts w:ascii="Arial" w:cs="Arial" w:eastAsia="Arial" w:hAnsi="Arial"/>
                <w:sz w:val="18"/>
                <w:szCs w:val="18"/>
                <w:color w:val="auto"/>
              </w:rPr>
              <w:t>Peter Dworkin</w:t>
            </w: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Investor Relations</w:t>
            </w:r>
          </w:p>
        </w:tc>
        <w:tc>
          <w:tcPr>
            <w:tcW w:w="7040" w:type="dxa"/>
            <w:vAlign w:val="bottom"/>
          </w:tcPr>
          <w:p>
            <w:pPr>
              <w:ind w:left="1260"/>
              <w:spacing w:after="0"/>
              <w:rPr>
                <w:sz w:val="20"/>
                <w:szCs w:val="20"/>
                <w:color w:val="auto"/>
              </w:rPr>
            </w:pPr>
            <w:r>
              <w:rPr>
                <w:rFonts w:ascii="Arial" w:cs="Arial" w:eastAsia="Arial" w:hAnsi="Arial"/>
                <w:sz w:val="18"/>
                <w:szCs w:val="18"/>
                <w:color w:val="auto"/>
              </w:rPr>
              <w:t>Corporate Communications</w:t>
            </w: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914.345.7799</w:t>
            </w:r>
          </w:p>
        </w:tc>
        <w:tc>
          <w:tcPr>
            <w:tcW w:w="7040" w:type="dxa"/>
            <w:vAlign w:val="bottom"/>
          </w:tcPr>
          <w:p>
            <w:pPr>
              <w:ind w:left="1260"/>
              <w:spacing w:after="0"/>
              <w:rPr>
                <w:sz w:val="20"/>
                <w:szCs w:val="20"/>
                <w:color w:val="auto"/>
              </w:rPr>
            </w:pPr>
            <w:r>
              <w:rPr>
                <w:rFonts w:ascii="Arial" w:cs="Arial" w:eastAsia="Arial" w:hAnsi="Arial"/>
                <w:sz w:val="18"/>
                <w:szCs w:val="18"/>
                <w:color w:val="auto"/>
              </w:rPr>
              <w:t>914.345.7640</w:t>
            </w:r>
          </w:p>
        </w:tc>
      </w:tr>
      <w:tr>
        <w:trPr>
          <w:trHeight w:val="222"/>
        </w:trPr>
        <w:tc>
          <w:tcPr>
            <w:tcW w:w="4400" w:type="dxa"/>
            <w:vAlign w:val="bottom"/>
          </w:tcPr>
          <w:p>
            <w:pPr>
              <w:spacing w:after="0"/>
              <w:rPr>
                <w:sz w:val="20"/>
                <w:szCs w:val="20"/>
                <w:color w:val="auto"/>
              </w:rPr>
            </w:pPr>
            <w:r>
              <w:rPr>
                <w:rFonts w:ascii="Arial" w:cs="Arial" w:eastAsia="Arial" w:hAnsi="Arial"/>
                <w:sz w:val="18"/>
                <w:szCs w:val="18"/>
                <w:color w:val="auto"/>
              </w:rPr>
              <w:t>michael.aberman@regeneron.com</w:t>
            </w:r>
          </w:p>
        </w:tc>
        <w:tc>
          <w:tcPr>
            <w:tcW w:w="7040" w:type="dxa"/>
            <w:vAlign w:val="bottom"/>
          </w:tcPr>
          <w:p>
            <w:pPr>
              <w:ind w:left="1260"/>
              <w:spacing w:after="0"/>
              <w:rPr>
                <w:sz w:val="20"/>
                <w:szCs w:val="20"/>
                <w:color w:val="auto"/>
              </w:rPr>
            </w:pPr>
            <w:r>
              <w:rPr>
                <w:rFonts w:ascii="Arial" w:cs="Arial" w:eastAsia="Arial" w:hAnsi="Arial"/>
                <w:sz w:val="18"/>
                <w:szCs w:val="18"/>
                <w:color w:val="auto"/>
              </w:rPr>
              <w:t>peter.dworkin@regeneron.com</w:t>
            </w:r>
          </w:p>
        </w:tc>
      </w:tr>
      <w:tr>
        <w:trPr>
          <w:trHeight w:val="363"/>
        </w:trPr>
        <w:tc>
          <w:tcPr>
            <w:tcW w:w="4400" w:type="dxa"/>
            <w:vAlign w:val="bottom"/>
            <w:tcBorders>
              <w:bottom w:val="single" w:sz="8" w:color="808080"/>
            </w:tcBorders>
          </w:tcPr>
          <w:p>
            <w:pPr>
              <w:spacing w:after="0"/>
              <w:rPr>
                <w:sz w:val="24"/>
                <w:szCs w:val="24"/>
                <w:color w:val="auto"/>
              </w:rPr>
            </w:pPr>
          </w:p>
        </w:tc>
        <w:tc>
          <w:tcPr>
            <w:tcW w:w="70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368" w:right="219" w:bottom="1440" w:gutter="0" w:footer="0" w:header="0"/>
        </w:sectPr>
      </w:pPr>
    </w:p>
    <w:bookmarkStart w:id="7" w:name="page8"/>
    <w:bookmarkEnd w:id="7"/>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243205</wp:posOffset>
            </wp:positionV>
            <wp:extent cx="1655445" cy="26606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1655445" cy="266065"/>
                    </a:xfrm>
                    <a:prstGeom prst="rect">
                      <a:avLst/>
                    </a:prstGeom>
                    <a:noFill/>
                  </pic:spPr>
                </pic:pic>
              </a:graphicData>
            </a:graphic>
          </wp:anchor>
        </w:drawing>
        <w:t>Exhibit 99.2</w:t>
      </w:r>
    </w:p>
    <w:p>
      <w:pPr>
        <w:spacing w:after="0" w:line="232" w:lineRule="exact"/>
        <w:rPr>
          <w:sz w:val="20"/>
          <w:szCs w:val="20"/>
          <w:color w:val="auto"/>
        </w:rPr>
      </w:pPr>
    </w:p>
    <w:p>
      <w:pPr>
        <w:spacing w:after="0"/>
        <w:rPr>
          <w:sz w:val="20"/>
          <w:szCs w:val="20"/>
          <w:color w:val="auto"/>
        </w:rPr>
      </w:pPr>
      <w:r>
        <w:rPr>
          <w:rFonts w:ascii="Arial" w:cs="Arial" w:eastAsia="Arial" w:hAnsi="Arial"/>
          <w:sz w:val="24"/>
          <w:szCs w:val="24"/>
          <w:b w:val="1"/>
          <w:bCs w:val="1"/>
          <w:u w:val="single" w:color="auto"/>
          <w:color w:val="auto"/>
        </w:rPr>
        <w:t>For Immediate Release</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24"/>
          <w:szCs w:val="24"/>
          <w:b w:val="1"/>
          <w:bCs w:val="1"/>
          <w:color w:val="0E4CBA"/>
        </w:rPr>
        <w:t>Regeneron Reports Second Quarter 2010 Financial and Operating Results</w:t>
      </w:r>
    </w:p>
    <w:p>
      <w:pPr>
        <w:spacing w:after="0" w:line="265"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b w:val="1"/>
          <w:bCs w:val="1"/>
          <w:color w:val="auto"/>
        </w:rPr>
        <w:t xml:space="preserve">Tarrytown, New York (July 28, 2010) </w:t>
      </w:r>
      <w:r>
        <w:rPr>
          <w:rFonts w:ascii="Arial" w:cs="Arial" w:eastAsia="Arial" w:hAnsi="Arial"/>
          <w:sz w:val="18"/>
          <w:szCs w:val="18"/>
          <w:color w:val="auto"/>
        </w:rPr>
        <w:t>-- Regeneron Pharmaceuticals, Inc. (Nasdaq:</w:t>
      </w:r>
      <w:r>
        <w:rPr>
          <w:rFonts w:ascii="Arial" w:cs="Arial" w:eastAsia="Arial" w:hAnsi="Arial"/>
          <w:sz w:val="18"/>
          <w:szCs w:val="18"/>
          <w:b w:val="1"/>
          <w:bCs w:val="1"/>
          <w:color w:val="auto"/>
        </w:rPr>
        <w:t xml:space="preserve"> REGN</w:t>
      </w:r>
      <w:r>
        <w:rPr>
          <w:rFonts w:ascii="Arial" w:cs="Arial" w:eastAsia="Arial" w:hAnsi="Arial"/>
          <w:sz w:val="18"/>
          <w:szCs w:val="18"/>
          <w:color w:val="auto"/>
        </w:rPr>
        <w:t>) today announced financial and operating results for the second</w:t>
      </w:r>
      <w:r>
        <w:rPr>
          <w:rFonts w:ascii="Arial" w:cs="Arial" w:eastAsia="Arial" w:hAnsi="Arial"/>
          <w:sz w:val="18"/>
          <w:szCs w:val="18"/>
          <w:b w:val="1"/>
          <w:bCs w:val="1"/>
          <w:color w:val="auto"/>
        </w:rPr>
        <w:t xml:space="preserve"> </w:t>
      </w:r>
      <w:r>
        <w:rPr>
          <w:rFonts w:ascii="Arial" w:cs="Arial" w:eastAsia="Arial" w:hAnsi="Arial"/>
          <w:sz w:val="18"/>
          <w:szCs w:val="18"/>
          <w:color w:val="auto"/>
        </w:rPr>
        <w:t>quarter of 2010. The Company reported a net loss of $25.5 million, or $0.31 per share (basic and diluted), for the second quarter of 2010 compared with a net loss of $14.9 million, or $0.19 per share (basic and diluted), for the second quarter of 2009. The Company reported a net loss of $56.0 million, or $0.69 per share (basic and diluted), for the six months ended June 30, 2010 compared with a net loss of $30.3 million, or $0.38 per share (basic and diluted), for the same period in 2009.</w:t>
      </w:r>
    </w:p>
    <w:p>
      <w:pPr>
        <w:spacing w:after="0" w:line="226" w:lineRule="exact"/>
        <w:rPr>
          <w:sz w:val="20"/>
          <w:szCs w:val="20"/>
          <w:color w:val="auto"/>
        </w:rPr>
      </w:pPr>
    </w:p>
    <w:p>
      <w:pPr>
        <w:spacing w:after="0"/>
        <w:rPr>
          <w:sz w:val="20"/>
          <w:szCs w:val="20"/>
          <w:color w:val="auto"/>
        </w:rPr>
      </w:pPr>
      <w:r>
        <w:rPr>
          <w:rFonts w:ascii="Arial" w:cs="Arial" w:eastAsia="Arial" w:hAnsi="Arial"/>
          <w:sz w:val="15"/>
          <w:szCs w:val="15"/>
          <w:color w:val="auto"/>
        </w:rPr>
        <w:t>Regeneron and Astellas Pharma Inc. announced today that Astellas has extended through 2023 the non-exclusive license agreement that allows Astellas to utilize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Regeneron’s </w:t>
      </w:r>
      <w:r>
        <w:rPr>
          <w:rFonts w:ascii="Arial" w:cs="Arial" w:eastAsia="Arial" w:hAnsi="Arial"/>
          <w:sz w:val="16"/>
          <w:szCs w:val="16"/>
          <w:i w:val="1"/>
          <w:iCs w:val="1"/>
          <w:color w:val="auto"/>
        </w:rPr>
        <w:t>VelocImmune</w:t>
      </w:r>
      <w:r>
        <w:rPr>
          <w:rFonts w:ascii="Arial" w:cs="Arial" w:eastAsia="Arial" w:hAnsi="Arial"/>
          <w:sz w:val="22"/>
          <w:szCs w:val="22"/>
          <w:i w:val="1"/>
          <w:iCs w:val="1"/>
          <w:color w:val="auto"/>
          <w:vertAlign w:val="superscript"/>
        </w:rPr>
        <w:t>®</w:t>
      </w:r>
      <w:r>
        <w:rPr>
          <w:rFonts w:ascii="Arial" w:cs="Arial" w:eastAsia="Arial" w:hAnsi="Arial"/>
          <w:sz w:val="16"/>
          <w:szCs w:val="16"/>
          <w:color w:val="auto"/>
        </w:rPr>
        <w:t xml:space="preserve"> technology in its internal research programs to discover fully human monoclonal antibody product candidates. Astellas will pay</w:t>
      </w:r>
    </w:p>
    <w:p>
      <w:pPr>
        <w:spacing w:after="0"/>
        <w:rPr>
          <w:sz w:val="20"/>
          <w:szCs w:val="20"/>
          <w:color w:val="auto"/>
        </w:rPr>
      </w:pPr>
      <w:r>
        <w:rPr>
          <w:rFonts w:ascii="Arial" w:cs="Arial" w:eastAsia="Arial" w:hAnsi="Arial"/>
          <w:sz w:val="16"/>
          <w:szCs w:val="16"/>
          <w:color w:val="auto"/>
        </w:rPr>
        <w:t>$165.0 million up-front and another $130.0 million in June 2018 unless it terminates the agreement prior to that date. Upon commercialization of any antibody</w:t>
      </w: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products discovered utilizing </w:t>
      </w:r>
      <w:r>
        <w:rPr>
          <w:rFonts w:ascii="Arial" w:cs="Arial" w:eastAsia="Arial" w:hAnsi="Arial"/>
          <w:sz w:val="18"/>
          <w:szCs w:val="18"/>
          <w:i w:val="1"/>
          <w:iCs w:val="1"/>
          <w:color w:val="auto"/>
        </w:rPr>
        <w:t>VelocImmune</w:t>
      </w:r>
      <w:r>
        <w:rPr>
          <w:rFonts w:ascii="Arial" w:cs="Arial" w:eastAsia="Arial" w:hAnsi="Arial"/>
          <w:sz w:val="24"/>
          <w:szCs w:val="24"/>
          <w:i w:val="1"/>
          <w:iCs w:val="1"/>
          <w:color w:val="auto"/>
          <w:vertAlign w:val="superscript"/>
        </w:rPr>
        <w:t>®</w:t>
      </w:r>
      <w:r>
        <w:rPr>
          <w:rFonts w:ascii="Arial" w:cs="Arial" w:eastAsia="Arial" w:hAnsi="Arial"/>
          <w:sz w:val="18"/>
          <w:szCs w:val="18"/>
          <w:color w:val="auto"/>
        </w:rPr>
        <w:t>, Astellas will pay the Company a mid-single-digit royalty on product sales.</w:t>
      </w:r>
    </w:p>
    <w:p>
      <w:pPr>
        <w:spacing w:after="0" w:line="17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At June 30, 2010, cash, restricted cash, and marketable securities totaled $380.2 million compared with $390.0 million at December 31, 2009. The Company currently estimates that year-end 2010 cash, restricted cash, and marketable securities, including the $165.0 million payment from Astellas, will total $425 - $445 million.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Business Highlights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ARCALYST</w:t>
      </w:r>
      <w:r>
        <w:rPr>
          <w:rFonts w:ascii="Arial" w:cs="Arial" w:eastAsia="Arial" w:hAnsi="Arial"/>
          <w:sz w:val="24"/>
          <w:szCs w:val="24"/>
          <w:u w:val="single" w:color="auto"/>
          <w:color w:val="auto"/>
          <w:vertAlign w:val="superscript"/>
        </w:rPr>
        <w:t>®</w:t>
      </w:r>
      <w:r>
        <w:rPr>
          <w:rFonts w:ascii="Arial" w:cs="Arial" w:eastAsia="Arial" w:hAnsi="Arial"/>
          <w:sz w:val="18"/>
          <w:szCs w:val="18"/>
          <w:u w:val="single" w:color="auto"/>
          <w:color w:val="auto"/>
        </w:rPr>
        <w:t xml:space="preserve"> (rilonacept) – CAPS</w:t>
      </w:r>
    </w:p>
    <w:p>
      <w:pPr>
        <w:ind w:right="20"/>
        <w:spacing w:after="0" w:line="232" w:lineRule="auto"/>
        <w:rPr>
          <w:sz w:val="20"/>
          <w:szCs w:val="20"/>
          <w:color w:val="auto"/>
        </w:rPr>
      </w:pPr>
      <w:r>
        <w:rPr>
          <w:rFonts w:ascii="Arial" w:cs="Arial" w:eastAsia="Arial" w:hAnsi="Arial"/>
          <w:sz w:val="17"/>
          <w:szCs w:val="17"/>
          <w:color w:val="auto"/>
        </w:rPr>
        <w:t>Net product sales of ARCALYST</w:t>
      </w:r>
      <w:r>
        <w:rPr>
          <w:rFonts w:ascii="Arial" w:cs="Arial" w:eastAsia="Arial" w:hAnsi="Arial"/>
          <w:sz w:val="23"/>
          <w:szCs w:val="23"/>
          <w:color w:val="auto"/>
          <w:vertAlign w:val="superscript"/>
        </w:rPr>
        <w:t>®</w:t>
      </w:r>
      <w:r>
        <w:rPr>
          <w:rFonts w:ascii="Arial" w:cs="Arial" w:eastAsia="Arial" w:hAnsi="Arial"/>
          <w:sz w:val="17"/>
          <w:szCs w:val="17"/>
          <w:color w:val="auto"/>
        </w:rPr>
        <w:t xml:space="preserve"> Injection for Subcutaneous Use in the second quarter of 2010 were $5.2 million, compared to $4.5 million during the same period of 2009. The Company recognized $15.0 million of net product sales during the first six months of 2010, which included $10.2 million of ARCALYST</w:t>
      </w:r>
      <w:r>
        <w:rPr>
          <w:rFonts w:ascii="Arial" w:cs="Arial" w:eastAsia="Arial" w:hAnsi="Arial"/>
          <w:sz w:val="23"/>
          <w:szCs w:val="23"/>
          <w:color w:val="auto"/>
          <w:vertAlign w:val="superscript"/>
        </w:rPr>
        <w:t>®</w:t>
      </w:r>
      <w:r>
        <w:rPr>
          <w:rFonts w:ascii="Arial" w:cs="Arial" w:eastAsia="Arial" w:hAnsi="Arial"/>
          <w:sz w:val="17"/>
          <w:szCs w:val="17"/>
          <w:color w:val="auto"/>
        </w:rPr>
        <w:t xml:space="preserve"> net product sales made during the first half of 2010 and $4.8 million of previously deferred net product sales, as described below under “Financial Results.” In the first six months of 2009, the Company recognized $8.4 million of ARCALYST</w:t>
      </w:r>
      <w:r>
        <w:rPr>
          <w:rFonts w:ascii="Arial" w:cs="Arial" w:eastAsia="Arial" w:hAnsi="Arial"/>
          <w:sz w:val="23"/>
          <w:szCs w:val="23"/>
          <w:color w:val="auto"/>
          <w:vertAlign w:val="superscript"/>
        </w:rPr>
        <w:t>®</w:t>
      </w:r>
      <w:r>
        <w:rPr>
          <w:rFonts w:ascii="Arial" w:cs="Arial" w:eastAsia="Arial" w:hAnsi="Arial"/>
          <w:sz w:val="17"/>
          <w:szCs w:val="17"/>
          <w:color w:val="auto"/>
        </w:rPr>
        <w:t xml:space="preserve"> net product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163830</wp:posOffset>
            </wp:positionV>
            <wp:extent cx="7267575"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793" w:right="239" w:bottom="1440" w:gutter="0" w:footer="0" w:header="0"/>
        </w:sectPr>
      </w:pPr>
    </w:p>
    <w:bookmarkStart w:id="8" w:name="page9"/>
    <w:bookmarkEnd w:id="8"/>
    <w:p>
      <w:pPr>
        <w:spacing w:after="0" w:line="217" w:lineRule="auto"/>
        <w:rPr>
          <w:sz w:val="20"/>
          <w:szCs w:val="20"/>
          <w:color w:val="auto"/>
        </w:rPr>
      </w:pPr>
      <w:r>
        <w:rPr>
          <w:rFonts w:ascii="Arial" w:cs="Arial" w:eastAsia="Arial" w:hAnsi="Arial"/>
          <w:sz w:val="18"/>
          <w:szCs w:val="18"/>
          <w:color w:val="auto"/>
        </w:rPr>
        <w:t>ARCALYST</w:t>
      </w:r>
      <w:r>
        <w:rPr>
          <w:rFonts w:ascii="Arial" w:cs="Arial" w:eastAsia="Arial" w:hAnsi="Arial"/>
          <w:sz w:val="24"/>
          <w:szCs w:val="24"/>
          <w:color w:val="auto"/>
          <w:vertAlign w:val="superscript"/>
        </w:rPr>
        <w:t>®</w:t>
      </w:r>
      <w:r>
        <w:rPr>
          <w:rFonts w:ascii="Arial" w:cs="Arial" w:eastAsia="Arial" w:hAnsi="Arial"/>
          <w:sz w:val="18"/>
          <w:szCs w:val="18"/>
          <w:color w:val="auto"/>
        </w:rPr>
        <w:t xml:space="preserve"> is available for prescription in the United States for the treatment of Cryopyrin-Associated Periodic Syndromes (CAPS), including Familial Cold Auto-inflammatory Syndrome (FCAS) and Muckle-Wells Syndrome (MWS) in adults and children 12 and older. ARCALYST</w:t>
      </w:r>
      <w:r>
        <w:rPr>
          <w:rFonts w:ascii="Arial" w:cs="Arial" w:eastAsia="Arial" w:hAnsi="Arial"/>
          <w:sz w:val="24"/>
          <w:szCs w:val="24"/>
          <w:color w:val="auto"/>
          <w:vertAlign w:val="superscript"/>
        </w:rPr>
        <w:t>®</w:t>
      </w:r>
      <w:r>
        <w:rPr>
          <w:rFonts w:ascii="Arial" w:cs="Arial" w:eastAsia="Arial" w:hAnsi="Arial"/>
          <w:sz w:val="18"/>
          <w:szCs w:val="18"/>
          <w:color w:val="auto"/>
        </w:rPr>
        <w:t xml:space="preserve"> is a fusion protein that blocks the cytokine interleukin-1 (IL-1). CAPS is a group of rare, inherited, auto-inflammatory conditions characterized by life-long, recurrent symptoms of rash, fever/chills, joint pain, eye redness/pain, and fatigue.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ARCALYST</w:t>
      </w:r>
      <w:r>
        <w:rPr>
          <w:rFonts w:ascii="Arial" w:cs="Arial" w:eastAsia="Arial" w:hAnsi="Arial"/>
          <w:sz w:val="24"/>
          <w:szCs w:val="24"/>
          <w:u w:val="single" w:color="auto"/>
          <w:color w:val="auto"/>
          <w:vertAlign w:val="superscript"/>
        </w:rPr>
        <w:t>®</w:t>
      </w:r>
      <w:r>
        <w:rPr>
          <w:rFonts w:ascii="Arial" w:cs="Arial" w:eastAsia="Arial" w:hAnsi="Arial"/>
          <w:sz w:val="18"/>
          <w:szCs w:val="18"/>
          <w:u w:val="single" w:color="auto"/>
          <w:color w:val="auto"/>
        </w:rPr>
        <w:t xml:space="preserve"> (rilonacept) – Gout</w:t>
      </w:r>
    </w:p>
    <w:p>
      <w:pPr>
        <w:ind w:right="100"/>
        <w:spacing w:after="0" w:line="225" w:lineRule="auto"/>
        <w:rPr>
          <w:sz w:val="20"/>
          <w:szCs w:val="20"/>
          <w:color w:val="auto"/>
        </w:rPr>
      </w:pPr>
      <w:r>
        <w:rPr>
          <w:rFonts w:ascii="Arial" w:cs="Arial" w:eastAsia="Arial" w:hAnsi="Arial"/>
          <w:sz w:val="16"/>
          <w:szCs w:val="16"/>
          <w:color w:val="auto"/>
        </w:rPr>
        <w:t>ARCALYST</w:t>
      </w:r>
      <w:r>
        <w:rPr>
          <w:rFonts w:ascii="Arial" w:cs="Arial" w:eastAsia="Arial" w:hAnsi="Arial"/>
          <w:sz w:val="22"/>
          <w:szCs w:val="22"/>
          <w:color w:val="auto"/>
          <w:vertAlign w:val="superscript"/>
        </w:rPr>
        <w:t>®</w:t>
      </w:r>
      <w:r>
        <w:rPr>
          <w:rFonts w:ascii="Arial" w:cs="Arial" w:eastAsia="Arial" w:hAnsi="Arial"/>
          <w:sz w:val="16"/>
          <w:szCs w:val="16"/>
          <w:color w:val="auto"/>
        </w:rPr>
        <w:t xml:space="preserve"> is in a Phase 3 clinical development program for the prevention of gout flares in patients initiating uric acid-lowering therapy. In June 2010, the Company announced that a Phase 3 study (called PRE-SURGE 1) in gout patients initiating allopurinol therapy to lower their uric acid levels showed that ARCALYST</w:t>
      </w:r>
      <w:r>
        <w:rPr>
          <w:rFonts w:ascii="Arial" w:cs="Arial" w:eastAsia="Arial" w:hAnsi="Arial"/>
          <w:sz w:val="22"/>
          <w:szCs w:val="22"/>
          <w:color w:val="auto"/>
          <w:vertAlign w:val="superscript"/>
        </w:rPr>
        <w:t>®</w:t>
      </w:r>
      <w:r>
        <w:rPr>
          <w:rFonts w:ascii="Arial" w:cs="Arial" w:eastAsia="Arial" w:hAnsi="Arial"/>
          <w:sz w:val="16"/>
          <w:szCs w:val="16"/>
          <w:color w:val="auto"/>
        </w:rPr>
        <w:t xml:space="preserve"> prevented gout attacks, as measured by the primary study endpoint of the number of gout flares per patient over the 16 week treatment period. Patients who received ARCALYST</w:t>
      </w:r>
      <w:r>
        <w:rPr>
          <w:rFonts w:ascii="Arial" w:cs="Arial" w:eastAsia="Arial" w:hAnsi="Arial"/>
          <w:sz w:val="22"/>
          <w:szCs w:val="22"/>
          <w:color w:val="auto"/>
          <w:vertAlign w:val="superscript"/>
        </w:rPr>
        <w:t>®</w:t>
      </w:r>
      <w:r>
        <w:rPr>
          <w:rFonts w:ascii="Arial" w:cs="Arial" w:eastAsia="Arial" w:hAnsi="Arial"/>
          <w:sz w:val="16"/>
          <w:szCs w:val="16"/>
          <w:color w:val="auto"/>
        </w:rPr>
        <w:t xml:space="preserve"> at a weekly, self-administered, subcutaneous dose of 160 milligrams (mg) had an 80% decrease in mean number of gout flares compared to the placebo group over the 16 week treatment period (0.21 flares vs. 1.06 flares, p&lt;0.0001). Patients who received ARCALYST</w:t>
      </w:r>
      <w:r>
        <w:rPr>
          <w:rFonts w:ascii="Arial" w:cs="Arial" w:eastAsia="Arial" w:hAnsi="Arial"/>
          <w:sz w:val="22"/>
          <w:szCs w:val="22"/>
          <w:color w:val="auto"/>
          <w:vertAlign w:val="superscript"/>
        </w:rPr>
        <w:t>®</w:t>
      </w:r>
      <w:r>
        <w:rPr>
          <w:rFonts w:ascii="Arial" w:cs="Arial" w:eastAsia="Arial" w:hAnsi="Arial"/>
          <w:sz w:val="16"/>
          <w:szCs w:val="16"/>
          <w:color w:val="auto"/>
        </w:rPr>
        <w:t xml:space="preserve"> at a weekly dose of 80 mg had a 73% decrease compared to the placebo group (0.29 flares vs. 1.06 flares, p&lt;0.0001).</w:t>
      </w:r>
    </w:p>
    <w:p>
      <w:pPr>
        <w:spacing w:after="0" w:line="236" w:lineRule="exact"/>
        <w:rPr>
          <w:sz w:val="20"/>
          <w:szCs w:val="20"/>
          <w:color w:val="auto"/>
        </w:rPr>
      </w:pPr>
    </w:p>
    <w:p>
      <w:pPr>
        <w:ind w:right="80"/>
        <w:spacing w:after="0" w:line="229" w:lineRule="auto"/>
        <w:rPr>
          <w:sz w:val="20"/>
          <w:szCs w:val="20"/>
          <w:color w:val="auto"/>
        </w:rPr>
      </w:pPr>
      <w:r>
        <w:rPr>
          <w:rFonts w:ascii="Arial" w:cs="Arial" w:eastAsia="Arial" w:hAnsi="Arial"/>
          <w:sz w:val="16"/>
          <w:szCs w:val="16"/>
          <w:color w:val="auto"/>
        </w:rPr>
        <w:t>All secondary endpoints of the study were highly positive (p&lt;0.001 vs. placebo). Among these secondary endpoints, treatment with ARCALYST</w:t>
      </w:r>
      <w:r>
        <w:rPr>
          <w:rFonts w:ascii="Arial" w:cs="Arial" w:eastAsia="Arial" w:hAnsi="Arial"/>
          <w:sz w:val="22"/>
          <w:szCs w:val="22"/>
          <w:color w:val="auto"/>
          <w:vertAlign w:val="superscript"/>
        </w:rPr>
        <w:t>®</w:t>
      </w:r>
      <w:r>
        <w:rPr>
          <w:rFonts w:ascii="Arial" w:cs="Arial" w:eastAsia="Arial" w:hAnsi="Arial"/>
          <w:sz w:val="16"/>
          <w:szCs w:val="16"/>
          <w:color w:val="auto"/>
        </w:rPr>
        <w:t xml:space="preserve"> reduced the proportion of patients who experienced two or more flares during the study period by up to 88% (3.7% with ARCALYST</w:t>
      </w:r>
      <w:r>
        <w:rPr>
          <w:rFonts w:ascii="Arial" w:cs="Arial" w:eastAsia="Arial" w:hAnsi="Arial"/>
          <w:sz w:val="22"/>
          <w:szCs w:val="22"/>
          <w:color w:val="auto"/>
          <w:vertAlign w:val="superscript"/>
        </w:rPr>
        <w:t>®</w:t>
      </w:r>
      <w:r>
        <w:rPr>
          <w:rFonts w:ascii="Arial" w:cs="Arial" w:eastAsia="Arial" w:hAnsi="Arial"/>
          <w:sz w:val="16"/>
          <w:szCs w:val="16"/>
          <w:color w:val="auto"/>
        </w:rPr>
        <w:t xml:space="preserve"> 160 mg, 5.0% with ARCALYST</w:t>
      </w:r>
      <w:r>
        <w:rPr>
          <w:rFonts w:ascii="Arial" w:cs="Arial" w:eastAsia="Arial" w:hAnsi="Arial"/>
          <w:sz w:val="22"/>
          <w:szCs w:val="22"/>
          <w:color w:val="auto"/>
          <w:vertAlign w:val="superscript"/>
        </w:rPr>
        <w:t>®</w:t>
      </w:r>
      <w:r>
        <w:rPr>
          <w:rFonts w:ascii="Arial" w:cs="Arial" w:eastAsia="Arial" w:hAnsi="Arial"/>
          <w:sz w:val="16"/>
          <w:szCs w:val="16"/>
          <w:color w:val="auto"/>
        </w:rPr>
        <w:t xml:space="preserve"> 80 mg, and 31.6% with placebo, p&lt;0.0001). In addition, treatment with ARCALYST</w:t>
      </w:r>
      <w:r>
        <w:rPr>
          <w:rFonts w:ascii="Arial" w:cs="Arial" w:eastAsia="Arial" w:hAnsi="Arial"/>
          <w:sz w:val="22"/>
          <w:szCs w:val="22"/>
          <w:color w:val="auto"/>
          <w:vertAlign w:val="superscript"/>
        </w:rPr>
        <w:t>®</w:t>
      </w:r>
      <w:r>
        <w:rPr>
          <w:rFonts w:ascii="Arial" w:cs="Arial" w:eastAsia="Arial" w:hAnsi="Arial"/>
          <w:sz w:val="16"/>
          <w:szCs w:val="16"/>
          <w:color w:val="auto"/>
        </w:rPr>
        <w:t xml:space="preserve"> reduced the proportion of patients who experienced at least one gout flare during the study period by up to 65% (16.3% with ARCALYST</w:t>
      </w:r>
      <w:r>
        <w:rPr>
          <w:rFonts w:ascii="Arial" w:cs="Arial" w:eastAsia="Arial" w:hAnsi="Arial"/>
          <w:sz w:val="22"/>
          <w:szCs w:val="22"/>
          <w:color w:val="auto"/>
          <w:vertAlign w:val="superscript"/>
        </w:rPr>
        <w:t>®</w:t>
      </w:r>
      <w:r>
        <w:rPr>
          <w:rFonts w:ascii="Arial" w:cs="Arial" w:eastAsia="Arial" w:hAnsi="Arial"/>
          <w:sz w:val="16"/>
          <w:szCs w:val="16"/>
          <w:color w:val="auto"/>
        </w:rPr>
        <w:t xml:space="preserve"> 160 mg, 18.8% with, ARCALYST</w:t>
      </w:r>
      <w:r>
        <w:rPr>
          <w:rFonts w:ascii="Arial" w:cs="Arial" w:eastAsia="Arial" w:hAnsi="Arial"/>
          <w:sz w:val="22"/>
          <w:szCs w:val="22"/>
          <w:color w:val="auto"/>
          <w:vertAlign w:val="superscript"/>
        </w:rPr>
        <w:t>®</w:t>
      </w:r>
      <w:r>
        <w:rPr>
          <w:rFonts w:ascii="Arial" w:cs="Arial" w:eastAsia="Arial" w:hAnsi="Arial"/>
          <w:sz w:val="16"/>
          <w:szCs w:val="16"/>
          <w:color w:val="auto"/>
        </w:rPr>
        <w:t xml:space="preserve"> 80 mg, and 46.8% with placebo, p&lt;0.001).</w:t>
      </w:r>
    </w:p>
    <w:p>
      <w:pPr>
        <w:spacing w:after="0" w:line="142"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A total of 241 patients were randomized in PRE-SURGE 1, a North America-based double-blind, placebo-controlled study. ARCALYST</w:t>
      </w:r>
      <w:r>
        <w:rPr>
          <w:rFonts w:ascii="Arial" w:cs="Arial" w:eastAsia="Arial" w:hAnsi="Arial"/>
          <w:sz w:val="24"/>
          <w:szCs w:val="24"/>
          <w:color w:val="auto"/>
          <w:vertAlign w:val="superscript"/>
        </w:rPr>
        <w:t>®</w:t>
      </w:r>
      <w:r>
        <w:rPr>
          <w:rFonts w:ascii="Arial" w:cs="Arial" w:eastAsia="Arial" w:hAnsi="Arial"/>
          <w:sz w:val="18"/>
          <w:szCs w:val="18"/>
          <w:color w:val="auto"/>
        </w:rPr>
        <w:t xml:space="preserve"> was generally well tolerated with no reported drug-related serious adverse events. Injection site reaction, generally considered mild, was the most commonly reported adverse event with ARCALYST</w:t>
      </w:r>
      <w:r>
        <w:rPr>
          <w:rFonts w:ascii="Arial" w:cs="Arial" w:eastAsia="Arial" w:hAnsi="Arial"/>
          <w:sz w:val="24"/>
          <w:szCs w:val="24"/>
          <w:color w:val="auto"/>
          <w:vertAlign w:val="superscript"/>
        </w:rPr>
        <w:t>®</w:t>
      </w:r>
      <w:r>
        <w:rPr>
          <w:rFonts w:ascii="Arial" w:cs="Arial" w:eastAsia="Arial" w:hAnsi="Arial"/>
          <w:sz w:val="18"/>
          <w:szCs w:val="18"/>
          <w:color w:val="auto"/>
        </w:rPr>
        <w:t>.</w:t>
      </w:r>
    </w:p>
    <w:p>
      <w:pPr>
        <w:spacing w:after="0" w:line="145" w:lineRule="exact"/>
        <w:rPr>
          <w:sz w:val="20"/>
          <w:szCs w:val="20"/>
          <w:color w:val="auto"/>
        </w:rPr>
      </w:pPr>
    </w:p>
    <w:p>
      <w:pPr>
        <w:spacing w:after="0" w:line="268" w:lineRule="auto"/>
        <w:rPr>
          <w:sz w:val="20"/>
          <w:szCs w:val="20"/>
          <w:color w:val="auto"/>
        </w:rPr>
      </w:pPr>
      <w:r>
        <w:rPr>
          <w:rFonts w:ascii="Arial" w:cs="Arial" w:eastAsia="Arial" w:hAnsi="Arial"/>
          <w:sz w:val="15"/>
          <w:szCs w:val="15"/>
          <w:color w:val="auto"/>
        </w:rPr>
        <w:t>In addition, in June 2010, the Company reported results from a placebo-controlled, Phase 3 study (called SURGE) in patients presenting with an acute gout flare. The results of this study showed that there was no significant benefit from combining ARCALYST</w:t>
      </w:r>
      <w:r>
        <w:rPr>
          <w:rFonts w:ascii="Arial" w:cs="Arial" w:eastAsia="Arial" w:hAnsi="Arial"/>
          <w:sz w:val="20"/>
          <w:szCs w:val="20"/>
          <w:color w:val="auto"/>
          <w:vertAlign w:val="superscript"/>
        </w:rPr>
        <w:t>®</w:t>
      </w:r>
      <w:r>
        <w:rPr>
          <w:rFonts w:ascii="Arial" w:cs="Arial" w:eastAsia="Arial" w:hAnsi="Arial"/>
          <w:sz w:val="15"/>
          <w:szCs w:val="15"/>
          <w:color w:val="auto"/>
        </w:rPr>
        <w:t xml:space="preserve"> with indomethacin (a non-steroidal anti-inflammatory drug considered the standard of care), as measured by the primary study endpoint of the average intensity of gout pain from 24 to 72 hours after initiation of treatment. Patients treated with indomethacin alone experienced an average reduction in patient-reported pain scores (0 to 4 Likert scale where 0 represents no pain and 4 represents extreme pain) of 1.40 points from baseline compared to an average reduction of 1.55 points from baseline in patients treated with both indomethacin and ARCALYST</w:t>
      </w:r>
      <w:r>
        <w:rPr>
          <w:rFonts w:ascii="Arial" w:cs="Arial" w:eastAsia="Arial" w:hAnsi="Arial"/>
          <w:sz w:val="20"/>
          <w:szCs w:val="20"/>
          <w:color w:val="auto"/>
          <w:vertAlign w:val="superscript"/>
        </w:rPr>
        <w:t>®</w:t>
      </w:r>
      <w:r>
        <w:rPr>
          <w:rFonts w:ascii="Arial" w:cs="Arial" w:eastAsia="Arial" w:hAnsi="Arial"/>
          <w:sz w:val="15"/>
          <w:szCs w:val="15"/>
          <w:color w:val="auto"/>
        </w:rPr>
        <w:t xml:space="preserve"> (p=0.33). Patients who received ARCALYST</w:t>
      </w:r>
      <w:r>
        <w:rPr>
          <w:rFonts w:ascii="Arial" w:cs="Arial" w:eastAsia="Arial" w:hAnsi="Arial"/>
          <w:sz w:val="20"/>
          <w:szCs w:val="20"/>
          <w:color w:val="auto"/>
          <w:vertAlign w:val="superscript"/>
        </w:rPr>
        <w:t>®</w:t>
      </w:r>
      <w:r>
        <w:rPr>
          <w:rFonts w:ascii="Arial" w:cs="Arial" w:eastAsia="Arial" w:hAnsi="Arial"/>
          <w:sz w:val="15"/>
          <w:szCs w:val="15"/>
          <w:color w:val="auto"/>
        </w:rPr>
        <w:t xml:space="preserve"> alone experienced an average pain reduction of 0.69 points. Treatment with ARCALYST</w:t>
      </w:r>
      <w:r>
        <w:rPr>
          <w:rFonts w:ascii="Arial" w:cs="Arial" w:eastAsia="Arial" w:hAnsi="Arial"/>
          <w:sz w:val="25"/>
          <w:szCs w:val="25"/>
          <w:color w:val="auto"/>
          <w:vertAlign w:val="superscript"/>
        </w:rPr>
        <w:t>®</w:t>
      </w:r>
      <w:r>
        <w:rPr>
          <w:rFonts w:ascii="Arial" w:cs="Arial" w:eastAsia="Arial" w:hAnsi="Arial"/>
          <w:sz w:val="15"/>
          <w:szCs w:val="15"/>
          <w:color w:val="auto"/>
        </w:rPr>
        <w:t xml:space="preserve"> was generally well tolerated with no reported drug-related serious adverse events. The most commonly reported adverse event with ARCALYST</w:t>
      </w:r>
      <w:r>
        <w:rPr>
          <w:rFonts w:ascii="Arial" w:cs="Arial" w:eastAsia="Arial" w:hAnsi="Arial"/>
          <w:sz w:val="20"/>
          <w:szCs w:val="20"/>
          <w:color w:val="auto"/>
          <w:vertAlign w:val="superscript"/>
        </w:rPr>
        <w:t>®</w:t>
      </w:r>
      <w:r>
        <w:rPr>
          <w:rFonts w:ascii="Arial" w:cs="Arial" w:eastAsia="Arial" w:hAnsi="Arial"/>
          <w:sz w:val="15"/>
          <w:szCs w:val="15"/>
          <w:color w:val="auto"/>
        </w:rPr>
        <w:t xml:space="preserve"> was headache.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144145</wp:posOffset>
            </wp:positionV>
            <wp:extent cx="7267575"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360"/>
          </w:cols>
          <w:pgMar w:left="240" w:top="371" w:right="299" w:bottom="1440" w:gutter="0" w:footer="0" w:header="0"/>
        </w:sectPr>
      </w:pPr>
    </w:p>
    <w:bookmarkStart w:id="9" w:name="page10"/>
    <w:bookmarkEnd w:id="9"/>
    <w:p>
      <w:pPr>
        <w:ind w:right="60"/>
        <w:spacing w:after="0" w:line="231" w:lineRule="auto"/>
        <w:rPr>
          <w:sz w:val="20"/>
          <w:szCs w:val="20"/>
          <w:color w:val="auto"/>
        </w:rPr>
      </w:pPr>
      <w:r>
        <w:rPr>
          <w:rFonts w:ascii="Arial" w:cs="Arial" w:eastAsia="Arial" w:hAnsi="Arial"/>
          <w:sz w:val="17"/>
          <w:szCs w:val="17"/>
          <w:color w:val="auto"/>
        </w:rPr>
        <w:t>There are two ongoing studies in the Phase 3 program with ARCALYST</w:t>
      </w:r>
      <w:r>
        <w:rPr>
          <w:rFonts w:ascii="Arial" w:cs="Arial" w:eastAsia="Arial" w:hAnsi="Arial"/>
          <w:sz w:val="23"/>
          <w:szCs w:val="23"/>
          <w:color w:val="auto"/>
          <w:vertAlign w:val="superscript"/>
        </w:rPr>
        <w:t>®</w:t>
      </w:r>
      <w:r>
        <w:rPr>
          <w:rFonts w:ascii="Arial" w:cs="Arial" w:eastAsia="Arial" w:hAnsi="Arial"/>
          <w:sz w:val="17"/>
          <w:szCs w:val="17"/>
          <w:color w:val="auto"/>
        </w:rPr>
        <w:t xml:space="preserve"> in the prevention of gout flares in patients initiating uric acid-lowering therapy. The global PRE-SURGE 2 study, which has a similar trial design as PRE-SURGE 1, is evaluating the number of gout flares per patient over the first 16 weeks of initiation of allopurinol therapy. The global RE-SURGE study is evaluating the safety of ARCALYST</w:t>
      </w:r>
      <w:r>
        <w:rPr>
          <w:rFonts w:ascii="Arial" w:cs="Arial" w:eastAsia="Arial" w:hAnsi="Arial"/>
          <w:sz w:val="29"/>
          <w:szCs w:val="29"/>
          <w:color w:val="auto"/>
          <w:vertAlign w:val="superscript"/>
        </w:rPr>
        <w:t>®</w:t>
      </w:r>
      <w:r>
        <w:rPr>
          <w:rFonts w:ascii="Arial" w:cs="Arial" w:eastAsia="Arial" w:hAnsi="Arial"/>
          <w:sz w:val="17"/>
          <w:szCs w:val="17"/>
          <w:color w:val="auto"/>
        </w:rPr>
        <w:t xml:space="preserve"> versus placebo over 16 weeks in patients who are at risk for gout flares because they are taking uric acid-lowering drug treatment. PRE-SURGE 2 is fully enrolled and RE-SURGE is over 90% enrolled. Data from both studies are expected in early 2011. Regeneron owns worldwide rights to ARCALYST</w:t>
      </w:r>
      <w:r>
        <w:rPr>
          <w:rFonts w:ascii="Arial" w:cs="Arial" w:eastAsia="Arial" w:hAnsi="Arial"/>
          <w:sz w:val="23"/>
          <w:szCs w:val="23"/>
          <w:color w:val="auto"/>
          <w:vertAlign w:val="superscript"/>
        </w:rPr>
        <w:t>®</w:t>
      </w:r>
      <w:r>
        <w:rPr>
          <w:rFonts w:ascii="Arial" w:cs="Arial" w:eastAsia="Arial" w:hAnsi="Arial"/>
          <w:sz w:val="17"/>
          <w:szCs w:val="17"/>
          <w:color w:val="auto"/>
        </w:rPr>
        <w:t>.</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VEGF Trap-Eye – Ophthalmologic Diseases</w:t>
      </w:r>
    </w:p>
    <w:p>
      <w:pPr>
        <w:spacing w:after="0" w:line="15" w:lineRule="exact"/>
        <w:rPr>
          <w:sz w:val="20"/>
          <w:szCs w:val="20"/>
          <w:color w:val="auto"/>
        </w:rPr>
      </w:pPr>
    </w:p>
    <w:p>
      <w:pPr>
        <w:ind w:right="80"/>
        <w:spacing w:after="0" w:line="292" w:lineRule="auto"/>
        <w:rPr>
          <w:sz w:val="20"/>
          <w:szCs w:val="20"/>
          <w:color w:val="auto"/>
        </w:rPr>
      </w:pPr>
      <w:r>
        <w:rPr>
          <w:rFonts w:ascii="Arial" w:cs="Arial" w:eastAsia="Arial" w:hAnsi="Arial"/>
          <w:sz w:val="16"/>
          <w:szCs w:val="16"/>
          <w:color w:val="auto"/>
        </w:rPr>
        <w:t>VEGF Trap-Eye is a specially purified and formulated form of VEGF Trap, which is being developed for use in the intraocular treatment of retinal diseases. VEGF Trap-Eye blocks vascular endothelial growth factor A (VEGF-A), a secreted protein which promotes the growth of blood vessels. It also binds other mediators of angiogenesis, including VEGF-B and Placental Growth Factor (PlGF). VEGF Trap-Eye is being developed by Regeneron in collaboration with Bayer HealthCare. Bayer HealthCare has rights to market VEGF Trap-Eye outside the United States, where the companies will share equally in profits from any future sales of VEGF Trap-Eye. Regeneron maintains exclusive rights to VEGF Trap-Eye in the United States.</w:t>
      </w:r>
    </w:p>
    <w:p>
      <w:pPr>
        <w:spacing w:after="0" w:line="198"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Two Phase 3 studies (VIEW 1 and VIEW 2) evaluating VEGF Trap-Eye (aflibercept iso-osmotic ophthalmic) in patients with the neovascular form of age-related macular degeneration (wet AMD) are fully enrolled, and initial data from these studies are expected in the fourth quarter of 2010. In addition, Regeneron and Bayer HealthCare are conducting two Phase 3 studies (COPERNICUS and GALILEO) in central retinal vein occlusion (CRVO). COPERNICUS is fully enrolled and GALILEO is over 90% enrolled. Initial data are anticipated from both studies in early 2011.</w:t>
      </w:r>
    </w:p>
    <w:p>
      <w:pPr>
        <w:spacing w:after="0" w:line="194" w:lineRule="exact"/>
        <w:rPr>
          <w:sz w:val="20"/>
          <w:szCs w:val="20"/>
          <w:color w:val="auto"/>
        </w:rPr>
      </w:pPr>
    </w:p>
    <w:p>
      <w:pPr>
        <w:ind w:right="360"/>
        <w:spacing w:after="0" w:line="255" w:lineRule="auto"/>
        <w:rPr>
          <w:sz w:val="20"/>
          <w:szCs w:val="20"/>
          <w:color w:val="auto"/>
        </w:rPr>
      </w:pPr>
      <w:r>
        <w:rPr>
          <w:rFonts w:ascii="Arial" w:cs="Arial" w:eastAsia="Arial" w:hAnsi="Arial"/>
          <w:sz w:val="18"/>
          <w:szCs w:val="18"/>
          <w:color w:val="auto"/>
        </w:rPr>
        <w:t>In February 2010, Regeneron and Bayer HealthCare announced results of a Phase 2 study (called DA VINCI) in patients with clinically significant diabetic macular edema (DME). In the study, VEGF Trap-Eye achieved the primary study endpoint of a statistically significant improvement in visual acuity over 24 weeks compared to focal laser therapy, the standard of care in DME. VEGF Trap-Eye was generally well-tolerated, and no ocular or non-ocular drug-related serious adverse events were reported. Following the initial 24 weeks of treatment, patients continue to be treated for another 24 weeks on the same dosing regimens. Initial one-year results will be available later in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213995</wp:posOffset>
            </wp:positionV>
            <wp:extent cx="7267575"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360"/>
          </w:cols>
          <w:pgMar w:left="240" w:top="371" w:right="299" w:bottom="1440" w:gutter="0" w:footer="0" w:header="0"/>
        </w:sectPr>
      </w:pPr>
    </w:p>
    <w:bookmarkStart w:id="10" w:name="page11"/>
    <w:bookmarkEnd w:id="10"/>
    <w:p>
      <w:pPr>
        <w:spacing w:after="0"/>
        <w:rPr>
          <w:sz w:val="20"/>
          <w:szCs w:val="20"/>
          <w:color w:val="auto"/>
        </w:rPr>
      </w:pPr>
      <w:r>
        <w:rPr>
          <w:rFonts w:ascii="Arial" w:cs="Arial" w:eastAsia="Arial" w:hAnsi="Arial"/>
          <w:sz w:val="18"/>
          <w:szCs w:val="18"/>
          <w:u w:val="single" w:color="auto"/>
          <w:color w:val="auto"/>
        </w:rPr>
        <w:t>Aflibercept (VEGF Trap) – Oncology</w:t>
      </w:r>
    </w:p>
    <w:p>
      <w:pPr>
        <w:spacing w:after="0" w:line="15" w:lineRule="exact"/>
        <w:rPr>
          <w:sz w:val="20"/>
          <w:szCs w:val="20"/>
          <w:color w:val="auto"/>
        </w:rPr>
      </w:pPr>
    </w:p>
    <w:p>
      <w:pPr>
        <w:ind w:right="20"/>
        <w:spacing w:after="0" w:line="254" w:lineRule="auto"/>
        <w:rPr>
          <w:sz w:val="20"/>
          <w:szCs w:val="20"/>
          <w:color w:val="auto"/>
        </w:rPr>
      </w:pPr>
      <w:r>
        <w:rPr>
          <w:rFonts w:ascii="Arial" w:cs="Arial" w:eastAsia="Arial" w:hAnsi="Arial"/>
          <w:sz w:val="16"/>
          <w:szCs w:val="16"/>
          <w:color w:val="auto"/>
        </w:rPr>
        <w:t>Aflibercept (VEGF Trap) is being developed worldwide by Regeneron and its collaborator, sanofi-aventis, for the potential treatment of solid tumors. Three randomized, double-blind, Phase 3 trials, all of which are fully enrolled, are evaluating combinations of standard chemotherapy regimens with either aflibercept or placebo for the treatment of cancer. One trial (called VELOUR) is evaluating aflibercept as a 2</w:t>
      </w:r>
      <w:r>
        <w:rPr>
          <w:rFonts w:ascii="Arial" w:cs="Arial" w:eastAsia="Arial" w:hAnsi="Arial"/>
          <w:sz w:val="22"/>
          <w:szCs w:val="22"/>
          <w:color w:val="auto"/>
          <w:vertAlign w:val="superscript"/>
        </w:rPr>
        <w:t>nd</w:t>
      </w:r>
      <w:r>
        <w:rPr>
          <w:rFonts w:ascii="Arial" w:cs="Arial" w:eastAsia="Arial" w:hAnsi="Arial"/>
          <w:sz w:val="16"/>
          <w:szCs w:val="16"/>
          <w:color w:val="auto"/>
        </w:rPr>
        <w:t>-line treatment for metastatic colorectal cancer in combination with FOLFIRI (folinic acid [leucovorin], 5-fluorouracil, and irinotecan). A second trial (VITAL) is evaluating aflibercept as a 2</w:t>
      </w:r>
      <w:r>
        <w:rPr>
          <w:rFonts w:ascii="Arial" w:cs="Arial" w:eastAsia="Arial" w:hAnsi="Arial"/>
          <w:sz w:val="22"/>
          <w:szCs w:val="22"/>
          <w:color w:val="auto"/>
          <w:vertAlign w:val="superscript"/>
        </w:rPr>
        <w:t>nd</w:t>
      </w:r>
      <w:r>
        <w:rPr>
          <w:rFonts w:ascii="Arial" w:cs="Arial" w:eastAsia="Arial" w:hAnsi="Arial"/>
          <w:sz w:val="16"/>
          <w:szCs w:val="16"/>
          <w:color w:val="auto"/>
        </w:rPr>
        <w:t>-line treatment for locally advanced or metastatic non-small cell lung cancer in combination with docetaxel. The third trial (VENICE) is evaluating aflibercept as a 1</w:t>
      </w:r>
      <w:r>
        <w:rPr>
          <w:rFonts w:ascii="Arial" w:cs="Arial" w:eastAsia="Arial" w:hAnsi="Arial"/>
          <w:sz w:val="22"/>
          <w:szCs w:val="22"/>
          <w:color w:val="auto"/>
          <w:vertAlign w:val="superscript"/>
        </w:rPr>
        <w:t>st</w:t>
      </w:r>
      <w:r>
        <w:rPr>
          <w:rFonts w:ascii="Arial" w:cs="Arial" w:eastAsia="Arial" w:hAnsi="Arial"/>
          <w:sz w:val="16"/>
          <w:szCs w:val="16"/>
          <w:color w:val="auto"/>
        </w:rPr>
        <w:t>-line treatment for metastatic castration-resistant prostate cancer in combination with docetaxel/prednisone. Based on projected event rates, an interim analysis of VELOUR is expected to be conducted by an independent statistician and reviewed by an Independent Data Monitoring Committee (IDMC) in the second half of 2010. An IDMC is a body of independent clinical and statistical experts that meets periodically to evaluate data from the studies. Final results from the VITAL study are anticipated in the first half of 2011 and from the VELOUR study in the second half of 2011. Based on projected event rates, an interim analysis of VENICE is expected to be reviewed by an IDMC in mid-2011, with final results anticipated in 2012.</w:t>
      </w:r>
    </w:p>
    <w:p>
      <w:pPr>
        <w:spacing w:after="0" w:line="228" w:lineRule="exact"/>
        <w:rPr>
          <w:sz w:val="20"/>
          <w:szCs w:val="20"/>
          <w:color w:val="auto"/>
        </w:rPr>
      </w:pPr>
    </w:p>
    <w:p>
      <w:pPr>
        <w:ind w:right="40"/>
        <w:spacing w:after="0" w:line="246" w:lineRule="auto"/>
        <w:rPr>
          <w:sz w:val="20"/>
          <w:szCs w:val="20"/>
          <w:color w:val="auto"/>
        </w:rPr>
      </w:pPr>
      <w:r>
        <w:rPr>
          <w:rFonts w:ascii="Arial" w:cs="Arial" w:eastAsia="Arial" w:hAnsi="Arial"/>
          <w:sz w:val="16"/>
          <w:szCs w:val="16"/>
          <w:color w:val="auto"/>
        </w:rPr>
        <w:t>In addition, a randomized Phase 2 study (AFFIRM) is evaluating aflibercept as a 1</w:t>
      </w:r>
      <w:r>
        <w:rPr>
          <w:rFonts w:ascii="Arial" w:cs="Arial" w:eastAsia="Arial" w:hAnsi="Arial"/>
          <w:sz w:val="22"/>
          <w:szCs w:val="22"/>
          <w:color w:val="auto"/>
          <w:vertAlign w:val="superscript"/>
        </w:rPr>
        <w:t>st</w:t>
      </w:r>
      <w:r>
        <w:rPr>
          <w:rFonts w:ascii="Arial" w:cs="Arial" w:eastAsia="Arial" w:hAnsi="Arial"/>
          <w:sz w:val="16"/>
          <w:szCs w:val="16"/>
          <w:color w:val="auto"/>
        </w:rPr>
        <w:t>-line treatment for metastatic colorectal cancer in combination with FOLFOX (folinic acid [leucovorin], 5-fluorouracil, and oxaliplatin). The AFFIRM study is fully enrolled, and initial data are anticipated in the second half of 2011.</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Monoclonal Antibodies</w:t>
      </w:r>
    </w:p>
    <w:p>
      <w:pPr>
        <w:spacing w:after="0" w:line="15" w:lineRule="exact"/>
        <w:rPr>
          <w:sz w:val="20"/>
          <w:szCs w:val="20"/>
          <w:color w:val="auto"/>
        </w:rPr>
      </w:pPr>
    </w:p>
    <w:p>
      <w:pPr>
        <w:jc w:val="both"/>
        <w:ind w:right="420"/>
        <w:spacing w:after="0" w:line="244" w:lineRule="auto"/>
        <w:rPr>
          <w:sz w:val="20"/>
          <w:szCs w:val="20"/>
          <w:color w:val="auto"/>
        </w:rPr>
      </w:pPr>
      <w:r>
        <w:rPr>
          <w:rFonts w:ascii="Arial" w:cs="Arial" w:eastAsia="Arial" w:hAnsi="Arial"/>
          <w:sz w:val="17"/>
          <w:szCs w:val="17"/>
          <w:color w:val="auto"/>
        </w:rPr>
        <w:t xml:space="preserve">Since 2007, Regeneron and sanofi-aventis have collaborated on the discovery, development, and commercialization of fully human monoclonal antibodies generated by Regeneron using its </w:t>
      </w:r>
      <w:r>
        <w:rPr>
          <w:rFonts w:ascii="Arial" w:cs="Arial" w:eastAsia="Arial" w:hAnsi="Arial"/>
          <w:sz w:val="17"/>
          <w:szCs w:val="17"/>
          <w:i w:val="1"/>
          <w:iCs w:val="1"/>
          <w:color w:val="auto"/>
        </w:rPr>
        <w:t>VelocImmune</w:t>
      </w:r>
      <w:r>
        <w:rPr>
          <w:rFonts w:ascii="Arial" w:cs="Arial" w:eastAsia="Arial" w:hAnsi="Arial"/>
          <w:sz w:val="23"/>
          <w:szCs w:val="23"/>
          <w:i w:val="1"/>
          <w:iCs w:val="1"/>
          <w:color w:val="auto"/>
          <w:vertAlign w:val="superscript"/>
        </w:rPr>
        <w:t>®</w:t>
      </w:r>
      <w:r>
        <w:rPr>
          <w:rFonts w:ascii="Arial" w:cs="Arial" w:eastAsia="Arial" w:hAnsi="Arial"/>
          <w:sz w:val="17"/>
          <w:szCs w:val="17"/>
          <w:color w:val="auto"/>
        </w:rPr>
        <w:t xml:space="preserve"> technology. During the fourth quarter of 2009, Regeneron and sanofi-aventis expanded and extended their collaboration with the objective to advance an average of four to five antibodies into clinical development each year between 2010 and 2017. There are five antibody candidates currently in clinical development under the collaboration:</w:t>
      </w:r>
    </w:p>
    <w:p>
      <w:pPr>
        <w:spacing w:after="0" w:line="236" w:lineRule="exact"/>
        <w:rPr>
          <w:sz w:val="20"/>
          <w:szCs w:val="20"/>
          <w:color w:val="auto"/>
        </w:rPr>
      </w:pPr>
    </w:p>
    <w:p>
      <w:pPr>
        <w:spacing w:after="0" w:line="290" w:lineRule="auto"/>
        <w:rPr>
          <w:sz w:val="20"/>
          <w:szCs w:val="20"/>
          <w:color w:val="auto"/>
        </w:rPr>
      </w:pPr>
      <w:r>
        <w:rPr>
          <w:rFonts w:ascii="Arial" w:cs="Arial" w:eastAsia="Arial" w:hAnsi="Arial"/>
          <w:sz w:val="16"/>
          <w:szCs w:val="16"/>
          <w:i w:val="1"/>
          <w:iCs w:val="1"/>
          <w:u w:val="single" w:color="auto"/>
          <w:color w:val="auto"/>
        </w:rPr>
        <w:t>REGN727</w:t>
      </w:r>
      <w:r>
        <w:rPr>
          <w:rFonts w:ascii="Arial" w:cs="Arial" w:eastAsia="Arial" w:hAnsi="Arial"/>
          <w:sz w:val="16"/>
          <w:szCs w:val="16"/>
          <w:color w:val="auto"/>
        </w:rPr>
        <w:t>, an antibody to PCSK9, a novel target for LDL cholesterol reduction, is in Phase 1 studies using both intravenous and subcutaneous routes of</w:t>
      </w:r>
      <w:r>
        <w:rPr>
          <w:rFonts w:ascii="Arial" w:cs="Arial" w:eastAsia="Arial" w:hAnsi="Arial"/>
          <w:sz w:val="16"/>
          <w:szCs w:val="16"/>
          <w:i w:val="1"/>
          <w:iCs w:val="1"/>
          <w:color w:val="auto"/>
        </w:rPr>
        <w:t xml:space="preserve"> </w:t>
      </w:r>
      <w:r>
        <w:rPr>
          <w:rFonts w:ascii="Arial" w:cs="Arial" w:eastAsia="Arial" w:hAnsi="Arial"/>
          <w:sz w:val="16"/>
          <w:szCs w:val="16"/>
          <w:color w:val="auto"/>
        </w:rPr>
        <w:t>administration. In May 2010, the Company announced that in an interim efficacy analysis of a dose-escalating, randomized, double-blind, placebo-controlled, Phase 1 trial in healthy volunteers, REGN727 achieved substantial, dose dependent decreases of LDL (bad) cholesterol. Each dosing cohort consisted of six treated and two placebo patients. In July 2010, the Company presented additional data from the Phase 1 program. At the highest intravenous doses tested, a single dose of REGN727 achieved a greater than 60% maximum mean reduction of LDL cholesterol from baseline that lasted for more than one month. At the highest subcutaneous doses tested, a single dose of REGN727 achieved a greater than 60% maximum mean reduction of LDL cholesterol from baseline that lasted for more than two weeks. No serious adverse events and no dose limiting toxicities have been reported. Dose escalation is ongoing in both studies.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198755</wp:posOffset>
            </wp:positionV>
            <wp:extent cx="7267575"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380"/>
          </w:cols>
          <w:pgMar w:left="240" w:top="374" w:right="279" w:bottom="1440" w:gutter="0" w:footer="0" w:header="0"/>
        </w:sectPr>
      </w:pPr>
    </w:p>
    <w:bookmarkStart w:id="11" w:name="page12"/>
    <w:bookmarkEnd w:id="11"/>
    <w:p>
      <w:pPr>
        <w:ind w:right="20"/>
        <w:spacing w:after="0" w:line="255" w:lineRule="auto"/>
        <w:rPr>
          <w:sz w:val="20"/>
          <w:szCs w:val="20"/>
          <w:color w:val="auto"/>
        </w:rPr>
      </w:pPr>
      <w:r>
        <w:rPr>
          <w:rFonts w:ascii="Arial" w:cs="Arial" w:eastAsia="Arial" w:hAnsi="Arial"/>
          <w:sz w:val="18"/>
          <w:szCs w:val="18"/>
          <w:color w:val="auto"/>
        </w:rPr>
        <w:t>In July 2010, the Company also presented the results of an interim efficacy analysis of a dose escalating, randomized, double-blind, placebo-controlled Phase 1 trial of subcutaneously delivered REGN727 in hyperlipidemic patients (familial hypercholesterolemia and non-familial hypercholesterolemia) on stable doses of statins whose LDL levels were greater than 100 milligrams per deciliter (mg/dL). At the highest dose tested to-date, in eleven patients, a single dose of REGN727 achieved an approximately 40% maximum mean reduction of LDL cholesterol from baseline. No serious adverse events and no dose limiting toxicities have been reported. Dose escalation in this study is ongoing.</w:t>
      </w:r>
    </w:p>
    <w:p>
      <w:pPr>
        <w:spacing w:after="0" w:line="224"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i w:val="1"/>
          <w:iCs w:val="1"/>
          <w:u w:val="single" w:color="auto"/>
          <w:color w:val="auto"/>
        </w:rPr>
        <w:t>REGN88</w:t>
      </w:r>
      <w:r>
        <w:rPr>
          <w:rFonts w:ascii="Arial" w:cs="Arial" w:eastAsia="Arial" w:hAnsi="Arial"/>
          <w:sz w:val="16"/>
          <w:szCs w:val="16"/>
          <w:i w:val="1"/>
          <w:iCs w:val="1"/>
          <w:color w:val="auto"/>
        </w:rPr>
        <w:t xml:space="preserve">, </w:t>
      </w:r>
      <w:r>
        <w:rPr>
          <w:rFonts w:ascii="Arial" w:cs="Arial" w:eastAsia="Arial" w:hAnsi="Arial"/>
          <w:sz w:val="16"/>
          <w:szCs w:val="16"/>
          <w:color w:val="auto"/>
        </w:rPr>
        <w:t>an antibody to the interleukin-6 receptor (IL-6R), has completed Phase 1 studies, the results of which were presented at the annual meeting of the</w:t>
      </w:r>
      <w:r>
        <w:rPr>
          <w:rFonts w:ascii="Arial" w:cs="Arial" w:eastAsia="Arial" w:hAnsi="Arial"/>
          <w:sz w:val="16"/>
          <w:szCs w:val="16"/>
          <w:i w:val="1"/>
          <w:iCs w:val="1"/>
          <w:color w:val="auto"/>
        </w:rPr>
        <w:t xml:space="preserve"> </w:t>
      </w:r>
      <w:r>
        <w:rPr>
          <w:rFonts w:ascii="Arial" w:cs="Arial" w:eastAsia="Arial" w:hAnsi="Arial"/>
          <w:sz w:val="16"/>
          <w:szCs w:val="16"/>
          <w:color w:val="auto"/>
        </w:rPr>
        <w:t>European League Against Rheumatism (EULAR) in June 2010. REGN88 was well tolerated by patients with rheumatoid arthritis, and no dose limiting toxicities were reported. Treatment with REGN88 resulted in dose-related reductions in biomarkers of inflammation. A Phase 2/3 study of REGN88 in rheumatoid arthritis and a Phase 2 study in ankylosing spondylitis, a form of arthritis that primarily affects the spine, are enrolling patients.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REGN421</w:t>
      </w:r>
      <w:r>
        <w:rPr>
          <w:rFonts w:ascii="Arial" w:cs="Arial" w:eastAsia="Arial" w:hAnsi="Arial"/>
          <w:sz w:val="16"/>
          <w:szCs w:val="16"/>
          <w:color w:val="auto"/>
        </w:rPr>
        <w:t>, an antibody to Delta-like ligand-4 (Dll4), a novel anti-angiogenesis target, is in a Phase 1 study in patients with advanced malignancies.</w:t>
      </w:r>
    </w:p>
    <w:p>
      <w:pPr>
        <w:spacing w:after="0" w:line="275"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i w:val="1"/>
          <w:iCs w:val="1"/>
          <w:u w:val="single" w:color="auto"/>
          <w:color w:val="auto"/>
        </w:rPr>
        <w:t>REGN668</w:t>
      </w:r>
      <w:r>
        <w:rPr>
          <w:rFonts w:ascii="Arial" w:cs="Arial" w:eastAsia="Arial" w:hAnsi="Arial"/>
          <w:sz w:val="18"/>
          <w:szCs w:val="18"/>
          <w:color w:val="auto"/>
        </w:rPr>
        <w:t>, an antibody to the interleukin-4 receptor (IL-4R), a target for allergic and immune conditions, has completed Phase 1 testing in healthy volunteers and</w:t>
      </w:r>
      <w:r>
        <w:rPr>
          <w:rFonts w:ascii="Arial" w:cs="Arial" w:eastAsia="Arial" w:hAnsi="Arial"/>
          <w:sz w:val="18"/>
          <w:szCs w:val="18"/>
          <w:i w:val="1"/>
          <w:iCs w:val="1"/>
          <w:color w:val="auto"/>
        </w:rPr>
        <w:t xml:space="preserve"> </w:t>
      </w:r>
      <w:r>
        <w:rPr>
          <w:rFonts w:ascii="Arial" w:cs="Arial" w:eastAsia="Arial" w:hAnsi="Arial"/>
          <w:sz w:val="18"/>
          <w:szCs w:val="18"/>
          <w:color w:val="auto"/>
        </w:rPr>
        <w:t>will be entering a Phase 2 study in patients with atopic dermatitis in the second half of 2010.</w:t>
      </w:r>
    </w:p>
    <w:p>
      <w:pPr>
        <w:spacing w:after="0" w:line="213"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i w:val="1"/>
          <w:iCs w:val="1"/>
          <w:u w:val="single" w:color="auto"/>
          <w:color w:val="auto"/>
        </w:rPr>
        <w:t>REGN475</w:t>
      </w:r>
      <w:r>
        <w:rPr>
          <w:rFonts w:ascii="Arial" w:cs="Arial" w:eastAsia="Arial" w:hAnsi="Arial"/>
          <w:sz w:val="16"/>
          <w:szCs w:val="16"/>
          <w:color w:val="auto"/>
        </w:rPr>
        <w:t>, an antibody to nerve growth factor (NGF), is being evaluated in Phase 2 studies in osteoarthritis of the knee and other pain indications. In May 2010,</w:t>
      </w:r>
      <w:r>
        <w:rPr>
          <w:rFonts w:ascii="Arial" w:cs="Arial" w:eastAsia="Arial" w:hAnsi="Arial"/>
          <w:sz w:val="16"/>
          <w:szCs w:val="16"/>
          <w:i w:val="1"/>
          <w:iCs w:val="1"/>
          <w:color w:val="auto"/>
        </w:rPr>
        <w:t xml:space="preserve"> </w:t>
      </w:r>
      <w:r>
        <w:rPr>
          <w:rFonts w:ascii="Arial" w:cs="Arial" w:eastAsia="Arial" w:hAnsi="Arial"/>
          <w:sz w:val="16"/>
          <w:szCs w:val="16"/>
          <w:color w:val="auto"/>
        </w:rPr>
        <w:t>the Company announced an interim efficacy analysis of a randomized, double-blind, four-arm, placebo-controlled Phase 2 trial in 217 patients with osteoarthritis of the knee. In July 2010, the Company presented additional results from this trial through 16 weeks. The primary endpoint of this study is safety, and REGN475 was generally well tolerated. Serious treatment emergent adverse events were rare. The most frequent adverse events reported among patients receiving REGN475 included sensory abnormalities, arthralgias, hyper/hypo-reflexia, peripheral edema, and injection site reactions.</w:t>
      </w:r>
    </w:p>
    <w:p>
      <w:pPr>
        <w:spacing w:after="0" w:line="19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the first interim efficacy analysis, REGN475 demonstrated significant improvements at the two highest doses tested as compared to placebo in average walking pain scores over 8 weeks following a single intravenous infusion (p&lt;0.01). In July 2010, the Company reported that REGN475 demonstrated significant improvements at the two highest doses tested as compared to placebo in average walking pain scores over 16 weeks following a second intravenous infusion at week 8 (p&lt;0.01</w:t>
      </w:r>
      <w:r>
        <w:rPr>
          <w:rFonts w:ascii="Arial" w:cs="Arial" w:eastAsia="Arial" w:hAnsi="Arial"/>
          <w:sz w:val="18"/>
          <w:szCs w:val="18"/>
          <w:i w:val="1"/>
          <w:iCs w:val="1"/>
          <w:color w:val="auto"/>
        </w:rPr>
        <w:t>).</w:t>
      </w:r>
      <w:r>
        <w:rPr>
          <w:rFonts w:ascii="Arial" w:cs="Arial" w:eastAsia="Arial" w:hAnsi="Arial"/>
          <w:sz w:val="18"/>
          <w:szCs w:val="18"/>
          <w:color w:val="auto"/>
        </w:rPr>
        <w:t xml:space="preserve"> Pain was measured by the Numeric Rating Scale (NRS), as well as the Western Ontario and McMaster Osteoarthritis Index (WOMAC) pain and function subscales.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368300</wp:posOffset>
            </wp:positionV>
            <wp:extent cx="7267575"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00"/>
          </w:cols>
          <w:pgMar w:left="240" w:top="374" w:right="259" w:bottom="1440" w:gutter="0" w:footer="0" w:header="0"/>
        </w:sectPr>
      </w:pPr>
    </w:p>
    <w:bookmarkStart w:id="12" w:name="page13"/>
    <w:bookmarkEnd w:id="12"/>
    <w:p>
      <w:pPr>
        <w:spacing w:after="0" w:line="298" w:lineRule="auto"/>
        <w:rPr>
          <w:sz w:val="20"/>
          <w:szCs w:val="20"/>
          <w:color w:val="auto"/>
        </w:rPr>
      </w:pPr>
      <w:r>
        <w:rPr>
          <w:rFonts w:ascii="Arial" w:cs="Arial" w:eastAsia="Arial" w:hAnsi="Arial"/>
          <w:sz w:val="16"/>
          <w:szCs w:val="16"/>
          <w:color w:val="auto"/>
        </w:rPr>
        <w:t>At the request of the FDA, another pharmaceutical company has suspended its anti-NGF antibody clinical program in osteoarthritis and certain other chronic pain indications. Regeneron has responded to FDA requests for information about patients in the Company’s REGN475 clinical trials. REGN475 is currently not on clinical hold, and the Company’s Phase 2 trials in patients with vertebral fracture pain and chronic pancreatitis pain are ongoing. The Company’s Phase 2 trial in osteoarthritis of the knee has been completed. The Company will update its plans for REGN475 following feedback from the FDA.</w:t>
      </w:r>
    </w:p>
    <w:p>
      <w:pPr>
        <w:spacing w:after="0" w:line="194"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i w:val="1"/>
          <w:iCs w:val="1"/>
          <w:u w:val="single" w:color="auto"/>
          <w:color w:val="auto"/>
        </w:rPr>
        <w:t>REGN910:</w:t>
      </w:r>
      <w:r>
        <w:rPr>
          <w:rFonts w:ascii="Arial" w:cs="Arial" w:eastAsia="Arial" w:hAnsi="Arial"/>
          <w:sz w:val="18"/>
          <w:szCs w:val="18"/>
          <w:i w:val="1"/>
          <w:iCs w:val="1"/>
          <w:color w:val="auto"/>
        </w:rPr>
        <w:t xml:space="preserve"> </w:t>
      </w:r>
      <w:r>
        <w:rPr>
          <w:rFonts w:ascii="Arial" w:cs="Arial" w:eastAsia="Arial" w:hAnsi="Arial"/>
          <w:sz w:val="18"/>
          <w:szCs w:val="18"/>
          <w:color w:val="auto"/>
        </w:rPr>
        <w:t>Regeneron plans to file an Investigational New Drug Application for a sixth antibody candidate, REGN910, an antibody to Angiopoietin-2, a novel</w:t>
      </w:r>
      <w:r>
        <w:rPr>
          <w:rFonts w:ascii="Arial" w:cs="Arial" w:eastAsia="Arial" w:hAnsi="Arial"/>
          <w:sz w:val="18"/>
          <w:szCs w:val="18"/>
          <w:i w:val="1"/>
          <w:iCs w:val="1"/>
          <w:color w:val="auto"/>
        </w:rPr>
        <w:t xml:space="preserve"> </w:t>
      </w:r>
      <w:r>
        <w:rPr>
          <w:rFonts w:ascii="Arial" w:cs="Arial" w:eastAsia="Arial" w:hAnsi="Arial"/>
          <w:sz w:val="18"/>
          <w:szCs w:val="18"/>
          <w:color w:val="auto"/>
        </w:rPr>
        <w:t>anti-angiogenesis target, by the end of 2010.</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Results</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Cash and Marketable Securities</w:t>
      </w:r>
    </w:p>
    <w:p>
      <w:pPr>
        <w:spacing w:after="0" w:line="15"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At June 30, 2010, cash, restricted cash, and marketable securities totaled $380.2 million compared with $390.0 million at December 31, 2009. During the first half of 2010, the Company received $47.5 million from its landlord in connection with tenant improvement costs for new laboratory and office facilities that the Company leases in Tarrytown, New York. In addition, the Company received $20.0 million annual technology licensing payments from each of AstraZeneca and Astellas during the first six months of 2010, as described below.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Revenues</w:t>
      </w:r>
    </w:p>
    <w:p>
      <w:pPr>
        <w:spacing w:after="0" w:line="15"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Total revenues increased to $115.9 million in the second quarter of 2010 from $90.0 million in the same quarter of 2009 and increased to $219.4 million for the first half of 2010 from $165.0 million for the same period of 2009. The Company’s revenue was comprised of collaboration revenue, technology licensing revenue, net product sales, and contract research and other revenue.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Collaboration Revenue</w:t>
      </w:r>
    </w:p>
    <w:p>
      <w:pPr>
        <w:spacing w:after="0" w:line="15" w:lineRule="exact"/>
        <w:rPr>
          <w:sz w:val="20"/>
          <w:szCs w:val="20"/>
          <w:color w:val="auto"/>
        </w:rPr>
      </w:pPr>
    </w:p>
    <w:p>
      <w:pPr>
        <w:ind w:right="280"/>
        <w:spacing w:after="0" w:line="323" w:lineRule="auto"/>
        <w:rPr>
          <w:sz w:val="20"/>
          <w:szCs w:val="20"/>
          <w:color w:val="auto"/>
        </w:rPr>
      </w:pPr>
      <w:r>
        <w:rPr>
          <w:rFonts w:ascii="Arial" w:cs="Arial" w:eastAsia="Arial" w:hAnsi="Arial"/>
          <w:sz w:val="16"/>
          <w:szCs w:val="16"/>
          <w:color w:val="auto"/>
        </w:rPr>
        <w:t>Collaboration revenue relates to the Company’s aflibercept and antibody collaborations with sanofi-aventis and the Company’s VEGF Trap-Eye collaboration with Bayer HealthCare. Collaboration revenue for the three and six months ended June 30, 2010 and 2009 consisted of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336550</wp:posOffset>
            </wp:positionV>
            <wp:extent cx="7267575"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380"/>
          </w:cols>
          <w:pgMar w:left="240" w:top="374" w:right="27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28"/>
        </w:trPr>
        <w:tc>
          <w:tcPr>
            <w:tcW w:w="5080" w:type="dxa"/>
            <w:vAlign w:val="bottom"/>
          </w:tcPr>
          <w:p>
            <w:pPr>
              <w:spacing w:after="0"/>
              <w:rPr>
                <w:sz w:val="19"/>
                <w:szCs w:val="19"/>
                <w:color w:val="auto"/>
              </w:rPr>
            </w:pPr>
          </w:p>
        </w:tc>
        <w:tc>
          <w:tcPr>
            <w:tcW w:w="4480" w:type="dxa"/>
            <w:vAlign w:val="bottom"/>
            <w:gridSpan w:val="8"/>
          </w:tcPr>
          <w:p>
            <w:pPr>
              <w:ind w:left="2540"/>
              <w:spacing w:after="0"/>
              <w:rPr>
                <w:sz w:val="20"/>
                <w:szCs w:val="20"/>
                <w:color w:val="auto"/>
              </w:rPr>
            </w:pPr>
            <w:r>
              <w:rPr>
                <w:rFonts w:ascii="Arial" w:cs="Arial" w:eastAsia="Arial" w:hAnsi="Arial"/>
                <w:sz w:val="18"/>
                <w:szCs w:val="18"/>
                <w:b w:val="1"/>
                <w:bCs w:val="1"/>
                <w:color w:val="auto"/>
              </w:rPr>
              <w:t>Three months ended</w:t>
            </w:r>
          </w:p>
        </w:tc>
        <w:tc>
          <w:tcPr>
            <w:tcW w:w="160" w:type="dxa"/>
            <w:vAlign w:val="bottom"/>
          </w:tcPr>
          <w:p>
            <w:pPr>
              <w:spacing w:after="0"/>
              <w:rPr>
                <w:sz w:val="19"/>
                <w:szCs w:val="19"/>
                <w:color w:val="auto"/>
              </w:rPr>
            </w:pPr>
          </w:p>
        </w:tc>
        <w:tc>
          <w:tcPr>
            <w:tcW w:w="1700" w:type="dxa"/>
            <w:vAlign w:val="bottom"/>
            <w:gridSpan w:val="4"/>
          </w:tcPr>
          <w:p>
            <w:pPr>
              <w:jc w:val="right"/>
              <w:ind w:right="172"/>
              <w:spacing w:after="0"/>
              <w:rPr>
                <w:sz w:val="20"/>
                <w:szCs w:val="20"/>
                <w:color w:val="auto"/>
              </w:rPr>
            </w:pPr>
            <w:r>
              <w:rPr>
                <w:rFonts w:ascii="Arial" w:cs="Arial" w:eastAsia="Arial" w:hAnsi="Arial"/>
                <w:sz w:val="18"/>
                <w:szCs w:val="18"/>
                <w:b w:val="1"/>
                <w:bCs w:val="1"/>
                <w:color w:val="auto"/>
                <w:w w:val="91"/>
              </w:rPr>
              <w:t>Six months ended</w:t>
            </w:r>
          </w:p>
        </w:tc>
      </w:tr>
      <w:tr>
        <w:trPr>
          <w:trHeight w:val="252"/>
        </w:trPr>
        <w:tc>
          <w:tcPr>
            <w:tcW w:w="5080" w:type="dxa"/>
            <w:vAlign w:val="bottom"/>
          </w:tcPr>
          <w:p>
            <w:pPr>
              <w:spacing w:after="0"/>
              <w:rPr>
                <w:sz w:val="21"/>
                <w:szCs w:val="21"/>
                <w:color w:val="auto"/>
              </w:rPr>
            </w:pPr>
          </w:p>
        </w:tc>
        <w:tc>
          <w:tcPr>
            <w:tcW w:w="254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June 30,</w:t>
            </w:r>
          </w:p>
        </w:tc>
        <w:tc>
          <w:tcPr>
            <w:tcW w:w="520" w:type="dxa"/>
            <w:vAlign w:val="bottom"/>
            <w:tcBorders>
              <w:bottom w:val="single" w:sz="8" w:color="auto"/>
            </w:tcBorders>
          </w:tcPr>
          <w:p>
            <w:pPr>
              <w:spacing w:after="0"/>
              <w:rPr>
                <w:sz w:val="21"/>
                <w:szCs w:val="21"/>
                <w:color w:val="auto"/>
              </w:rPr>
            </w:pPr>
          </w:p>
        </w:tc>
        <w:tc>
          <w:tcPr>
            <w:tcW w:w="2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600" w:type="dxa"/>
            <w:vAlign w:val="bottom"/>
            <w:tcBorders>
              <w:bottom w:val="single" w:sz="8" w:color="auto"/>
            </w:tcBorders>
          </w:tcPr>
          <w:p>
            <w:pPr>
              <w:spacing w:after="0"/>
              <w:rPr>
                <w:sz w:val="21"/>
                <w:szCs w:val="21"/>
                <w:color w:val="auto"/>
              </w:rPr>
            </w:pPr>
          </w:p>
        </w:tc>
      </w:tr>
      <w:tr>
        <w:trPr>
          <w:trHeight w:val="250"/>
        </w:trPr>
        <w:tc>
          <w:tcPr>
            <w:tcW w:w="5080" w:type="dxa"/>
            <w:vAlign w:val="bottom"/>
            <w:tcBorders>
              <w:bottom w:val="single" w:sz="8" w:color="C0C0C0"/>
            </w:tcBorders>
          </w:tcPr>
          <w:p>
            <w:pPr>
              <w:jc w:val="right"/>
              <w:ind w:right="4072"/>
              <w:spacing w:after="0"/>
              <w:rPr>
                <w:sz w:val="20"/>
                <w:szCs w:val="20"/>
                <w:color w:val="auto"/>
              </w:rPr>
            </w:pPr>
            <w:r>
              <w:rPr>
                <w:rFonts w:ascii="Arial" w:cs="Arial" w:eastAsia="Arial" w:hAnsi="Arial"/>
                <w:sz w:val="18"/>
                <w:szCs w:val="18"/>
                <w:b w:val="1"/>
                <w:bCs w:val="1"/>
                <w:i w:val="1"/>
                <w:iCs w:val="1"/>
                <w:color w:val="auto"/>
                <w:w w:val="89"/>
              </w:rPr>
              <w:t>(In millions)</w:t>
            </w:r>
          </w:p>
        </w:tc>
        <w:tc>
          <w:tcPr>
            <w:tcW w:w="2540" w:type="dxa"/>
            <w:vAlign w:val="bottom"/>
            <w:tcBorders>
              <w:bottom w:val="single" w:sz="8" w:color="C0C0C0"/>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w w:val="94"/>
              </w:rPr>
              <w:t>2010</w:t>
            </w:r>
          </w:p>
        </w:tc>
        <w:tc>
          <w:tcPr>
            <w:tcW w:w="120" w:type="dxa"/>
            <w:vAlign w:val="bottom"/>
            <w:tcBorders>
              <w:bottom w:val="single" w:sz="8" w:color="C0C0C0"/>
            </w:tcBorders>
          </w:tcPr>
          <w:p>
            <w:pPr>
              <w:spacing w:after="0"/>
              <w:rPr>
                <w:sz w:val="21"/>
                <w:szCs w:val="21"/>
                <w:color w:val="auto"/>
              </w:rPr>
            </w:pPr>
          </w:p>
        </w:tc>
        <w:tc>
          <w:tcPr>
            <w:tcW w:w="140" w:type="dxa"/>
            <w:vAlign w:val="bottom"/>
            <w:tcBorders>
              <w:bottom w:val="single" w:sz="8" w:color="C0C0C0"/>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b w:val="1"/>
                <w:bCs w:val="1"/>
                <w:color w:val="auto"/>
                <w:w w:val="84"/>
              </w:rPr>
              <w:t>2009</w:t>
            </w:r>
          </w:p>
        </w:tc>
        <w:tc>
          <w:tcPr>
            <w:tcW w:w="280" w:type="dxa"/>
            <w:vAlign w:val="bottom"/>
            <w:tcBorders>
              <w:bottom w:val="single" w:sz="8" w:color="C0C0C0"/>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w w:val="99"/>
              </w:rPr>
              <w:t>2010</w:t>
            </w:r>
          </w:p>
        </w:tc>
        <w:tc>
          <w:tcPr>
            <w:tcW w:w="260" w:type="dxa"/>
            <w:vAlign w:val="bottom"/>
            <w:tcBorders>
              <w:bottom w:val="single" w:sz="8" w:color="C0C0C0"/>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w w:val="89"/>
              </w:rPr>
              <w:t>2009</w:t>
            </w:r>
          </w:p>
        </w:tc>
      </w:tr>
      <w:tr>
        <w:trPr>
          <w:trHeight w:val="243"/>
        </w:trPr>
        <w:tc>
          <w:tcPr>
            <w:tcW w:w="5080" w:type="dxa"/>
            <w:vAlign w:val="bottom"/>
            <w:shd w:val="clear" w:color="auto" w:fill="C0C0C0"/>
          </w:tcPr>
          <w:p>
            <w:pPr>
              <w:jc w:val="right"/>
              <w:ind w:right="3412"/>
              <w:spacing w:after="0"/>
              <w:rPr>
                <w:sz w:val="20"/>
                <w:szCs w:val="20"/>
                <w:color w:val="auto"/>
              </w:rPr>
            </w:pPr>
            <w:r>
              <w:rPr>
                <w:rFonts w:ascii="Arial" w:cs="Arial" w:eastAsia="Arial" w:hAnsi="Arial"/>
                <w:sz w:val="18"/>
                <w:szCs w:val="18"/>
                <w:color w:val="auto"/>
                <w:w w:val="88"/>
              </w:rPr>
              <w:t>Collaboration revenue</w:t>
            </w:r>
          </w:p>
        </w:tc>
        <w:tc>
          <w:tcPr>
            <w:tcW w:w="254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58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180" w:type="dxa"/>
            <w:vAlign w:val="bottom"/>
            <w:shd w:val="clear" w:color="auto" w:fill="C0C0C0"/>
          </w:tcPr>
          <w:p>
            <w:pPr>
              <w:spacing w:after="0"/>
              <w:rPr>
                <w:sz w:val="21"/>
                <w:szCs w:val="21"/>
                <w:color w:val="auto"/>
              </w:rPr>
            </w:pPr>
          </w:p>
        </w:tc>
        <w:tc>
          <w:tcPr>
            <w:tcW w:w="520" w:type="dxa"/>
            <w:vAlign w:val="bottom"/>
            <w:shd w:val="clear" w:color="auto" w:fill="C0C0C0"/>
          </w:tcPr>
          <w:p>
            <w:pPr>
              <w:spacing w:after="0"/>
              <w:rPr>
                <w:sz w:val="21"/>
                <w:szCs w:val="21"/>
                <w:color w:val="auto"/>
              </w:rPr>
            </w:pPr>
          </w:p>
        </w:tc>
        <w:tc>
          <w:tcPr>
            <w:tcW w:w="280" w:type="dxa"/>
            <w:vAlign w:val="bottom"/>
            <w:shd w:val="clear" w:color="auto" w:fill="C0C0C0"/>
          </w:tcPr>
          <w:p>
            <w:pPr>
              <w:spacing w:after="0"/>
              <w:rPr>
                <w:sz w:val="21"/>
                <w:szCs w:val="21"/>
                <w:color w:val="auto"/>
              </w:rPr>
            </w:pPr>
          </w:p>
        </w:tc>
        <w:tc>
          <w:tcPr>
            <w:tcW w:w="160" w:type="dxa"/>
            <w:vAlign w:val="bottom"/>
            <w:shd w:val="clear" w:color="auto" w:fill="C0C0C0"/>
          </w:tcPr>
          <w:p>
            <w:pPr>
              <w:spacing w:after="0"/>
              <w:rPr>
                <w:sz w:val="21"/>
                <w:szCs w:val="21"/>
                <w:color w:val="auto"/>
              </w:rPr>
            </w:pPr>
          </w:p>
        </w:tc>
        <w:tc>
          <w:tcPr>
            <w:tcW w:w="64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600" w:type="dxa"/>
            <w:vAlign w:val="bottom"/>
            <w:shd w:val="clear" w:color="auto" w:fill="C0C0C0"/>
          </w:tcPr>
          <w:p>
            <w:pPr>
              <w:spacing w:after="0"/>
              <w:rPr>
                <w:sz w:val="21"/>
                <w:szCs w:val="21"/>
                <w:color w:val="auto"/>
              </w:rPr>
            </w:pPr>
          </w:p>
        </w:tc>
      </w:tr>
      <w:tr>
        <w:trPr>
          <w:trHeight w:val="235"/>
        </w:trPr>
        <w:tc>
          <w:tcPr>
            <w:tcW w:w="5080" w:type="dxa"/>
            <w:vAlign w:val="bottom"/>
          </w:tcPr>
          <w:p>
            <w:pPr>
              <w:jc w:val="right"/>
              <w:ind w:right="3672"/>
              <w:spacing w:after="0"/>
              <w:rPr>
                <w:sz w:val="20"/>
                <w:szCs w:val="20"/>
                <w:color w:val="auto"/>
              </w:rPr>
            </w:pPr>
            <w:r>
              <w:rPr>
                <w:rFonts w:ascii="Arial" w:cs="Arial" w:eastAsia="Arial" w:hAnsi="Arial"/>
                <w:sz w:val="18"/>
                <w:szCs w:val="18"/>
                <w:color w:val="auto"/>
              </w:rPr>
              <w:t>Sanofi-aventis</w:t>
            </w:r>
          </w:p>
        </w:tc>
        <w:tc>
          <w:tcPr>
            <w:tcW w:w="2660" w:type="dxa"/>
            <w:vAlign w:val="bottom"/>
            <w:gridSpan w:val="2"/>
          </w:tcPr>
          <w:p>
            <w:pPr>
              <w:ind w:left="2540"/>
              <w:spacing w:after="0"/>
              <w:rPr>
                <w:sz w:val="20"/>
                <w:szCs w:val="20"/>
                <w:color w:val="auto"/>
              </w:rPr>
            </w:pPr>
            <w:r>
              <w:rPr>
                <w:rFonts w:ascii="Arial" w:cs="Arial" w:eastAsia="Arial" w:hAnsi="Arial"/>
                <w:sz w:val="18"/>
                <w:szCs w:val="18"/>
                <w:color w:val="auto"/>
                <w:w w:val="99"/>
              </w:rPr>
              <w:t>$</w:t>
            </w: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84.9</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rPr>
              <w:t>60.7</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153.6</w:t>
            </w:r>
          </w:p>
        </w:tc>
        <w:tc>
          <w:tcPr>
            <w:tcW w:w="260" w:type="dxa"/>
            <w:vAlign w:val="bottom"/>
          </w:tcPr>
          <w:p>
            <w:pPr>
              <w:spacing w:after="0"/>
              <w:rPr>
                <w:sz w:val="20"/>
                <w:szCs w:val="20"/>
                <w:color w:val="auto"/>
              </w:rPr>
            </w:pP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110.4</w:t>
            </w:r>
          </w:p>
        </w:tc>
      </w:tr>
      <w:tr>
        <w:trPr>
          <w:trHeight w:val="243"/>
        </w:trPr>
        <w:tc>
          <w:tcPr>
            <w:tcW w:w="5080" w:type="dxa"/>
            <w:vAlign w:val="bottom"/>
            <w:shd w:val="clear" w:color="auto" w:fill="C0C0C0"/>
          </w:tcPr>
          <w:p>
            <w:pPr>
              <w:jc w:val="right"/>
              <w:ind w:right="3412"/>
              <w:spacing w:after="0"/>
              <w:rPr>
                <w:sz w:val="20"/>
                <w:szCs w:val="20"/>
                <w:color w:val="auto"/>
              </w:rPr>
            </w:pPr>
            <w:r>
              <w:rPr>
                <w:rFonts w:ascii="Arial" w:cs="Arial" w:eastAsia="Arial" w:hAnsi="Arial"/>
                <w:sz w:val="18"/>
                <w:szCs w:val="18"/>
                <w:color w:val="auto"/>
              </w:rPr>
              <w:t>Bayer HealthCare</w:t>
            </w:r>
          </w:p>
        </w:tc>
        <w:tc>
          <w:tcPr>
            <w:tcW w:w="254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5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13.7</w:t>
            </w:r>
          </w:p>
        </w:tc>
        <w:tc>
          <w:tcPr>
            <w:tcW w:w="12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180" w:type="dxa"/>
            <w:vAlign w:val="bottom"/>
            <w:shd w:val="clear" w:color="auto" w:fill="C0C0C0"/>
          </w:tcPr>
          <w:p>
            <w:pPr>
              <w:spacing w:after="0"/>
              <w:rPr>
                <w:sz w:val="21"/>
                <w:szCs w:val="21"/>
                <w:color w:val="auto"/>
              </w:rPr>
            </w:pPr>
          </w:p>
        </w:tc>
        <w:tc>
          <w:tcPr>
            <w:tcW w:w="800" w:type="dxa"/>
            <w:vAlign w:val="bottom"/>
            <w:gridSpan w:val="2"/>
            <w:shd w:val="clear" w:color="auto" w:fill="C0C0C0"/>
          </w:tcPr>
          <w:p>
            <w:pPr>
              <w:jc w:val="right"/>
              <w:ind w:right="280"/>
              <w:spacing w:after="0"/>
              <w:rPr>
                <w:sz w:val="20"/>
                <w:szCs w:val="20"/>
                <w:color w:val="auto"/>
              </w:rPr>
            </w:pPr>
            <w:r>
              <w:rPr>
                <w:rFonts w:ascii="Arial" w:cs="Arial" w:eastAsia="Arial" w:hAnsi="Arial"/>
                <w:sz w:val="18"/>
                <w:szCs w:val="18"/>
                <w:color w:val="auto"/>
              </w:rPr>
              <w:t>12.8</w:t>
            </w:r>
          </w:p>
        </w:tc>
        <w:tc>
          <w:tcPr>
            <w:tcW w:w="160" w:type="dxa"/>
            <w:vAlign w:val="bottom"/>
            <w:shd w:val="clear" w:color="auto" w:fill="C0C0C0"/>
          </w:tcPr>
          <w:p>
            <w:pPr>
              <w:spacing w:after="0"/>
              <w:rPr>
                <w:sz w:val="21"/>
                <w:szCs w:val="21"/>
                <w:color w:val="auto"/>
              </w:rPr>
            </w:pPr>
          </w:p>
        </w:tc>
        <w:tc>
          <w:tcPr>
            <w:tcW w:w="6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26.7</w:t>
            </w:r>
          </w:p>
        </w:tc>
        <w:tc>
          <w:tcPr>
            <w:tcW w:w="26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6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22.8</w:t>
            </w:r>
          </w:p>
        </w:tc>
      </w:tr>
      <w:tr>
        <w:trPr>
          <w:trHeight w:val="21"/>
        </w:trPr>
        <w:tc>
          <w:tcPr>
            <w:tcW w:w="508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r>
      <w:tr>
        <w:trPr>
          <w:trHeight w:val="242"/>
        </w:trPr>
        <w:tc>
          <w:tcPr>
            <w:tcW w:w="5080" w:type="dxa"/>
            <w:vAlign w:val="bottom"/>
          </w:tcPr>
          <w:p>
            <w:pPr>
              <w:jc w:val="right"/>
              <w:ind w:right="2432"/>
              <w:spacing w:after="0"/>
              <w:rPr>
                <w:sz w:val="20"/>
                <w:szCs w:val="20"/>
                <w:color w:val="auto"/>
              </w:rPr>
            </w:pPr>
            <w:r>
              <w:rPr>
                <w:rFonts w:ascii="Arial" w:cs="Arial" w:eastAsia="Arial" w:hAnsi="Arial"/>
                <w:sz w:val="18"/>
                <w:szCs w:val="18"/>
                <w:color w:val="auto"/>
              </w:rPr>
              <w:t>Total collaboration revenue</w:t>
            </w:r>
          </w:p>
        </w:tc>
        <w:tc>
          <w:tcPr>
            <w:tcW w:w="2660" w:type="dxa"/>
            <w:vAlign w:val="bottom"/>
            <w:gridSpan w:val="2"/>
          </w:tcPr>
          <w:p>
            <w:pPr>
              <w:ind w:left="2540"/>
              <w:spacing w:after="0"/>
              <w:rPr>
                <w:sz w:val="20"/>
                <w:szCs w:val="20"/>
                <w:color w:val="auto"/>
              </w:rPr>
            </w:pPr>
            <w:r>
              <w:rPr>
                <w:rFonts w:ascii="Arial" w:cs="Arial" w:eastAsia="Arial" w:hAnsi="Arial"/>
                <w:sz w:val="18"/>
                <w:szCs w:val="18"/>
                <w:color w:val="auto"/>
                <w:w w:val="99"/>
              </w:rPr>
              <w:t>$</w:t>
            </w: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98.6</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rPr>
              <w:t>73.5</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180.3</w:t>
            </w:r>
          </w:p>
        </w:tc>
        <w:tc>
          <w:tcPr>
            <w:tcW w:w="260" w:type="dxa"/>
            <w:vAlign w:val="bottom"/>
          </w:tcPr>
          <w:p>
            <w:pPr>
              <w:spacing w:after="0"/>
              <w:rPr>
                <w:sz w:val="21"/>
                <w:szCs w:val="21"/>
                <w:color w:val="auto"/>
              </w:rPr>
            </w:pP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133.2</w:t>
            </w:r>
          </w:p>
        </w:tc>
      </w:tr>
      <w:tr>
        <w:trPr>
          <w:trHeight w:val="28"/>
        </w:trPr>
        <w:tc>
          <w:tcPr>
            <w:tcW w:w="5080" w:type="dxa"/>
            <w:vAlign w:val="bottom"/>
          </w:tcPr>
          <w:p>
            <w:pPr>
              <w:spacing w:after="0"/>
              <w:rPr>
                <w:sz w:val="2"/>
                <w:szCs w:val="2"/>
                <w:color w:val="auto"/>
              </w:rPr>
            </w:pPr>
          </w:p>
        </w:tc>
        <w:tc>
          <w:tcPr>
            <w:tcW w:w="25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r>
    </w:tbl>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For the three and six months ended June 30, 2010 and 2009, collaboration revenue from sanofi-aventis consisted of the following:</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20" w:type="dxa"/>
            <w:vAlign w:val="bottom"/>
            <w:gridSpan w:val="5"/>
          </w:tcPr>
          <w:p>
            <w:pPr>
              <w:spacing w:after="0"/>
              <w:rPr>
                <w:sz w:val="20"/>
                <w:szCs w:val="20"/>
                <w:color w:val="auto"/>
              </w:rPr>
            </w:pPr>
            <w:r>
              <w:rPr>
                <w:rFonts w:ascii="Arial" w:cs="Arial" w:eastAsia="Arial" w:hAnsi="Arial"/>
                <w:sz w:val="18"/>
                <w:szCs w:val="18"/>
                <w:b w:val="1"/>
                <w:bCs w:val="1"/>
                <w:color w:val="auto"/>
              </w:rPr>
              <w:t>Three months ended</w:t>
            </w:r>
          </w:p>
        </w:tc>
        <w:tc>
          <w:tcPr>
            <w:tcW w:w="140" w:type="dxa"/>
            <w:vAlign w:val="bottom"/>
          </w:tcPr>
          <w:p>
            <w:pPr>
              <w:spacing w:after="0"/>
              <w:rPr>
                <w:sz w:val="19"/>
                <w:szCs w:val="19"/>
                <w:color w:val="auto"/>
              </w:rPr>
            </w:pPr>
          </w:p>
        </w:tc>
        <w:tc>
          <w:tcPr>
            <w:tcW w:w="1540" w:type="dxa"/>
            <w:vAlign w:val="bottom"/>
            <w:gridSpan w:val="5"/>
          </w:tcPr>
          <w:p>
            <w:pPr>
              <w:jc w:val="right"/>
              <w:ind w:right="92"/>
              <w:spacing w:after="0"/>
              <w:rPr>
                <w:sz w:val="20"/>
                <w:szCs w:val="20"/>
                <w:color w:val="auto"/>
              </w:rPr>
            </w:pPr>
            <w:r>
              <w:rPr>
                <w:rFonts w:ascii="Arial" w:cs="Arial" w:eastAsia="Arial" w:hAnsi="Arial"/>
                <w:sz w:val="18"/>
                <w:szCs w:val="18"/>
                <w:b w:val="1"/>
                <w:bCs w:val="1"/>
                <w:color w:val="auto"/>
                <w:w w:val="86"/>
              </w:rPr>
              <w:t>Six months ended</w:t>
            </w:r>
          </w:p>
        </w:tc>
        <w:tc>
          <w:tcPr>
            <w:tcW w:w="0" w:type="dxa"/>
            <w:vAlign w:val="bottom"/>
          </w:tcPr>
          <w:p>
            <w:pPr>
              <w:spacing w:after="0"/>
              <w:rPr>
                <w:sz w:val="1"/>
                <w:szCs w:val="1"/>
                <w:color w:val="auto"/>
              </w:rPr>
            </w:pPr>
          </w:p>
        </w:tc>
      </w:tr>
      <w:tr>
        <w:trPr>
          <w:trHeight w:val="252"/>
        </w:trPr>
        <w:tc>
          <w:tcPr>
            <w:tcW w:w="77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560" w:type="dxa"/>
            <w:vAlign w:val="bottom"/>
            <w:tcBorders>
              <w:bottom w:val="single" w:sz="8" w:color="auto"/>
            </w:tcBorders>
          </w:tcPr>
          <w:p>
            <w:pPr>
              <w:spacing w:after="0"/>
              <w:rPr>
                <w:sz w:val="21"/>
                <w:szCs w:val="21"/>
                <w:color w:val="auto"/>
              </w:rPr>
            </w:pPr>
          </w:p>
        </w:tc>
        <w:tc>
          <w:tcPr>
            <w:tcW w:w="26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June 30,</w:t>
            </w:r>
          </w:p>
        </w:tc>
        <w:tc>
          <w:tcPr>
            <w:tcW w:w="5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700" w:type="dxa"/>
            <w:vAlign w:val="bottom"/>
            <w:tcBorders>
              <w:bottom w:val="single" w:sz="8" w:color="C0C0C0"/>
            </w:tcBorders>
          </w:tcPr>
          <w:p>
            <w:pPr>
              <w:spacing w:after="0"/>
              <w:rPr>
                <w:sz w:val="20"/>
                <w:szCs w:val="20"/>
                <w:color w:val="auto"/>
              </w:rPr>
            </w:pPr>
            <w:r>
              <w:rPr>
                <w:rFonts w:ascii="Arial" w:cs="Arial" w:eastAsia="Arial" w:hAnsi="Arial"/>
                <w:sz w:val="18"/>
                <w:szCs w:val="18"/>
                <w:b w:val="1"/>
                <w:bCs w:val="1"/>
                <w:i w:val="1"/>
                <w:iCs w:val="1"/>
                <w:color w:val="auto"/>
              </w:rPr>
              <w:t>(In millions)</w:t>
            </w:r>
          </w:p>
        </w:tc>
        <w:tc>
          <w:tcPr>
            <w:tcW w:w="1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rPr>
              <w:t>2010</w:t>
            </w:r>
          </w:p>
        </w:tc>
        <w:tc>
          <w:tcPr>
            <w:tcW w:w="280" w:type="dxa"/>
            <w:vAlign w:val="bottom"/>
            <w:tcBorders>
              <w:bottom w:val="single" w:sz="8" w:color="C0C0C0"/>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w w:val="89"/>
              </w:rPr>
              <w:t>2009</w:t>
            </w:r>
          </w:p>
        </w:tc>
        <w:tc>
          <w:tcPr>
            <w:tcW w:w="260" w:type="dxa"/>
            <w:vAlign w:val="bottom"/>
            <w:tcBorders>
              <w:bottom w:val="single" w:sz="8" w:color="C0C0C0"/>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b w:val="1"/>
                <w:bCs w:val="1"/>
                <w:color w:val="auto"/>
                <w:w w:val="94"/>
              </w:rPr>
              <w:t>2010</w:t>
            </w:r>
          </w:p>
        </w:tc>
        <w:tc>
          <w:tcPr>
            <w:tcW w:w="140" w:type="dxa"/>
            <w:vAlign w:val="bottom"/>
            <w:tcBorders>
              <w:bottom w:val="single" w:sz="8" w:color="C0C0C0"/>
            </w:tcBorders>
          </w:tcPr>
          <w:p>
            <w:pPr>
              <w:spacing w:after="0"/>
              <w:rPr>
                <w:sz w:val="20"/>
                <w:szCs w:val="20"/>
                <w:color w:val="auto"/>
              </w:rPr>
            </w:pPr>
          </w:p>
        </w:tc>
        <w:tc>
          <w:tcPr>
            <w:tcW w:w="140" w:type="dxa"/>
            <w:vAlign w:val="bottom"/>
            <w:tcBorders>
              <w:bottom w:val="single" w:sz="8" w:color="C0C0C0"/>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w w:val="79"/>
              </w:rPr>
              <w:t>2009</w:t>
            </w:r>
          </w:p>
        </w:tc>
        <w:tc>
          <w:tcPr>
            <w:tcW w:w="0" w:type="dxa"/>
            <w:vAlign w:val="bottom"/>
          </w:tcPr>
          <w:p>
            <w:pPr>
              <w:spacing w:after="0"/>
              <w:rPr>
                <w:sz w:val="1"/>
                <w:szCs w:val="1"/>
                <w:color w:val="auto"/>
              </w:rPr>
            </w:pPr>
          </w:p>
        </w:tc>
      </w:tr>
      <w:tr>
        <w:trPr>
          <w:trHeight w:val="243"/>
        </w:trPr>
        <w:tc>
          <w:tcPr>
            <w:tcW w:w="7700" w:type="dxa"/>
            <w:vAlign w:val="bottom"/>
            <w:shd w:val="clear" w:color="auto" w:fill="C0C0C0"/>
          </w:tcPr>
          <w:p>
            <w:pPr>
              <w:spacing w:after="0"/>
              <w:rPr>
                <w:sz w:val="20"/>
                <w:szCs w:val="20"/>
                <w:color w:val="auto"/>
              </w:rPr>
            </w:pPr>
            <w:r>
              <w:rPr>
                <w:rFonts w:ascii="Arial" w:cs="Arial" w:eastAsia="Arial" w:hAnsi="Arial"/>
                <w:sz w:val="18"/>
                <w:szCs w:val="18"/>
                <w:color w:val="auto"/>
              </w:rPr>
              <w:t>Aflibercept:</w:t>
            </w:r>
          </w:p>
        </w:tc>
        <w:tc>
          <w:tcPr>
            <w:tcW w:w="120" w:type="dxa"/>
            <w:vAlign w:val="bottom"/>
            <w:shd w:val="clear" w:color="auto" w:fill="C0C0C0"/>
          </w:tcPr>
          <w:p>
            <w:pPr>
              <w:spacing w:after="0"/>
              <w:rPr>
                <w:sz w:val="21"/>
                <w:szCs w:val="21"/>
                <w:color w:val="auto"/>
              </w:rPr>
            </w:pPr>
          </w:p>
        </w:tc>
        <w:tc>
          <w:tcPr>
            <w:tcW w:w="680" w:type="dxa"/>
            <w:vAlign w:val="bottom"/>
            <w:shd w:val="clear" w:color="auto" w:fill="C0C0C0"/>
          </w:tcPr>
          <w:p>
            <w:pPr>
              <w:spacing w:after="0"/>
              <w:rPr>
                <w:sz w:val="21"/>
                <w:szCs w:val="21"/>
                <w:color w:val="auto"/>
              </w:rPr>
            </w:pPr>
          </w:p>
        </w:tc>
        <w:tc>
          <w:tcPr>
            <w:tcW w:w="28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56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56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180" w:type="dxa"/>
            <w:vAlign w:val="bottom"/>
            <w:shd w:val="clear" w:color="auto" w:fill="C0C0C0"/>
          </w:tcPr>
          <w:p>
            <w:pPr>
              <w:spacing w:after="0"/>
              <w:rPr>
                <w:sz w:val="21"/>
                <w:szCs w:val="21"/>
                <w:color w:val="auto"/>
              </w:rPr>
            </w:pPr>
          </w:p>
        </w:tc>
        <w:tc>
          <w:tcPr>
            <w:tcW w:w="520" w:type="dxa"/>
            <w:vAlign w:val="bottom"/>
            <w:shd w:val="clear" w:color="auto" w:fill="C0C0C0"/>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7700" w:type="dxa"/>
            <w:vAlign w:val="bottom"/>
          </w:tcPr>
          <w:p>
            <w:pPr>
              <w:ind w:left="320"/>
              <w:spacing w:after="0"/>
              <w:rPr>
                <w:sz w:val="20"/>
                <w:szCs w:val="20"/>
                <w:color w:val="auto"/>
              </w:rPr>
            </w:pPr>
            <w:r>
              <w:rPr>
                <w:rFonts w:ascii="Arial" w:cs="Arial" w:eastAsia="Arial" w:hAnsi="Arial"/>
                <w:sz w:val="18"/>
                <w:szCs w:val="18"/>
                <w:color w:val="auto"/>
              </w:rPr>
              <w:t>Regeneron expense reimbursement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3.8</w:t>
            </w:r>
          </w:p>
        </w:tc>
        <w:tc>
          <w:tcPr>
            <w:tcW w:w="28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9.2</w:t>
            </w:r>
          </w:p>
        </w:tc>
        <w:tc>
          <w:tcPr>
            <w:tcW w:w="26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8.7</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51"/>
        </w:trPr>
        <w:tc>
          <w:tcPr>
            <w:tcW w:w="7700" w:type="dxa"/>
            <w:vAlign w:val="bottom"/>
            <w:shd w:val="clear" w:color="auto" w:fill="C0C0C0"/>
          </w:tcPr>
          <w:p>
            <w:pPr>
              <w:ind w:left="320"/>
              <w:spacing w:after="0"/>
              <w:rPr>
                <w:sz w:val="20"/>
                <w:szCs w:val="20"/>
                <w:color w:val="auto"/>
              </w:rPr>
            </w:pPr>
            <w:r>
              <w:rPr>
                <w:rFonts w:ascii="Arial" w:cs="Arial" w:eastAsia="Arial" w:hAnsi="Arial"/>
                <w:sz w:val="18"/>
                <w:szCs w:val="18"/>
                <w:color w:val="auto"/>
              </w:rPr>
              <w:t>Recognition of deferred revenue related to up-front payments</w:t>
            </w:r>
          </w:p>
        </w:tc>
        <w:tc>
          <w:tcPr>
            <w:tcW w:w="120" w:type="dxa"/>
            <w:vAlign w:val="bottom"/>
            <w:shd w:val="clear" w:color="auto" w:fill="C0C0C0"/>
          </w:tcPr>
          <w:p>
            <w:pPr>
              <w:spacing w:after="0"/>
              <w:rPr>
                <w:sz w:val="21"/>
                <w:szCs w:val="21"/>
                <w:color w:val="auto"/>
              </w:rPr>
            </w:pPr>
          </w:p>
        </w:tc>
        <w:tc>
          <w:tcPr>
            <w:tcW w:w="6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2.5</w:t>
            </w:r>
          </w:p>
        </w:tc>
        <w:tc>
          <w:tcPr>
            <w:tcW w:w="28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5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2.5</w:t>
            </w:r>
          </w:p>
        </w:tc>
        <w:tc>
          <w:tcPr>
            <w:tcW w:w="26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700" w:type="dxa"/>
            <w:vAlign w:val="bottom"/>
            <w:gridSpan w:val="2"/>
            <w:shd w:val="clear" w:color="auto" w:fill="C0C0C0"/>
          </w:tcPr>
          <w:p>
            <w:pPr>
              <w:jc w:val="right"/>
              <w:ind w:right="140"/>
              <w:spacing w:after="0"/>
              <w:rPr>
                <w:sz w:val="20"/>
                <w:szCs w:val="20"/>
                <w:color w:val="auto"/>
              </w:rPr>
            </w:pPr>
            <w:r>
              <w:rPr>
                <w:rFonts w:ascii="Arial" w:cs="Arial" w:eastAsia="Arial" w:hAnsi="Arial"/>
                <w:sz w:val="18"/>
                <w:szCs w:val="18"/>
                <w:color w:val="auto"/>
              </w:rPr>
              <w:t>5.0</w:t>
            </w:r>
          </w:p>
        </w:tc>
        <w:tc>
          <w:tcPr>
            <w:tcW w:w="140" w:type="dxa"/>
            <w:vAlign w:val="bottom"/>
            <w:shd w:val="clear" w:color="auto" w:fill="C0C0C0"/>
          </w:tcPr>
          <w:p>
            <w:pPr>
              <w:spacing w:after="0"/>
              <w:rPr>
                <w:sz w:val="21"/>
                <w:szCs w:val="21"/>
                <w:color w:val="auto"/>
              </w:rPr>
            </w:pPr>
          </w:p>
        </w:tc>
        <w:tc>
          <w:tcPr>
            <w:tcW w:w="180" w:type="dxa"/>
            <w:vAlign w:val="bottom"/>
            <w:shd w:val="clear" w:color="auto" w:fill="C0C0C0"/>
          </w:tcPr>
          <w:p>
            <w:pPr>
              <w:spacing w:after="0"/>
              <w:rPr>
                <w:sz w:val="21"/>
                <w:szCs w:val="21"/>
                <w:color w:val="auto"/>
              </w:rPr>
            </w:pPr>
          </w:p>
        </w:tc>
        <w:tc>
          <w:tcPr>
            <w:tcW w:w="5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0"/>
        </w:trPr>
        <w:tc>
          <w:tcPr>
            <w:tcW w:w="7700" w:type="dxa"/>
            <w:vAlign w:val="bottom"/>
            <w:vMerge w:val="restart"/>
          </w:tcPr>
          <w:p>
            <w:pPr>
              <w:ind w:left="620"/>
              <w:spacing w:after="0"/>
              <w:rPr>
                <w:sz w:val="20"/>
                <w:szCs w:val="20"/>
                <w:color w:val="auto"/>
              </w:rPr>
            </w:pPr>
            <w:r>
              <w:rPr>
                <w:rFonts w:ascii="Arial" w:cs="Arial" w:eastAsia="Arial" w:hAnsi="Arial"/>
                <w:sz w:val="18"/>
                <w:szCs w:val="18"/>
                <w:color w:val="auto"/>
              </w:rPr>
              <w:t>Total aflibercept</w:t>
            </w: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70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6.3</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11.7</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13.7</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30"/>
        </w:trPr>
        <w:tc>
          <w:tcPr>
            <w:tcW w:w="7700" w:type="dxa"/>
            <w:vAlign w:val="bottom"/>
            <w:tcBorders>
              <w:top w:val="single" w:sz="8" w:color="C0C0C0"/>
            </w:tcBorders>
            <w:shd w:val="clear" w:color="auto" w:fill="C0C0C0"/>
          </w:tcPr>
          <w:p>
            <w:pPr>
              <w:spacing w:after="0"/>
              <w:rPr>
                <w:sz w:val="20"/>
                <w:szCs w:val="20"/>
                <w:color w:val="auto"/>
              </w:rPr>
            </w:pPr>
            <w:r>
              <w:rPr>
                <w:rFonts w:ascii="Arial" w:cs="Arial" w:eastAsia="Arial" w:hAnsi="Arial"/>
                <w:sz w:val="18"/>
                <w:szCs w:val="18"/>
                <w:color w:val="auto"/>
              </w:rPr>
              <w:t>Antibody:</w:t>
            </w:r>
          </w:p>
        </w:tc>
        <w:tc>
          <w:tcPr>
            <w:tcW w:w="120" w:type="dxa"/>
            <w:vAlign w:val="bottom"/>
            <w:tcBorders>
              <w:top w:val="single" w:sz="8" w:color="auto"/>
            </w:tcBorders>
            <w:shd w:val="clear" w:color="auto" w:fill="C0C0C0"/>
          </w:tcPr>
          <w:p>
            <w:pPr>
              <w:spacing w:after="0"/>
              <w:rPr>
                <w:sz w:val="19"/>
                <w:szCs w:val="19"/>
                <w:color w:val="auto"/>
              </w:rPr>
            </w:pPr>
          </w:p>
        </w:tc>
        <w:tc>
          <w:tcPr>
            <w:tcW w:w="680" w:type="dxa"/>
            <w:vAlign w:val="bottom"/>
            <w:tcBorders>
              <w:top w:val="single" w:sz="8" w:color="auto"/>
            </w:tcBorders>
            <w:shd w:val="clear" w:color="auto" w:fill="C0C0C0"/>
          </w:tcPr>
          <w:p>
            <w:pPr>
              <w:spacing w:after="0"/>
              <w:rPr>
                <w:sz w:val="19"/>
                <w:szCs w:val="19"/>
                <w:color w:val="auto"/>
              </w:rPr>
            </w:pPr>
          </w:p>
        </w:tc>
        <w:tc>
          <w:tcPr>
            <w:tcW w:w="280" w:type="dxa"/>
            <w:vAlign w:val="bottom"/>
            <w:tcBorders>
              <w:top w:val="single" w:sz="8" w:color="C0C0C0"/>
            </w:tcBorders>
            <w:shd w:val="clear" w:color="auto" w:fill="C0C0C0"/>
          </w:tcPr>
          <w:p>
            <w:pPr>
              <w:spacing w:after="0"/>
              <w:rPr>
                <w:sz w:val="19"/>
                <w:szCs w:val="19"/>
                <w:color w:val="auto"/>
              </w:rPr>
            </w:pPr>
          </w:p>
        </w:tc>
        <w:tc>
          <w:tcPr>
            <w:tcW w:w="140" w:type="dxa"/>
            <w:vAlign w:val="bottom"/>
            <w:tcBorders>
              <w:top w:val="single" w:sz="8" w:color="auto"/>
            </w:tcBorders>
            <w:shd w:val="clear" w:color="auto" w:fill="C0C0C0"/>
          </w:tcPr>
          <w:p>
            <w:pPr>
              <w:spacing w:after="0"/>
              <w:rPr>
                <w:sz w:val="19"/>
                <w:szCs w:val="19"/>
                <w:color w:val="auto"/>
              </w:rPr>
            </w:pPr>
          </w:p>
        </w:tc>
        <w:tc>
          <w:tcPr>
            <w:tcW w:w="560" w:type="dxa"/>
            <w:vAlign w:val="bottom"/>
            <w:tcBorders>
              <w:top w:val="single" w:sz="8" w:color="auto"/>
            </w:tcBorders>
            <w:shd w:val="clear" w:color="auto" w:fill="C0C0C0"/>
          </w:tcPr>
          <w:p>
            <w:pPr>
              <w:spacing w:after="0"/>
              <w:rPr>
                <w:sz w:val="19"/>
                <w:szCs w:val="19"/>
                <w:color w:val="auto"/>
              </w:rPr>
            </w:pPr>
          </w:p>
        </w:tc>
        <w:tc>
          <w:tcPr>
            <w:tcW w:w="260" w:type="dxa"/>
            <w:vAlign w:val="bottom"/>
            <w:tcBorders>
              <w:top w:val="single" w:sz="8" w:color="C0C0C0"/>
            </w:tcBorders>
            <w:shd w:val="clear" w:color="auto" w:fill="C0C0C0"/>
          </w:tcPr>
          <w:p>
            <w:pPr>
              <w:spacing w:after="0"/>
              <w:rPr>
                <w:sz w:val="19"/>
                <w:szCs w:val="19"/>
                <w:color w:val="auto"/>
              </w:rPr>
            </w:pPr>
          </w:p>
        </w:tc>
        <w:tc>
          <w:tcPr>
            <w:tcW w:w="140" w:type="dxa"/>
            <w:vAlign w:val="bottom"/>
            <w:tcBorders>
              <w:top w:val="single" w:sz="8" w:color="auto"/>
            </w:tcBorders>
            <w:shd w:val="clear" w:color="auto" w:fill="C0C0C0"/>
          </w:tcPr>
          <w:p>
            <w:pPr>
              <w:spacing w:after="0"/>
              <w:rPr>
                <w:sz w:val="19"/>
                <w:szCs w:val="19"/>
                <w:color w:val="auto"/>
              </w:rPr>
            </w:pPr>
          </w:p>
        </w:tc>
        <w:tc>
          <w:tcPr>
            <w:tcW w:w="560" w:type="dxa"/>
            <w:vAlign w:val="bottom"/>
            <w:tcBorders>
              <w:top w:val="single" w:sz="8" w:color="auto"/>
            </w:tcBorders>
            <w:shd w:val="clear" w:color="auto" w:fill="C0C0C0"/>
          </w:tcPr>
          <w:p>
            <w:pPr>
              <w:spacing w:after="0"/>
              <w:rPr>
                <w:sz w:val="19"/>
                <w:szCs w:val="19"/>
                <w:color w:val="auto"/>
              </w:rPr>
            </w:pPr>
          </w:p>
        </w:tc>
        <w:tc>
          <w:tcPr>
            <w:tcW w:w="140" w:type="dxa"/>
            <w:vAlign w:val="bottom"/>
            <w:tcBorders>
              <w:top w:val="single" w:sz="8" w:color="C0C0C0"/>
            </w:tcBorders>
            <w:shd w:val="clear" w:color="auto" w:fill="C0C0C0"/>
          </w:tcPr>
          <w:p>
            <w:pPr>
              <w:spacing w:after="0"/>
              <w:rPr>
                <w:sz w:val="19"/>
                <w:szCs w:val="19"/>
                <w:color w:val="auto"/>
              </w:rPr>
            </w:pPr>
          </w:p>
        </w:tc>
        <w:tc>
          <w:tcPr>
            <w:tcW w:w="140" w:type="dxa"/>
            <w:vAlign w:val="bottom"/>
            <w:tcBorders>
              <w:top w:val="single" w:sz="8" w:color="C0C0C0"/>
            </w:tcBorders>
            <w:shd w:val="clear" w:color="auto" w:fill="C0C0C0"/>
          </w:tcPr>
          <w:p>
            <w:pPr>
              <w:spacing w:after="0"/>
              <w:rPr>
                <w:sz w:val="19"/>
                <w:szCs w:val="19"/>
                <w:color w:val="auto"/>
              </w:rPr>
            </w:pPr>
          </w:p>
        </w:tc>
        <w:tc>
          <w:tcPr>
            <w:tcW w:w="180" w:type="dxa"/>
            <w:vAlign w:val="bottom"/>
            <w:tcBorders>
              <w:top w:val="single" w:sz="8" w:color="auto"/>
            </w:tcBorders>
            <w:shd w:val="clear" w:color="auto" w:fill="C0C0C0"/>
          </w:tcPr>
          <w:p>
            <w:pPr>
              <w:spacing w:after="0"/>
              <w:rPr>
                <w:sz w:val="19"/>
                <w:szCs w:val="19"/>
                <w:color w:val="auto"/>
              </w:rPr>
            </w:pPr>
          </w:p>
        </w:tc>
        <w:tc>
          <w:tcPr>
            <w:tcW w:w="520" w:type="dxa"/>
            <w:vAlign w:val="bottom"/>
            <w:tcBorders>
              <w:top w:val="single" w:sz="8" w:color="auto"/>
            </w:tcBorders>
            <w:shd w:val="clear" w:color="auto" w:fill="C0C0C0"/>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7700" w:type="dxa"/>
            <w:vAlign w:val="bottom"/>
          </w:tcPr>
          <w:p>
            <w:pPr>
              <w:ind w:left="320"/>
              <w:spacing w:after="0"/>
              <w:rPr>
                <w:sz w:val="20"/>
                <w:szCs w:val="20"/>
                <w:color w:val="auto"/>
              </w:rPr>
            </w:pPr>
            <w:r>
              <w:rPr>
                <w:rFonts w:ascii="Arial" w:cs="Arial" w:eastAsia="Arial" w:hAnsi="Arial"/>
                <w:sz w:val="18"/>
                <w:szCs w:val="18"/>
                <w:color w:val="auto"/>
              </w:rPr>
              <w:t>Regeneron expense reimbursement</w:t>
            </w: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76.4</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45.7</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135.8</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84.1</w:t>
            </w:r>
          </w:p>
        </w:tc>
        <w:tc>
          <w:tcPr>
            <w:tcW w:w="0" w:type="dxa"/>
            <w:vAlign w:val="bottom"/>
          </w:tcPr>
          <w:p>
            <w:pPr>
              <w:spacing w:after="0"/>
              <w:rPr>
                <w:sz w:val="1"/>
                <w:szCs w:val="1"/>
                <w:color w:val="auto"/>
              </w:rPr>
            </w:pPr>
          </w:p>
        </w:tc>
      </w:tr>
      <w:tr>
        <w:trPr>
          <w:trHeight w:val="235"/>
        </w:trPr>
        <w:tc>
          <w:tcPr>
            <w:tcW w:w="7700" w:type="dxa"/>
            <w:vAlign w:val="bottom"/>
            <w:shd w:val="clear" w:color="auto" w:fill="C0C0C0"/>
          </w:tcPr>
          <w:p>
            <w:pPr>
              <w:ind w:left="320"/>
              <w:spacing w:after="0"/>
              <w:rPr>
                <w:sz w:val="20"/>
                <w:szCs w:val="20"/>
                <w:color w:val="auto"/>
              </w:rPr>
            </w:pPr>
            <w:r>
              <w:rPr>
                <w:rFonts w:ascii="Arial" w:cs="Arial" w:eastAsia="Arial" w:hAnsi="Arial"/>
                <w:sz w:val="18"/>
                <w:szCs w:val="18"/>
                <w:color w:val="auto"/>
              </w:rPr>
              <w:t>Recognition of deferred revenue related to up-front and other</w:t>
            </w:r>
          </w:p>
        </w:tc>
        <w:tc>
          <w:tcPr>
            <w:tcW w:w="120" w:type="dxa"/>
            <w:vAlign w:val="bottom"/>
            <w:shd w:val="clear" w:color="auto" w:fill="C0C0C0"/>
          </w:tcPr>
          <w:p>
            <w:pPr>
              <w:spacing w:after="0"/>
              <w:rPr>
                <w:sz w:val="20"/>
                <w:szCs w:val="20"/>
                <w:color w:val="auto"/>
              </w:rPr>
            </w:pPr>
          </w:p>
        </w:tc>
        <w:tc>
          <w:tcPr>
            <w:tcW w:w="680" w:type="dxa"/>
            <w:vAlign w:val="bottom"/>
            <w:shd w:val="clear" w:color="auto" w:fill="C0C0C0"/>
          </w:tcPr>
          <w:p>
            <w:pPr>
              <w:spacing w:after="0"/>
              <w:rPr>
                <w:sz w:val="20"/>
                <w:szCs w:val="20"/>
                <w:color w:val="auto"/>
              </w:rPr>
            </w:pPr>
          </w:p>
        </w:tc>
        <w:tc>
          <w:tcPr>
            <w:tcW w:w="280" w:type="dxa"/>
            <w:vAlign w:val="bottom"/>
            <w:shd w:val="clear" w:color="auto" w:fill="C0C0C0"/>
          </w:tcPr>
          <w:p>
            <w:pPr>
              <w:spacing w:after="0"/>
              <w:rPr>
                <w:sz w:val="20"/>
                <w:szCs w:val="20"/>
                <w:color w:val="auto"/>
              </w:rPr>
            </w:pPr>
          </w:p>
        </w:tc>
        <w:tc>
          <w:tcPr>
            <w:tcW w:w="140" w:type="dxa"/>
            <w:vAlign w:val="bottom"/>
            <w:shd w:val="clear" w:color="auto" w:fill="C0C0C0"/>
          </w:tcPr>
          <w:p>
            <w:pPr>
              <w:spacing w:after="0"/>
              <w:rPr>
                <w:sz w:val="20"/>
                <w:szCs w:val="20"/>
                <w:color w:val="auto"/>
              </w:rPr>
            </w:pPr>
          </w:p>
        </w:tc>
        <w:tc>
          <w:tcPr>
            <w:tcW w:w="560" w:type="dxa"/>
            <w:vAlign w:val="bottom"/>
            <w:shd w:val="clear" w:color="auto" w:fill="C0C0C0"/>
          </w:tcPr>
          <w:p>
            <w:pPr>
              <w:spacing w:after="0"/>
              <w:rPr>
                <w:sz w:val="20"/>
                <w:szCs w:val="20"/>
                <w:color w:val="auto"/>
              </w:rPr>
            </w:pPr>
          </w:p>
        </w:tc>
        <w:tc>
          <w:tcPr>
            <w:tcW w:w="260" w:type="dxa"/>
            <w:vAlign w:val="bottom"/>
            <w:shd w:val="clear" w:color="auto" w:fill="C0C0C0"/>
          </w:tcPr>
          <w:p>
            <w:pPr>
              <w:spacing w:after="0"/>
              <w:rPr>
                <w:sz w:val="20"/>
                <w:szCs w:val="20"/>
                <w:color w:val="auto"/>
              </w:rPr>
            </w:pPr>
          </w:p>
        </w:tc>
        <w:tc>
          <w:tcPr>
            <w:tcW w:w="140" w:type="dxa"/>
            <w:vAlign w:val="bottom"/>
            <w:shd w:val="clear" w:color="auto" w:fill="C0C0C0"/>
          </w:tcPr>
          <w:p>
            <w:pPr>
              <w:spacing w:after="0"/>
              <w:rPr>
                <w:sz w:val="20"/>
                <w:szCs w:val="20"/>
                <w:color w:val="auto"/>
              </w:rPr>
            </w:pPr>
          </w:p>
        </w:tc>
        <w:tc>
          <w:tcPr>
            <w:tcW w:w="560" w:type="dxa"/>
            <w:vAlign w:val="bottom"/>
            <w:shd w:val="clear" w:color="auto" w:fill="C0C0C0"/>
          </w:tcPr>
          <w:p>
            <w:pPr>
              <w:spacing w:after="0"/>
              <w:rPr>
                <w:sz w:val="20"/>
                <w:szCs w:val="20"/>
                <w:color w:val="auto"/>
              </w:rPr>
            </w:pPr>
          </w:p>
        </w:tc>
        <w:tc>
          <w:tcPr>
            <w:tcW w:w="140" w:type="dxa"/>
            <w:vAlign w:val="bottom"/>
            <w:shd w:val="clear" w:color="auto" w:fill="C0C0C0"/>
          </w:tcPr>
          <w:p>
            <w:pPr>
              <w:spacing w:after="0"/>
              <w:rPr>
                <w:sz w:val="20"/>
                <w:szCs w:val="20"/>
                <w:color w:val="auto"/>
              </w:rPr>
            </w:pPr>
          </w:p>
        </w:tc>
        <w:tc>
          <w:tcPr>
            <w:tcW w:w="140" w:type="dxa"/>
            <w:vAlign w:val="bottom"/>
            <w:shd w:val="clear" w:color="auto" w:fill="C0C0C0"/>
          </w:tcPr>
          <w:p>
            <w:pPr>
              <w:spacing w:after="0"/>
              <w:rPr>
                <w:sz w:val="20"/>
                <w:szCs w:val="20"/>
                <w:color w:val="auto"/>
              </w:rPr>
            </w:pPr>
          </w:p>
        </w:tc>
        <w:tc>
          <w:tcPr>
            <w:tcW w:w="180" w:type="dxa"/>
            <w:vAlign w:val="bottom"/>
            <w:shd w:val="clear" w:color="auto" w:fill="C0C0C0"/>
          </w:tcPr>
          <w:p>
            <w:pPr>
              <w:spacing w:after="0"/>
              <w:rPr>
                <w:sz w:val="20"/>
                <w:szCs w:val="20"/>
                <w:color w:val="auto"/>
              </w:rPr>
            </w:pPr>
          </w:p>
        </w:tc>
        <w:tc>
          <w:tcPr>
            <w:tcW w:w="520" w:type="dxa"/>
            <w:vAlign w:val="bottom"/>
            <w:shd w:val="clear" w:color="auto" w:fill="C0C0C0"/>
          </w:tcPr>
          <w:p>
            <w:pPr>
              <w:spacing w:after="0"/>
              <w:rPr>
                <w:sz w:val="20"/>
                <w:szCs w:val="20"/>
                <w:color w:val="auto"/>
              </w:rPr>
            </w:pPr>
          </w:p>
        </w:tc>
        <w:tc>
          <w:tcPr>
            <w:tcW w:w="0" w:type="dxa"/>
            <w:vAlign w:val="bottom"/>
          </w:tcPr>
          <w:p>
            <w:pPr>
              <w:spacing w:after="0"/>
              <w:rPr>
                <w:sz w:val="1"/>
                <w:szCs w:val="1"/>
                <w:color w:val="auto"/>
              </w:rPr>
            </w:pPr>
          </w:p>
        </w:tc>
      </w:tr>
      <w:tr>
        <w:trPr>
          <w:trHeight w:val="259"/>
        </w:trPr>
        <w:tc>
          <w:tcPr>
            <w:tcW w:w="7700" w:type="dxa"/>
            <w:vAlign w:val="bottom"/>
            <w:shd w:val="clear" w:color="auto" w:fill="C0C0C0"/>
          </w:tcPr>
          <w:p>
            <w:pPr>
              <w:ind w:left="620"/>
              <w:spacing w:after="0"/>
              <w:rPr>
                <w:sz w:val="20"/>
                <w:szCs w:val="20"/>
                <w:color w:val="auto"/>
              </w:rPr>
            </w:pPr>
            <w:r>
              <w:rPr>
                <w:rFonts w:ascii="Arial" w:cs="Arial" w:eastAsia="Arial" w:hAnsi="Arial"/>
                <w:sz w:val="18"/>
                <w:szCs w:val="18"/>
                <w:color w:val="auto"/>
              </w:rPr>
              <w:t>payments</w:t>
            </w:r>
          </w:p>
        </w:tc>
        <w:tc>
          <w:tcPr>
            <w:tcW w:w="120" w:type="dxa"/>
            <w:vAlign w:val="bottom"/>
            <w:shd w:val="clear" w:color="auto" w:fill="C0C0C0"/>
          </w:tcPr>
          <w:p>
            <w:pPr>
              <w:spacing w:after="0"/>
              <w:rPr>
                <w:sz w:val="22"/>
                <w:szCs w:val="22"/>
                <w:color w:val="auto"/>
              </w:rPr>
            </w:pPr>
          </w:p>
        </w:tc>
        <w:tc>
          <w:tcPr>
            <w:tcW w:w="6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1.8</w:t>
            </w:r>
          </w:p>
        </w:tc>
        <w:tc>
          <w:tcPr>
            <w:tcW w:w="280" w:type="dxa"/>
            <w:vAlign w:val="bottom"/>
            <w:shd w:val="clear" w:color="auto" w:fill="C0C0C0"/>
          </w:tcPr>
          <w:p>
            <w:pPr>
              <w:spacing w:after="0"/>
              <w:rPr>
                <w:sz w:val="22"/>
                <w:szCs w:val="22"/>
                <w:color w:val="auto"/>
              </w:rPr>
            </w:pPr>
          </w:p>
        </w:tc>
        <w:tc>
          <w:tcPr>
            <w:tcW w:w="140" w:type="dxa"/>
            <w:vAlign w:val="bottom"/>
            <w:shd w:val="clear" w:color="auto" w:fill="C0C0C0"/>
          </w:tcPr>
          <w:p>
            <w:pPr>
              <w:spacing w:after="0"/>
              <w:rPr>
                <w:sz w:val="22"/>
                <w:szCs w:val="22"/>
                <w:color w:val="auto"/>
              </w:rPr>
            </w:pPr>
          </w:p>
        </w:tc>
        <w:tc>
          <w:tcPr>
            <w:tcW w:w="5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2.6</w:t>
            </w:r>
          </w:p>
        </w:tc>
        <w:tc>
          <w:tcPr>
            <w:tcW w:w="260" w:type="dxa"/>
            <w:vAlign w:val="bottom"/>
            <w:shd w:val="clear" w:color="auto" w:fill="C0C0C0"/>
          </w:tcPr>
          <w:p>
            <w:pPr>
              <w:spacing w:after="0"/>
              <w:rPr>
                <w:sz w:val="22"/>
                <w:szCs w:val="22"/>
                <w:color w:val="auto"/>
              </w:rPr>
            </w:pPr>
          </w:p>
        </w:tc>
        <w:tc>
          <w:tcPr>
            <w:tcW w:w="140" w:type="dxa"/>
            <w:vAlign w:val="bottom"/>
            <w:shd w:val="clear" w:color="auto" w:fill="C0C0C0"/>
          </w:tcPr>
          <w:p>
            <w:pPr>
              <w:spacing w:after="0"/>
              <w:rPr>
                <w:sz w:val="22"/>
                <w:szCs w:val="22"/>
                <w:color w:val="auto"/>
              </w:rPr>
            </w:pPr>
          </w:p>
        </w:tc>
        <w:tc>
          <w:tcPr>
            <w:tcW w:w="700" w:type="dxa"/>
            <w:vAlign w:val="bottom"/>
            <w:gridSpan w:val="2"/>
            <w:shd w:val="clear" w:color="auto" w:fill="C0C0C0"/>
          </w:tcPr>
          <w:p>
            <w:pPr>
              <w:jc w:val="right"/>
              <w:ind w:right="140"/>
              <w:spacing w:after="0"/>
              <w:rPr>
                <w:sz w:val="20"/>
                <w:szCs w:val="20"/>
                <w:color w:val="auto"/>
              </w:rPr>
            </w:pPr>
            <w:r>
              <w:rPr>
                <w:rFonts w:ascii="Arial" w:cs="Arial" w:eastAsia="Arial" w:hAnsi="Arial"/>
                <w:sz w:val="18"/>
                <w:szCs w:val="18"/>
                <w:color w:val="auto"/>
              </w:rPr>
              <w:t>3.3</w:t>
            </w:r>
          </w:p>
        </w:tc>
        <w:tc>
          <w:tcPr>
            <w:tcW w:w="140" w:type="dxa"/>
            <w:vAlign w:val="bottom"/>
            <w:shd w:val="clear" w:color="auto" w:fill="C0C0C0"/>
          </w:tcPr>
          <w:p>
            <w:pPr>
              <w:spacing w:after="0"/>
              <w:rPr>
                <w:sz w:val="22"/>
                <w:szCs w:val="22"/>
                <w:color w:val="auto"/>
              </w:rPr>
            </w:pPr>
          </w:p>
        </w:tc>
        <w:tc>
          <w:tcPr>
            <w:tcW w:w="180" w:type="dxa"/>
            <w:vAlign w:val="bottom"/>
            <w:shd w:val="clear" w:color="auto" w:fill="C0C0C0"/>
          </w:tcPr>
          <w:p>
            <w:pPr>
              <w:spacing w:after="0"/>
              <w:rPr>
                <w:sz w:val="22"/>
                <w:szCs w:val="22"/>
                <w:color w:val="auto"/>
              </w:rPr>
            </w:pPr>
          </w:p>
        </w:tc>
        <w:tc>
          <w:tcPr>
            <w:tcW w:w="5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49"/>
        </w:trPr>
        <w:tc>
          <w:tcPr>
            <w:tcW w:w="7700" w:type="dxa"/>
            <w:vAlign w:val="bottom"/>
          </w:tcPr>
          <w:p>
            <w:pPr>
              <w:ind w:left="320"/>
              <w:spacing w:after="0"/>
              <w:rPr>
                <w:sz w:val="20"/>
                <w:szCs w:val="20"/>
                <w:color w:val="auto"/>
              </w:rPr>
            </w:pPr>
            <w:r>
              <w:rPr>
                <w:rFonts w:ascii="Arial" w:cs="Arial" w:eastAsia="Arial" w:hAnsi="Arial"/>
                <w:sz w:val="18"/>
                <w:szCs w:val="18"/>
                <w:color w:val="auto"/>
              </w:rPr>
              <w:t xml:space="preserve">Recognition of revenue related to </w:t>
            </w:r>
            <w:r>
              <w:rPr>
                <w:rFonts w:ascii="Arial" w:cs="Arial" w:eastAsia="Arial" w:hAnsi="Arial"/>
                <w:sz w:val="18"/>
                <w:szCs w:val="18"/>
                <w:i w:val="1"/>
                <w:iCs w:val="1"/>
                <w:color w:val="auto"/>
              </w:rPr>
              <w:t>VelociGene</w:t>
            </w:r>
            <w:r>
              <w:rPr>
                <w:rFonts w:ascii="Arial" w:cs="Arial" w:eastAsia="Arial" w:hAnsi="Arial"/>
                <w:sz w:val="12"/>
                <w:szCs w:val="12"/>
                <w:i w:val="1"/>
                <w:iCs w:val="1"/>
                <w:color w:val="auto"/>
              </w:rPr>
              <w:t>®</w:t>
            </w:r>
            <w:r>
              <w:rPr>
                <w:rFonts w:ascii="Arial" w:cs="Arial" w:eastAsia="Arial" w:hAnsi="Arial"/>
                <w:sz w:val="18"/>
                <w:szCs w:val="18"/>
                <w:color w:val="auto"/>
              </w:rPr>
              <w:t xml:space="preserve"> agreement</w:t>
            </w:r>
          </w:p>
        </w:tc>
        <w:tc>
          <w:tcPr>
            <w:tcW w:w="1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0.4</w:t>
            </w:r>
          </w:p>
        </w:tc>
        <w:tc>
          <w:tcPr>
            <w:tcW w:w="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0.7</w:t>
            </w: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0.8</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
        </w:trPr>
        <w:tc>
          <w:tcPr>
            <w:tcW w:w="7700" w:type="dxa"/>
            <w:vAlign w:val="bottom"/>
            <w:vMerge w:val="restart"/>
            <w:shd w:val="clear" w:color="auto" w:fill="C0C0C0"/>
          </w:tcPr>
          <w:p>
            <w:pPr>
              <w:ind w:left="620"/>
              <w:spacing w:after="0"/>
              <w:rPr>
                <w:sz w:val="20"/>
                <w:szCs w:val="20"/>
                <w:color w:val="auto"/>
              </w:rPr>
            </w:pPr>
            <w:r>
              <w:rPr>
                <w:rFonts w:ascii="Arial" w:cs="Arial" w:eastAsia="Arial" w:hAnsi="Arial"/>
                <w:sz w:val="18"/>
                <w:szCs w:val="18"/>
                <w:color w:val="auto"/>
              </w:rPr>
              <w:t>Total antibody</w:t>
            </w: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80" w:type="dxa"/>
            <w:vAlign w:val="bottom"/>
            <w:shd w:val="clear" w:color="auto" w:fill="C0C0C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shd w:val="clear" w:color="auto" w:fill="C0C0C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shd w:val="clear" w:color="auto" w:fill="C0C0C0"/>
          </w:tcPr>
          <w:p>
            <w:pPr>
              <w:spacing w:after="0" w:line="20" w:lineRule="exact"/>
              <w:rPr>
                <w:sz w:val="1"/>
                <w:szCs w:val="1"/>
                <w:color w:val="auto"/>
              </w:rPr>
            </w:pPr>
          </w:p>
        </w:tc>
        <w:tc>
          <w:tcPr>
            <w:tcW w:w="140" w:type="dxa"/>
            <w:vAlign w:val="bottom"/>
            <w:shd w:val="clear" w:color="auto" w:fill="C0C0C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7700" w:type="dxa"/>
            <w:vAlign w:val="bottom"/>
            <w:vMerge w:val="continue"/>
            <w:shd w:val="clear" w:color="auto" w:fill="C0C0C0"/>
          </w:tcPr>
          <w:p>
            <w:pPr>
              <w:spacing w:after="0"/>
              <w:rPr>
                <w:sz w:val="20"/>
                <w:szCs w:val="20"/>
                <w:color w:val="auto"/>
              </w:rPr>
            </w:pPr>
          </w:p>
        </w:tc>
        <w:tc>
          <w:tcPr>
            <w:tcW w:w="120" w:type="dxa"/>
            <w:vAlign w:val="bottom"/>
            <w:shd w:val="clear" w:color="auto" w:fill="C0C0C0"/>
          </w:tcPr>
          <w:p>
            <w:pPr>
              <w:spacing w:after="0"/>
              <w:rPr>
                <w:sz w:val="20"/>
                <w:szCs w:val="20"/>
                <w:color w:val="auto"/>
              </w:rPr>
            </w:pPr>
          </w:p>
        </w:tc>
        <w:tc>
          <w:tcPr>
            <w:tcW w:w="6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78.6</w:t>
            </w:r>
          </w:p>
        </w:tc>
        <w:tc>
          <w:tcPr>
            <w:tcW w:w="280" w:type="dxa"/>
            <w:vAlign w:val="bottom"/>
            <w:shd w:val="clear" w:color="auto" w:fill="C0C0C0"/>
          </w:tcPr>
          <w:p>
            <w:pPr>
              <w:spacing w:after="0"/>
              <w:rPr>
                <w:sz w:val="20"/>
                <w:szCs w:val="20"/>
                <w:color w:val="auto"/>
              </w:rPr>
            </w:pPr>
          </w:p>
        </w:tc>
        <w:tc>
          <w:tcPr>
            <w:tcW w:w="140" w:type="dxa"/>
            <w:vAlign w:val="bottom"/>
            <w:shd w:val="clear" w:color="auto" w:fill="C0C0C0"/>
          </w:tcPr>
          <w:p>
            <w:pPr>
              <w:spacing w:after="0"/>
              <w:rPr>
                <w:sz w:val="20"/>
                <w:szCs w:val="20"/>
                <w:color w:val="auto"/>
              </w:rPr>
            </w:pPr>
          </w:p>
        </w:tc>
        <w:tc>
          <w:tcPr>
            <w:tcW w:w="5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49.0</w:t>
            </w:r>
          </w:p>
        </w:tc>
        <w:tc>
          <w:tcPr>
            <w:tcW w:w="260" w:type="dxa"/>
            <w:vAlign w:val="bottom"/>
            <w:shd w:val="clear" w:color="auto" w:fill="C0C0C0"/>
          </w:tcPr>
          <w:p>
            <w:pPr>
              <w:spacing w:after="0"/>
              <w:rPr>
                <w:sz w:val="20"/>
                <w:szCs w:val="20"/>
                <w:color w:val="auto"/>
              </w:rPr>
            </w:pPr>
          </w:p>
        </w:tc>
        <w:tc>
          <w:tcPr>
            <w:tcW w:w="140" w:type="dxa"/>
            <w:vAlign w:val="bottom"/>
            <w:shd w:val="clear" w:color="auto" w:fill="C0C0C0"/>
          </w:tcPr>
          <w:p>
            <w:pPr>
              <w:spacing w:after="0"/>
              <w:rPr>
                <w:sz w:val="20"/>
                <w:szCs w:val="20"/>
                <w:color w:val="auto"/>
              </w:rPr>
            </w:pPr>
          </w:p>
        </w:tc>
        <w:tc>
          <w:tcPr>
            <w:tcW w:w="700" w:type="dxa"/>
            <w:vAlign w:val="bottom"/>
            <w:gridSpan w:val="2"/>
            <w:shd w:val="clear" w:color="auto" w:fill="C0C0C0"/>
          </w:tcPr>
          <w:p>
            <w:pPr>
              <w:jc w:val="right"/>
              <w:ind w:right="140"/>
              <w:spacing w:after="0"/>
              <w:rPr>
                <w:sz w:val="20"/>
                <w:szCs w:val="20"/>
                <w:color w:val="auto"/>
              </w:rPr>
            </w:pPr>
            <w:r>
              <w:rPr>
                <w:rFonts w:ascii="Arial" w:cs="Arial" w:eastAsia="Arial" w:hAnsi="Arial"/>
                <w:sz w:val="18"/>
                <w:szCs w:val="18"/>
                <w:color w:val="auto"/>
              </w:rPr>
              <w:t>139.9</w:t>
            </w:r>
          </w:p>
        </w:tc>
        <w:tc>
          <w:tcPr>
            <w:tcW w:w="140" w:type="dxa"/>
            <w:vAlign w:val="bottom"/>
            <w:shd w:val="clear" w:color="auto" w:fill="C0C0C0"/>
          </w:tcPr>
          <w:p>
            <w:pPr>
              <w:spacing w:after="0"/>
              <w:rPr>
                <w:sz w:val="20"/>
                <w:szCs w:val="20"/>
                <w:color w:val="auto"/>
              </w:rPr>
            </w:pPr>
          </w:p>
        </w:tc>
        <w:tc>
          <w:tcPr>
            <w:tcW w:w="180" w:type="dxa"/>
            <w:vAlign w:val="bottom"/>
            <w:shd w:val="clear" w:color="auto" w:fill="C0C0C0"/>
          </w:tcPr>
          <w:p>
            <w:pPr>
              <w:spacing w:after="0"/>
              <w:rPr>
                <w:sz w:val="20"/>
                <w:szCs w:val="20"/>
                <w:color w:val="auto"/>
              </w:rPr>
            </w:pPr>
          </w:p>
        </w:tc>
        <w:tc>
          <w:tcPr>
            <w:tcW w:w="5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90.8</w:t>
            </w:r>
          </w:p>
        </w:tc>
        <w:tc>
          <w:tcPr>
            <w:tcW w:w="0" w:type="dxa"/>
            <w:vAlign w:val="bottom"/>
          </w:tcPr>
          <w:p>
            <w:pPr>
              <w:spacing w:after="0"/>
              <w:rPr>
                <w:sz w:val="1"/>
                <w:szCs w:val="1"/>
                <w:color w:val="auto"/>
              </w:rPr>
            </w:pPr>
          </w:p>
        </w:tc>
      </w:tr>
      <w:tr>
        <w:trPr>
          <w:trHeight w:val="21"/>
        </w:trPr>
        <w:tc>
          <w:tcPr>
            <w:tcW w:w="77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2"/>
        </w:trPr>
        <w:tc>
          <w:tcPr>
            <w:tcW w:w="7700" w:type="dxa"/>
            <w:vAlign w:val="bottom"/>
          </w:tcPr>
          <w:p>
            <w:pPr>
              <w:spacing w:after="0"/>
              <w:rPr>
                <w:sz w:val="20"/>
                <w:szCs w:val="20"/>
                <w:color w:val="auto"/>
              </w:rPr>
            </w:pPr>
            <w:r>
              <w:rPr>
                <w:rFonts w:ascii="Arial" w:cs="Arial" w:eastAsia="Arial" w:hAnsi="Arial"/>
                <w:sz w:val="18"/>
                <w:szCs w:val="18"/>
                <w:color w:val="auto"/>
              </w:rPr>
              <w:t>Total sanofi-aventis collaboration revenue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84.9</w:t>
            </w:r>
          </w:p>
        </w:tc>
        <w:tc>
          <w:tcPr>
            <w:tcW w:w="28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60.7</w:t>
            </w:r>
          </w:p>
        </w:tc>
        <w:tc>
          <w:tcPr>
            <w:tcW w:w="26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153.6</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110.4</w:t>
            </w:r>
          </w:p>
        </w:tc>
        <w:tc>
          <w:tcPr>
            <w:tcW w:w="0" w:type="dxa"/>
            <w:vAlign w:val="bottom"/>
          </w:tcPr>
          <w:p>
            <w:pPr>
              <w:spacing w:after="0"/>
              <w:rPr>
                <w:sz w:val="1"/>
                <w:szCs w:val="1"/>
                <w:color w:val="auto"/>
              </w:rPr>
            </w:pPr>
          </w:p>
        </w:tc>
      </w:tr>
      <w:tr>
        <w:trPr>
          <w:trHeight w:val="28"/>
        </w:trPr>
        <w:tc>
          <w:tcPr>
            <w:tcW w:w="77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21" w:lineRule="exact"/>
        <w:rPr>
          <w:sz w:val="20"/>
          <w:szCs w:val="20"/>
          <w:color w:val="auto"/>
        </w:rPr>
      </w:pPr>
    </w:p>
    <w:p>
      <w:pPr>
        <w:jc w:val="both"/>
        <w:ind w:right="120"/>
        <w:spacing w:after="0" w:line="259" w:lineRule="auto"/>
        <w:rPr>
          <w:sz w:val="20"/>
          <w:szCs w:val="20"/>
          <w:color w:val="auto"/>
        </w:rPr>
      </w:pPr>
      <w:r>
        <w:rPr>
          <w:rFonts w:ascii="Arial" w:cs="Arial" w:eastAsia="Arial" w:hAnsi="Arial"/>
          <w:sz w:val="18"/>
          <w:szCs w:val="18"/>
          <w:color w:val="auto"/>
        </w:rPr>
        <w:t>Sanofi-aventis’ reimbursement of Regeneron’s aflibercept expenses decreased for the three and six months ended June 30, 2010, compared to 2009, due to lower costs related to manufacturing aflibercept clinical supplies as well as a decrease in internal research activities. Sanofi-aventis also incurs aflibercept development expenses directly, including costs related to the Phase 3 clinical trials sanofi-aventis is overseeing.</w:t>
      </w:r>
    </w:p>
    <w:p>
      <w:pPr>
        <w:spacing w:after="0" w:line="221"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Sanofi-aventis’ reimbursement of Regeneron’s expenses under the antibody collaboration increased for the three and six months ended June 30, 2010, compared to the same periods in 2009, due to an increase in research activities under the companies’ expanded collaboration, as described above, and increases in development activities for antibody candidates in clinical development.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For the three and six months ended June 30, 2010 and 2009, collaboration revenue from Bayer HealthCare consisted of the following:</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90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980" w:type="dxa"/>
            <w:vAlign w:val="bottom"/>
            <w:gridSpan w:val="7"/>
          </w:tcPr>
          <w:p>
            <w:pPr>
              <w:ind w:left="80"/>
              <w:spacing w:after="0"/>
              <w:rPr>
                <w:sz w:val="20"/>
                <w:szCs w:val="20"/>
                <w:color w:val="auto"/>
              </w:rPr>
            </w:pPr>
            <w:r>
              <w:rPr>
                <w:rFonts w:ascii="Arial" w:cs="Arial" w:eastAsia="Arial" w:hAnsi="Arial"/>
                <w:sz w:val="18"/>
                <w:szCs w:val="18"/>
                <w:b w:val="1"/>
                <w:bCs w:val="1"/>
                <w:color w:val="auto"/>
              </w:rPr>
              <w:t>Three months ended</w:t>
            </w:r>
          </w:p>
        </w:tc>
        <w:tc>
          <w:tcPr>
            <w:tcW w:w="120" w:type="dxa"/>
            <w:vAlign w:val="bottom"/>
          </w:tcPr>
          <w:p>
            <w:pPr>
              <w:spacing w:after="0"/>
              <w:rPr>
                <w:sz w:val="19"/>
                <w:szCs w:val="19"/>
                <w:color w:val="auto"/>
              </w:rPr>
            </w:pPr>
          </w:p>
        </w:tc>
        <w:tc>
          <w:tcPr>
            <w:tcW w:w="1580" w:type="dxa"/>
            <w:vAlign w:val="bottom"/>
            <w:gridSpan w:val="5"/>
          </w:tcPr>
          <w:p>
            <w:pPr>
              <w:jc w:val="right"/>
              <w:ind w:right="200"/>
              <w:spacing w:after="0"/>
              <w:rPr>
                <w:sz w:val="20"/>
                <w:szCs w:val="20"/>
                <w:color w:val="auto"/>
              </w:rPr>
            </w:pPr>
            <w:r>
              <w:rPr>
                <w:rFonts w:ascii="Arial" w:cs="Arial" w:eastAsia="Arial" w:hAnsi="Arial"/>
                <w:sz w:val="18"/>
                <w:szCs w:val="18"/>
                <w:b w:val="1"/>
                <w:bCs w:val="1"/>
                <w:color w:val="auto"/>
                <w:w w:val="87"/>
              </w:rPr>
              <w:t>Six months ended</w:t>
            </w:r>
          </w:p>
        </w:tc>
      </w:tr>
      <w:tr>
        <w:trPr>
          <w:trHeight w:val="252"/>
        </w:trPr>
        <w:tc>
          <w:tcPr>
            <w:tcW w:w="590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June 30,</w:t>
            </w:r>
          </w:p>
        </w:tc>
        <w:tc>
          <w:tcPr>
            <w:tcW w:w="540" w:type="dxa"/>
            <w:vAlign w:val="bottom"/>
            <w:tcBorders>
              <w:bottom w:val="single" w:sz="8" w:color="auto"/>
            </w:tcBorders>
          </w:tcPr>
          <w:p>
            <w:pPr>
              <w:spacing w:after="0"/>
              <w:rPr>
                <w:sz w:val="21"/>
                <w:szCs w:val="21"/>
                <w:color w:val="auto"/>
              </w:rPr>
            </w:pPr>
          </w:p>
        </w:tc>
        <w:tc>
          <w:tcPr>
            <w:tcW w:w="2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50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r>
      <w:tr>
        <w:trPr>
          <w:trHeight w:val="237"/>
        </w:trPr>
        <w:tc>
          <w:tcPr>
            <w:tcW w:w="5900" w:type="dxa"/>
            <w:vAlign w:val="bottom"/>
            <w:tcBorders>
              <w:bottom w:val="single" w:sz="8" w:color="C0C0C0"/>
            </w:tcBorders>
          </w:tcPr>
          <w:p>
            <w:pPr>
              <w:spacing w:after="0"/>
              <w:rPr>
                <w:sz w:val="20"/>
                <w:szCs w:val="20"/>
                <w:color w:val="auto"/>
              </w:rPr>
            </w:pPr>
            <w:r>
              <w:rPr>
                <w:rFonts w:ascii="Arial" w:cs="Arial" w:eastAsia="Arial" w:hAnsi="Arial"/>
                <w:sz w:val="18"/>
                <w:szCs w:val="18"/>
                <w:b w:val="1"/>
                <w:bCs w:val="1"/>
                <w:i w:val="1"/>
                <w:iCs w:val="1"/>
                <w:color w:val="auto"/>
              </w:rPr>
              <w:t>(In millions)</w:t>
            </w:r>
          </w:p>
        </w:tc>
        <w:tc>
          <w:tcPr>
            <w:tcW w:w="1860" w:type="dxa"/>
            <w:vAlign w:val="bottom"/>
            <w:tcBorders>
              <w:bottom w:val="single" w:sz="8" w:color="C0C0C0"/>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w w:val="89"/>
              </w:rPr>
              <w:t>2010</w:t>
            </w:r>
          </w:p>
        </w:tc>
        <w:tc>
          <w:tcPr>
            <w:tcW w:w="160" w:type="dxa"/>
            <w:vAlign w:val="bottom"/>
            <w:tcBorders>
              <w:bottom w:val="single" w:sz="8" w:color="C0C0C0"/>
            </w:tcBorders>
          </w:tcPr>
          <w:p>
            <w:pPr>
              <w:spacing w:after="0"/>
              <w:rPr>
                <w:sz w:val="20"/>
                <w:szCs w:val="20"/>
                <w:color w:val="auto"/>
              </w:rPr>
            </w:pPr>
          </w:p>
        </w:tc>
        <w:tc>
          <w:tcPr>
            <w:tcW w:w="140" w:type="dxa"/>
            <w:vAlign w:val="bottom"/>
            <w:tcBorders>
              <w:bottom w:val="single" w:sz="8" w:color="C0C0C0"/>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w w:val="84"/>
              </w:rPr>
              <w:t>2009</w:t>
            </w:r>
          </w:p>
        </w:tc>
        <w:tc>
          <w:tcPr>
            <w:tcW w:w="280" w:type="dxa"/>
            <w:vAlign w:val="bottom"/>
            <w:tcBorders>
              <w:bottom w:val="single" w:sz="8" w:color="C0C0C0"/>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rPr>
              <w:t>2010</w:t>
            </w:r>
          </w:p>
        </w:tc>
        <w:tc>
          <w:tcPr>
            <w:tcW w:w="280" w:type="dxa"/>
            <w:vAlign w:val="bottom"/>
            <w:tcBorders>
              <w:bottom w:val="single" w:sz="8" w:color="C0C0C0"/>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auto"/>
                <w:w w:val="84"/>
              </w:rPr>
              <w:t>2009</w:t>
            </w:r>
          </w:p>
        </w:tc>
        <w:tc>
          <w:tcPr>
            <w:tcW w:w="20" w:type="dxa"/>
            <w:vAlign w:val="bottom"/>
          </w:tcPr>
          <w:p>
            <w:pPr>
              <w:spacing w:after="0"/>
              <w:rPr>
                <w:sz w:val="20"/>
                <w:szCs w:val="20"/>
                <w:color w:val="auto"/>
              </w:rPr>
            </w:pPr>
          </w:p>
        </w:tc>
      </w:tr>
      <w:tr>
        <w:trPr>
          <w:trHeight w:val="228"/>
        </w:trPr>
        <w:tc>
          <w:tcPr>
            <w:tcW w:w="5900" w:type="dxa"/>
            <w:vAlign w:val="bottom"/>
            <w:shd w:val="clear" w:color="auto" w:fill="C0C0C0"/>
          </w:tcPr>
          <w:p>
            <w:pPr>
              <w:spacing w:after="0"/>
              <w:rPr>
                <w:sz w:val="20"/>
                <w:szCs w:val="20"/>
                <w:color w:val="auto"/>
              </w:rPr>
            </w:pPr>
            <w:r>
              <w:rPr>
                <w:rFonts w:ascii="Arial" w:cs="Arial" w:eastAsia="Arial" w:hAnsi="Arial"/>
                <w:sz w:val="18"/>
                <w:szCs w:val="18"/>
                <w:color w:val="auto"/>
              </w:rPr>
              <w:t>Cost-sharing of Regeneron VEGF Trap-Eye development</w:t>
            </w:r>
          </w:p>
        </w:tc>
        <w:tc>
          <w:tcPr>
            <w:tcW w:w="1860" w:type="dxa"/>
            <w:vAlign w:val="bottom"/>
            <w:shd w:val="clear" w:color="auto" w:fill="C0C0C0"/>
          </w:tcPr>
          <w:p>
            <w:pPr>
              <w:spacing w:after="0"/>
              <w:rPr>
                <w:sz w:val="19"/>
                <w:szCs w:val="19"/>
                <w:color w:val="auto"/>
              </w:rPr>
            </w:pPr>
          </w:p>
        </w:tc>
        <w:tc>
          <w:tcPr>
            <w:tcW w:w="140" w:type="dxa"/>
            <w:vAlign w:val="bottom"/>
            <w:shd w:val="clear" w:color="auto" w:fill="C0C0C0"/>
          </w:tcPr>
          <w:p>
            <w:pPr>
              <w:spacing w:after="0"/>
              <w:rPr>
                <w:sz w:val="19"/>
                <w:szCs w:val="19"/>
                <w:color w:val="auto"/>
              </w:rPr>
            </w:pPr>
          </w:p>
        </w:tc>
        <w:tc>
          <w:tcPr>
            <w:tcW w:w="560" w:type="dxa"/>
            <w:vAlign w:val="bottom"/>
            <w:shd w:val="clear" w:color="auto" w:fill="C0C0C0"/>
          </w:tcPr>
          <w:p>
            <w:pPr>
              <w:spacing w:after="0"/>
              <w:rPr>
                <w:sz w:val="19"/>
                <w:szCs w:val="19"/>
                <w:color w:val="auto"/>
              </w:rPr>
            </w:pPr>
          </w:p>
        </w:tc>
        <w:tc>
          <w:tcPr>
            <w:tcW w:w="160" w:type="dxa"/>
            <w:vAlign w:val="bottom"/>
            <w:shd w:val="clear" w:color="auto" w:fill="C0C0C0"/>
          </w:tcPr>
          <w:p>
            <w:pPr>
              <w:spacing w:after="0"/>
              <w:rPr>
                <w:sz w:val="19"/>
                <w:szCs w:val="19"/>
                <w:color w:val="auto"/>
              </w:rPr>
            </w:pPr>
          </w:p>
        </w:tc>
        <w:tc>
          <w:tcPr>
            <w:tcW w:w="140" w:type="dxa"/>
            <w:vAlign w:val="bottom"/>
            <w:shd w:val="clear" w:color="auto" w:fill="C0C0C0"/>
          </w:tcPr>
          <w:p>
            <w:pPr>
              <w:spacing w:after="0"/>
              <w:rPr>
                <w:sz w:val="19"/>
                <w:szCs w:val="19"/>
                <w:color w:val="auto"/>
              </w:rPr>
            </w:pPr>
          </w:p>
        </w:tc>
        <w:tc>
          <w:tcPr>
            <w:tcW w:w="160" w:type="dxa"/>
            <w:vAlign w:val="bottom"/>
            <w:shd w:val="clear" w:color="auto" w:fill="C0C0C0"/>
          </w:tcPr>
          <w:p>
            <w:pPr>
              <w:spacing w:after="0"/>
              <w:rPr>
                <w:sz w:val="19"/>
                <w:szCs w:val="19"/>
                <w:color w:val="auto"/>
              </w:rPr>
            </w:pPr>
          </w:p>
        </w:tc>
        <w:tc>
          <w:tcPr>
            <w:tcW w:w="540" w:type="dxa"/>
            <w:vAlign w:val="bottom"/>
            <w:shd w:val="clear" w:color="auto" w:fill="C0C0C0"/>
          </w:tcPr>
          <w:p>
            <w:pPr>
              <w:spacing w:after="0"/>
              <w:rPr>
                <w:sz w:val="19"/>
                <w:szCs w:val="19"/>
                <w:color w:val="auto"/>
              </w:rPr>
            </w:pPr>
          </w:p>
        </w:tc>
        <w:tc>
          <w:tcPr>
            <w:tcW w:w="280" w:type="dxa"/>
            <w:vAlign w:val="bottom"/>
            <w:shd w:val="clear" w:color="auto" w:fill="C0C0C0"/>
          </w:tcPr>
          <w:p>
            <w:pPr>
              <w:spacing w:after="0"/>
              <w:rPr>
                <w:sz w:val="19"/>
                <w:szCs w:val="19"/>
                <w:color w:val="auto"/>
              </w:rPr>
            </w:pPr>
          </w:p>
        </w:tc>
        <w:tc>
          <w:tcPr>
            <w:tcW w:w="120" w:type="dxa"/>
            <w:vAlign w:val="bottom"/>
            <w:shd w:val="clear" w:color="auto" w:fill="C0C0C0"/>
          </w:tcPr>
          <w:p>
            <w:pPr>
              <w:spacing w:after="0"/>
              <w:rPr>
                <w:sz w:val="19"/>
                <w:szCs w:val="19"/>
                <w:color w:val="auto"/>
              </w:rPr>
            </w:pPr>
          </w:p>
        </w:tc>
        <w:tc>
          <w:tcPr>
            <w:tcW w:w="660" w:type="dxa"/>
            <w:vAlign w:val="bottom"/>
            <w:shd w:val="clear" w:color="auto" w:fill="C0C0C0"/>
          </w:tcPr>
          <w:p>
            <w:pPr>
              <w:spacing w:after="0"/>
              <w:rPr>
                <w:sz w:val="19"/>
                <w:szCs w:val="19"/>
                <w:color w:val="auto"/>
              </w:rPr>
            </w:pPr>
          </w:p>
        </w:tc>
        <w:tc>
          <w:tcPr>
            <w:tcW w:w="280" w:type="dxa"/>
            <w:vAlign w:val="bottom"/>
            <w:shd w:val="clear" w:color="auto" w:fill="C0C0C0"/>
          </w:tcPr>
          <w:p>
            <w:pPr>
              <w:spacing w:after="0"/>
              <w:rPr>
                <w:sz w:val="19"/>
                <w:szCs w:val="19"/>
                <w:color w:val="auto"/>
              </w:rPr>
            </w:pPr>
          </w:p>
        </w:tc>
        <w:tc>
          <w:tcPr>
            <w:tcW w:w="120" w:type="dxa"/>
            <w:vAlign w:val="bottom"/>
            <w:shd w:val="clear" w:color="auto" w:fill="C0C0C0"/>
          </w:tcPr>
          <w:p>
            <w:pPr>
              <w:spacing w:after="0"/>
              <w:rPr>
                <w:sz w:val="19"/>
                <w:szCs w:val="19"/>
                <w:color w:val="auto"/>
              </w:rPr>
            </w:pPr>
          </w:p>
        </w:tc>
        <w:tc>
          <w:tcPr>
            <w:tcW w:w="500" w:type="dxa"/>
            <w:vAlign w:val="bottom"/>
            <w:shd w:val="clear" w:color="auto" w:fill="C0C0C0"/>
          </w:tcPr>
          <w:p>
            <w:pPr>
              <w:spacing w:after="0"/>
              <w:rPr>
                <w:sz w:val="19"/>
                <w:szCs w:val="19"/>
                <w:color w:val="auto"/>
              </w:rPr>
            </w:pPr>
          </w:p>
        </w:tc>
        <w:tc>
          <w:tcPr>
            <w:tcW w:w="20" w:type="dxa"/>
            <w:vAlign w:val="bottom"/>
          </w:tcPr>
          <w:p>
            <w:pPr>
              <w:spacing w:after="0"/>
              <w:rPr>
                <w:sz w:val="19"/>
                <w:szCs w:val="19"/>
                <w:color w:val="auto"/>
              </w:rPr>
            </w:pPr>
          </w:p>
        </w:tc>
      </w:tr>
      <w:tr>
        <w:trPr>
          <w:trHeight w:val="259"/>
        </w:trPr>
        <w:tc>
          <w:tcPr>
            <w:tcW w:w="5900" w:type="dxa"/>
            <w:vAlign w:val="bottom"/>
            <w:shd w:val="clear" w:color="auto" w:fill="C0C0C0"/>
          </w:tcPr>
          <w:p>
            <w:pPr>
              <w:ind w:left="320"/>
              <w:spacing w:after="0"/>
              <w:rPr>
                <w:sz w:val="20"/>
                <w:szCs w:val="20"/>
                <w:color w:val="auto"/>
              </w:rPr>
            </w:pPr>
            <w:r>
              <w:rPr>
                <w:rFonts w:ascii="Arial" w:cs="Arial" w:eastAsia="Arial" w:hAnsi="Arial"/>
                <w:sz w:val="18"/>
                <w:szCs w:val="18"/>
                <w:color w:val="auto"/>
              </w:rPr>
              <w:t>expenses</w:t>
            </w:r>
          </w:p>
        </w:tc>
        <w:tc>
          <w:tcPr>
            <w:tcW w:w="1860" w:type="dxa"/>
            <w:vAlign w:val="bottom"/>
            <w:shd w:val="clear" w:color="auto" w:fill="C0C0C0"/>
          </w:tcPr>
          <w:p>
            <w:pPr>
              <w:spacing w:after="0"/>
              <w:rPr>
                <w:sz w:val="22"/>
                <w:szCs w:val="22"/>
                <w:color w:val="auto"/>
              </w:rPr>
            </w:pPr>
          </w:p>
        </w:tc>
        <w:tc>
          <w:tcPr>
            <w:tcW w:w="140" w:type="dxa"/>
            <w:vAlign w:val="bottom"/>
            <w:shd w:val="clear" w:color="auto" w:fill="C0C0C0"/>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0C0C0"/>
          </w:tcPr>
          <w:p>
            <w:pPr>
              <w:jc w:val="right"/>
              <w:ind w:right="160"/>
              <w:spacing w:after="0"/>
              <w:rPr>
                <w:sz w:val="20"/>
                <w:szCs w:val="20"/>
                <w:color w:val="auto"/>
              </w:rPr>
            </w:pPr>
            <w:r>
              <w:rPr>
                <w:rFonts w:ascii="Arial" w:cs="Arial" w:eastAsia="Arial" w:hAnsi="Arial"/>
                <w:sz w:val="18"/>
                <w:szCs w:val="18"/>
                <w:color w:val="auto"/>
              </w:rPr>
              <w:t>11.2</w:t>
            </w:r>
          </w:p>
        </w:tc>
        <w:tc>
          <w:tcPr>
            <w:tcW w:w="300" w:type="dxa"/>
            <w:vAlign w:val="bottom"/>
            <w:gridSpan w:val="2"/>
            <w:shd w:val="clear" w:color="auto" w:fill="C0C0C0"/>
          </w:tcPr>
          <w:p>
            <w:pPr>
              <w:jc w:val="right"/>
              <w:ind w:right="80"/>
              <w:spacing w:after="0"/>
              <w:rPr>
                <w:sz w:val="20"/>
                <w:szCs w:val="20"/>
                <w:color w:val="auto"/>
              </w:rPr>
            </w:pPr>
            <w:r>
              <w:rPr>
                <w:rFonts w:ascii="Arial" w:cs="Arial" w:eastAsia="Arial" w:hAnsi="Arial"/>
                <w:sz w:val="18"/>
                <w:szCs w:val="18"/>
                <w:color w:val="auto"/>
              </w:rPr>
              <w:t>$</w:t>
            </w:r>
          </w:p>
        </w:tc>
        <w:tc>
          <w:tcPr>
            <w:tcW w:w="5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10.4</w:t>
            </w:r>
          </w:p>
        </w:tc>
        <w:tc>
          <w:tcPr>
            <w:tcW w:w="280" w:type="dxa"/>
            <w:vAlign w:val="bottom"/>
            <w:shd w:val="clear" w:color="auto" w:fill="C0C0C0"/>
          </w:tcPr>
          <w:p>
            <w:pPr>
              <w:spacing w:after="0"/>
              <w:rPr>
                <w:sz w:val="22"/>
                <w:szCs w:val="22"/>
                <w:color w:val="auto"/>
              </w:rPr>
            </w:pPr>
          </w:p>
        </w:tc>
        <w:tc>
          <w:tcPr>
            <w:tcW w:w="120" w:type="dxa"/>
            <w:vAlign w:val="bottom"/>
            <w:shd w:val="clear" w:color="auto" w:fill="C0C0C0"/>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21.8</w:t>
            </w:r>
          </w:p>
        </w:tc>
        <w:tc>
          <w:tcPr>
            <w:tcW w:w="280" w:type="dxa"/>
            <w:vAlign w:val="bottom"/>
            <w:shd w:val="clear" w:color="auto" w:fill="C0C0C0"/>
          </w:tcPr>
          <w:p>
            <w:pPr>
              <w:spacing w:after="0"/>
              <w:rPr>
                <w:sz w:val="22"/>
                <w:szCs w:val="22"/>
                <w:color w:val="auto"/>
              </w:rPr>
            </w:pPr>
          </w:p>
        </w:tc>
        <w:tc>
          <w:tcPr>
            <w:tcW w:w="120" w:type="dxa"/>
            <w:vAlign w:val="bottom"/>
            <w:shd w:val="clear" w:color="auto" w:fill="C0C0C0"/>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17.9</w:t>
            </w:r>
          </w:p>
        </w:tc>
        <w:tc>
          <w:tcPr>
            <w:tcW w:w="20" w:type="dxa"/>
            <w:vAlign w:val="bottom"/>
          </w:tcPr>
          <w:p>
            <w:pPr>
              <w:spacing w:after="0"/>
              <w:rPr>
                <w:sz w:val="22"/>
                <w:szCs w:val="22"/>
                <w:color w:val="auto"/>
              </w:rPr>
            </w:pPr>
          </w:p>
        </w:tc>
      </w:tr>
      <w:tr>
        <w:trPr>
          <w:trHeight w:val="228"/>
        </w:trPr>
        <w:tc>
          <w:tcPr>
            <w:tcW w:w="5900" w:type="dxa"/>
            <w:vAlign w:val="bottom"/>
          </w:tcPr>
          <w:p>
            <w:pPr>
              <w:spacing w:after="0"/>
              <w:rPr>
                <w:sz w:val="20"/>
                <w:szCs w:val="20"/>
                <w:color w:val="auto"/>
              </w:rPr>
            </w:pPr>
            <w:r>
              <w:rPr>
                <w:rFonts w:ascii="Arial" w:cs="Arial" w:eastAsia="Arial" w:hAnsi="Arial"/>
                <w:sz w:val="18"/>
                <w:szCs w:val="18"/>
                <w:color w:val="auto"/>
              </w:rPr>
              <w:t>Recognition of deferred revenue related to up-front and</w:t>
            </w:r>
          </w:p>
        </w:tc>
        <w:tc>
          <w:tcPr>
            <w:tcW w:w="1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51"/>
        </w:trPr>
        <w:tc>
          <w:tcPr>
            <w:tcW w:w="5900" w:type="dxa"/>
            <w:vAlign w:val="bottom"/>
          </w:tcPr>
          <w:p>
            <w:pPr>
              <w:ind w:left="320"/>
              <w:spacing w:after="0"/>
              <w:rPr>
                <w:sz w:val="20"/>
                <w:szCs w:val="20"/>
                <w:color w:val="auto"/>
              </w:rPr>
            </w:pPr>
            <w:r>
              <w:rPr>
                <w:rFonts w:ascii="Arial" w:cs="Arial" w:eastAsia="Arial" w:hAnsi="Arial"/>
                <w:sz w:val="18"/>
                <w:szCs w:val="18"/>
                <w:color w:val="auto"/>
              </w:rPr>
              <w:t>milestone payments</w:t>
            </w:r>
          </w:p>
        </w:tc>
        <w:tc>
          <w:tcPr>
            <w:tcW w:w="18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2.5</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2.4</w:t>
            </w: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4.9</w:t>
            </w: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4.9</w:t>
            </w:r>
          </w:p>
        </w:tc>
      </w:tr>
      <w:tr>
        <w:trPr>
          <w:trHeight w:val="21"/>
        </w:trPr>
        <w:tc>
          <w:tcPr>
            <w:tcW w:w="5900" w:type="dxa"/>
            <w:vAlign w:val="bottom"/>
            <w:shd w:val="clear" w:color="auto" w:fill="C0C0C0"/>
          </w:tcPr>
          <w:p>
            <w:pPr>
              <w:spacing w:after="0" w:line="20" w:lineRule="exact"/>
              <w:rPr>
                <w:sz w:val="1"/>
                <w:szCs w:val="1"/>
                <w:color w:val="auto"/>
              </w:rPr>
            </w:pPr>
          </w:p>
        </w:tc>
        <w:tc>
          <w:tcPr>
            <w:tcW w:w="1860" w:type="dxa"/>
            <w:vAlign w:val="bottom"/>
            <w:shd w:val="clear" w:color="auto" w:fill="C0C0C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shd w:val="clear" w:color="auto" w:fill="C0C0C0"/>
          </w:tcPr>
          <w:p>
            <w:pPr>
              <w:spacing w:after="0" w:line="20" w:lineRule="exact"/>
              <w:rPr>
                <w:sz w:val="1"/>
                <w:szCs w:val="1"/>
                <w:color w:val="auto"/>
              </w:rPr>
            </w:pPr>
          </w:p>
        </w:tc>
        <w:tc>
          <w:tcPr>
            <w:tcW w:w="140" w:type="dxa"/>
            <w:vAlign w:val="bottom"/>
            <w:shd w:val="clear" w:color="auto" w:fill="C0C0C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80" w:type="dxa"/>
            <w:vAlign w:val="bottom"/>
            <w:shd w:val="clear" w:color="auto" w:fill="C0C0C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80" w:type="dxa"/>
            <w:vAlign w:val="bottom"/>
            <w:shd w:val="clear" w:color="auto" w:fill="C0C0C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900" w:type="dxa"/>
            <w:vAlign w:val="bottom"/>
            <w:shd w:val="clear" w:color="auto" w:fill="C0C0C0"/>
          </w:tcPr>
          <w:p>
            <w:pPr>
              <w:ind w:left="320"/>
              <w:spacing w:after="0"/>
              <w:rPr>
                <w:sz w:val="20"/>
                <w:szCs w:val="20"/>
                <w:color w:val="auto"/>
              </w:rPr>
            </w:pPr>
            <w:r>
              <w:rPr>
                <w:rFonts w:ascii="Arial" w:cs="Arial" w:eastAsia="Arial" w:hAnsi="Arial"/>
                <w:sz w:val="18"/>
                <w:szCs w:val="18"/>
                <w:color w:val="auto"/>
              </w:rPr>
              <w:t>Total Bayer HealthCare collaboration revenue</w:t>
            </w:r>
          </w:p>
        </w:tc>
        <w:tc>
          <w:tcPr>
            <w:tcW w:w="1860" w:type="dxa"/>
            <w:vAlign w:val="bottom"/>
            <w:shd w:val="clear" w:color="auto" w:fill="C0C0C0"/>
          </w:tcPr>
          <w:p>
            <w:pPr>
              <w:spacing w:after="0"/>
              <w:rPr>
                <w:sz w:val="21"/>
                <w:szCs w:val="21"/>
                <w:color w:val="auto"/>
              </w:rPr>
            </w:pPr>
          </w:p>
        </w:tc>
        <w:tc>
          <w:tcPr>
            <w:tcW w:w="140" w:type="dxa"/>
            <w:vAlign w:val="bottom"/>
            <w:shd w:val="clear" w:color="auto" w:fill="C0C0C0"/>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0C0C0"/>
          </w:tcPr>
          <w:p>
            <w:pPr>
              <w:jc w:val="right"/>
              <w:ind w:right="160"/>
              <w:spacing w:after="0"/>
              <w:rPr>
                <w:sz w:val="20"/>
                <w:szCs w:val="20"/>
                <w:color w:val="auto"/>
              </w:rPr>
            </w:pPr>
            <w:r>
              <w:rPr>
                <w:rFonts w:ascii="Arial" w:cs="Arial" w:eastAsia="Arial" w:hAnsi="Arial"/>
                <w:sz w:val="18"/>
                <w:szCs w:val="18"/>
                <w:color w:val="auto"/>
              </w:rPr>
              <w:t>13.7</w:t>
            </w:r>
          </w:p>
        </w:tc>
        <w:tc>
          <w:tcPr>
            <w:tcW w:w="300" w:type="dxa"/>
            <w:vAlign w:val="bottom"/>
            <w:gridSpan w:val="2"/>
            <w:shd w:val="clear" w:color="auto" w:fill="C0C0C0"/>
          </w:tcPr>
          <w:p>
            <w:pPr>
              <w:jc w:val="right"/>
              <w:ind w:right="80"/>
              <w:spacing w:after="0"/>
              <w:rPr>
                <w:sz w:val="20"/>
                <w:szCs w:val="20"/>
                <w:color w:val="auto"/>
              </w:rPr>
            </w:pPr>
            <w:r>
              <w:rPr>
                <w:rFonts w:ascii="Arial" w:cs="Arial" w:eastAsia="Arial" w:hAnsi="Arial"/>
                <w:sz w:val="18"/>
                <w:szCs w:val="18"/>
                <w:color w:val="auto"/>
              </w:rPr>
              <w:t>$</w:t>
            </w:r>
          </w:p>
        </w:tc>
        <w:tc>
          <w:tcPr>
            <w:tcW w:w="5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12.8</w:t>
            </w:r>
          </w:p>
        </w:tc>
        <w:tc>
          <w:tcPr>
            <w:tcW w:w="280" w:type="dxa"/>
            <w:vAlign w:val="bottom"/>
            <w:shd w:val="clear" w:color="auto" w:fill="C0C0C0"/>
          </w:tcPr>
          <w:p>
            <w:pPr>
              <w:spacing w:after="0"/>
              <w:rPr>
                <w:sz w:val="21"/>
                <w:szCs w:val="21"/>
                <w:color w:val="auto"/>
              </w:rPr>
            </w:pPr>
          </w:p>
        </w:tc>
        <w:tc>
          <w:tcPr>
            <w:tcW w:w="120" w:type="dxa"/>
            <w:vAlign w:val="bottom"/>
            <w:shd w:val="clear" w:color="auto" w:fill="C0C0C0"/>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26.7</w:t>
            </w:r>
          </w:p>
        </w:tc>
        <w:tc>
          <w:tcPr>
            <w:tcW w:w="280" w:type="dxa"/>
            <w:vAlign w:val="bottom"/>
            <w:shd w:val="clear" w:color="auto" w:fill="C0C0C0"/>
          </w:tcPr>
          <w:p>
            <w:pPr>
              <w:spacing w:after="0"/>
              <w:rPr>
                <w:sz w:val="21"/>
                <w:szCs w:val="21"/>
                <w:color w:val="auto"/>
              </w:rPr>
            </w:pPr>
          </w:p>
        </w:tc>
        <w:tc>
          <w:tcPr>
            <w:tcW w:w="120" w:type="dxa"/>
            <w:vAlign w:val="bottom"/>
            <w:shd w:val="clear" w:color="auto" w:fill="C0C0C0"/>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22.8</w:t>
            </w:r>
          </w:p>
        </w:tc>
        <w:tc>
          <w:tcPr>
            <w:tcW w:w="20" w:type="dxa"/>
            <w:vAlign w:val="bottom"/>
          </w:tcPr>
          <w:p>
            <w:pPr>
              <w:spacing w:after="0"/>
              <w:rPr>
                <w:sz w:val="21"/>
                <w:szCs w:val="21"/>
                <w:color w:val="auto"/>
              </w:rPr>
            </w:pPr>
          </w:p>
        </w:tc>
      </w:tr>
      <w:tr>
        <w:trPr>
          <w:trHeight w:val="348"/>
        </w:trPr>
        <w:tc>
          <w:tcPr>
            <w:tcW w:w="5900" w:type="dxa"/>
            <w:vAlign w:val="bottom"/>
            <w:tcBorders>
              <w:top w:val="single" w:sz="8" w:color="C0C0C0"/>
              <w:bottom w:val="single" w:sz="8" w:color="808080"/>
            </w:tcBorders>
          </w:tcPr>
          <w:p>
            <w:pPr>
              <w:spacing w:after="0"/>
              <w:rPr>
                <w:sz w:val="24"/>
                <w:szCs w:val="24"/>
                <w:color w:val="auto"/>
              </w:rPr>
            </w:pPr>
          </w:p>
        </w:tc>
        <w:tc>
          <w:tcPr>
            <w:tcW w:w="1860" w:type="dxa"/>
            <w:vAlign w:val="bottom"/>
            <w:tcBorders>
              <w:top w:val="single" w:sz="8" w:color="C0C0C0"/>
              <w:bottom w:val="single" w:sz="8" w:color="808080"/>
            </w:tcBorders>
          </w:tcPr>
          <w:p>
            <w:pPr>
              <w:spacing w:after="0"/>
              <w:rPr>
                <w:sz w:val="24"/>
                <w:szCs w:val="24"/>
                <w:color w:val="auto"/>
              </w:rPr>
            </w:pPr>
          </w:p>
        </w:tc>
        <w:tc>
          <w:tcPr>
            <w:tcW w:w="140" w:type="dxa"/>
            <w:vAlign w:val="bottom"/>
            <w:tcBorders>
              <w:top w:val="single" w:sz="8" w:color="auto"/>
              <w:bottom w:val="single" w:sz="8" w:color="808080"/>
            </w:tcBorders>
          </w:tcPr>
          <w:p>
            <w:pPr>
              <w:spacing w:after="0"/>
              <w:rPr>
                <w:sz w:val="24"/>
                <w:szCs w:val="24"/>
                <w:color w:val="auto"/>
              </w:rPr>
            </w:pPr>
          </w:p>
        </w:tc>
        <w:tc>
          <w:tcPr>
            <w:tcW w:w="560" w:type="dxa"/>
            <w:vAlign w:val="bottom"/>
            <w:tcBorders>
              <w:top w:val="single" w:sz="8" w:color="auto"/>
              <w:bottom w:val="single" w:sz="8" w:color="808080"/>
            </w:tcBorders>
          </w:tcPr>
          <w:p>
            <w:pPr>
              <w:spacing w:after="0"/>
              <w:rPr>
                <w:sz w:val="24"/>
                <w:szCs w:val="24"/>
                <w:color w:val="auto"/>
              </w:rPr>
            </w:pPr>
          </w:p>
        </w:tc>
        <w:tc>
          <w:tcPr>
            <w:tcW w:w="160" w:type="dxa"/>
            <w:vAlign w:val="bottom"/>
            <w:tcBorders>
              <w:top w:val="single" w:sz="8" w:color="C0C0C0"/>
              <w:bottom w:val="single" w:sz="8" w:color="808080"/>
            </w:tcBorders>
          </w:tcPr>
          <w:p>
            <w:pPr>
              <w:spacing w:after="0"/>
              <w:rPr>
                <w:sz w:val="24"/>
                <w:szCs w:val="24"/>
                <w:color w:val="auto"/>
              </w:rPr>
            </w:pPr>
          </w:p>
        </w:tc>
        <w:tc>
          <w:tcPr>
            <w:tcW w:w="140" w:type="dxa"/>
            <w:vAlign w:val="bottom"/>
            <w:tcBorders>
              <w:top w:val="single" w:sz="8" w:color="C0C0C0"/>
              <w:bottom w:val="single" w:sz="8" w:color="808080"/>
            </w:tcBorders>
          </w:tcPr>
          <w:p>
            <w:pPr>
              <w:spacing w:after="0"/>
              <w:rPr>
                <w:sz w:val="24"/>
                <w:szCs w:val="24"/>
                <w:color w:val="auto"/>
              </w:rPr>
            </w:pPr>
          </w:p>
        </w:tc>
        <w:tc>
          <w:tcPr>
            <w:tcW w:w="160" w:type="dxa"/>
            <w:vAlign w:val="bottom"/>
            <w:tcBorders>
              <w:top w:val="single" w:sz="8" w:color="auto"/>
              <w:bottom w:val="single" w:sz="8" w:color="808080"/>
            </w:tcBorders>
          </w:tcPr>
          <w:p>
            <w:pPr>
              <w:spacing w:after="0"/>
              <w:rPr>
                <w:sz w:val="24"/>
                <w:szCs w:val="24"/>
                <w:color w:val="auto"/>
              </w:rPr>
            </w:pPr>
          </w:p>
        </w:tc>
        <w:tc>
          <w:tcPr>
            <w:tcW w:w="540" w:type="dxa"/>
            <w:vAlign w:val="bottom"/>
            <w:tcBorders>
              <w:top w:val="single" w:sz="8" w:color="auto"/>
              <w:bottom w:val="single" w:sz="8" w:color="808080"/>
            </w:tcBorders>
          </w:tcPr>
          <w:p>
            <w:pPr>
              <w:spacing w:after="0"/>
              <w:rPr>
                <w:sz w:val="24"/>
                <w:szCs w:val="24"/>
                <w:color w:val="auto"/>
              </w:rPr>
            </w:pPr>
          </w:p>
        </w:tc>
        <w:tc>
          <w:tcPr>
            <w:tcW w:w="280" w:type="dxa"/>
            <w:vAlign w:val="bottom"/>
            <w:tcBorders>
              <w:top w:val="single" w:sz="8" w:color="C0C0C0"/>
              <w:bottom w:val="single" w:sz="8" w:color="808080"/>
            </w:tcBorders>
          </w:tcPr>
          <w:p>
            <w:pPr>
              <w:spacing w:after="0"/>
              <w:rPr>
                <w:sz w:val="24"/>
                <w:szCs w:val="24"/>
                <w:color w:val="auto"/>
              </w:rPr>
            </w:pPr>
          </w:p>
        </w:tc>
        <w:tc>
          <w:tcPr>
            <w:tcW w:w="120" w:type="dxa"/>
            <w:vAlign w:val="bottom"/>
            <w:tcBorders>
              <w:top w:val="single" w:sz="8" w:color="auto"/>
              <w:bottom w:val="single" w:sz="8" w:color="808080"/>
            </w:tcBorders>
          </w:tcPr>
          <w:p>
            <w:pPr>
              <w:spacing w:after="0"/>
              <w:rPr>
                <w:sz w:val="24"/>
                <w:szCs w:val="24"/>
                <w:color w:val="auto"/>
              </w:rPr>
            </w:pPr>
          </w:p>
        </w:tc>
        <w:tc>
          <w:tcPr>
            <w:tcW w:w="660" w:type="dxa"/>
            <w:vAlign w:val="bottom"/>
            <w:tcBorders>
              <w:top w:val="single" w:sz="8" w:color="auto"/>
              <w:bottom w:val="single" w:sz="8" w:color="808080"/>
            </w:tcBorders>
          </w:tcPr>
          <w:p>
            <w:pPr>
              <w:spacing w:after="0"/>
              <w:rPr>
                <w:sz w:val="24"/>
                <w:szCs w:val="24"/>
                <w:color w:val="auto"/>
              </w:rPr>
            </w:pPr>
          </w:p>
        </w:tc>
        <w:tc>
          <w:tcPr>
            <w:tcW w:w="280" w:type="dxa"/>
            <w:vAlign w:val="bottom"/>
            <w:tcBorders>
              <w:top w:val="single" w:sz="8" w:color="C0C0C0"/>
              <w:bottom w:val="single" w:sz="8" w:color="808080"/>
            </w:tcBorders>
          </w:tcPr>
          <w:p>
            <w:pPr>
              <w:spacing w:after="0"/>
              <w:rPr>
                <w:sz w:val="24"/>
                <w:szCs w:val="24"/>
                <w:color w:val="auto"/>
              </w:rPr>
            </w:pPr>
          </w:p>
        </w:tc>
        <w:tc>
          <w:tcPr>
            <w:tcW w:w="120" w:type="dxa"/>
            <w:vAlign w:val="bottom"/>
            <w:tcBorders>
              <w:top w:val="single" w:sz="8" w:color="auto"/>
              <w:bottom w:val="single" w:sz="8" w:color="808080"/>
            </w:tcBorders>
          </w:tcPr>
          <w:p>
            <w:pPr>
              <w:spacing w:after="0"/>
              <w:rPr>
                <w:sz w:val="24"/>
                <w:szCs w:val="24"/>
                <w:color w:val="auto"/>
              </w:rPr>
            </w:pPr>
          </w:p>
        </w:tc>
        <w:tc>
          <w:tcPr>
            <w:tcW w:w="500" w:type="dxa"/>
            <w:vAlign w:val="bottom"/>
            <w:tcBorders>
              <w:top w:val="single" w:sz="8" w:color="auto"/>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382" w:right="219" w:bottom="1440" w:gutter="0" w:footer="0" w:header="0"/>
        </w:sectPr>
      </w:pPr>
    </w:p>
    <w:bookmarkStart w:id="14" w:name="page15"/>
    <w:bookmarkEnd w:id="14"/>
    <w:p>
      <w:pPr>
        <w:spacing w:after="0" w:line="255" w:lineRule="auto"/>
        <w:rPr>
          <w:sz w:val="20"/>
          <w:szCs w:val="20"/>
          <w:color w:val="auto"/>
        </w:rPr>
      </w:pPr>
      <w:r>
        <w:rPr>
          <w:rFonts w:ascii="Arial" w:cs="Arial" w:eastAsia="Arial" w:hAnsi="Arial"/>
          <w:sz w:val="18"/>
          <w:szCs w:val="18"/>
          <w:color w:val="auto"/>
        </w:rPr>
        <w:t>In periods when the Company recognizes VEGF Trap-Eye development expenses that the Company incurs under the collaboration with Bayer HealthCare, the Company also recognizes, as collaboration revenue, the portion of those VEGF Trap-Eye development expenses that is reimbursable by Bayer HealthCare. Cost-sharing of the Company’s VEGF Trap-Eye development expenses with Bayer HealthCare increased for the three and six months ended June 30, 2010, compared to the same period in 2009, due to higher costs incurred by the Company in connection with the collaboration’s clinical development programs in wet AMD, DME, and CRVO. In 2010 and 2009, development expenses incurred by Regeneron and Bayer HealthCare under the VEGF Trap-Eye global development plan were shared equally.</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Technology Licensing Revenue</w:t>
      </w:r>
    </w:p>
    <w:p>
      <w:pPr>
        <w:spacing w:after="0" w:line="15" w:lineRule="exact"/>
        <w:rPr>
          <w:sz w:val="20"/>
          <w:szCs w:val="20"/>
          <w:color w:val="auto"/>
        </w:rPr>
      </w:pPr>
    </w:p>
    <w:p>
      <w:pPr>
        <w:ind w:right="160"/>
        <w:spacing w:after="0" w:line="231" w:lineRule="auto"/>
        <w:rPr>
          <w:sz w:val="20"/>
          <w:szCs w:val="20"/>
          <w:color w:val="auto"/>
        </w:rPr>
      </w:pPr>
      <w:r>
        <w:rPr>
          <w:rFonts w:ascii="Arial" w:cs="Arial" w:eastAsia="Arial" w:hAnsi="Arial"/>
          <w:sz w:val="18"/>
          <w:szCs w:val="18"/>
          <w:color w:val="auto"/>
        </w:rPr>
        <w:t xml:space="preserve">Regeneron has entered into non-exclusive license agreements with AstraZeneca and Astellas that allow those companies to utilize </w:t>
      </w:r>
      <w:r>
        <w:rPr>
          <w:rFonts w:ascii="Arial" w:cs="Arial" w:eastAsia="Arial" w:hAnsi="Arial"/>
          <w:sz w:val="18"/>
          <w:szCs w:val="18"/>
          <w:i w:val="1"/>
          <w:iCs w:val="1"/>
          <w:color w:val="auto"/>
        </w:rPr>
        <w:t>VelocImmune</w:t>
      </w:r>
      <w:r>
        <w:rPr>
          <w:rFonts w:ascii="Arial" w:cs="Arial" w:eastAsia="Arial" w:hAnsi="Arial"/>
          <w:sz w:val="24"/>
          <w:szCs w:val="24"/>
          <w:i w:val="1"/>
          <w:iCs w:val="1"/>
          <w:color w:val="auto"/>
          <w:vertAlign w:val="superscript"/>
        </w:rPr>
        <w:t>®</w:t>
      </w:r>
      <w:r>
        <w:rPr>
          <w:rFonts w:ascii="Arial" w:cs="Arial" w:eastAsia="Arial" w:hAnsi="Arial"/>
          <w:sz w:val="18"/>
          <w:szCs w:val="18"/>
          <w:color w:val="auto"/>
        </w:rPr>
        <w:t xml:space="preserve"> technology in their internal research programs to discover human monoclonal antibodies. To date, the Company has received four $20.0 million annual, non-refundable payments from each of AstraZeneca and Astellas under these agreements. Upon receipt, these payments are deferred and recognized as revenue ratably over the ensuing year of each agreement.</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Product Sales</w:t>
      </w:r>
    </w:p>
    <w:p>
      <w:pPr>
        <w:spacing w:after="0" w:line="15" w:lineRule="exact"/>
        <w:rPr>
          <w:sz w:val="20"/>
          <w:szCs w:val="20"/>
          <w:color w:val="auto"/>
        </w:rPr>
      </w:pPr>
    </w:p>
    <w:p>
      <w:pPr>
        <w:ind w:right="40"/>
        <w:spacing w:after="0" w:line="225" w:lineRule="auto"/>
        <w:rPr>
          <w:sz w:val="20"/>
          <w:szCs w:val="20"/>
          <w:color w:val="auto"/>
        </w:rPr>
      </w:pPr>
      <w:r>
        <w:rPr>
          <w:rFonts w:ascii="Arial" w:cs="Arial" w:eastAsia="Arial" w:hAnsi="Arial"/>
          <w:sz w:val="17"/>
          <w:szCs w:val="17"/>
          <w:color w:val="auto"/>
        </w:rPr>
        <w:t>Revenue and deferred revenue from product sales are recorded net of applicable provisions for prompt pay discounts, product returns, estimated rebates payable under governmental programs (including Medicaid), distributor fees, and other sales-related costs. The Company had limited historical return experience for ARCALYST</w:t>
      </w:r>
      <w:r>
        <w:rPr>
          <w:rFonts w:ascii="Arial" w:cs="Arial" w:eastAsia="Arial" w:hAnsi="Arial"/>
          <w:sz w:val="23"/>
          <w:szCs w:val="23"/>
          <w:color w:val="auto"/>
          <w:vertAlign w:val="superscript"/>
        </w:rPr>
        <w:t>®</w:t>
      </w:r>
      <w:r>
        <w:rPr>
          <w:rFonts w:ascii="Arial" w:cs="Arial" w:eastAsia="Arial" w:hAnsi="Arial"/>
          <w:sz w:val="17"/>
          <w:szCs w:val="17"/>
          <w:color w:val="auto"/>
        </w:rPr>
        <w:t xml:space="preserve"> (rilonacept) beginning with initial sales in 2008 through the end of 2009; therefore, ARCALYST</w:t>
      </w:r>
      <w:r>
        <w:rPr>
          <w:rFonts w:ascii="Arial" w:cs="Arial" w:eastAsia="Arial" w:hAnsi="Arial"/>
          <w:sz w:val="23"/>
          <w:szCs w:val="23"/>
          <w:color w:val="auto"/>
          <w:vertAlign w:val="superscript"/>
        </w:rPr>
        <w:t>®</w:t>
      </w:r>
      <w:r>
        <w:rPr>
          <w:rFonts w:ascii="Arial" w:cs="Arial" w:eastAsia="Arial" w:hAnsi="Arial"/>
          <w:sz w:val="17"/>
          <w:szCs w:val="17"/>
          <w:color w:val="auto"/>
        </w:rPr>
        <w:t xml:space="preserve"> net product sales were deferred until the right of return no longer existed and rebates could be reasonably estimated. Effective in the first quarter of 2010, the Company determined that it had accumulated sufficient historical data to reasonably estimate both product returns and rebates of ARCALYST</w:t>
      </w:r>
      <w:r>
        <w:rPr>
          <w:rFonts w:ascii="Arial" w:cs="Arial" w:eastAsia="Arial" w:hAnsi="Arial"/>
          <w:sz w:val="23"/>
          <w:szCs w:val="23"/>
          <w:color w:val="auto"/>
          <w:vertAlign w:val="superscript"/>
        </w:rPr>
        <w:t>®</w:t>
      </w:r>
      <w:r>
        <w:rPr>
          <w:rFonts w:ascii="Arial" w:cs="Arial" w:eastAsia="Arial" w:hAnsi="Arial"/>
          <w:sz w:val="17"/>
          <w:szCs w:val="17"/>
          <w:color w:val="auto"/>
        </w:rPr>
        <w:t>. As a result, $4.8 million of previously deferred ARCALYST</w:t>
      </w:r>
      <w:r>
        <w:rPr>
          <w:rFonts w:ascii="Arial" w:cs="Arial" w:eastAsia="Arial" w:hAnsi="Arial"/>
          <w:sz w:val="23"/>
          <w:szCs w:val="23"/>
          <w:color w:val="auto"/>
          <w:vertAlign w:val="superscript"/>
        </w:rPr>
        <w:t>®</w:t>
      </w:r>
      <w:r>
        <w:rPr>
          <w:rFonts w:ascii="Arial" w:cs="Arial" w:eastAsia="Arial" w:hAnsi="Arial"/>
          <w:sz w:val="17"/>
          <w:szCs w:val="17"/>
          <w:color w:val="auto"/>
        </w:rPr>
        <w:t xml:space="preserve"> net product sales were recognized as revenue in the first quarter of 2010.</w:t>
      </w:r>
    </w:p>
    <w:p>
      <w:pPr>
        <w:spacing w:after="0" w:line="237" w:lineRule="exact"/>
        <w:rPr>
          <w:sz w:val="20"/>
          <w:szCs w:val="20"/>
          <w:color w:val="auto"/>
        </w:rPr>
      </w:pPr>
    </w:p>
    <w:p>
      <w:pPr>
        <w:spacing w:after="0" w:line="229" w:lineRule="auto"/>
        <w:rPr>
          <w:sz w:val="20"/>
          <w:szCs w:val="20"/>
          <w:color w:val="auto"/>
        </w:rPr>
      </w:pPr>
      <w:r>
        <w:rPr>
          <w:rFonts w:ascii="Arial" w:cs="Arial" w:eastAsia="Arial" w:hAnsi="Arial"/>
          <w:sz w:val="16"/>
          <w:szCs w:val="16"/>
          <w:color w:val="auto"/>
        </w:rPr>
        <w:t>ARCALYST</w:t>
      </w:r>
      <w:r>
        <w:rPr>
          <w:rFonts w:ascii="Arial" w:cs="Arial" w:eastAsia="Arial" w:hAnsi="Arial"/>
          <w:sz w:val="22"/>
          <w:szCs w:val="22"/>
          <w:color w:val="auto"/>
          <w:vertAlign w:val="superscript"/>
        </w:rPr>
        <w:t>®</w:t>
      </w:r>
      <w:r>
        <w:rPr>
          <w:rFonts w:ascii="Arial" w:cs="Arial" w:eastAsia="Arial" w:hAnsi="Arial"/>
          <w:sz w:val="16"/>
          <w:szCs w:val="16"/>
          <w:color w:val="auto"/>
        </w:rPr>
        <w:t xml:space="preserve"> net product sales totaled $5.2 million and $4.5 million for the three months ended June 30, 2010 and 2009, respectively, and $15.0 million and $8.4 million for the six months ended June 30, 2010 and 2009, respectively. ARCALYST</w:t>
      </w:r>
      <w:r>
        <w:rPr>
          <w:rFonts w:ascii="Arial" w:cs="Arial" w:eastAsia="Arial" w:hAnsi="Arial"/>
          <w:sz w:val="22"/>
          <w:szCs w:val="22"/>
          <w:color w:val="auto"/>
          <w:vertAlign w:val="superscript"/>
        </w:rPr>
        <w:t>®</w:t>
      </w:r>
      <w:r>
        <w:rPr>
          <w:rFonts w:ascii="Arial" w:cs="Arial" w:eastAsia="Arial" w:hAnsi="Arial"/>
          <w:sz w:val="16"/>
          <w:szCs w:val="16"/>
          <w:color w:val="auto"/>
        </w:rPr>
        <w:t xml:space="preserve"> net product sales during the first six months of 2010 included $10.2 million of net product sales made during this period and $4.8 million of previously deferred net product sales, as described above. There was no deferred ARCALYST</w:t>
      </w:r>
      <w:r>
        <w:rPr>
          <w:rFonts w:ascii="Arial" w:cs="Arial" w:eastAsia="Arial" w:hAnsi="Arial"/>
          <w:sz w:val="22"/>
          <w:szCs w:val="22"/>
          <w:color w:val="auto"/>
          <w:vertAlign w:val="superscript"/>
        </w:rPr>
        <w:t>®</w:t>
      </w:r>
      <w:r>
        <w:rPr>
          <w:rFonts w:ascii="Arial" w:cs="Arial" w:eastAsia="Arial" w:hAnsi="Arial"/>
          <w:sz w:val="16"/>
          <w:szCs w:val="16"/>
          <w:color w:val="auto"/>
        </w:rPr>
        <w:t xml:space="preserve"> net product sales revenue at June 30, 2010. At June 30, 2009, deferred ARCALYST</w:t>
      </w:r>
      <w:r>
        <w:rPr>
          <w:rFonts w:ascii="Arial" w:cs="Arial" w:eastAsia="Arial" w:hAnsi="Arial"/>
          <w:sz w:val="22"/>
          <w:szCs w:val="22"/>
          <w:color w:val="auto"/>
          <w:vertAlign w:val="superscript"/>
        </w:rPr>
        <w:t>®</w:t>
      </w:r>
      <w:r>
        <w:rPr>
          <w:rFonts w:ascii="Arial" w:cs="Arial" w:eastAsia="Arial" w:hAnsi="Arial"/>
          <w:sz w:val="16"/>
          <w:szCs w:val="16"/>
          <w:color w:val="auto"/>
        </w:rPr>
        <w:t xml:space="preserve"> net product sales revenue was $4.9 million.</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Expenses</w:t>
      </w:r>
    </w:p>
    <w:p>
      <w:pPr>
        <w:spacing w:after="0" w:line="15"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Total operating expenses for the second quarter of 2010 were $139.6 million, 31 percent higher than the same period in 2009, and $272.0 million for the first six months of 2010, 37 percent higher than the same period in 2009. Average headcount increased to 1,214 in the second quarter of 2010 from 966 in the same period of 2009 and increased to 1,151 for the first half of 2010 from 952 in the same period of 2009, due primarily to the Company’s expanding research and development activities, principally in connection with the sanofi-aventis antibody collaboration. Operating expenses included non-cash compensation expense related to employee stock option and restricted stock awards of $8.7 million in the second quarter of 2010 and $17.5 million for the first six months of 2010, compared with $7.4 million and $15.1 million, respectively, for the same periods of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198755</wp:posOffset>
            </wp:positionV>
            <wp:extent cx="7267575"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00"/>
          </w:cols>
          <w:pgMar w:left="240" w:top="368" w:right="259" w:bottom="1440" w:gutter="0" w:footer="0" w:header="0"/>
        </w:sectPr>
      </w:pPr>
    </w:p>
    <w:bookmarkStart w:id="15" w:name="page16"/>
    <w:bookmarkEnd w:id="15"/>
    <w:p>
      <w:pPr>
        <w:ind w:right="100"/>
        <w:spacing w:after="0" w:line="291" w:lineRule="auto"/>
        <w:rPr>
          <w:sz w:val="20"/>
          <w:szCs w:val="20"/>
          <w:color w:val="auto"/>
        </w:rPr>
      </w:pPr>
      <w:r>
        <w:rPr>
          <w:rFonts w:ascii="Arial" w:cs="Arial" w:eastAsia="Arial" w:hAnsi="Arial"/>
          <w:sz w:val="16"/>
          <w:szCs w:val="16"/>
          <w:color w:val="auto"/>
        </w:rPr>
        <w:t>Research and development (R&amp;D) expenses increased to $124.5 million in the second quarter of 2010 from $94.2 million in the comparable quarter of 2009 and to $242.0 million in the first six months of 2010 from $174.5 million in the same period of 2009. In the second quarter and first half of 2010, the Company incurred higher R&amp;D costs, primarily related to additional R&amp;D headcount and clinical development costs, manufacturing clinical supplies, and research and other development activities associated with the Company’s monoclonal antibody programs. In addition, R&amp;D expenses include cost-sharing of Bayer HealthCare’s VEGF Trap-Eye development expenses, which increased in the second quarter and first half of 2010 compared to the same periods in 2009, primarily due to higher costs in connection with the Phase 3 VEGF Trap-Eye studies being conducted by Bayer HealthCare.</w:t>
      </w:r>
    </w:p>
    <w:p>
      <w:pPr>
        <w:spacing w:after="0" w:line="201"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Selling, general, and administrative (SG&amp;A) expenses increased to $14.7 million in the second quarter of 2010 from $11.7 million in the comparable quarter of 2009, and to $28.9 million in the first six months of 2010 from $23.1 million in the same period of 2009. In the second quarter and first half of 2010, the Company incurred higher SG&amp;A compensation expense due primarily to additional headcount, higher Non-cash Compensation Expense, and higher recruitment costs.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Other Income and Expense</w:t>
      </w:r>
    </w:p>
    <w:p>
      <w:pPr>
        <w:spacing w:after="0" w:line="1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Investment income decreased to $0.6 million in the second quarter of 2010 from $1.3 million in the comparable quarter of 2009 and to $1.0 million in the first six months of 2010 compared to $3.1 million in the same period of 2009. The decrease in investment income was primarily due to lower balances of, and lower yields on, cash and marketable securities in 2010 compared to 2009.</w:t>
      </w:r>
    </w:p>
    <w:p>
      <w:pPr>
        <w:spacing w:after="0" w:line="225" w:lineRule="exact"/>
        <w:rPr>
          <w:sz w:val="20"/>
          <w:szCs w:val="20"/>
          <w:color w:val="auto"/>
        </w:rPr>
      </w:pPr>
    </w:p>
    <w:p>
      <w:pPr>
        <w:jc w:val="both"/>
        <w:ind w:right="160"/>
        <w:spacing w:after="0" w:line="259" w:lineRule="auto"/>
        <w:rPr>
          <w:sz w:val="20"/>
          <w:szCs w:val="20"/>
          <w:color w:val="auto"/>
        </w:rPr>
      </w:pPr>
      <w:r>
        <w:rPr>
          <w:rFonts w:ascii="Arial" w:cs="Arial" w:eastAsia="Arial" w:hAnsi="Arial"/>
          <w:sz w:val="18"/>
          <w:szCs w:val="18"/>
          <w:color w:val="auto"/>
        </w:rPr>
        <w:t>Interest expense of $2.3 million in the second quarter of 2010 and $4.4 million in the first six months of 2010 was attributable to the imputed interest portion of the Company’s payments to its landlord to lease newly constructed laboratory and office facilities in Tarrytown, New York. These payments commenced in the third quarter of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212090</wp:posOffset>
            </wp:positionV>
            <wp:extent cx="7267575"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380"/>
          </w:cols>
          <w:pgMar w:left="240" w:top="374" w:right="27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About Regeneron Pharmaceuticals</w:t>
      </w:r>
    </w:p>
    <w:p>
      <w:pPr>
        <w:spacing w:after="0" w:line="21" w:lineRule="exact"/>
        <w:rPr>
          <w:sz w:val="20"/>
          <w:szCs w:val="20"/>
          <w:color w:val="auto"/>
        </w:rPr>
      </w:pPr>
    </w:p>
    <w:p>
      <w:pPr>
        <w:ind w:right="80"/>
        <w:spacing w:after="0" w:line="269" w:lineRule="auto"/>
        <w:rPr>
          <w:sz w:val="20"/>
          <w:szCs w:val="20"/>
          <w:color w:val="auto"/>
        </w:rPr>
      </w:pPr>
      <w:r>
        <w:rPr>
          <w:rFonts w:ascii="Arial" w:cs="Arial" w:eastAsia="Arial" w:hAnsi="Arial"/>
          <w:sz w:val="16"/>
          <w:szCs w:val="16"/>
          <w:color w:val="auto"/>
        </w:rPr>
        <w:t>Regeneron is a fully integrated biopharmaceutical company that discovers, develops, and commercializes medicines for the treatment of serious medical conditions. In addition to ARCALYST</w:t>
      </w:r>
      <w:r>
        <w:rPr>
          <w:rFonts w:ascii="Arial" w:cs="Arial" w:eastAsia="Arial" w:hAnsi="Arial"/>
          <w:sz w:val="22"/>
          <w:szCs w:val="22"/>
          <w:color w:val="auto"/>
          <w:vertAlign w:val="superscript"/>
        </w:rPr>
        <w:t>®</w:t>
      </w:r>
      <w:r>
        <w:rPr>
          <w:rFonts w:ascii="Arial" w:cs="Arial" w:eastAsia="Arial" w:hAnsi="Arial"/>
          <w:sz w:val="16"/>
          <w:szCs w:val="16"/>
          <w:color w:val="auto"/>
        </w:rPr>
        <w:t xml:space="preserve"> (rilonacept) Injection for Subcutaneous Use, its first commercialized product, Regeneron has therapeutic candidates in Phase 3 clinical trials for the potential treatment of gout, diseases of the eye (wet age-related macular degeneration and central retinal vein occlusion), and certain cancers. Additional therapeutic candidates developed from proprietary Regeneron technologies for creating fully human monoclonal antibodies are in earlier stage development programs in rheumatoid arthritis and other inflammatory conditions, pain, cholesterol reduction, allergic and immune conditions, and cancer. Additional information about Regeneron and recent news releases are available on Regeneron’s web site at www.regeneron.com.</w:t>
      </w:r>
    </w:p>
    <w:p>
      <w:pPr>
        <w:spacing w:after="0" w:line="219"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This news release discusses historical information and includes forward-looking statements about Regeneron and its products, development programs, finances, and business, all of which involve a number of risks and uncertainties. These include, among others, risks and timing associated with preclinical and clinical development of Regeneron’s drug candidates, determinations by regulatory and administrative governmental authorities which may delay or restrict Regeneron’s ability to continue to develop or commercialize its product and drug candidates, competing drugs that are superior to Regeneron’s product and drug candidates, uncertainty of market acceptance of Regeneron’s product and drug candidates, unanticipated expenses, the availability and cost of capital, the costs of developing, producing, and selling products, the potential for any collaboration agreement, including Regeneron’s agreements with the sanofi-aventis Group and Bayer HealthCare, to be canceled or terminated without any product success, and risks associated with third party intellectual property. A more complete description of these and other material risks can be found in Regeneron’s filings with the United States Securities and Exchange Commission (SEC), including its Form 10-K for the year ended December 31, 2009 and Form 10-Q for the quarter ended June 30, 2010. Regeneron does not undertake any obligation to update publicly any forward-looking statement, whether as a result of new information, future events, or otherwise, unless required by law.</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000" w:type="dxa"/>
            <w:vAlign w:val="bottom"/>
          </w:tcPr>
          <w:p>
            <w:pPr>
              <w:spacing w:after="0"/>
              <w:rPr>
                <w:sz w:val="19"/>
                <w:szCs w:val="19"/>
                <w:color w:val="auto"/>
              </w:rPr>
            </w:pPr>
          </w:p>
        </w:tc>
        <w:tc>
          <w:tcPr>
            <w:tcW w:w="7440" w:type="dxa"/>
            <w:vAlign w:val="bottom"/>
          </w:tcPr>
          <w:p>
            <w:pPr>
              <w:ind w:left="1580"/>
              <w:spacing w:after="0"/>
              <w:rPr>
                <w:sz w:val="20"/>
                <w:szCs w:val="20"/>
                <w:color w:val="auto"/>
              </w:rPr>
            </w:pPr>
            <w:r>
              <w:rPr>
                <w:rFonts w:ascii="Arial" w:cs="Arial" w:eastAsia="Arial" w:hAnsi="Arial"/>
                <w:sz w:val="18"/>
                <w:szCs w:val="18"/>
                <w:color w:val="auto"/>
              </w:rPr>
              <w:t>###</w:t>
            </w:r>
          </w:p>
        </w:tc>
      </w:tr>
      <w:tr>
        <w:trPr>
          <w:trHeight w:val="473"/>
        </w:trPr>
        <w:tc>
          <w:tcPr>
            <w:tcW w:w="4000" w:type="dxa"/>
            <w:vAlign w:val="bottom"/>
          </w:tcPr>
          <w:p>
            <w:pPr>
              <w:spacing w:after="0"/>
              <w:rPr>
                <w:sz w:val="20"/>
                <w:szCs w:val="20"/>
                <w:color w:val="auto"/>
              </w:rPr>
            </w:pPr>
            <w:r>
              <w:rPr>
                <w:rFonts w:ascii="Arial" w:cs="Arial" w:eastAsia="Arial" w:hAnsi="Arial"/>
                <w:sz w:val="18"/>
                <w:szCs w:val="18"/>
                <w:b w:val="1"/>
                <w:bCs w:val="1"/>
                <w:color w:val="auto"/>
              </w:rPr>
              <w:t>Contacts Information:</w:t>
            </w:r>
          </w:p>
        </w:tc>
        <w:tc>
          <w:tcPr>
            <w:tcW w:w="7440" w:type="dxa"/>
            <w:vAlign w:val="bottom"/>
          </w:tcPr>
          <w:p>
            <w:pPr>
              <w:spacing w:after="0"/>
              <w:rPr>
                <w:sz w:val="24"/>
                <w:szCs w:val="24"/>
                <w:color w:val="auto"/>
              </w:rPr>
            </w:pPr>
          </w:p>
        </w:tc>
      </w:tr>
      <w:tr>
        <w:trPr>
          <w:trHeight w:val="486"/>
        </w:trPr>
        <w:tc>
          <w:tcPr>
            <w:tcW w:w="4000" w:type="dxa"/>
            <w:vAlign w:val="bottom"/>
          </w:tcPr>
          <w:p>
            <w:pPr>
              <w:spacing w:after="0"/>
              <w:rPr>
                <w:sz w:val="20"/>
                <w:szCs w:val="20"/>
                <w:color w:val="auto"/>
              </w:rPr>
            </w:pPr>
            <w:r>
              <w:rPr>
                <w:rFonts w:ascii="Arial" w:cs="Arial" w:eastAsia="Arial" w:hAnsi="Arial"/>
                <w:sz w:val="18"/>
                <w:szCs w:val="18"/>
                <w:color w:val="auto"/>
              </w:rPr>
              <w:t>Michael Aberman, M.D.</w:t>
            </w:r>
          </w:p>
        </w:tc>
        <w:tc>
          <w:tcPr>
            <w:tcW w:w="7440" w:type="dxa"/>
            <w:vAlign w:val="bottom"/>
          </w:tcPr>
          <w:p>
            <w:pPr>
              <w:ind w:left="1660"/>
              <w:spacing w:after="0"/>
              <w:rPr>
                <w:sz w:val="20"/>
                <w:szCs w:val="20"/>
                <w:color w:val="auto"/>
              </w:rPr>
            </w:pPr>
            <w:r>
              <w:rPr>
                <w:rFonts w:ascii="Arial" w:cs="Arial" w:eastAsia="Arial" w:hAnsi="Arial"/>
                <w:sz w:val="18"/>
                <w:szCs w:val="18"/>
                <w:color w:val="auto"/>
              </w:rPr>
              <w:t>Peter Dworkin</w:t>
            </w:r>
          </w:p>
        </w:tc>
      </w:tr>
      <w:tr>
        <w:trPr>
          <w:trHeight w:val="243"/>
        </w:trPr>
        <w:tc>
          <w:tcPr>
            <w:tcW w:w="4000" w:type="dxa"/>
            <w:vAlign w:val="bottom"/>
          </w:tcPr>
          <w:p>
            <w:pPr>
              <w:spacing w:after="0"/>
              <w:rPr>
                <w:sz w:val="20"/>
                <w:szCs w:val="20"/>
                <w:color w:val="auto"/>
              </w:rPr>
            </w:pPr>
            <w:r>
              <w:rPr>
                <w:rFonts w:ascii="Arial" w:cs="Arial" w:eastAsia="Arial" w:hAnsi="Arial"/>
                <w:sz w:val="18"/>
                <w:szCs w:val="18"/>
                <w:color w:val="auto"/>
              </w:rPr>
              <w:t>Investor Relations</w:t>
            </w:r>
          </w:p>
        </w:tc>
        <w:tc>
          <w:tcPr>
            <w:tcW w:w="7440" w:type="dxa"/>
            <w:vAlign w:val="bottom"/>
          </w:tcPr>
          <w:p>
            <w:pPr>
              <w:ind w:left="1660"/>
              <w:spacing w:after="0"/>
              <w:rPr>
                <w:sz w:val="20"/>
                <w:szCs w:val="20"/>
                <w:color w:val="auto"/>
              </w:rPr>
            </w:pPr>
            <w:r>
              <w:rPr>
                <w:rFonts w:ascii="Arial" w:cs="Arial" w:eastAsia="Arial" w:hAnsi="Arial"/>
                <w:sz w:val="18"/>
                <w:szCs w:val="18"/>
                <w:color w:val="auto"/>
              </w:rPr>
              <w:t>Corporate Communications</w:t>
            </w:r>
          </w:p>
        </w:tc>
      </w:tr>
      <w:tr>
        <w:trPr>
          <w:trHeight w:val="243"/>
        </w:trPr>
        <w:tc>
          <w:tcPr>
            <w:tcW w:w="4000" w:type="dxa"/>
            <w:vAlign w:val="bottom"/>
          </w:tcPr>
          <w:p>
            <w:pPr>
              <w:spacing w:after="0"/>
              <w:rPr>
                <w:sz w:val="20"/>
                <w:szCs w:val="20"/>
                <w:color w:val="auto"/>
              </w:rPr>
            </w:pPr>
            <w:r>
              <w:rPr>
                <w:rFonts w:ascii="Arial" w:cs="Arial" w:eastAsia="Arial" w:hAnsi="Arial"/>
                <w:sz w:val="18"/>
                <w:szCs w:val="18"/>
                <w:color w:val="auto"/>
              </w:rPr>
              <w:t>914.345.7799</w:t>
            </w:r>
          </w:p>
        </w:tc>
        <w:tc>
          <w:tcPr>
            <w:tcW w:w="7440" w:type="dxa"/>
            <w:vAlign w:val="bottom"/>
          </w:tcPr>
          <w:p>
            <w:pPr>
              <w:ind w:left="1660"/>
              <w:spacing w:after="0"/>
              <w:rPr>
                <w:sz w:val="20"/>
                <w:szCs w:val="20"/>
                <w:color w:val="auto"/>
              </w:rPr>
            </w:pPr>
            <w:r>
              <w:rPr>
                <w:rFonts w:ascii="Arial" w:cs="Arial" w:eastAsia="Arial" w:hAnsi="Arial"/>
                <w:sz w:val="18"/>
                <w:szCs w:val="18"/>
                <w:color w:val="auto"/>
              </w:rPr>
              <w:t>914.345.7640</w:t>
            </w:r>
          </w:p>
        </w:tc>
      </w:tr>
      <w:tr>
        <w:trPr>
          <w:trHeight w:val="243"/>
        </w:trPr>
        <w:tc>
          <w:tcPr>
            <w:tcW w:w="4000" w:type="dxa"/>
            <w:vAlign w:val="bottom"/>
          </w:tcPr>
          <w:p>
            <w:pPr>
              <w:spacing w:after="0"/>
              <w:rPr>
                <w:sz w:val="20"/>
                <w:szCs w:val="20"/>
                <w:color w:val="auto"/>
              </w:rPr>
            </w:pPr>
            <w:r>
              <w:rPr>
                <w:rFonts w:ascii="Arial" w:cs="Arial" w:eastAsia="Arial" w:hAnsi="Arial"/>
                <w:sz w:val="18"/>
                <w:szCs w:val="18"/>
                <w:color w:val="auto"/>
              </w:rPr>
              <w:t>michael.aberman@regeneron.com</w:t>
            </w:r>
          </w:p>
        </w:tc>
        <w:tc>
          <w:tcPr>
            <w:tcW w:w="7440" w:type="dxa"/>
            <w:vAlign w:val="bottom"/>
          </w:tcPr>
          <w:p>
            <w:pPr>
              <w:ind w:left="1660"/>
              <w:spacing w:after="0"/>
              <w:rPr>
                <w:sz w:val="20"/>
                <w:szCs w:val="20"/>
                <w:color w:val="auto"/>
              </w:rPr>
            </w:pPr>
            <w:r>
              <w:rPr>
                <w:rFonts w:ascii="Arial" w:cs="Arial" w:eastAsia="Arial" w:hAnsi="Arial"/>
                <w:sz w:val="18"/>
                <w:szCs w:val="18"/>
                <w:color w:val="auto"/>
              </w:rPr>
              <w:t>peter.dworkin@regeneron.com</w:t>
            </w:r>
          </w:p>
        </w:tc>
      </w:tr>
      <w:tr>
        <w:trPr>
          <w:trHeight w:val="377"/>
        </w:trPr>
        <w:tc>
          <w:tcPr>
            <w:tcW w:w="4000" w:type="dxa"/>
            <w:vAlign w:val="bottom"/>
            <w:tcBorders>
              <w:bottom w:val="single" w:sz="8" w:color="808080"/>
            </w:tcBorders>
          </w:tcPr>
          <w:p>
            <w:pPr>
              <w:spacing w:after="0"/>
              <w:rPr>
                <w:sz w:val="24"/>
                <w:szCs w:val="24"/>
                <w:color w:val="auto"/>
              </w:rPr>
            </w:pPr>
          </w:p>
        </w:tc>
        <w:tc>
          <w:tcPr>
            <w:tcW w:w="74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368" w:right="219" w:bottom="1440" w:gutter="0" w:footer="0" w:header="0"/>
        </w:sectPr>
      </w:pPr>
    </w:p>
    <w:bookmarkStart w:id="17" w:name="page18"/>
    <w:bookmarkEnd w:id="17"/>
    <w:p>
      <w:pPr>
        <w:jc w:val="center"/>
        <w:ind w:right="20"/>
        <w:spacing w:after="0"/>
        <w:rPr>
          <w:sz w:val="20"/>
          <w:szCs w:val="20"/>
          <w:color w:val="auto"/>
        </w:rPr>
      </w:pPr>
      <w:r>
        <w:rPr>
          <w:rFonts w:ascii="Arial" w:cs="Arial" w:eastAsia="Arial" w:hAnsi="Arial"/>
          <w:sz w:val="18"/>
          <w:szCs w:val="18"/>
          <w:b w:val="1"/>
          <w:bCs w:val="1"/>
          <w:color w:val="auto"/>
        </w:rPr>
        <w:t>REGENERON PHARMACEUTICALS, INC.</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CONDENSED BALANCE SHEETS (Unaudited)</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i w:val="1"/>
          <w:iCs w:val="1"/>
          <w:color w:val="auto"/>
        </w:rPr>
        <w:t>(In thousands)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50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ind w:left="60"/>
              <w:spacing w:after="0"/>
              <w:rPr>
                <w:sz w:val="20"/>
                <w:szCs w:val="20"/>
                <w:color w:val="auto"/>
              </w:rPr>
            </w:pPr>
            <w:r>
              <w:rPr>
                <w:rFonts w:ascii="Arial" w:cs="Arial" w:eastAsia="Arial" w:hAnsi="Arial"/>
                <w:sz w:val="18"/>
                <w:szCs w:val="18"/>
                <w:b w:val="1"/>
                <w:bCs w:val="1"/>
                <w:color w:val="auto"/>
              </w:rPr>
              <w:t>June 30,</w:t>
            </w:r>
          </w:p>
        </w:tc>
        <w:tc>
          <w:tcPr>
            <w:tcW w:w="1100" w:type="dxa"/>
            <w:vAlign w:val="bottom"/>
            <w:gridSpan w:val="2"/>
          </w:tcPr>
          <w:p>
            <w:pPr>
              <w:jc w:val="right"/>
              <w:spacing w:after="0"/>
              <w:rPr>
                <w:sz w:val="20"/>
                <w:szCs w:val="20"/>
                <w:color w:val="auto"/>
              </w:rPr>
            </w:pPr>
            <w:r>
              <w:rPr>
                <w:rFonts w:ascii="Arial" w:cs="Arial" w:eastAsia="Arial" w:hAnsi="Arial"/>
                <w:sz w:val="18"/>
                <w:szCs w:val="18"/>
                <w:b w:val="1"/>
                <w:bCs w:val="1"/>
                <w:color w:val="auto"/>
                <w:w w:val="88"/>
              </w:rPr>
              <w:t>December 31,</w:t>
            </w:r>
          </w:p>
        </w:tc>
        <w:tc>
          <w:tcPr>
            <w:tcW w:w="20" w:type="dxa"/>
            <w:vAlign w:val="bottom"/>
          </w:tcPr>
          <w:p>
            <w:pPr>
              <w:spacing w:after="0"/>
              <w:rPr>
                <w:sz w:val="19"/>
                <w:szCs w:val="19"/>
                <w:color w:val="auto"/>
              </w:rPr>
            </w:pPr>
          </w:p>
        </w:tc>
      </w:tr>
      <w:tr>
        <w:trPr>
          <w:trHeight w:val="252"/>
        </w:trPr>
        <w:tc>
          <w:tcPr>
            <w:tcW w:w="6500" w:type="dxa"/>
            <w:vAlign w:val="bottom"/>
            <w:tcBorders>
              <w:bottom w:val="single" w:sz="8" w:color="C0C0C0"/>
            </w:tcBorders>
          </w:tcPr>
          <w:p>
            <w:pPr>
              <w:spacing w:after="0"/>
              <w:rPr>
                <w:sz w:val="21"/>
                <w:szCs w:val="21"/>
                <w:color w:val="auto"/>
              </w:rPr>
            </w:pPr>
          </w:p>
        </w:tc>
        <w:tc>
          <w:tcPr>
            <w:tcW w:w="2480" w:type="dxa"/>
            <w:vAlign w:val="bottom"/>
            <w:tcBorders>
              <w:bottom w:val="single" w:sz="8" w:color="C0C0C0"/>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2010</w:t>
            </w:r>
          </w:p>
        </w:tc>
        <w:tc>
          <w:tcPr>
            <w:tcW w:w="280" w:type="dxa"/>
            <w:vAlign w:val="bottom"/>
            <w:tcBorders>
              <w:bottom w:val="single" w:sz="8" w:color="C0C0C0"/>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2009</w:t>
            </w:r>
          </w:p>
        </w:tc>
        <w:tc>
          <w:tcPr>
            <w:tcW w:w="20" w:type="dxa"/>
            <w:vAlign w:val="bottom"/>
          </w:tcPr>
          <w:p>
            <w:pPr>
              <w:spacing w:after="0"/>
              <w:rPr>
                <w:sz w:val="21"/>
                <w:szCs w:val="21"/>
                <w:color w:val="auto"/>
              </w:rPr>
            </w:pPr>
          </w:p>
        </w:tc>
      </w:tr>
      <w:tr>
        <w:trPr>
          <w:trHeight w:val="230"/>
        </w:trPr>
        <w:tc>
          <w:tcPr>
            <w:tcW w:w="6500" w:type="dxa"/>
            <w:vAlign w:val="bottom"/>
            <w:shd w:val="clear" w:color="auto" w:fill="C0C0C0"/>
          </w:tcPr>
          <w:p>
            <w:pPr>
              <w:spacing w:after="0"/>
              <w:rPr>
                <w:sz w:val="20"/>
                <w:szCs w:val="20"/>
                <w:color w:val="auto"/>
              </w:rPr>
            </w:pPr>
            <w:r>
              <w:rPr>
                <w:rFonts w:ascii="Arial" w:cs="Arial" w:eastAsia="Arial" w:hAnsi="Arial"/>
                <w:sz w:val="18"/>
                <w:szCs w:val="18"/>
                <w:color w:val="auto"/>
              </w:rPr>
              <w:t>ASSETS</w:t>
            </w:r>
          </w:p>
        </w:tc>
        <w:tc>
          <w:tcPr>
            <w:tcW w:w="2480" w:type="dxa"/>
            <w:vAlign w:val="bottom"/>
            <w:shd w:val="clear" w:color="auto" w:fill="C0C0C0"/>
          </w:tcPr>
          <w:p>
            <w:pPr>
              <w:spacing w:after="0"/>
              <w:rPr>
                <w:sz w:val="19"/>
                <w:szCs w:val="19"/>
                <w:color w:val="auto"/>
              </w:rPr>
            </w:pPr>
          </w:p>
        </w:tc>
        <w:tc>
          <w:tcPr>
            <w:tcW w:w="160" w:type="dxa"/>
            <w:vAlign w:val="bottom"/>
            <w:shd w:val="clear" w:color="auto" w:fill="C0C0C0"/>
          </w:tcPr>
          <w:p>
            <w:pPr>
              <w:spacing w:after="0"/>
              <w:rPr>
                <w:sz w:val="19"/>
                <w:szCs w:val="19"/>
                <w:color w:val="auto"/>
              </w:rPr>
            </w:pPr>
          </w:p>
        </w:tc>
        <w:tc>
          <w:tcPr>
            <w:tcW w:w="900" w:type="dxa"/>
            <w:vAlign w:val="bottom"/>
            <w:shd w:val="clear" w:color="auto" w:fill="C0C0C0"/>
          </w:tcPr>
          <w:p>
            <w:pPr>
              <w:spacing w:after="0"/>
              <w:rPr>
                <w:sz w:val="19"/>
                <w:szCs w:val="19"/>
                <w:color w:val="auto"/>
              </w:rPr>
            </w:pPr>
          </w:p>
        </w:tc>
        <w:tc>
          <w:tcPr>
            <w:tcW w:w="280" w:type="dxa"/>
            <w:vAlign w:val="bottom"/>
            <w:shd w:val="clear" w:color="auto" w:fill="C0C0C0"/>
          </w:tcPr>
          <w:p>
            <w:pPr>
              <w:spacing w:after="0"/>
              <w:rPr>
                <w:sz w:val="19"/>
                <w:szCs w:val="19"/>
                <w:color w:val="auto"/>
              </w:rPr>
            </w:pPr>
          </w:p>
        </w:tc>
        <w:tc>
          <w:tcPr>
            <w:tcW w:w="240" w:type="dxa"/>
            <w:vAlign w:val="bottom"/>
            <w:shd w:val="clear" w:color="auto" w:fill="C0C0C0"/>
          </w:tcPr>
          <w:p>
            <w:pPr>
              <w:spacing w:after="0"/>
              <w:rPr>
                <w:sz w:val="19"/>
                <w:szCs w:val="19"/>
                <w:color w:val="auto"/>
              </w:rPr>
            </w:pPr>
          </w:p>
        </w:tc>
        <w:tc>
          <w:tcPr>
            <w:tcW w:w="860" w:type="dxa"/>
            <w:vAlign w:val="bottom"/>
            <w:shd w:val="clear" w:color="auto" w:fill="C0C0C0"/>
          </w:tcPr>
          <w:p>
            <w:pPr>
              <w:spacing w:after="0"/>
              <w:rPr>
                <w:sz w:val="19"/>
                <w:szCs w:val="19"/>
                <w:color w:val="auto"/>
              </w:rPr>
            </w:pPr>
          </w:p>
        </w:tc>
        <w:tc>
          <w:tcPr>
            <w:tcW w:w="20" w:type="dxa"/>
            <w:vAlign w:val="bottom"/>
          </w:tcPr>
          <w:p>
            <w:pPr>
              <w:spacing w:after="0"/>
              <w:rPr>
                <w:sz w:val="19"/>
                <w:szCs w:val="19"/>
                <w:color w:val="auto"/>
              </w:rPr>
            </w:pPr>
          </w:p>
        </w:tc>
      </w:tr>
      <w:tr>
        <w:trPr>
          <w:trHeight w:val="235"/>
        </w:trPr>
        <w:tc>
          <w:tcPr>
            <w:tcW w:w="6500" w:type="dxa"/>
            <w:vAlign w:val="bottom"/>
          </w:tcPr>
          <w:p>
            <w:pPr>
              <w:spacing w:after="0"/>
              <w:rPr>
                <w:sz w:val="20"/>
                <w:szCs w:val="20"/>
                <w:color w:val="auto"/>
              </w:rPr>
            </w:pPr>
            <w:r>
              <w:rPr>
                <w:rFonts w:ascii="Arial" w:cs="Arial" w:eastAsia="Arial" w:hAnsi="Arial"/>
                <w:sz w:val="18"/>
                <w:szCs w:val="18"/>
                <w:color w:val="auto"/>
              </w:rPr>
              <w:t>Cash, restricted cash, and marketable securities</w:t>
            </w:r>
          </w:p>
        </w:tc>
        <w:tc>
          <w:tcPr>
            <w:tcW w:w="26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380,202</w:t>
            </w:r>
          </w:p>
        </w:tc>
        <w:tc>
          <w:tcPr>
            <w:tcW w:w="280" w:type="dxa"/>
            <w:vAlign w:val="bottom"/>
          </w:tcPr>
          <w:p>
            <w:pPr>
              <w:spacing w:after="0"/>
              <w:rPr>
                <w:sz w:val="20"/>
                <w:szCs w:val="20"/>
                <w:color w:val="auto"/>
              </w:rPr>
            </w:pP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390,010</w:t>
            </w:r>
          </w:p>
        </w:tc>
        <w:tc>
          <w:tcPr>
            <w:tcW w:w="20" w:type="dxa"/>
            <w:vAlign w:val="bottom"/>
          </w:tcPr>
          <w:p>
            <w:pPr>
              <w:spacing w:after="0"/>
              <w:rPr>
                <w:sz w:val="20"/>
                <w:szCs w:val="20"/>
                <w:color w:val="auto"/>
              </w:rPr>
            </w:pPr>
          </w:p>
        </w:tc>
      </w:tr>
      <w:tr>
        <w:trPr>
          <w:trHeight w:val="251"/>
        </w:trPr>
        <w:tc>
          <w:tcPr>
            <w:tcW w:w="6500" w:type="dxa"/>
            <w:vAlign w:val="bottom"/>
            <w:shd w:val="clear" w:color="auto" w:fill="C0C0C0"/>
          </w:tcPr>
          <w:p>
            <w:pPr>
              <w:spacing w:after="0"/>
              <w:rPr>
                <w:sz w:val="20"/>
                <w:szCs w:val="20"/>
                <w:color w:val="auto"/>
              </w:rPr>
            </w:pPr>
            <w:r>
              <w:rPr>
                <w:rFonts w:ascii="Arial" w:cs="Arial" w:eastAsia="Arial" w:hAnsi="Arial"/>
                <w:sz w:val="18"/>
                <w:szCs w:val="18"/>
                <w:color w:val="auto"/>
              </w:rPr>
              <w:t>Receivables</w:t>
            </w:r>
          </w:p>
        </w:tc>
        <w:tc>
          <w:tcPr>
            <w:tcW w:w="2480" w:type="dxa"/>
            <w:vAlign w:val="bottom"/>
            <w:shd w:val="clear" w:color="auto" w:fill="C0C0C0"/>
          </w:tcPr>
          <w:p>
            <w:pPr>
              <w:spacing w:after="0"/>
              <w:rPr>
                <w:sz w:val="21"/>
                <w:szCs w:val="21"/>
                <w:color w:val="auto"/>
              </w:rPr>
            </w:pPr>
          </w:p>
        </w:tc>
        <w:tc>
          <w:tcPr>
            <w:tcW w:w="160" w:type="dxa"/>
            <w:vAlign w:val="bottom"/>
            <w:shd w:val="clear" w:color="auto" w:fill="C0C0C0"/>
          </w:tcPr>
          <w:p>
            <w:pPr>
              <w:spacing w:after="0"/>
              <w:rPr>
                <w:sz w:val="21"/>
                <w:szCs w:val="21"/>
                <w:color w:val="auto"/>
              </w:rPr>
            </w:pPr>
          </w:p>
        </w:tc>
        <w:tc>
          <w:tcPr>
            <w:tcW w:w="9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95,196</w:t>
            </w:r>
          </w:p>
        </w:tc>
        <w:tc>
          <w:tcPr>
            <w:tcW w:w="280" w:type="dxa"/>
            <w:vAlign w:val="bottom"/>
            <w:shd w:val="clear" w:color="auto" w:fill="C0C0C0"/>
          </w:tcPr>
          <w:p>
            <w:pPr>
              <w:spacing w:after="0"/>
              <w:rPr>
                <w:sz w:val="21"/>
                <w:szCs w:val="21"/>
                <w:color w:val="auto"/>
              </w:rPr>
            </w:pPr>
          </w:p>
        </w:tc>
        <w:tc>
          <w:tcPr>
            <w:tcW w:w="240" w:type="dxa"/>
            <w:vAlign w:val="bottom"/>
            <w:shd w:val="clear" w:color="auto" w:fill="C0C0C0"/>
          </w:tcPr>
          <w:p>
            <w:pPr>
              <w:spacing w:after="0"/>
              <w:rPr>
                <w:sz w:val="21"/>
                <w:szCs w:val="21"/>
                <w:color w:val="auto"/>
              </w:rPr>
            </w:pPr>
          </w:p>
        </w:tc>
        <w:tc>
          <w:tcPr>
            <w:tcW w:w="8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65,568</w:t>
            </w:r>
          </w:p>
        </w:tc>
        <w:tc>
          <w:tcPr>
            <w:tcW w:w="20" w:type="dxa"/>
            <w:vAlign w:val="bottom"/>
          </w:tcPr>
          <w:p>
            <w:pPr>
              <w:spacing w:after="0"/>
              <w:rPr>
                <w:sz w:val="21"/>
                <w:szCs w:val="21"/>
                <w:color w:val="auto"/>
              </w:rPr>
            </w:pPr>
          </w:p>
        </w:tc>
      </w:tr>
      <w:tr>
        <w:trPr>
          <w:trHeight w:val="235"/>
        </w:trPr>
        <w:tc>
          <w:tcPr>
            <w:tcW w:w="6500" w:type="dxa"/>
            <w:vAlign w:val="bottom"/>
          </w:tcPr>
          <w:p>
            <w:pPr>
              <w:spacing w:after="0"/>
              <w:rPr>
                <w:sz w:val="20"/>
                <w:szCs w:val="20"/>
                <w:color w:val="auto"/>
              </w:rPr>
            </w:pPr>
            <w:r>
              <w:rPr>
                <w:rFonts w:ascii="Arial" w:cs="Arial" w:eastAsia="Arial" w:hAnsi="Arial"/>
                <w:sz w:val="18"/>
                <w:szCs w:val="18"/>
                <w:color w:val="auto"/>
              </w:rPr>
              <w:t>Property, plant, and equipment, net</w:t>
            </w:r>
          </w:p>
        </w:tc>
        <w:tc>
          <w:tcPr>
            <w:tcW w:w="2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292,329</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259,676</w:t>
            </w:r>
          </w:p>
        </w:tc>
        <w:tc>
          <w:tcPr>
            <w:tcW w:w="20" w:type="dxa"/>
            <w:vAlign w:val="bottom"/>
          </w:tcPr>
          <w:p>
            <w:pPr>
              <w:spacing w:after="0"/>
              <w:rPr>
                <w:sz w:val="20"/>
                <w:szCs w:val="20"/>
                <w:color w:val="auto"/>
              </w:rPr>
            </w:pPr>
          </w:p>
        </w:tc>
      </w:tr>
      <w:tr>
        <w:trPr>
          <w:trHeight w:val="244"/>
        </w:trPr>
        <w:tc>
          <w:tcPr>
            <w:tcW w:w="6500" w:type="dxa"/>
            <w:vAlign w:val="bottom"/>
            <w:shd w:val="clear" w:color="auto" w:fill="C0C0C0"/>
          </w:tcPr>
          <w:p>
            <w:pPr>
              <w:spacing w:after="0"/>
              <w:rPr>
                <w:sz w:val="20"/>
                <w:szCs w:val="20"/>
                <w:color w:val="auto"/>
              </w:rPr>
            </w:pPr>
            <w:r>
              <w:rPr>
                <w:rFonts w:ascii="Arial" w:cs="Arial" w:eastAsia="Arial" w:hAnsi="Arial"/>
                <w:sz w:val="18"/>
                <w:szCs w:val="18"/>
                <w:color w:val="auto"/>
              </w:rPr>
              <w:t>Other assets</w:t>
            </w:r>
          </w:p>
        </w:tc>
        <w:tc>
          <w:tcPr>
            <w:tcW w:w="2480" w:type="dxa"/>
            <w:vAlign w:val="bottom"/>
            <w:shd w:val="clear" w:color="auto" w:fill="C0C0C0"/>
          </w:tcPr>
          <w:p>
            <w:pPr>
              <w:spacing w:after="0"/>
              <w:rPr>
                <w:sz w:val="21"/>
                <w:szCs w:val="21"/>
                <w:color w:val="auto"/>
              </w:rPr>
            </w:pPr>
          </w:p>
        </w:tc>
        <w:tc>
          <w:tcPr>
            <w:tcW w:w="160" w:type="dxa"/>
            <w:vAlign w:val="bottom"/>
            <w:tcBorders>
              <w:bottom w:val="single" w:sz="8" w:color="auto"/>
            </w:tcBorders>
            <w:shd w:val="clear" w:color="auto" w:fill="C0C0C0"/>
          </w:tcPr>
          <w:p>
            <w:pPr>
              <w:spacing w:after="0"/>
              <w:rPr>
                <w:sz w:val="21"/>
                <w:szCs w:val="21"/>
                <w:color w:val="auto"/>
              </w:rPr>
            </w:pPr>
          </w:p>
        </w:tc>
        <w:tc>
          <w:tcPr>
            <w:tcW w:w="90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22,914</w:t>
            </w:r>
          </w:p>
        </w:tc>
        <w:tc>
          <w:tcPr>
            <w:tcW w:w="280" w:type="dxa"/>
            <w:vAlign w:val="bottom"/>
            <w:shd w:val="clear" w:color="auto" w:fill="C0C0C0"/>
          </w:tcPr>
          <w:p>
            <w:pPr>
              <w:spacing w:after="0"/>
              <w:rPr>
                <w:sz w:val="21"/>
                <w:szCs w:val="21"/>
                <w:color w:val="auto"/>
              </w:rPr>
            </w:pPr>
          </w:p>
        </w:tc>
        <w:tc>
          <w:tcPr>
            <w:tcW w:w="240" w:type="dxa"/>
            <w:vAlign w:val="bottom"/>
            <w:tcBorders>
              <w:bottom w:val="single" w:sz="8" w:color="auto"/>
            </w:tcBorders>
            <w:shd w:val="clear" w:color="auto" w:fill="C0C0C0"/>
          </w:tcPr>
          <w:p>
            <w:pPr>
              <w:spacing w:after="0"/>
              <w:rPr>
                <w:sz w:val="21"/>
                <w:szCs w:val="21"/>
                <w:color w:val="auto"/>
              </w:rPr>
            </w:pPr>
          </w:p>
        </w:tc>
        <w:tc>
          <w:tcPr>
            <w:tcW w:w="86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25,948</w:t>
            </w:r>
          </w:p>
        </w:tc>
        <w:tc>
          <w:tcPr>
            <w:tcW w:w="20" w:type="dxa"/>
            <w:vAlign w:val="bottom"/>
          </w:tcPr>
          <w:p>
            <w:pPr>
              <w:spacing w:after="0"/>
              <w:rPr>
                <w:sz w:val="21"/>
                <w:szCs w:val="21"/>
                <w:color w:val="auto"/>
              </w:rPr>
            </w:pPr>
          </w:p>
        </w:tc>
      </w:tr>
      <w:tr>
        <w:trPr>
          <w:trHeight w:val="250"/>
        </w:trPr>
        <w:tc>
          <w:tcPr>
            <w:tcW w:w="6500" w:type="dxa"/>
            <w:vAlign w:val="bottom"/>
          </w:tcPr>
          <w:p>
            <w:pPr>
              <w:ind w:left="320"/>
              <w:spacing w:after="0"/>
              <w:rPr>
                <w:sz w:val="20"/>
                <w:szCs w:val="20"/>
                <w:color w:val="auto"/>
              </w:rPr>
            </w:pPr>
            <w:r>
              <w:rPr>
                <w:rFonts w:ascii="Arial" w:cs="Arial" w:eastAsia="Arial" w:hAnsi="Arial"/>
                <w:sz w:val="18"/>
                <w:szCs w:val="18"/>
                <w:color w:val="auto"/>
              </w:rPr>
              <w:t>Total assets</w:t>
            </w:r>
          </w:p>
        </w:tc>
        <w:tc>
          <w:tcPr>
            <w:tcW w:w="26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790,641</w:t>
            </w:r>
          </w:p>
        </w:tc>
        <w:tc>
          <w:tcPr>
            <w:tcW w:w="280" w:type="dxa"/>
            <w:vAlign w:val="bottom"/>
          </w:tcPr>
          <w:p>
            <w:pPr>
              <w:spacing w:after="0"/>
              <w:rPr>
                <w:sz w:val="21"/>
                <w:szCs w:val="21"/>
                <w:color w:val="auto"/>
              </w:rPr>
            </w:pP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741,202</w:t>
            </w:r>
          </w:p>
        </w:tc>
        <w:tc>
          <w:tcPr>
            <w:tcW w:w="20" w:type="dxa"/>
            <w:vAlign w:val="bottom"/>
          </w:tcPr>
          <w:p>
            <w:pPr>
              <w:spacing w:after="0"/>
              <w:rPr>
                <w:sz w:val="21"/>
                <w:szCs w:val="21"/>
                <w:color w:val="auto"/>
              </w:rPr>
            </w:pPr>
          </w:p>
        </w:tc>
      </w:tr>
      <w:tr>
        <w:trPr>
          <w:trHeight w:val="230"/>
        </w:trPr>
        <w:tc>
          <w:tcPr>
            <w:tcW w:w="650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243"/>
        </w:trPr>
        <w:tc>
          <w:tcPr>
            <w:tcW w:w="6500" w:type="dxa"/>
            <w:vAlign w:val="bottom"/>
            <w:shd w:val="clear" w:color="auto" w:fill="C0C0C0"/>
          </w:tcPr>
          <w:p>
            <w:pPr>
              <w:spacing w:after="0"/>
              <w:rPr>
                <w:sz w:val="20"/>
                <w:szCs w:val="20"/>
                <w:color w:val="auto"/>
              </w:rPr>
            </w:pPr>
            <w:r>
              <w:rPr>
                <w:rFonts w:ascii="Arial" w:cs="Arial" w:eastAsia="Arial" w:hAnsi="Arial"/>
                <w:sz w:val="18"/>
                <w:szCs w:val="18"/>
                <w:color w:val="auto"/>
              </w:rPr>
              <w:t>LIABILITIES AND STOCKHOLDERS' EQUITY</w:t>
            </w:r>
          </w:p>
        </w:tc>
        <w:tc>
          <w:tcPr>
            <w:tcW w:w="2480" w:type="dxa"/>
            <w:vAlign w:val="bottom"/>
            <w:shd w:val="clear" w:color="auto" w:fill="C0C0C0"/>
          </w:tcPr>
          <w:p>
            <w:pPr>
              <w:spacing w:after="0"/>
              <w:rPr>
                <w:sz w:val="21"/>
                <w:szCs w:val="21"/>
                <w:color w:val="auto"/>
              </w:rPr>
            </w:pPr>
          </w:p>
        </w:tc>
        <w:tc>
          <w:tcPr>
            <w:tcW w:w="160" w:type="dxa"/>
            <w:vAlign w:val="bottom"/>
            <w:shd w:val="clear" w:color="auto" w:fill="C0C0C0"/>
          </w:tcPr>
          <w:p>
            <w:pPr>
              <w:spacing w:after="0"/>
              <w:rPr>
                <w:sz w:val="21"/>
                <w:szCs w:val="21"/>
                <w:color w:val="auto"/>
              </w:rPr>
            </w:pPr>
          </w:p>
        </w:tc>
        <w:tc>
          <w:tcPr>
            <w:tcW w:w="900" w:type="dxa"/>
            <w:vAlign w:val="bottom"/>
            <w:shd w:val="clear" w:color="auto" w:fill="C0C0C0"/>
          </w:tcPr>
          <w:p>
            <w:pPr>
              <w:spacing w:after="0"/>
              <w:rPr>
                <w:sz w:val="21"/>
                <w:szCs w:val="21"/>
                <w:color w:val="auto"/>
              </w:rPr>
            </w:pPr>
          </w:p>
        </w:tc>
        <w:tc>
          <w:tcPr>
            <w:tcW w:w="280" w:type="dxa"/>
            <w:vAlign w:val="bottom"/>
            <w:shd w:val="clear" w:color="auto" w:fill="C0C0C0"/>
          </w:tcPr>
          <w:p>
            <w:pPr>
              <w:spacing w:after="0"/>
              <w:rPr>
                <w:sz w:val="21"/>
                <w:szCs w:val="21"/>
                <w:color w:val="auto"/>
              </w:rPr>
            </w:pPr>
          </w:p>
        </w:tc>
        <w:tc>
          <w:tcPr>
            <w:tcW w:w="240" w:type="dxa"/>
            <w:vAlign w:val="bottom"/>
            <w:shd w:val="clear" w:color="auto" w:fill="C0C0C0"/>
          </w:tcPr>
          <w:p>
            <w:pPr>
              <w:spacing w:after="0"/>
              <w:rPr>
                <w:sz w:val="21"/>
                <w:szCs w:val="21"/>
                <w:color w:val="auto"/>
              </w:rPr>
            </w:pPr>
          </w:p>
        </w:tc>
        <w:tc>
          <w:tcPr>
            <w:tcW w:w="860" w:type="dxa"/>
            <w:vAlign w:val="bottom"/>
            <w:shd w:val="clear" w:color="auto" w:fill="C0C0C0"/>
          </w:tcPr>
          <w:p>
            <w:pPr>
              <w:spacing w:after="0"/>
              <w:rPr>
                <w:sz w:val="21"/>
                <w:szCs w:val="21"/>
                <w:color w:val="auto"/>
              </w:rPr>
            </w:pPr>
          </w:p>
        </w:tc>
        <w:tc>
          <w:tcPr>
            <w:tcW w:w="20" w:type="dxa"/>
            <w:vAlign w:val="bottom"/>
          </w:tcPr>
          <w:p>
            <w:pPr>
              <w:spacing w:after="0"/>
              <w:rPr>
                <w:sz w:val="21"/>
                <w:szCs w:val="21"/>
                <w:color w:val="auto"/>
              </w:rPr>
            </w:pPr>
          </w:p>
        </w:tc>
      </w:tr>
      <w:tr>
        <w:trPr>
          <w:trHeight w:val="235"/>
        </w:trPr>
        <w:tc>
          <w:tcPr>
            <w:tcW w:w="6500" w:type="dxa"/>
            <w:vAlign w:val="bottom"/>
          </w:tcPr>
          <w:p>
            <w:pPr>
              <w:spacing w:after="0"/>
              <w:rPr>
                <w:sz w:val="20"/>
                <w:szCs w:val="20"/>
                <w:color w:val="auto"/>
              </w:rPr>
            </w:pPr>
            <w:r>
              <w:rPr>
                <w:rFonts w:ascii="Arial" w:cs="Arial" w:eastAsia="Arial" w:hAnsi="Arial"/>
                <w:sz w:val="18"/>
                <w:szCs w:val="18"/>
                <w:color w:val="auto"/>
              </w:rPr>
              <w:t>Accounts payable, accrued expenses, and other liabilities</w:t>
            </w:r>
          </w:p>
        </w:tc>
        <w:tc>
          <w:tcPr>
            <w:tcW w:w="26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62,574</w:t>
            </w:r>
          </w:p>
        </w:tc>
        <w:tc>
          <w:tcPr>
            <w:tcW w:w="280" w:type="dxa"/>
            <w:vAlign w:val="bottom"/>
          </w:tcPr>
          <w:p>
            <w:pPr>
              <w:spacing w:after="0"/>
              <w:rPr>
                <w:sz w:val="20"/>
                <w:szCs w:val="20"/>
                <w:color w:val="auto"/>
              </w:rPr>
            </w:pP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52,990</w:t>
            </w:r>
          </w:p>
        </w:tc>
        <w:tc>
          <w:tcPr>
            <w:tcW w:w="20" w:type="dxa"/>
            <w:vAlign w:val="bottom"/>
          </w:tcPr>
          <w:p>
            <w:pPr>
              <w:spacing w:after="0"/>
              <w:rPr>
                <w:sz w:val="20"/>
                <w:szCs w:val="20"/>
                <w:color w:val="auto"/>
              </w:rPr>
            </w:pPr>
          </w:p>
        </w:tc>
      </w:tr>
      <w:tr>
        <w:trPr>
          <w:trHeight w:val="251"/>
        </w:trPr>
        <w:tc>
          <w:tcPr>
            <w:tcW w:w="6500" w:type="dxa"/>
            <w:vAlign w:val="bottom"/>
            <w:shd w:val="clear" w:color="auto" w:fill="C0C0C0"/>
          </w:tcPr>
          <w:p>
            <w:pPr>
              <w:spacing w:after="0"/>
              <w:rPr>
                <w:sz w:val="20"/>
                <w:szCs w:val="20"/>
                <w:color w:val="auto"/>
              </w:rPr>
            </w:pPr>
            <w:r>
              <w:rPr>
                <w:rFonts w:ascii="Arial" w:cs="Arial" w:eastAsia="Arial" w:hAnsi="Arial"/>
                <w:sz w:val="18"/>
                <w:szCs w:val="18"/>
                <w:color w:val="auto"/>
              </w:rPr>
              <w:t>Deferred revenue</w:t>
            </w:r>
          </w:p>
        </w:tc>
        <w:tc>
          <w:tcPr>
            <w:tcW w:w="2480" w:type="dxa"/>
            <w:vAlign w:val="bottom"/>
            <w:shd w:val="clear" w:color="auto" w:fill="C0C0C0"/>
          </w:tcPr>
          <w:p>
            <w:pPr>
              <w:spacing w:after="0"/>
              <w:rPr>
                <w:sz w:val="21"/>
                <w:szCs w:val="21"/>
                <w:color w:val="auto"/>
              </w:rPr>
            </w:pPr>
          </w:p>
        </w:tc>
        <w:tc>
          <w:tcPr>
            <w:tcW w:w="160" w:type="dxa"/>
            <w:vAlign w:val="bottom"/>
            <w:shd w:val="clear" w:color="auto" w:fill="C0C0C0"/>
          </w:tcPr>
          <w:p>
            <w:pPr>
              <w:spacing w:after="0"/>
              <w:rPr>
                <w:sz w:val="21"/>
                <w:szCs w:val="21"/>
                <w:color w:val="auto"/>
              </w:rPr>
            </w:pPr>
          </w:p>
        </w:tc>
        <w:tc>
          <w:tcPr>
            <w:tcW w:w="9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199,044</w:t>
            </w:r>
          </w:p>
        </w:tc>
        <w:tc>
          <w:tcPr>
            <w:tcW w:w="280" w:type="dxa"/>
            <w:vAlign w:val="bottom"/>
            <w:shd w:val="clear" w:color="auto" w:fill="C0C0C0"/>
          </w:tcPr>
          <w:p>
            <w:pPr>
              <w:spacing w:after="0"/>
              <w:rPr>
                <w:sz w:val="21"/>
                <w:szCs w:val="21"/>
                <w:color w:val="auto"/>
              </w:rPr>
            </w:pPr>
          </w:p>
        </w:tc>
        <w:tc>
          <w:tcPr>
            <w:tcW w:w="240" w:type="dxa"/>
            <w:vAlign w:val="bottom"/>
            <w:shd w:val="clear" w:color="auto" w:fill="C0C0C0"/>
          </w:tcPr>
          <w:p>
            <w:pPr>
              <w:spacing w:after="0"/>
              <w:rPr>
                <w:sz w:val="21"/>
                <w:szCs w:val="21"/>
                <w:color w:val="auto"/>
              </w:rPr>
            </w:pPr>
          </w:p>
        </w:tc>
        <w:tc>
          <w:tcPr>
            <w:tcW w:w="8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182,428</w:t>
            </w:r>
          </w:p>
        </w:tc>
        <w:tc>
          <w:tcPr>
            <w:tcW w:w="20" w:type="dxa"/>
            <w:vAlign w:val="bottom"/>
          </w:tcPr>
          <w:p>
            <w:pPr>
              <w:spacing w:after="0"/>
              <w:rPr>
                <w:sz w:val="21"/>
                <w:szCs w:val="21"/>
                <w:color w:val="auto"/>
              </w:rPr>
            </w:pPr>
          </w:p>
        </w:tc>
      </w:tr>
      <w:tr>
        <w:trPr>
          <w:trHeight w:val="235"/>
        </w:trPr>
        <w:tc>
          <w:tcPr>
            <w:tcW w:w="6500" w:type="dxa"/>
            <w:vAlign w:val="bottom"/>
          </w:tcPr>
          <w:p>
            <w:pPr>
              <w:spacing w:after="0"/>
              <w:rPr>
                <w:sz w:val="20"/>
                <w:szCs w:val="20"/>
                <w:color w:val="auto"/>
              </w:rPr>
            </w:pPr>
            <w:r>
              <w:rPr>
                <w:rFonts w:ascii="Arial" w:cs="Arial" w:eastAsia="Arial" w:hAnsi="Arial"/>
                <w:sz w:val="18"/>
                <w:szCs w:val="18"/>
                <w:color w:val="auto"/>
              </w:rPr>
              <w:t>Facility lease obligations</w:t>
            </w:r>
          </w:p>
        </w:tc>
        <w:tc>
          <w:tcPr>
            <w:tcW w:w="2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157,807</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109,022</w:t>
            </w:r>
          </w:p>
        </w:tc>
        <w:tc>
          <w:tcPr>
            <w:tcW w:w="20" w:type="dxa"/>
            <w:vAlign w:val="bottom"/>
          </w:tcPr>
          <w:p>
            <w:pPr>
              <w:spacing w:after="0"/>
              <w:rPr>
                <w:sz w:val="20"/>
                <w:szCs w:val="20"/>
                <w:color w:val="auto"/>
              </w:rPr>
            </w:pPr>
          </w:p>
        </w:tc>
      </w:tr>
      <w:tr>
        <w:trPr>
          <w:trHeight w:val="244"/>
        </w:trPr>
        <w:tc>
          <w:tcPr>
            <w:tcW w:w="6500" w:type="dxa"/>
            <w:vAlign w:val="bottom"/>
            <w:shd w:val="clear" w:color="auto" w:fill="C0C0C0"/>
          </w:tcPr>
          <w:p>
            <w:pPr>
              <w:spacing w:after="0"/>
              <w:rPr>
                <w:sz w:val="20"/>
                <w:szCs w:val="20"/>
                <w:color w:val="auto"/>
              </w:rPr>
            </w:pPr>
            <w:r>
              <w:rPr>
                <w:rFonts w:ascii="Arial" w:cs="Arial" w:eastAsia="Arial" w:hAnsi="Arial"/>
                <w:sz w:val="18"/>
                <w:szCs w:val="18"/>
                <w:color w:val="auto"/>
              </w:rPr>
              <w:t>Stockholders' equity</w:t>
            </w:r>
          </w:p>
        </w:tc>
        <w:tc>
          <w:tcPr>
            <w:tcW w:w="2480" w:type="dxa"/>
            <w:vAlign w:val="bottom"/>
            <w:shd w:val="clear" w:color="auto" w:fill="C0C0C0"/>
          </w:tcPr>
          <w:p>
            <w:pPr>
              <w:spacing w:after="0"/>
              <w:rPr>
                <w:sz w:val="21"/>
                <w:szCs w:val="21"/>
                <w:color w:val="auto"/>
              </w:rPr>
            </w:pPr>
          </w:p>
        </w:tc>
        <w:tc>
          <w:tcPr>
            <w:tcW w:w="160" w:type="dxa"/>
            <w:vAlign w:val="bottom"/>
            <w:tcBorders>
              <w:bottom w:val="single" w:sz="8" w:color="auto"/>
            </w:tcBorders>
            <w:shd w:val="clear" w:color="auto" w:fill="C0C0C0"/>
          </w:tcPr>
          <w:p>
            <w:pPr>
              <w:spacing w:after="0"/>
              <w:rPr>
                <w:sz w:val="21"/>
                <w:szCs w:val="21"/>
                <w:color w:val="auto"/>
              </w:rPr>
            </w:pPr>
          </w:p>
        </w:tc>
        <w:tc>
          <w:tcPr>
            <w:tcW w:w="90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371,216</w:t>
            </w:r>
          </w:p>
        </w:tc>
        <w:tc>
          <w:tcPr>
            <w:tcW w:w="280" w:type="dxa"/>
            <w:vAlign w:val="bottom"/>
            <w:shd w:val="clear" w:color="auto" w:fill="C0C0C0"/>
          </w:tcPr>
          <w:p>
            <w:pPr>
              <w:spacing w:after="0"/>
              <w:rPr>
                <w:sz w:val="21"/>
                <w:szCs w:val="21"/>
                <w:color w:val="auto"/>
              </w:rPr>
            </w:pPr>
          </w:p>
        </w:tc>
        <w:tc>
          <w:tcPr>
            <w:tcW w:w="240" w:type="dxa"/>
            <w:vAlign w:val="bottom"/>
            <w:tcBorders>
              <w:bottom w:val="single" w:sz="8" w:color="auto"/>
            </w:tcBorders>
            <w:shd w:val="clear" w:color="auto" w:fill="C0C0C0"/>
          </w:tcPr>
          <w:p>
            <w:pPr>
              <w:spacing w:after="0"/>
              <w:rPr>
                <w:sz w:val="21"/>
                <w:szCs w:val="21"/>
                <w:color w:val="auto"/>
              </w:rPr>
            </w:pPr>
          </w:p>
        </w:tc>
        <w:tc>
          <w:tcPr>
            <w:tcW w:w="86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396,762</w:t>
            </w:r>
          </w:p>
        </w:tc>
        <w:tc>
          <w:tcPr>
            <w:tcW w:w="20" w:type="dxa"/>
            <w:vAlign w:val="bottom"/>
          </w:tcPr>
          <w:p>
            <w:pPr>
              <w:spacing w:after="0"/>
              <w:rPr>
                <w:sz w:val="21"/>
                <w:szCs w:val="21"/>
                <w:color w:val="auto"/>
              </w:rPr>
            </w:pPr>
          </w:p>
        </w:tc>
      </w:tr>
      <w:tr>
        <w:trPr>
          <w:trHeight w:val="250"/>
        </w:trPr>
        <w:tc>
          <w:tcPr>
            <w:tcW w:w="6500" w:type="dxa"/>
            <w:vAlign w:val="bottom"/>
          </w:tcPr>
          <w:p>
            <w:pPr>
              <w:ind w:left="320"/>
              <w:spacing w:after="0"/>
              <w:rPr>
                <w:sz w:val="20"/>
                <w:szCs w:val="20"/>
                <w:color w:val="auto"/>
              </w:rPr>
            </w:pPr>
            <w:r>
              <w:rPr>
                <w:rFonts w:ascii="Arial" w:cs="Arial" w:eastAsia="Arial" w:hAnsi="Arial"/>
                <w:sz w:val="18"/>
                <w:szCs w:val="18"/>
                <w:color w:val="auto"/>
              </w:rPr>
              <w:t>Total liabilities and stockholders' equity</w:t>
            </w:r>
          </w:p>
        </w:tc>
        <w:tc>
          <w:tcPr>
            <w:tcW w:w="26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790,641</w:t>
            </w:r>
          </w:p>
        </w:tc>
        <w:tc>
          <w:tcPr>
            <w:tcW w:w="280" w:type="dxa"/>
            <w:vAlign w:val="bottom"/>
          </w:tcPr>
          <w:p>
            <w:pPr>
              <w:spacing w:after="0"/>
              <w:rPr>
                <w:sz w:val="21"/>
                <w:szCs w:val="21"/>
                <w:color w:val="auto"/>
              </w:rPr>
            </w:pP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741,202</w:t>
            </w:r>
          </w:p>
        </w:tc>
        <w:tc>
          <w:tcPr>
            <w:tcW w:w="20" w:type="dxa"/>
            <w:vAlign w:val="bottom"/>
          </w:tcPr>
          <w:p>
            <w:pPr>
              <w:spacing w:after="0"/>
              <w:rPr>
                <w:sz w:val="21"/>
                <w:szCs w:val="21"/>
                <w:color w:val="auto"/>
              </w:rPr>
            </w:pPr>
          </w:p>
        </w:tc>
      </w:tr>
      <w:tr>
        <w:trPr>
          <w:trHeight w:val="348"/>
        </w:trPr>
        <w:tc>
          <w:tcPr>
            <w:tcW w:w="6500" w:type="dxa"/>
            <w:vAlign w:val="bottom"/>
            <w:tcBorders>
              <w:bottom w:val="single" w:sz="8" w:color="808080"/>
            </w:tcBorders>
          </w:tcPr>
          <w:p>
            <w:pPr>
              <w:spacing w:after="0"/>
              <w:rPr>
                <w:sz w:val="24"/>
                <w:szCs w:val="24"/>
                <w:color w:val="auto"/>
              </w:rPr>
            </w:pPr>
          </w:p>
        </w:tc>
        <w:tc>
          <w:tcPr>
            <w:tcW w:w="2480" w:type="dxa"/>
            <w:vAlign w:val="bottom"/>
            <w:tcBorders>
              <w:bottom w:val="single" w:sz="8" w:color="808080"/>
            </w:tcBorders>
          </w:tcPr>
          <w:p>
            <w:pPr>
              <w:spacing w:after="0"/>
              <w:rPr>
                <w:sz w:val="24"/>
                <w:szCs w:val="24"/>
                <w:color w:val="auto"/>
              </w:rPr>
            </w:pPr>
          </w:p>
        </w:tc>
        <w:tc>
          <w:tcPr>
            <w:tcW w:w="160" w:type="dxa"/>
            <w:vAlign w:val="bottom"/>
            <w:tcBorders>
              <w:top w:val="single" w:sz="8" w:color="auto"/>
              <w:bottom w:val="single" w:sz="8" w:color="808080"/>
            </w:tcBorders>
          </w:tcPr>
          <w:p>
            <w:pPr>
              <w:spacing w:after="0"/>
              <w:rPr>
                <w:sz w:val="24"/>
                <w:szCs w:val="24"/>
                <w:color w:val="auto"/>
              </w:rPr>
            </w:pPr>
          </w:p>
        </w:tc>
        <w:tc>
          <w:tcPr>
            <w:tcW w:w="900" w:type="dxa"/>
            <w:vAlign w:val="bottom"/>
            <w:tcBorders>
              <w:top w:val="single" w:sz="8" w:color="auto"/>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240" w:type="dxa"/>
            <w:vAlign w:val="bottom"/>
            <w:tcBorders>
              <w:top w:val="single" w:sz="8" w:color="auto"/>
              <w:bottom w:val="single" w:sz="8" w:color="808080"/>
            </w:tcBorders>
          </w:tcPr>
          <w:p>
            <w:pPr>
              <w:spacing w:after="0"/>
              <w:rPr>
                <w:sz w:val="24"/>
                <w:szCs w:val="24"/>
                <w:color w:val="auto"/>
              </w:rPr>
            </w:pPr>
          </w:p>
        </w:tc>
        <w:tc>
          <w:tcPr>
            <w:tcW w:w="860" w:type="dxa"/>
            <w:vAlign w:val="bottom"/>
            <w:tcBorders>
              <w:top w:val="single" w:sz="8" w:color="auto"/>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368" w:right="219" w:bottom="1440" w:gutter="0" w:footer="0" w:header="0"/>
        </w:sectPr>
      </w:pPr>
    </w:p>
    <w:bookmarkStart w:id="18" w:name="page19"/>
    <w:bookmarkEnd w:id="18"/>
    <w:p>
      <w:pPr>
        <w:jc w:val="center"/>
        <w:ind w:right="20"/>
        <w:spacing w:after="0"/>
        <w:rPr>
          <w:sz w:val="20"/>
          <w:szCs w:val="20"/>
          <w:color w:val="auto"/>
        </w:rPr>
      </w:pPr>
      <w:r>
        <w:rPr>
          <w:rFonts w:ascii="Arial" w:cs="Arial" w:eastAsia="Arial" w:hAnsi="Arial"/>
          <w:sz w:val="18"/>
          <w:szCs w:val="18"/>
          <w:b w:val="1"/>
          <w:bCs w:val="1"/>
          <w:color w:val="auto"/>
        </w:rPr>
        <w:t>REGENERON PHARMACEUTICALS, INC.</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CONDENSED STATEMENTS OF OPERATIONS (Unaudited)</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i w:val="1"/>
          <w:iCs w:val="1"/>
          <w:color w:val="auto"/>
        </w:rPr>
        <w:t>(In thousands, except per share data)</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0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580" w:type="dxa"/>
            <w:vAlign w:val="bottom"/>
            <w:gridSpan w:val="7"/>
          </w:tcPr>
          <w:p>
            <w:pPr>
              <w:jc w:val="center"/>
              <w:ind w:right="560"/>
              <w:spacing w:after="0"/>
              <w:rPr>
                <w:sz w:val="20"/>
                <w:szCs w:val="20"/>
                <w:color w:val="auto"/>
              </w:rPr>
            </w:pPr>
            <w:r>
              <w:rPr>
                <w:rFonts w:ascii="Arial" w:cs="Arial" w:eastAsia="Arial" w:hAnsi="Arial"/>
                <w:sz w:val="18"/>
                <w:szCs w:val="18"/>
                <w:b w:val="1"/>
                <w:bCs w:val="1"/>
                <w:color w:val="auto"/>
                <w:w w:val="87"/>
              </w:rPr>
              <w:t>For the three months</w:t>
            </w:r>
          </w:p>
        </w:tc>
        <w:tc>
          <w:tcPr>
            <w:tcW w:w="240" w:type="dxa"/>
            <w:vAlign w:val="bottom"/>
          </w:tcPr>
          <w:p>
            <w:pPr>
              <w:spacing w:after="0"/>
              <w:rPr>
                <w:sz w:val="19"/>
                <w:szCs w:val="19"/>
                <w:color w:val="auto"/>
              </w:rPr>
            </w:pPr>
          </w:p>
        </w:tc>
        <w:tc>
          <w:tcPr>
            <w:tcW w:w="2280" w:type="dxa"/>
            <w:vAlign w:val="bottom"/>
            <w:gridSpan w:val="6"/>
          </w:tcPr>
          <w:p>
            <w:pPr>
              <w:ind w:left="320"/>
              <w:spacing w:after="0"/>
              <w:rPr>
                <w:sz w:val="20"/>
                <w:szCs w:val="20"/>
                <w:color w:val="auto"/>
              </w:rPr>
            </w:pPr>
            <w:r>
              <w:rPr>
                <w:rFonts w:ascii="Arial" w:cs="Arial" w:eastAsia="Arial" w:hAnsi="Arial"/>
                <w:sz w:val="18"/>
                <w:szCs w:val="18"/>
                <w:b w:val="1"/>
                <w:bCs w:val="1"/>
                <w:color w:val="auto"/>
              </w:rPr>
              <w:t>For the six months</w:t>
            </w:r>
          </w:p>
        </w:tc>
        <w:tc>
          <w:tcPr>
            <w:tcW w:w="20" w:type="dxa"/>
            <w:vAlign w:val="bottom"/>
          </w:tcPr>
          <w:p>
            <w:pPr>
              <w:spacing w:after="0"/>
              <w:rPr>
                <w:sz w:val="19"/>
                <w:szCs w:val="19"/>
                <w:color w:val="auto"/>
              </w:rPr>
            </w:pPr>
          </w:p>
        </w:tc>
      </w:tr>
      <w:tr>
        <w:trPr>
          <w:trHeight w:val="243"/>
        </w:trPr>
        <w:tc>
          <w:tcPr>
            <w:tcW w:w="60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580" w:type="dxa"/>
            <w:vAlign w:val="bottom"/>
            <w:gridSpan w:val="7"/>
          </w:tcPr>
          <w:p>
            <w:pPr>
              <w:jc w:val="center"/>
              <w:ind w:right="580"/>
              <w:spacing w:after="0"/>
              <w:rPr>
                <w:sz w:val="20"/>
                <w:szCs w:val="20"/>
                <w:color w:val="auto"/>
              </w:rPr>
            </w:pPr>
            <w:r>
              <w:rPr>
                <w:rFonts w:ascii="Arial" w:cs="Arial" w:eastAsia="Arial" w:hAnsi="Arial"/>
                <w:sz w:val="18"/>
                <w:szCs w:val="18"/>
                <w:b w:val="1"/>
                <w:bCs w:val="1"/>
                <w:color w:val="auto"/>
                <w:w w:val="86"/>
              </w:rPr>
              <w:t>ended June 30,</w:t>
            </w:r>
          </w:p>
        </w:tc>
        <w:tc>
          <w:tcPr>
            <w:tcW w:w="240" w:type="dxa"/>
            <w:vAlign w:val="bottom"/>
          </w:tcPr>
          <w:p>
            <w:pPr>
              <w:spacing w:after="0"/>
              <w:rPr>
                <w:sz w:val="21"/>
                <w:szCs w:val="21"/>
                <w:color w:val="auto"/>
              </w:rPr>
            </w:pPr>
          </w:p>
        </w:tc>
        <w:tc>
          <w:tcPr>
            <w:tcW w:w="2280" w:type="dxa"/>
            <w:vAlign w:val="bottom"/>
            <w:gridSpan w:val="6"/>
          </w:tcPr>
          <w:p>
            <w:pPr>
              <w:ind w:left="460"/>
              <w:spacing w:after="0"/>
              <w:rPr>
                <w:sz w:val="20"/>
                <w:szCs w:val="20"/>
                <w:color w:val="auto"/>
              </w:rPr>
            </w:pPr>
            <w:r>
              <w:rPr>
                <w:rFonts w:ascii="Arial" w:cs="Arial" w:eastAsia="Arial" w:hAnsi="Arial"/>
                <w:sz w:val="18"/>
                <w:szCs w:val="18"/>
                <w:b w:val="1"/>
                <w:bCs w:val="1"/>
                <w:color w:val="auto"/>
              </w:rPr>
              <w:t>ended June 30,</w:t>
            </w:r>
          </w:p>
        </w:tc>
        <w:tc>
          <w:tcPr>
            <w:tcW w:w="20" w:type="dxa"/>
            <w:vAlign w:val="bottom"/>
          </w:tcPr>
          <w:p>
            <w:pPr>
              <w:spacing w:after="0"/>
              <w:rPr>
                <w:sz w:val="21"/>
                <w:szCs w:val="21"/>
                <w:color w:val="auto"/>
              </w:rPr>
            </w:pPr>
          </w:p>
        </w:tc>
      </w:tr>
      <w:tr>
        <w:trPr>
          <w:trHeight w:val="252"/>
        </w:trPr>
        <w:tc>
          <w:tcPr>
            <w:tcW w:w="6040" w:type="dxa"/>
            <w:vAlign w:val="bottom"/>
            <w:tcBorders>
              <w:bottom w:val="single" w:sz="8" w:color="C0C0C0"/>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b w:val="1"/>
                <w:bCs w:val="1"/>
                <w:color w:val="auto"/>
              </w:rPr>
              <w:t>2010</w:t>
            </w:r>
          </w:p>
        </w:tc>
        <w:tc>
          <w:tcPr>
            <w:tcW w:w="120" w:type="dxa"/>
            <w:vAlign w:val="bottom"/>
            <w:tcBorders>
              <w:bottom w:val="single" w:sz="8" w:color="auto"/>
            </w:tcBorders>
          </w:tcPr>
          <w:p>
            <w:pPr>
              <w:spacing w:after="0"/>
              <w:rPr>
                <w:sz w:val="21"/>
                <w:szCs w:val="21"/>
                <w:color w:val="auto"/>
              </w:rPr>
            </w:pPr>
          </w:p>
        </w:tc>
        <w:tc>
          <w:tcPr>
            <w:tcW w:w="260" w:type="dxa"/>
            <w:vAlign w:val="bottom"/>
            <w:tcBorders>
              <w:bottom w:val="single" w:sz="8" w:color="C0C0C0"/>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2009</w:t>
            </w:r>
          </w:p>
        </w:tc>
        <w:tc>
          <w:tcPr>
            <w:tcW w:w="100" w:type="dxa"/>
            <w:vAlign w:val="bottom"/>
            <w:tcBorders>
              <w:bottom w:val="single" w:sz="8" w:color="auto"/>
            </w:tcBorders>
          </w:tcPr>
          <w:p>
            <w:pPr>
              <w:spacing w:after="0"/>
              <w:rPr>
                <w:sz w:val="21"/>
                <w:szCs w:val="21"/>
                <w:color w:val="auto"/>
              </w:rPr>
            </w:pPr>
          </w:p>
        </w:tc>
        <w:tc>
          <w:tcPr>
            <w:tcW w:w="280" w:type="dxa"/>
            <w:vAlign w:val="bottom"/>
            <w:tcBorders>
              <w:bottom w:val="single" w:sz="8" w:color="C0C0C0"/>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b w:val="1"/>
                <w:bCs w:val="1"/>
                <w:color w:val="auto"/>
              </w:rPr>
              <w:t>2010</w:t>
            </w:r>
          </w:p>
        </w:tc>
        <w:tc>
          <w:tcPr>
            <w:tcW w:w="100" w:type="dxa"/>
            <w:vAlign w:val="bottom"/>
            <w:tcBorders>
              <w:bottom w:val="single" w:sz="8" w:color="auto"/>
            </w:tcBorders>
          </w:tcPr>
          <w:p>
            <w:pPr>
              <w:spacing w:after="0"/>
              <w:rPr>
                <w:sz w:val="21"/>
                <w:szCs w:val="21"/>
                <w:color w:val="auto"/>
              </w:rPr>
            </w:pPr>
          </w:p>
        </w:tc>
        <w:tc>
          <w:tcPr>
            <w:tcW w:w="280" w:type="dxa"/>
            <w:vAlign w:val="bottom"/>
            <w:tcBorders>
              <w:bottom w:val="single" w:sz="8" w:color="C0C0C0"/>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b w:val="1"/>
                <w:bCs w:val="1"/>
                <w:color w:val="auto"/>
              </w:rPr>
              <w:t>2009</w:t>
            </w:r>
          </w:p>
        </w:tc>
        <w:tc>
          <w:tcPr>
            <w:tcW w:w="10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r>
      <w:tr>
        <w:trPr>
          <w:trHeight w:val="243"/>
        </w:trPr>
        <w:tc>
          <w:tcPr>
            <w:tcW w:w="6040" w:type="dxa"/>
            <w:vAlign w:val="bottom"/>
            <w:shd w:val="clear" w:color="auto" w:fill="C0C0C0"/>
          </w:tcPr>
          <w:p>
            <w:pPr>
              <w:spacing w:after="0"/>
              <w:rPr>
                <w:sz w:val="20"/>
                <w:szCs w:val="20"/>
                <w:color w:val="auto"/>
              </w:rPr>
            </w:pPr>
            <w:r>
              <w:rPr>
                <w:rFonts w:ascii="Arial" w:cs="Arial" w:eastAsia="Arial" w:hAnsi="Arial"/>
                <w:sz w:val="18"/>
                <w:szCs w:val="18"/>
                <w:color w:val="auto"/>
              </w:rPr>
              <w:t>Revenues</w:t>
            </w:r>
          </w:p>
        </w:tc>
        <w:tc>
          <w:tcPr>
            <w:tcW w:w="280" w:type="dxa"/>
            <w:vAlign w:val="bottom"/>
            <w:shd w:val="clear" w:color="auto" w:fill="C0C0C0"/>
          </w:tcPr>
          <w:p>
            <w:pPr>
              <w:spacing w:after="0"/>
              <w:rPr>
                <w:sz w:val="21"/>
                <w:szCs w:val="21"/>
                <w:color w:val="auto"/>
              </w:rPr>
            </w:pPr>
          </w:p>
        </w:tc>
        <w:tc>
          <w:tcPr>
            <w:tcW w:w="76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80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280" w:type="dxa"/>
            <w:vAlign w:val="bottom"/>
            <w:shd w:val="clear" w:color="auto" w:fill="C0C0C0"/>
          </w:tcPr>
          <w:p>
            <w:pPr>
              <w:spacing w:after="0"/>
              <w:rPr>
                <w:sz w:val="21"/>
                <w:szCs w:val="21"/>
                <w:color w:val="auto"/>
              </w:rPr>
            </w:pPr>
          </w:p>
        </w:tc>
        <w:tc>
          <w:tcPr>
            <w:tcW w:w="240" w:type="dxa"/>
            <w:vAlign w:val="bottom"/>
            <w:shd w:val="clear" w:color="auto" w:fill="C0C0C0"/>
          </w:tcPr>
          <w:p>
            <w:pPr>
              <w:spacing w:after="0"/>
              <w:rPr>
                <w:sz w:val="21"/>
                <w:szCs w:val="21"/>
                <w:color w:val="auto"/>
              </w:rPr>
            </w:pPr>
          </w:p>
        </w:tc>
        <w:tc>
          <w:tcPr>
            <w:tcW w:w="76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280" w:type="dxa"/>
            <w:vAlign w:val="bottom"/>
            <w:shd w:val="clear" w:color="auto" w:fill="C0C0C0"/>
          </w:tcPr>
          <w:p>
            <w:pPr>
              <w:spacing w:after="0"/>
              <w:rPr>
                <w:sz w:val="21"/>
                <w:szCs w:val="21"/>
                <w:color w:val="auto"/>
              </w:rPr>
            </w:pPr>
          </w:p>
        </w:tc>
        <w:tc>
          <w:tcPr>
            <w:tcW w:w="280" w:type="dxa"/>
            <w:vAlign w:val="bottom"/>
            <w:shd w:val="clear" w:color="auto" w:fill="C0C0C0"/>
          </w:tcPr>
          <w:p>
            <w:pPr>
              <w:spacing w:after="0"/>
              <w:rPr>
                <w:sz w:val="21"/>
                <w:szCs w:val="21"/>
                <w:color w:val="auto"/>
              </w:rPr>
            </w:pPr>
          </w:p>
        </w:tc>
        <w:tc>
          <w:tcPr>
            <w:tcW w:w="76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20" w:type="dxa"/>
            <w:vAlign w:val="bottom"/>
          </w:tcPr>
          <w:p>
            <w:pPr>
              <w:spacing w:after="0"/>
              <w:rPr>
                <w:sz w:val="21"/>
                <w:szCs w:val="21"/>
                <w:color w:val="auto"/>
              </w:rPr>
            </w:pPr>
          </w:p>
        </w:tc>
      </w:tr>
      <w:tr>
        <w:trPr>
          <w:trHeight w:val="235"/>
        </w:trPr>
        <w:tc>
          <w:tcPr>
            <w:tcW w:w="6040" w:type="dxa"/>
            <w:vAlign w:val="bottom"/>
          </w:tcPr>
          <w:p>
            <w:pPr>
              <w:ind w:left="320"/>
              <w:spacing w:after="0"/>
              <w:rPr>
                <w:sz w:val="20"/>
                <w:szCs w:val="20"/>
                <w:color w:val="auto"/>
              </w:rPr>
            </w:pPr>
            <w:r>
              <w:rPr>
                <w:rFonts w:ascii="Arial" w:cs="Arial" w:eastAsia="Arial" w:hAnsi="Arial"/>
                <w:sz w:val="18"/>
                <w:szCs w:val="18"/>
                <w:color w:val="auto"/>
              </w:rPr>
              <w:t>Collaboration revenue</w:t>
            </w:r>
          </w:p>
        </w:tc>
        <w:tc>
          <w:tcPr>
            <w:tcW w:w="280" w:type="dxa"/>
            <w:vAlign w:val="bottom"/>
          </w:tcPr>
          <w:p>
            <w:pPr>
              <w:jc w:val="right"/>
              <w:ind w:right="116"/>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98,576</w:t>
            </w:r>
          </w:p>
        </w:tc>
        <w:tc>
          <w:tcPr>
            <w:tcW w:w="260" w:type="dxa"/>
            <w:vAlign w:val="bottom"/>
          </w:tcPr>
          <w:p>
            <w:pPr>
              <w:spacing w:after="0"/>
              <w:rPr>
                <w:sz w:val="20"/>
                <w:szCs w:val="20"/>
                <w:color w:val="auto"/>
              </w:rPr>
            </w:pP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73,578</w:t>
            </w:r>
          </w:p>
        </w:tc>
        <w:tc>
          <w:tcPr>
            <w:tcW w:w="280" w:type="dxa"/>
            <w:vAlign w:val="bottom"/>
          </w:tcPr>
          <w:p>
            <w:pPr>
              <w:spacing w:after="0"/>
              <w:rPr>
                <w:sz w:val="20"/>
                <w:szCs w:val="20"/>
                <w:color w:val="auto"/>
              </w:rPr>
            </w:pPr>
          </w:p>
        </w:tc>
        <w:tc>
          <w:tcPr>
            <w:tcW w:w="240" w:type="dxa"/>
            <w:vAlign w:val="bottom"/>
          </w:tcPr>
          <w:p>
            <w:pPr>
              <w:jc w:val="right"/>
              <w:ind w:right="76"/>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180,334</w:t>
            </w: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133,186</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51"/>
        </w:trPr>
        <w:tc>
          <w:tcPr>
            <w:tcW w:w="6040" w:type="dxa"/>
            <w:vAlign w:val="bottom"/>
            <w:shd w:val="clear" w:color="auto" w:fill="C0C0C0"/>
          </w:tcPr>
          <w:p>
            <w:pPr>
              <w:ind w:left="320"/>
              <w:spacing w:after="0"/>
              <w:rPr>
                <w:sz w:val="20"/>
                <w:szCs w:val="20"/>
                <w:color w:val="auto"/>
              </w:rPr>
            </w:pPr>
            <w:r>
              <w:rPr>
                <w:rFonts w:ascii="Arial" w:cs="Arial" w:eastAsia="Arial" w:hAnsi="Arial"/>
                <w:sz w:val="18"/>
                <w:szCs w:val="18"/>
                <w:color w:val="auto"/>
              </w:rPr>
              <w:t>Technology licensing</w:t>
            </w:r>
          </w:p>
        </w:tc>
        <w:tc>
          <w:tcPr>
            <w:tcW w:w="280" w:type="dxa"/>
            <w:vAlign w:val="bottom"/>
            <w:shd w:val="clear" w:color="auto" w:fill="C0C0C0"/>
          </w:tcPr>
          <w:p>
            <w:pPr>
              <w:spacing w:after="0"/>
              <w:rPr>
                <w:sz w:val="21"/>
                <w:szCs w:val="21"/>
                <w:color w:val="auto"/>
              </w:rPr>
            </w:pPr>
          </w:p>
        </w:tc>
        <w:tc>
          <w:tcPr>
            <w:tcW w:w="880" w:type="dxa"/>
            <w:vAlign w:val="bottom"/>
            <w:gridSpan w:val="2"/>
            <w:shd w:val="clear" w:color="auto" w:fill="C0C0C0"/>
          </w:tcPr>
          <w:p>
            <w:pPr>
              <w:jc w:val="right"/>
              <w:ind w:right="40"/>
              <w:spacing w:after="0"/>
              <w:rPr>
                <w:sz w:val="20"/>
                <w:szCs w:val="20"/>
                <w:color w:val="auto"/>
              </w:rPr>
            </w:pPr>
            <w:r>
              <w:rPr>
                <w:rFonts w:ascii="Arial" w:cs="Arial" w:eastAsia="Arial" w:hAnsi="Arial"/>
                <w:sz w:val="18"/>
                <w:szCs w:val="18"/>
                <w:color w:val="auto"/>
              </w:rPr>
              <w:t>10,037</w:t>
            </w:r>
          </w:p>
        </w:tc>
        <w:tc>
          <w:tcPr>
            <w:tcW w:w="26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900" w:type="dxa"/>
            <w:vAlign w:val="bottom"/>
            <w:gridSpan w:val="2"/>
            <w:shd w:val="clear" w:color="auto" w:fill="C0C0C0"/>
          </w:tcPr>
          <w:p>
            <w:pPr>
              <w:jc w:val="right"/>
              <w:ind w:right="100"/>
              <w:spacing w:after="0"/>
              <w:rPr>
                <w:sz w:val="20"/>
                <w:szCs w:val="20"/>
                <w:color w:val="auto"/>
              </w:rPr>
            </w:pPr>
            <w:r>
              <w:rPr>
                <w:rFonts w:ascii="Arial" w:cs="Arial" w:eastAsia="Arial" w:hAnsi="Arial"/>
                <w:sz w:val="18"/>
                <w:szCs w:val="18"/>
                <w:color w:val="auto"/>
              </w:rPr>
              <w:t>10,000</w:t>
            </w:r>
          </w:p>
        </w:tc>
        <w:tc>
          <w:tcPr>
            <w:tcW w:w="280" w:type="dxa"/>
            <w:vAlign w:val="bottom"/>
            <w:shd w:val="clear" w:color="auto" w:fill="C0C0C0"/>
          </w:tcPr>
          <w:p>
            <w:pPr>
              <w:spacing w:after="0"/>
              <w:rPr>
                <w:sz w:val="21"/>
                <w:szCs w:val="21"/>
                <w:color w:val="auto"/>
              </w:rPr>
            </w:pPr>
          </w:p>
        </w:tc>
        <w:tc>
          <w:tcPr>
            <w:tcW w:w="240" w:type="dxa"/>
            <w:vAlign w:val="bottom"/>
            <w:shd w:val="clear" w:color="auto" w:fill="C0C0C0"/>
          </w:tcPr>
          <w:p>
            <w:pPr>
              <w:spacing w:after="0"/>
              <w:rPr>
                <w:sz w:val="21"/>
                <w:szCs w:val="21"/>
                <w:color w:val="auto"/>
              </w:rPr>
            </w:pPr>
          </w:p>
        </w:tc>
        <w:tc>
          <w:tcPr>
            <w:tcW w:w="860" w:type="dxa"/>
            <w:vAlign w:val="bottom"/>
            <w:gridSpan w:val="2"/>
            <w:shd w:val="clear" w:color="auto" w:fill="C0C0C0"/>
          </w:tcPr>
          <w:p>
            <w:pPr>
              <w:jc w:val="right"/>
              <w:ind w:right="20"/>
              <w:spacing w:after="0"/>
              <w:rPr>
                <w:sz w:val="20"/>
                <w:szCs w:val="20"/>
                <w:color w:val="auto"/>
              </w:rPr>
            </w:pPr>
            <w:r>
              <w:rPr>
                <w:rFonts w:ascii="Arial" w:cs="Arial" w:eastAsia="Arial" w:hAnsi="Arial"/>
                <w:sz w:val="18"/>
                <w:szCs w:val="18"/>
                <w:color w:val="auto"/>
              </w:rPr>
              <w:t>20,075</w:t>
            </w:r>
          </w:p>
        </w:tc>
        <w:tc>
          <w:tcPr>
            <w:tcW w:w="280" w:type="dxa"/>
            <w:vAlign w:val="bottom"/>
            <w:shd w:val="clear" w:color="auto" w:fill="C0C0C0"/>
          </w:tcPr>
          <w:p>
            <w:pPr>
              <w:spacing w:after="0"/>
              <w:rPr>
                <w:sz w:val="21"/>
                <w:szCs w:val="21"/>
                <w:color w:val="auto"/>
              </w:rPr>
            </w:pPr>
          </w:p>
        </w:tc>
        <w:tc>
          <w:tcPr>
            <w:tcW w:w="280" w:type="dxa"/>
            <w:vAlign w:val="bottom"/>
            <w:shd w:val="clear" w:color="auto" w:fill="C0C0C0"/>
          </w:tcPr>
          <w:p>
            <w:pPr>
              <w:spacing w:after="0"/>
              <w:rPr>
                <w:sz w:val="21"/>
                <w:szCs w:val="21"/>
                <w:color w:val="auto"/>
              </w:rPr>
            </w:pPr>
          </w:p>
        </w:tc>
        <w:tc>
          <w:tcPr>
            <w:tcW w:w="7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20,000</w:t>
            </w:r>
          </w:p>
        </w:tc>
        <w:tc>
          <w:tcPr>
            <w:tcW w:w="100" w:type="dxa"/>
            <w:vAlign w:val="bottom"/>
            <w:shd w:val="clear" w:color="auto" w:fill="C0C0C0"/>
          </w:tcPr>
          <w:p>
            <w:pPr>
              <w:spacing w:after="0"/>
              <w:rPr>
                <w:sz w:val="21"/>
                <w:szCs w:val="21"/>
                <w:color w:val="auto"/>
              </w:rPr>
            </w:pPr>
          </w:p>
        </w:tc>
        <w:tc>
          <w:tcPr>
            <w:tcW w:w="20" w:type="dxa"/>
            <w:vAlign w:val="bottom"/>
          </w:tcPr>
          <w:p>
            <w:pPr>
              <w:spacing w:after="0"/>
              <w:rPr>
                <w:sz w:val="21"/>
                <w:szCs w:val="21"/>
                <w:color w:val="auto"/>
              </w:rPr>
            </w:pPr>
          </w:p>
        </w:tc>
      </w:tr>
      <w:tr>
        <w:trPr>
          <w:trHeight w:val="235"/>
        </w:trPr>
        <w:tc>
          <w:tcPr>
            <w:tcW w:w="6040" w:type="dxa"/>
            <w:vAlign w:val="bottom"/>
          </w:tcPr>
          <w:p>
            <w:pPr>
              <w:ind w:left="320"/>
              <w:spacing w:after="0"/>
              <w:rPr>
                <w:sz w:val="20"/>
                <w:szCs w:val="20"/>
                <w:color w:val="auto"/>
              </w:rPr>
            </w:pPr>
            <w:r>
              <w:rPr>
                <w:rFonts w:ascii="Arial" w:cs="Arial" w:eastAsia="Arial" w:hAnsi="Arial"/>
                <w:sz w:val="18"/>
                <w:szCs w:val="18"/>
                <w:color w:val="auto"/>
              </w:rPr>
              <w:t>Net product sales</w:t>
            </w:r>
          </w:p>
        </w:tc>
        <w:tc>
          <w:tcPr>
            <w:tcW w:w="280" w:type="dxa"/>
            <w:vAlign w:val="bottom"/>
          </w:tcPr>
          <w:p>
            <w:pPr>
              <w:spacing w:after="0"/>
              <w:rPr>
                <w:sz w:val="20"/>
                <w:szCs w:val="20"/>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5,197</w:t>
            </w: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4,500</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15,049</w:t>
            </w: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8,391</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57"/>
        </w:trPr>
        <w:tc>
          <w:tcPr>
            <w:tcW w:w="6040" w:type="dxa"/>
            <w:vAlign w:val="bottom"/>
            <w:shd w:val="clear" w:color="auto" w:fill="C0C0C0"/>
          </w:tcPr>
          <w:p>
            <w:pPr>
              <w:ind w:left="320"/>
              <w:spacing w:after="0"/>
              <w:rPr>
                <w:sz w:val="20"/>
                <w:szCs w:val="20"/>
                <w:color w:val="auto"/>
              </w:rPr>
            </w:pPr>
            <w:r>
              <w:rPr>
                <w:rFonts w:ascii="Arial" w:cs="Arial" w:eastAsia="Arial" w:hAnsi="Arial"/>
                <w:sz w:val="18"/>
                <w:szCs w:val="18"/>
                <w:color w:val="auto"/>
              </w:rPr>
              <w:t>Contract research and other</w:t>
            </w:r>
          </w:p>
        </w:tc>
        <w:tc>
          <w:tcPr>
            <w:tcW w:w="280" w:type="dxa"/>
            <w:vAlign w:val="bottom"/>
            <w:shd w:val="clear" w:color="auto" w:fill="C0C0C0"/>
          </w:tcPr>
          <w:p>
            <w:pPr>
              <w:spacing w:after="0"/>
              <w:rPr>
                <w:sz w:val="22"/>
                <w:szCs w:val="22"/>
                <w:color w:val="auto"/>
              </w:rPr>
            </w:pPr>
          </w:p>
        </w:tc>
        <w:tc>
          <w:tcPr>
            <w:tcW w:w="880" w:type="dxa"/>
            <w:vAlign w:val="bottom"/>
            <w:gridSpan w:val="2"/>
            <w:shd w:val="clear" w:color="auto" w:fill="C0C0C0"/>
          </w:tcPr>
          <w:p>
            <w:pPr>
              <w:jc w:val="right"/>
              <w:ind w:right="40"/>
              <w:spacing w:after="0"/>
              <w:rPr>
                <w:sz w:val="20"/>
                <w:szCs w:val="20"/>
                <w:color w:val="auto"/>
              </w:rPr>
            </w:pPr>
            <w:r>
              <w:rPr>
                <w:rFonts w:ascii="Arial" w:cs="Arial" w:eastAsia="Arial" w:hAnsi="Arial"/>
                <w:sz w:val="18"/>
                <w:szCs w:val="18"/>
                <w:color w:val="auto"/>
              </w:rPr>
              <w:t>2,076</w:t>
            </w:r>
          </w:p>
        </w:tc>
        <w:tc>
          <w:tcPr>
            <w:tcW w:w="260" w:type="dxa"/>
            <w:vAlign w:val="bottom"/>
            <w:shd w:val="clear" w:color="auto" w:fill="C0C0C0"/>
          </w:tcPr>
          <w:p>
            <w:pPr>
              <w:spacing w:after="0"/>
              <w:rPr>
                <w:sz w:val="22"/>
                <w:szCs w:val="22"/>
                <w:color w:val="auto"/>
              </w:rPr>
            </w:pPr>
          </w:p>
        </w:tc>
        <w:tc>
          <w:tcPr>
            <w:tcW w:w="260" w:type="dxa"/>
            <w:vAlign w:val="bottom"/>
            <w:shd w:val="clear" w:color="auto" w:fill="C0C0C0"/>
          </w:tcPr>
          <w:p>
            <w:pPr>
              <w:spacing w:after="0"/>
              <w:rPr>
                <w:sz w:val="22"/>
                <w:szCs w:val="22"/>
                <w:color w:val="auto"/>
              </w:rPr>
            </w:pPr>
          </w:p>
        </w:tc>
        <w:tc>
          <w:tcPr>
            <w:tcW w:w="900" w:type="dxa"/>
            <w:vAlign w:val="bottom"/>
            <w:gridSpan w:val="2"/>
            <w:shd w:val="clear" w:color="auto" w:fill="C0C0C0"/>
          </w:tcPr>
          <w:p>
            <w:pPr>
              <w:jc w:val="right"/>
              <w:ind w:right="100"/>
              <w:spacing w:after="0"/>
              <w:rPr>
                <w:sz w:val="20"/>
                <w:szCs w:val="20"/>
                <w:color w:val="auto"/>
              </w:rPr>
            </w:pPr>
            <w:r>
              <w:rPr>
                <w:rFonts w:ascii="Arial" w:cs="Arial" w:eastAsia="Arial" w:hAnsi="Arial"/>
                <w:sz w:val="18"/>
                <w:szCs w:val="18"/>
                <w:color w:val="auto"/>
              </w:rPr>
              <w:t>1,954</w:t>
            </w:r>
          </w:p>
        </w:tc>
        <w:tc>
          <w:tcPr>
            <w:tcW w:w="280" w:type="dxa"/>
            <w:vAlign w:val="bottom"/>
            <w:shd w:val="clear" w:color="auto" w:fill="C0C0C0"/>
          </w:tcPr>
          <w:p>
            <w:pPr>
              <w:spacing w:after="0"/>
              <w:rPr>
                <w:sz w:val="22"/>
                <w:szCs w:val="22"/>
                <w:color w:val="auto"/>
              </w:rPr>
            </w:pPr>
          </w:p>
        </w:tc>
        <w:tc>
          <w:tcPr>
            <w:tcW w:w="240" w:type="dxa"/>
            <w:vAlign w:val="bottom"/>
            <w:shd w:val="clear" w:color="auto" w:fill="C0C0C0"/>
          </w:tcPr>
          <w:p>
            <w:pPr>
              <w:spacing w:after="0"/>
              <w:rPr>
                <w:sz w:val="22"/>
                <w:szCs w:val="22"/>
                <w:color w:val="auto"/>
              </w:rPr>
            </w:pPr>
          </w:p>
        </w:tc>
        <w:tc>
          <w:tcPr>
            <w:tcW w:w="860" w:type="dxa"/>
            <w:vAlign w:val="bottom"/>
            <w:gridSpan w:val="2"/>
            <w:shd w:val="clear" w:color="auto" w:fill="C0C0C0"/>
          </w:tcPr>
          <w:p>
            <w:pPr>
              <w:jc w:val="right"/>
              <w:ind w:right="20"/>
              <w:spacing w:after="0"/>
              <w:rPr>
                <w:sz w:val="20"/>
                <w:szCs w:val="20"/>
                <w:color w:val="auto"/>
              </w:rPr>
            </w:pPr>
            <w:r>
              <w:rPr>
                <w:rFonts w:ascii="Arial" w:cs="Arial" w:eastAsia="Arial" w:hAnsi="Arial"/>
                <w:sz w:val="18"/>
                <w:szCs w:val="18"/>
                <w:color w:val="auto"/>
              </w:rPr>
              <w:t>3,962</w:t>
            </w:r>
          </w:p>
        </w:tc>
        <w:tc>
          <w:tcPr>
            <w:tcW w:w="280" w:type="dxa"/>
            <w:vAlign w:val="bottom"/>
            <w:shd w:val="clear" w:color="auto" w:fill="C0C0C0"/>
          </w:tcPr>
          <w:p>
            <w:pPr>
              <w:spacing w:after="0"/>
              <w:rPr>
                <w:sz w:val="22"/>
                <w:szCs w:val="22"/>
                <w:color w:val="auto"/>
              </w:rPr>
            </w:pPr>
          </w:p>
        </w:tc>
        <w:tc>
          <w:tcPr>
            <w:tcW w:w="280" w:type="dxa"/>
            <w:vAlign w:val="bottom"/>
            <w:shd w:val="clear" w:color="auto" w:fill="C0C0C0"/>
          </w:tcPr>
          <w:p>
            <w:pPr>
              <w:spacing w:after="0"/>
              <w:rPr>
                <w:sz w:val="22"/>
                <w:szCs w:val="22"/>
                <w:color w:val="auto"/>
              </w:rPr>
            </w:pPr>
          </w:p>
        </w:tc>
        <w:tc>
          <w:tcPr>
            <w:tcW w:w="7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3,436</w:t>
            </w:r>
          </w:p>
        </w:tc>
        <w:tc>
          <w:tcPr>
            <w:tcW w:w="100" w:type="dxa"/>
            <w:vAlign w:val="bottom"/>
            <w:shd w:val="clear" w:color="auto" w:fill="C0C0C0"/>
          </w:tcPr>
          <w:p>
            <w:pPr>
              <w:spacing w:after="0"/>
              <w:rPr>
                <w:sz w:val="22"/>
                <w:szCs w:val="22"/>
                <w:color w:val="auto"/>
              </w:rPr>
            </w:pPr>
          </w:p>
        </w:tc>
        <w:tc>
          <w:tcPr>
            <w:tcW w:w="20" w:type="dxa"/>
            <w:vAlign w:val="bottom"/>
          </w:tcPr>
          <w:p>
            <w:pPr>
              <w:spacing w:after="0"/>
              <w:rPr>
                <w:sz w:val="22"/>
                <w:szCs w:val="22"/>
                <w:color w:val="auto"/>
              </w:rPr>
            </w:pPr>
          </w:p>
        </w:tc>
      </w:tr>
      <w:tr>
        <w:trPr>
          <w:trHeight w:val="21"/>
        </w:trPr>
        <w:tc>
          <w:tcPr>
            <w:tcW w:w="60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60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115,886</w:t>
            </w: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90,032</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219,420</w:t>
            </w: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165,013</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30"/>
        </w:trPr>
        <w:tc>
          <w:tcPr>
            <w:tcW w:w="6040" w:type="dxa"/>
            <w:vAlign w:val="bottom"/>
            <w:tcBorders>
              <w:top w:val="single" w:sz="8" w:color="C0C0C0"/>
            </w:tcBorders>
            <w:shd w:val="clear" w:color="auto" w:fill="C0C0C0"/>
          </w:tcPr>
          <w:p>
            <w:pPr>
              <w:spacing w:after="0"/>
              <w:rPr>
                <w:sz w:val="20"/>
                <w:szCs w:val="20"/>
                <w:color w:val="auto"/>
              </w:rPr>
            </w:pPr>
            <w:r>
              <w:rPr>
                <w:rFonts w:ascii="Arial" w:cs="Arial" w:eastAsia="Arial" w:hAnsi="Arial"/>
                <w:sz w:val="18"/>
                <w:szCs w:val="18"/>
                <w:color w:val="auto"/>
              </w:rPr>
              <w:t>Expenses</w:t>
            </w:r>
          </w:p>
        </w:tc>
        <w:tc>
          <w:tcPr>
            <w:tcW w:w="280" w:type="dxa"/>
            <w:vAlign w:val="bottom"/>
            <w:tcBorders>
              <w:top w:val="single" w:sz="8" w:color="auto"/>
            </w:tcBorders>
            <w:shd w:val="clear" w:color="auto" w:fill="C0C0C0"/>
          </w:tcPr>
          <w:p>
            <w:pPr>
              <w:spacing w:after="0"/>
              <w:rPr>
                <w:sz w:val="19"/>
                <w:szCs w:val="19"/>
                <w:color w:val="auto"/>
              </w:rPr>
            </w:pPr>
          </w:p>
        </w:tc>
        <w:tc>
          <w:tcPr>
            <w:tcW w:w="760" w:type="dxa"/>
            <w:vAlign w:val="bottom"/>
            <w:tcBorders>
              <w:top w:val="single" w:sz="8" w:color="auto"/>
            </w:tcBorders>
            <w:shd w:val="clear" w:color="auto" w:fill="C0C0C0"/>
          </w:tcPr>
          <w:p>
            <w:pPr>
              <w:spacing w:after="0"/>
              <w:rPr>
                <w:sz w:val="19"/>
                <w:szCs w:val="19"/>
                <w:color w:val="auto"/>
              </w:rPr>
            </w:pPr>
          </w:p>
        </w:tc>
        <w:tc>
          <w:tcPr>
            <w:tcW w:w="120" w:type="dxa"/>
            <w:vAlign w:val="bottom"/>
            <w:tcBorders>
              <w:top w:val="single" w:sz="8" w:color="C0C0C0"/>
            </w:tcBorders>
            <w:shd w:val="clear" w:color="auto" w:fill="C0C0C0"/>
          </w:tcPr>
          <w:p>
            <w:pPr>
              <w:spacing w:after="0"/>
              <w:rPr>
                <w:sz w:val="19"/>
                <w:szCs w:val="19"/>
                <w:color w:val="auto"/>
              </w:rPr>
            </w:pPr>
          </w:p>
        </w:tc>
        <w:tc>
          <w:tcPr>
            <w:tcW w:w="260" w:type="dxa"/>
            <w:vAlign w:val="bottom"/>
            <w:tcBorders>
              <w:top w:val="single" w:sz="8" w:color="C0C0C0"/>
            </w:tcBorders>
            <w:shd w:val="clear" w:color="auto" w:fill="C0C0C0"/>
          </w:tcPr>
          <w:p>
            <w:pPr>
              <w:spacing w:after="0"/>
              <w:rPr>
                <w:sz w:val="19"/>
                <w:szCs w:val="19"/>
                <w:color w:val="auto"/>
              </w:rPr>
            </w:pPr>
          </w:p>
        </w:tc>
        <w:tc>
          <w:tcPr>
            <w:tcW w:w="260" w:type="dxa"/>
            <w:vAlign w:val="bottom"/>
            <w:tcBorders>
              <w:top w:val="single" w:sz="8" w:color="auto"/>
            </w:tcBorders>
            <w:shd w:val="clear" w:color="auto" w:fill="C0C0C0"/>
          </w:tcPr>
          <w:p>
            <w:pPr>
              <w:spacing w:after="0"/>
              <w:rPr>
                <w:sz w:val="19"/>
                <w:szCs w:val="19"/>
                <w:color w:val="auto"/>
              </w:rPr>
            </w:pPr>
          </w:p>
        </w:tc>
        <w:tc>
          <w:tcPr>
            <w:tcW w:w="800" w:type="dxa"/>
            <w:vAlign w:val="bottom"/>
            <w:tcBorders>
              <w:top w:val="single" w:sz="8" w:color="auto"/>
            </w:tcBorders>
            <w:shd w:val="clear" w:color="auto" w:fill="C0C0C0"/>
          </w:tcPr>
          <w:p>
            <w:pPr>
              <w:spacing w:after="0"/>
              <w:rPr>
                <w:sz w:val="19"/>
                <w:szCs w:val="19"/>
                <w:color w:val="auto"/>
              </w:rPr>
            </w:pPr>
          </w:p>
        </w:tc>
        <w:tc>
          <w:tcPr>
            <w:tcW w:w="100" w:type="dxa"/>
            <w:vAlign w:val="bottom"/>
            <w:tcBorders>
              <w:top w:val="single" w:sz="8" w:color="C0C0C0"/>
            </w:tcBorders>
            <w:shd w:val="clear" w:color="auto" w:fill="C0C0C0"/>
          </w:tcPr>
          <w:p>
            <w:pPr>
              <w:spacing w:after="0"/>
              <w:rPr>
                <w:sz w:val="19"/>
                <w:szCs w:val="19"/>
                <w:color w:val="auto"/>
              </w:rPr>
            </w:pPr>
          </w:p>
        </w:tc>
        <w:tc>
          <w:tcPr>
            <w:tcW w:w="280" w:type="dxa"/>
            <w:vAlign w:val="bottom"/>
            <w:tcBorders>
              <w:top w:val="single" w:sz="8" w:color="C0C0C0"/>
            </w:tcBorders>
            <w:shd w:val="clear" w:color="auto" w:fill="C0C0C0"/>
          </w:tcPr>
          <w:p>
            <w:pPr>
              <w:spacing w:after="0"/>
              <w:rPr>
                <w:sz w:val="19"/>
                <w:szCs w:val="19"/>
                <w:color w:val="auto"/>
              </w:rPr>
            </w:pPr>
          </w:p>
        </w:tc>
        <w:tc>
          <w:tcPr>
            <w:tcW w:w="240" w:type="dxa"/>
            <w:vAlign w:val="bottom"/>
            <w:tcBorders>
              <w:top w:val="single" w:sz="8" w:color="auto"/>
            </w:tcBorders>
            <w:shd w:val="clear" w:color="auto" w:fill="C0C0C0"/>
          </w:tcPr>
          <w:p>
            <w:pPr>
              <w:spacing w:after="0"/>
              <w:rPr>
                <w:sz w:val="19"/>
                <w:szCs w:val="19"/>
                <w:color w:val="auto"/>
              </w:rPr>
            </w:pPr>
          </w:p>
        </w:tc>
        <w:tc>
          <w:tcPr>
            <w:tcW w:w="760" w:type="dxa"/>
            <w:vAlign w:val="bottom"/>
            <w:tcBorders>
              <w:top w:val="single" w:sz="8" w:color="auto"/>
            </w:tcBorders>
            <w:shd w:val="clear" w:color="auto" w:fill="C0C0C0"/>
          </w:tcPr>
          <w:p>
            <w:pPr>
              <w:spacing w:after="0"/>
              <w:rPr>
                <w:sz w:val="19"/>
                <w:szCs w:val="19"/>
                <w:color w:val="auto"/>
              </w:rPr>
            </w:pPr>
          </w:p>
        </w:tc>
        <w:tc>
          <w:tcPr>
            <w:tcW w:w="100" w:type="dxa"/>
            <w:vAlign w:val="bottom"/>
            <w:tcBorders>
              <w:top w:val="single" w:sz="8" w:color="C0C0C0"/>
            </w:tcBorders>
            <w:shd w:val="clear" w:color="auto" w:fill="C0C0C0"/>
          </w:tcPr>
          <w:p>
            <w:pPr>
              <w:spacing w:after="0"/>
              <w:rPr>
                <w:sz w:val="19"/>
                <w:szCs w:val="19"/>
                <w:color w:val="auto"/>
              </w:rPr>
            </w:pPr>
          </w:p>
        </w:tc>
        <w:tc>
          <w:tcPr>
            <w:tcW w:w="280" w:type="dxa"/>
            <w:vAlign w:val="bottom"/>
            <w:tcBorders>
              <w:top w:val="single" w:sz="8" w:color="C0C0C0"/>
            </w:tcBorders>
            <w:shd w:val="clear" w:color="auto" w:fill="C0C0C0"/>
          </w:tcPr>
          <w:p>
            <w:pPr>
              <w:spacing w:after="0"/>
              <w:rPr>
                <w:sz w:val="19"/>
                <w:szCs w:val="19"/>
                <w:color w:val="auto"/>
              </w:rPr>
            </w:pPr>
          </w:p>
        </w:tc>
        <w:tc>
          <w:tcPr>
            <w:tcW w:w="280" w:type="dxa"/>
            <w:vAlign w:val="bottom"/>
            <w:tcBorders>
              <w:top w:val="single" w:sz="8" w:color="auto"/>
            </w:tcBorders>
            <w:shd w:val="clear" w:color="auto" w:fill="C0C0C0"/>
          </w:tcPr>
          <w:p>
            <w:pPr>
              <w:spacing w:after="0"/>
              <w:rPr>
                <w:sz w:val="19"/>
                <w:szCs w:val="19"/>
                <w:color w:val="auto"/>
              </w:rPr>
            </w:pPr>
          </w:p>
        </w:tc>
        <w:tc>
          <w:tcPr>
            <w:tcW w:w="760" w:type="dxa"/>
            <w:vAlign w:val="bottom"/>
            <w:tcBorders>
              <w:top w:val="single" w:sz="8" w:color="auto"/>
            </w:tcBorders>
            <w:shd w:val="clear" w:color="auto" w:fill="C0C0C0"/>
          </w:tcPr>
          <w:p>
            <w:pPr>
              <w:spacing w:after="0"/>
              <w:rPr>
                <w:sz w:val="19"/>
                <w:szCs w:val="19"/>
                <w:color w:val="auto"/>
              </w:rPr>
            </w:pPr>
          </w:p>
        </w:tc>
        <w:tc>
          <w:tcPr>
            <w:tcW w:w="100" w:type="dxa"/>
            <w:vAlign w:val="bottom"/>
            <w:tcBorders>
              <w:top w:val="single" w:sz="8" w:color="C0C0C0"/>
            </w:tcBorders>
            <w:shd w:val="clear" w:color="auto" w:fill="C0C0C0"/>
          </w:tcPr>
          <w:p>
            <w:pPr>
              <w:spacing w:after="0"/>
              <w:rPr>
                <w:sz w:val="19"/>
                <w:szCs w:val="19"/>
                <w:color w:val="auto"/>
              </w:rPr>
            </w:pPr>
          </w:p>
        </w:tc>
        <w:tc>
          <w:tcPr>
            <w:tcW w:w="20" w:type="dxa"/>
            <w:vAlign w:val="bottom"/>
          </w:tcPr>
          <w:p>
            <w:pPr>
              <w:spacing w:after="0"/>
              <w:rPr>
                <w:sz w:val="19"/>
                <w:szCs w:val="19"/>
                <w:color w:val="auto"/>
              </w:rPr>
            </w:pPr>
          </w:p>
        </w:tc>
      </w:tr>
      <w:tr>
        <w:trPr>
          <w:trHeight w:val="235"/>
        </w:trPr>
        <w:tc>
          <w:tcPr>
            <w:tcW w:w="6040" w:type="dxa"/>
            <w:vAlign w:val="bottom"/>
          </w:tcPr>
          <w:p>
            <w:pPr>
              <w:ind w:left="320"/>
              <w:spacing w:after="0"/>
              <w:rPr>
                <w:sz w:val="20"/>
                <w:szCs w:val="20"/>
                <w:color w:val="auto"/>
              </w:rPr>
            </w:pPr>
            <w:r>
              <w:rPr>
                <w:rFonts w:ascii="Arial" w:cs="Arial" w:eastAsia="Arial" w:hAnsi="Arial"/>
                <w:sz w:val="18"/>
                <w:szCs w:val="18"/>
                <w:color w:val="auto"/>
              </w:rPr>
              <w:t>Research and development</w:t>
            </w:r>
          </w:p>
        </w:tc>
        <w:tc>
          <w:tcPr>
            <w:tcW w:w="280" w:type="dxa"/>
            <w:vAlign w:val="bottom"/>
          </w:tcPr>
          <w:p>
            <w:pPr>
              <w:spacing w:after="0"/>
              <w:rPr>
                <w:sz w:val="20"/>
                <w:szCs w:val="20"/>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124,526</w:t>
            </w: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94,231</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241,997</w:t>
            </w: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174,538</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51"/>
        </w:trPr>
        <w:tc>
          <w:tcPr>
            <w:tcW w:w="6040" w:type="dxa"/>
            <w:vAlign w:val="bottom"/>
            <w:shd w:val="clear" w:color="auto" w:fill="C0C0C0"/>
          </w:tcPr>
          <w:p>
            <w:pPr>
              <w:ind w:left="320"/>
              <w:spacing w:after="0"/>
              <w:rPr>
                <w:sz w:val="20"/>
                <w:szCs w:val="20"/>
                <w:color w:val="auto"/>
              </w:rPr>
            </w:pPr>
            <w:r>
              <w:rPr>
                <w:rFonts w:ascii="Arial" w:cs="Arial" w:eastAsia="Arial" w:hAnsi="Arial"/>
                <w:sz w:val="18"/>
                <w:szCs w:val="18"/>
                <w:color w:val="auto"/>
              </w:rPr>
              <w:t>Selling, general, and administrative</w:t>
            </w:r>
          </w:p>
        </w:tc>
        <w:tc>
          <w:tcPr>
            <w:tcW w:w="280" w:type="dxa"/>
            <w:vAlign w:val="bottom"/>
            <w:shd w:val="clear" w:color="auto" w:fill="C0C0C0"/>
          </w:tcPr>
          <w:p>
            <w:pPr>
              <w:spacing w:after="0"/>
              <w:rPr>
                <w:sz w:val="21"/>
                <w:szCs w:val="21"/>
                <w:color w:val="auto"/>
              </w:rPr>
            </w:pPr>
          </w:p>
        </w:tc>
        <w:tc>
          <w:tcPr>
            <w:tcW w:w="880" w:type="dxa"/>
            <w:vAlign w:val="bottom"/>
            <w:gridSpan w:val="2"/>
            <w:shd w:val="clear" w:color="auto" w:fill="C0C0C0"/>
          </w:tcPr>
          <w:p>
            <w:pPr>
              <w:jc w:val="right"/>
              <w:ind w:right="40"/>
              <w:spacing w:after="0"/>
              <w:rPr>
                <w:sz w:val="20"/>
                <w:szCs w:val="20"/>
                <w:color w:val="auto"/>
              </w:rPr>
            </w:pPr>
            <w:r>
              <w:rPr>
                <w:rFonts w:ascii="Arial" w:cs="Arial" w:eastAsia="Arial" w:hAnsi="Arial"/>
                <w:sz w:val="18"/>
                <w:szCs w:val="18"/>
                <w:color w:val="auto"/>
              </w:rPr>
              <w:t>14,679</w:t>
            </w:r>
          </w:p>
        </w:tc>
        <w:tc>
          <w:tcPr>
            <w:tcW w:w="26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900" w:type="dxa"/>
            <w:vAlign w:val="bottom"/>
            <w:gridSpan w:val="2"/>
            <w:shd w:val="clear" w:color="auto" w:fill="C0C0C0"/>
          </w:tcPr>
          <w:p>
            <w:pPr>
              <w:jc w:val="right"/>
              <w:ind w:right="100"/>
              <w:spacing w:after="0"/>
              <w:rPr>
                <w:sz w:val="20"/>
                <w:szCs w:val="20"/>
                <w:color w:val="auto"/>
              </w:rPr>
            </w:pPr>
            <w:r>
              <w:rPr>
                <w:rFonts w:ascii="Arial" w:cs="Arial" w:eastAsia="Arial" w:hAnsi="Arial"/>
                <w:sz w:val="18"/>
                <w:szCs w:val="18"/>
                <w:color w:val="auto"/>
              </w:rPr>
              <w:t>11,632</w:t>
            </w:r>
          </w:p>
        </w:tc>
        <w:tc>
          <w:tcPr>
            <w:tcW w:w="280" w:type="dxa"/>
            <w:vAlign w:val="bottom"/>
            <w:shd w:val="clear" w:color="auto" w:fill="C0C0C0"/>
          </w:tcPr>
          <w:p>
            <w:pPr>
              <w:spacing w:after="0"/>
              <w:rPr>
                <w:sz w:val="21"/>
                <w:szCs w:val="21"/>
                <w:color w:val="auto"/>
              </w:rPr>
            </w:pPr>
          </w:p>
        </w:tc>
        <w:tc>
          <w:tcPr>
            <w:tcW w:w="240" w:type="dxa"/>
            <w:vAlign w:val="bottom"/>
            <w:shd w:val="clear" w:color="auto" w:fill="C0C0C0"/>
          </w:tcPr>
          <w:p>
            <w:pPr>
              <w:spacing w:after="0"/>
              <w:rPr>
                <w:sz w:val="21"/>
                <w:szCs w:val="21"/>
                <w:color w:val="auto"/>
              </w:rPr>
            </w:pPr>
          </w:p>
        </w:tc>
        <w:tc>
          <w:tcPr>
            <w:tcW w:w="860" w:type="dxa"/>
            <w:vAlign w:val="bottom"/>
            <w:gridSpan w:val="2"/>
            <w:shd w:val="clear" w:color="auto" w:fill="C0C0C0"/>
          </w:tcPr>
          <w:p>
            <w:pPr>
              <w:jc w:val="right"/>
              <w:ind w:right="20"/>
              <w:spacing w:after="0"/>
              <w:rPr>
                <w:sz w:val="20"/>
                <w:szCs w:val="20"/>
                <w:color w:val="auto"/>
              </w:rPr>
            </w:pPr>
            <w:r>
              <w:rPr>
                <w:rFonts w:ascii="Arial" w:cs="Arial" w:eastAsia="Arial" w:hAnsi="Arial"/>
                <w:sz w:val="18"/>
                <w:szCs w:val="18"/>
                <w:color w:val="auto"/>
              </w:rPr>
              <w:t>28,902</w:t>
            </w:r>
          </w:p>
        </w:tc>
        <w:tc>
          <w:tcPr>
            <w:tcW w:w="280" w:type="dxa"/>
            <w:vAlign w:val="bottom"/>
            <w:shd w:val="clear" w:color="auto" w:fill="C0C0C0"/>
          </w:tcPr>
          <w:p>
            <w:pPr>
              <w:spacing w:after="0"/>
              <w:rPr>
                <w:sz w:val="21"/>
                <w:szCs w:val="21"/>
                <w:color w:val="auto"/>
              </w:rPr>
            </w:pPr>
          </w:p>
        </w:tc>
        <w:tc>
          <w:tcPr>
            <w:tcW w:w="280" w:type="dxa"/>
            <w:vAlign w:val="bottom"/>
            <w:shd w:val="clear" w:color="auto" w:fill="C0C0C0"/>
          </w:tcPr>
          <w:p>
            <w:pPr>
              <w:spacing w:after="0"/>
              <w:rPr>
                <w:sz w:val="21"/>
                <w:szCs w:val="21"/>
                <w:color w:val="auto"/>
              </w:rPr>
            </w:pPr>
          </w:p>
        </w:tc>
        <w:tc>
          <w:tcPr>
            <w:tcW w:w="7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23,052</w:t>
            </w:r>
          </w:p>
        </w:tc>
        <w:tc>
          <w:tcPr>
            <w:tcW w:w="100" w:type="dxa"/>
            <w:vAlign w:val="bottom"/>
            <w:shd w:val="clear" w:color="auto" w:fill="C0C0C0"/>
          </w:tcPr>
          <w:p>
            <w:pPr>
              <w:spacing w:after="0"/>
              <w:rPr>
                <w:sz w:val="21"/>
                <w:szCs w:val="21"/>
                <w:color w:val="auto"/>
              </w:rPr>
            </w:pPr>
          </w:p>
        </w:tc>
        <w:tc>
          <w:tcPr>
            <w:tcW w:w="20" w:type="dxa"/>
            <w:vAlign w:val="bottom"/>
          </w:tcPr>
          <w:p>
            <w:pPr>
              <w:spacing w:after="0"/>
              <w:rPr>
                <w:sz w:val="21"/>
                <w:szCs w:val="21"/>
                <w:color w:val="auto"/>
              </w:rPr>
            </w:pPr>
          </w:p>
        </w:tc>
      </w:tr>
      <w:tr>
        <w:trPr>
          <w:trHeight w:val="262"/>
        </w:trPr>
        <w:tc>
          <w:tcPr>
            <w:tcW w:w="6040" w:type="dxa"/>
            <w:vAlign w:val="bottom"/>
          </w:tcPr>
          <w:p>
            <w:pPr>
              <w:ind w:left="320"/>
              <w:spacing w:after="0"/>
              <w:rPr>
                <w:sz w:val="20"/>
                <w:szCs w:val="20"/>
                <w:color w:val="auto"/>
              </w:rPr>
            </w:pPr>
            <w:r>
              <w:rPr>
                <w:rFonts w:ascii="Arial" w:cs="Arial" w:eastAsia="Arial" w:hAnsi="Arial"/>
                <w:sz w:val="18"/>
                <w:szCs w:val="18"/>
                <w:color w:val="auto"/>
              </w:rPr>
              <w:t>Cost of goods sold</w:t>
            </w:r>
          </w:p>
        </w:tc>
        <w:tc>
          <w:tcPr>
            <w:tcW w:w="280" w:type="dxa"/>
            <w:vAlign w:val="bottom"/>
          </w:tcPr>
          <w:p>
            <w:pPr>
              <w:spacing w:after="0"/>
              <w:rPr>
                <w:sz w:val="22"/>
                <w:szCs w:val="22"/>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405</w:t>
            </w:r>
          </w:p>
        </w:tc>
        <w:tc>
          <w:tcPr>
            <w:tcW w:w="2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435</w:t>
            </w:r>
          </w:p>
        </w:tc>
        <w:tc>
          <w:tcPr>
            <w:tcW w:w="2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1,122</w:t>
            </w:r>
          </w:p>
        </w:tc>
        <w:tc>
          <w:tcPr>
            <w:tcW w:w="2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827</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1"/>
        </w:trPr>
        <w:tc>
          <w:tcPr>
            <w:tcW w:w="6040" w:type="dxa"/>
            <w:vAlign w:val="bottom"/>
            <w:shd w:val="clear" w:color="auto" w:fill="C0C0C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shd w:val="clear" w:color="auto" w:fill="C0C0C0"/>
          </w:tcPr>
          <w:p>
            <w:pPr>
              <w:spacing w:after="0" w:line="20" w:lineRule="exact"/>
              <w:rPr>
                <w:sz w:val="1"/>
                <w:szCs w:val="1"/>
                <w:color w:val="auto"/>
              </w:rPr>
            </w:pPr>
          </w:p>
        </w:tc>
        <w:tc>
          <w:tcPr>
            <w:tcW w:w="260" w:type="dxa"/>
            <w:vAlign w:val="bottom"/>
            <w:shd w:val="clear" w:color="auto" w:fill="C0C0C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0C0C0"/>
          </w:tcPr>
          <w:p>
            <w:pPr>
              <w:spacing w:after="0" w:line="20" w:lineRule="exact"/>
              <w:rPr>
                <w:sz w:val="1"/>
                <w:szCs w:val="1"/>
                <w:color w:val="auto"/>
              </w:rPr>
            </w:pPr>
          </w:p>
        </w:tc>
        <w:tc>
          <w:tcPr>
            <w:tcW w:w="280" w:type="dxa"/>
            <w:vAlign w:val="bottom"/>
            <w:shd w:val="clear" w:color="auto" w:fill="C0C0C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shd w:val="clear" w:color="auto" w:fill="C0C0C0"/>
          </w:tcPr>
          <w:p>
            <w:pPr>
              <w:spacing w:after="0" w:line="20" w:lineRule="exact"/>
              <w:rPr>
                <w:sz w:val="1"/>
                <w:szCs w:val="1"/>
                <w:color w:val="auto"/>
              </w:rPr>
            </w:pPr>
          </w:p>
        </w:tc>
        <w:tc>
          <w:tcPr>
            <w:tcW w:w="280" w:type="dxa"/>
            <w:vAlign w:val="bottom"/>
            <w:shd w:val="clear" w:color="auto" w:fill="C0C0C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shd w:val="clear" w:color="auto" w:fill="C0C0C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6040" w:type="dxa"/>
            <w:vAlign w:val="bottom"/>
            <w:shd w:val="clear" w:color="auto" w:fill="C0C0C0"/>
          </w:tcPr>
          <w:p>
            <w:pPr>
              <w:spacing w:after="0"/>
              <w:rPr>
                <w:sz w:val="21"/>
                <w:szCs w:val="21"/>
                <w:color w:val="auto"/>
              </w:rPr>
            </w:pPr>
          </w:p>
        </w:tc>
        <w:tc>
          <w:tcPr>
            <w:tcW w:w="280" w:type="dxa"/>
            <w:vAlign w:val="bottom"/>
            <w:shd w:val="clear" w:color="auto" w:fill="C0C0C0"/>
          </w:tcPr>
          <w:p>
            <w:pPr>
              <w:spacing w:after="0"/>
              <w:rPr>
                <w:sz w:val="21"/>
                <w:szCs w:val="21"/>
                <w:color w:val="auto"/>
              </w:rPr>
            </w:pPr>
          </w:p>
        </w:tc>
        <w:tc>
          <w:tcPr>
            <w:tcW w:w="880" w:type="dxa"/>
            <w:vAlign w:val="bottom"/>
            <w:gridSpan w:val="2"/>
            <w:shd w:val="clear" w:color="auto" w:fill="C0C0C0"/>
          </w:tcPr>
          <w:p>
            <w:pPr>
              <w:jc w:val="right"/>
              <w:ind w:right="40"/>
              <w:spacing w:after="0"/>
              <w:rPr>
                <w:sz w:val="20"/>
                <w:szCs w:val="20"/>
                <w:color w:val="auto"/>
              </w:rPr>
            </w:pPr>
            <w:r>
              <w:rPr>
                <w:rFonts w:ascii="Arial" w:cs="Arial" w:eastAsia="Arial" w:hAnsi="Arial"/>
                <w:sz w:val="18"/>
                <w:szCs w:val="18"/>
                <w:color w:val="auto"/>
              </w:rPr>
              <w:t>139,610</w:t>
            </w:r>
          </w:p>
        </w:tc>
        <w:tc>
          <w:tcPr>
            <w:tcW w:w="26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900" w:type="dxa"/>
            <w:vAlign w:val="bottom"/>
            <w:gridSpan w:val="2"/>
            <w:shd w:val="clear" w:color="auto" w:fill="C0C0C0"/>
          </w:tcPr>
          <w:p>
            <w:pPr>
              <w:jc w:val="right"/>
              <w:ind w:right="100"/>
              <w:spacing w:after="0"/>
              <w:rPr>
                <w:sz w:val="20"/>
                <w:szCs w:val="20"/>
                <w:color w:val="auto"/>
              </w:rPr>
            </w:pPr>
            <w:r>
              <w:rPr>
                <w:rFonts w:ascii="Arial" w:cs="Arial" w:eastAsia="Arial" w:hAnsi="Arial"/>
                <w:sz w:val="18"/>
                <w:szCs w:val="18"/>
                <w:color w:val="auto"/>
              </w:rPr>
              <w:t>106,298</w:t>
            </w:r>
          </w:p>
        </w:tc>
        <w:tc>
          <w:tcPr>
            <w:tcW w:w="280" w:type="dxa"/>
            <w:vAlign w:val="bottom"/>
            <w:shd w:val="clear" w:color="auto" w:fill="C0C0C0"/>
          </w:tcPr>
          <w:p>
            <w:pPr>
              <w:spacing w:after="0"/>
              <w:rPr>
                <w:sz w:val="21"/>
                <w:szCs w:val="21"/>
                <w:color w:val="auto"/>
              </w:rPr>
            </w:pPr>
          </w:p>
        </w:tc>
        <w:tc>
          <w:tcPr>
            <w:tcW w:w="240" w:type="dxa"/>
            <w:vAlign w:val="bottom"/>
            <w:shd w:val="clear" w:color="auto" w:fill="C0C0C0"/>
          </w:tcPr>
          <w:p>
            <w:pPr>
              <w:spacing w:after="0"/>
              <w:rPr>
                <w:sz w:val="21"/>
                <w:szCs w:val="21"/>
                <w:color w:val="auto"/>
              </w:rPr>
            </w:pPr>
          </w:p>
        </w:tc>
        <w:tc>
          <w:tcPr>
            <w:tcW w:w="860" w:type="dxa"/>
            <w:vAlign w:val="bottom"/>
            <w:gridSpan w:val="2"/>
            <w:shd w:val="clear" w:color="auto" w:fill="C0C0C0"/>
          </w:tcPr>
          <w:p>
            <w:pPr>
              <w:jc w:val="right"/>
              <w:ind w:right="20"/>
              <w:spacing w:after="0"/>
              <w:rPr>
                <w:sz w:val="20"/>
                <w:szCs w:val="20"/>
                <w:color w:val="auto"/>
              </w:rPr>
            </w:pPr>
            <w:r>
              <w:rPr>
                <w:rFonts w:ascii="Arial" w:cs="Arial" w:eastAsia="Arial" w:hAnsi="Arial"/>
                <w:sz w:val="18"/>
                <w:szCs w:val="18"/>
                <w:color w:val="auto"/>
              </w:rPr>
              <w:t>272,021</w:t>
            </w:r>
          </w:p>
        </w:tc>
        <w:tc>
          <w:tcPr>
            <w:tcW w:w="280" w:type="dxa"/>
            <w:vAlign w:val="bottom"/>
            <w:shd w:val="clear" w:color="auto" w:fill="C0C0C0"/>
          </w:tcPr>
          <w:p>
            <w:pPr>
              <w:spacing w:after="0"/>
              <w:rPr>
                <w:sz w:val="21"/>
                <w:szCs w:val="21"/>
                <w:color w:val="auto"/>
              </w:rPr>
            </w:pPr>
          </w:p>
        </w:tc>
        <w:tc>
          <w:tcPr>
            <w:tcW w:w="280" w:type="dxa"/>
            <w:vAlign w:val="bottom"/>
            <w:shd w:val="clear" w:color="auto" w:fill="C0C0C0"/>
          </w:tcPr>
          <w:p>
            <w:pPr>
              <w:spacing w:after="0"/>
              <w:rPr>
                <w:sz w:val="21"/>
                <w:szCs w:val="21"/>
                <w:color w:val="auto"/>
              </w:rPr>
            </w:pPr>
          </w:p>
        </w:tc>
        <w:tc>
          <w:tcPr>
            <w:tcW w:w="7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198,417</w:t>
            </w:r>
          </w:p>
        </w:tc>
        <w:tc>
          <w:tcPr>
            <w:tcW w:w="100" w:type="dxa"/>
            <w:vAlign w:val="bottom"/>
            <w:shd w:val="clear" w:color="auto" w:fill="C0C0C0"/>
          </w:tcPr>
          <w:p>
            <w:pPr>
              <w:spacing w:after="0"/>
              <w:rPr>
                <w:sz w:val="21"/>
                <w:szCs w:val="21"/>
                <w:color w:val="auto"/>
              </w:rPr>
            </w:pPr>
          </w:p>
        </w:tc>
        <w:tc>
          <w:tcPr>
            <w:tcW w:w="20" w:type="dxa"/>
            <w:vAlign w:val="bottom"/>
          </w:tcPr>
          <w:p>
            <w:pPr>
              <w:spacing w:after="0"/>
              <w:rPr>
                <w:sz w:val="21"/>
                <w:szCs w:val="21"/>
                <w:color w:val="auto"/>
              </w:rPr>
            </w:pPr>
          </w:p>
        </w:tc>
      </w:tr>
      <w:tr>
        <w:trPr>
          <w:trHeight w:val="230"/>
        </w:trPr>
        <w:tc>
          <w:tcPr>
            <w:tcW w:w="604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64"/>
        </w:trPr>
        <w:tc>
          <w:tcPr>
            <w:tcW w:w="6040" w:type="dxa"/>
            <w:vAlign w:val="bottom"/>
            <w:shd w:val="clear" w:color="auto" w:fill="C0C0C0"/>
          </w:tcPr>
          <w:p>
            <w:pPr>
              <w:spacing w:after="0"/>
              <w:rPr>
                <w:sz w:val="20"/>
                <w:szCs w:val="20"/>
                <w:color w:val="auto"/>
              </w:rPr>
            </w:pPr>
            <w:r>
              <w:rPr>
                <w:rFonts w:ascii="Arial" w:cs="Arial" w:eastAsia="Arial" w:hAnsi="Arial"/>
                <w:sz w:val="18"/>
                <w:szCs w:val="18"/>
                <w:color w:val="auto"/>
              </w:rPr>
              <w:t>Loss from operations</w:t>
            </w:r>
          </w:p>
        </w:tc>
        <w:tc>
          <w:tcPr>
            <w:tcW w:w="280" w:type="dxa"/>
            <w:vAlign w:val="bottom"/>
            <w:shd w:val="clear" w:color="auto" w:fill="C0C0C0"/>
          </w:tcPr>
          <w:p>
            <w:pPr>
              <w:spacing w:after="0"/>
              <w:rPr>
                <w:sz w:val="22"/>
                <w:szCs w:val="22"/>
                <w:color w:val="auto"/>
              </w:rPr>
            </w:pPr>
          </w:p>
        </w:tc>
        <w:tc>
          <w:tcPr>
            <w:tcW w:w="88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(23,724)</w:t>
            </w:r>
          </w:p>
        </w:tc>
        <w:tc>
          <w:tcPr>
            <w:tcW w:w="260" w:type="dxa"/>
            <w:vAlign w:val="bottom"/>
            <w:shd w:val="clear" w:color="auto" w:fill="C0C0C0"/>
          </w:tcPr>
          <w:p>
            <w:pPr>
              <w:spacing w:after="0"/>
              <w:rPr>
                <w:sz w:val="22"/>
                <w:szCs w:val="22"/>
                <w:color w:val="auto"/>
              </w:rPr>
            </w:pPr>
          </w:p>
        </w:tc>
        <w:tc>
          <w:tcPr>
            <w:tcW w:w="260" w:type="dxa"/>
            <w:vAlign w:val="bottom"/>
            <w:shd w:val="clear" w:color="auto" w:fill="C0C0C0"/>
          </w:tcPr>
          <w:p>
            <w:pPr>
              <w:spacing w:after="0"/>
              <w:rPr>
                <w:sz w:val="22"/>
                <w:szCs w:val="22"/>
                <w:color w:val="auto"/>
              </w:rPr>
            </w:pPr>
          </w:p>
        </w:tc>
        <w:tc>
          <w:tcPr>
            <w:tcW w:w="900" w:type="dxa"/>
            <w:vAlign w:val="bottom"/>
            <w:gridSpan w:val="2"/>
            <w:shd w:val="clear" w:color="auto" w:fill="C0C0C0"/>
          </w:tcPr>
          <w:p>
            <w:pPr>
              <w:jc w:val="right"/>
              <w:ind w:right="40"/>
              <w:spacing w:after="0"/>
              <w:rPr>
                <w:sz w:val="20"/>
                <w:szCs w:val="20"/>
                <w:color w:val="auto"/>
              </w:rPr>
            </w:pPr>
            <w:r>
              <w:rPr>
                <w:rFonts w:ascii="Arial" w:cs="Arial" w:eastAsia="Arial" w:hAnsi="Arial"/>
                <w:sz w:val="18"/>
                <w:szCs w:val="18"/>
                <w:color w:val="auto"/>
              </w:rPr>
              <w:t>(16,266)</w:t>
            </w:r>
          </w:p>
        </w:tc>
        <w:tc>
          <w:tcPr>
            <w:tcW w:w="280" w:type="dxa"/>
            <w:vAlign w:val="bottom"/>
            <w:shd w:val="clear" w:color="auto" w:fill="C0C0C0"/>
          </w:tcPr>
          <w:p>
            <w:pPr>
              <w:spacing w:after="0"/>
              <w:rPr>
                <w:sz w:val="22"/>
                <w:szCs w:val="22"/>
                <w:color w:val="auto"/>
              </w:rPr>
            </w:pPr>
          </w:p>
        </w:tc>
        <w:tc>
          <w:tcPr>
            <w:tcW w:w="240" w:type="dxa"/>
            <w:vAlign w:val="bottom"/>
            <w:shd w:val="clear" w:color="auto" w:fill="C0C0C0"/>
          </w:tcPr>
          <w:p>
            <w:pPr>
              <w:spacing w:after="0"/>
              <w:rPr>
                <w:sz w:val="22"/>
                <w:szCs w:val="22"/>
                <w:color w:val="auto"/>
              </w:rPr>
            </w:pPr>
          </w:p>
        </w:tc>
        <w:tc>
          <w:tcPr>
            <w:tcW w:w="86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(52,601)</w:t>
            </w:r>
          </w:p>
        </w:tc>
        <w:tc>
          <w:tcPr>
            <w:tcW w:w="280" w:type="dxa"/>
            <w:vAlign w:val="bottom"/>
            <w:shd w:val="clear" w:color="auto" w:fill="C0C0C0"/>
          </w:tcPr>
          <w:p>
            <w:pPr>
              <w:spacing w:after="0"/>
              <w:rPr>
                <w:sz w:val="22"/>
                <w:szCs w:val="22"/>
                <w:color w:val="auto"/>
              </w:rPr>
            </w:pPr>
          </w:p>
        </w:tc>
        <w:tc>
          <w:tcPr>
            <w:tcW w:w="280" w:type="dxa"/>
            <w:vAlign w:val="bottom"/>
            <w:shd w:val="clear" w:color="auto" w:fill="C0C0C0"/>
          </w:tcPr>
          <w:p>
            <w:pPr>
              <w:spacing w:after="0"/>
              <w:rPr>
                <w:sz w:val="22"/>
                <w:szCs w:val="22"/>
                <w:color w:val="auto"/>
              </w:rPr>
            </w:pPr>
          </w:p>
        </w:tc>
        <w:tc>
          <w:tcPr>
            <w:tcW w:w="860" w:type="dxa"/>
            <w:vAlign w:val="bottom"/>
            <w:gridSpan w:val="2"/>
            <w:shd w:val="clear" w:color="auto" w:fill="C0C0C0"/>
          </w:tcPr>
          <w:p>
            <w:pPr>
              <w:jc w:val="right"/>
              <w:ind w:right="40"/>
              <w:spacing w:after="0"/>
              <w:rPr>
                <w:sz w:val="20"/>
                <w:szCs w:val="20"/>
                <w:color w:val="auto"/>
              </w:rPr>
            </w:pPr>
            <w:r>
              <w:rPr>
                <w:rFonts w:ascii="Arial" w:cs="Arial" w:eastAsia="Arial" w:hAnsi="Arial"/>
                <w:sz w:val="18"/>
                <w:szCs w:val="18"/>
                <w:color w:val="auto"/>
              </w:rPr>
              <w:t>(33,404)</w:t>
            </w:r>
          </w:p>
        </w:tc>
        <w:tc>
          <w:tcPr>
            <w:tcW w:w="20" w:type="dxa"/>
            <w:vAlign w:val="bottom"/>
          </w:tcPr>
          <w:p>
            <w:pPr>
              <w:spacing w:after="0"/>
              <w:rPr>
                <w:sz w:val="22"/>
                <w:szCs w:val="22"/>
                <w:color w:val="auto"/>
              </w:rPr>
            </w:pPr>
          </w:p>
        </w:tc>
      </w:tr>
      <w:tr>
        <w:trPr>
          <w:trHeight w:val="230"/>
        </w:trPr>
        <w:tc>
          <w:tcPr>
            <w:tcW w:w="604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43"/>
        </w:trPr>
        <w:tc>
          <w:tcPr>
            <w:tcW w:w="6040" w:type="dxa"/>
            <w:vAlign w:val="bottom"/>
            <w:shd w:val="clear" w:color="auto" w:fill="C0C0C0"/>
          </w:tcPr>
          <w:p>
            <w:pPr>
              <w:spacing w:after="0"/>
              <w:rPr>
                <w:sz w:val="20"/>
                <w:szCs w:val="20"/>
                <w:color w:val="auto"/>
              </w:rPr>
            </w:pPr>
            <w:r>
              <w:rPr>
                <w:rFonts w:ascii="Arial" w:cs="Arial" w:eastAsia="Arial" w:hAnsi="Arial"/>
                <w:sz w:val="18"/>
                <w:szCs w:val="18"/>
                <w:color w:val="auto"/>
              </w:rPr>
              <w:t>Other income (expense)</w:t>
            </w:r>
          </w:p>
        </w:tc>
        <w:tc>
          <w:tcPr>
            <w:tcW w:w="280" w:type="dxa"/>
            <w:vAlign w:val="bottom"/>
            <w:shd w:val="clear" w:color="auto" w:fill="C0C0C0"/>
          </w:tcPr>
          <w:p>
            <w:pPr>
              <w:spacing w:after="0"/>
              <w:rPr>
                <w:sz w:val="21"/>
                <w:szCs w:val="21"/>
                <w:color w:val="auto"/>
              </w:rPr>
            </w:pPr>
          </w:p>
        </w:tc>
        <w:tc>
          <w:tcPr>
            <w:tcW w:w="76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80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280" w:type="dxa"/>
            <w:vAlign w:val="bottom"/>
            <w:shd w:val="clear" w:color="auto" w:fill="C0C0C0"/>
          </w:tcPr>
          <w:p>
            <w:pPr>
              <w:spacing w:after="0"/>
              <w:rPr>
                <w:sz w:val="21"/>
                <w:szCs w:val="21"/>
                <w:color w:val="auto"/>
              </w:rPr>
            </w:pPr>
          </w:p>
        </w:tc>
        <w:tc>
          <w:tcPr>
            <w:tcW w:w="240" w:type="dxa"/>
            <w:vAlign w:val="bottom"/>
            <w:shd w:val="clear" w:color="auto" w:fill="C0C0C0"/>
          </w:tcPr>
          <w:p>
            <w:pPr>
              <w:spacing w:after="0"/>
              <w:rPr>
                <w:sz w:val="21"/>
                <w:szCs w:val="21"/>
                <w:color w:val="auto"/>
              </w:rPr>
            </w:pPr>
          </w:p>
        </w:tc>
        <w:tc>
          <w:tcPr>
            <w:tcW w:w="76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280" w:type="dxa"/>
            <w:vAlign w:val="bottom"/>
            <w:shd w:val="clear" w:color="auto" w:fill="C0C0C0"/>
          </w:tcPr>
          <w:p>
            <w:pPr>
              <w:spacing w:after="0"/>
              <w:rPr>
                <w:sz w:val="21"/>
                <w:szCs w:val="21"/>
                <w:color w:val="auto"/>
              </w:rPr>
            </w:pPr>
          </w:p>
        </w:tc>
        <w:tc>
          <w:tcPr>
            <w:tcW w:w="280" w:type="dxa"/>
            <w:vAlign w:val="bottom"/>
            <w:shd w:val="clear" w:color="auto" w:fill="C0C0C0"/>
          </w:tcPr>
          <w:p>
            <w:pPr>
              <w:spacing w:after="0"/>
              <w:rPr>
                <w:sz w:val="21"/>
                <w:szCs w:val="21"/>
                <w:color w:val="auto"/>
              </w:rPr>
            </w:pPr>
          </w:p>
        </w:tc>
        <w:tc>
          <w:tcPr>
            <w:tcW w:w="76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20" w:type="dxa"/>
            <w:vAlign w:val="bottom"/>
          </w:tcPr>
          <w:p>
            <w:pPr>
              <w:spacing w:after="0"/>
              <w:rPr>
                <w:sz w:val="21"/>
                <w:szCs w:val="21"/>
                <w:color w:val="auto"/>
              </w:rPr>
            </w:pPr>
          </w:p>
        </w:tc>
      </w:tr>
      <w:tr>
        <w:trPr>
          <w:trHeight w:val="235"/>
        </w:trPr>
        <w:tc>
          <w:tcPr>
            <w:tcW w:w="6040" w:type="dxa"/>
            <w:vAlign w:val="bottom"/>
          </w:tcPr>
          <w:p>
            <w:pPr>
              <w:ind w:left="320"/>
              <w:spacing w:after="0"/>
              <w:rPr>
                <w:sz w:val="20"/>
                <w:szCs w:val="20"/>
                <w:color w:val="auto"/>
              </w:rPr>
            </w:pPr>
            <w:r>
              <w:rPr>
                <w:rFonts w:ascii="Arial" w:cs="Arial" w:eastAsia="Arial" w:hAnsi="Arial"/>
                <w:sz w:val="18"/>
                <w:szCs w:val="18"/>
                <w:color w:val="auto"/>
              </w:rPr>
              <w:t>Investment income</w:t>
            </w:r>
          </w:p>
        </w:tc>
        <w:tc>
          <w:tcPr>
            <w:tcW w:w="280" w:type="dxa"/>
            <w:vAlign w:val="bottom"/>
          </w:tcPr>
          <w:p>
            <w:pPr>
              <w:spacing w:after="0"/>
              <w:rPr>
                <w:sz w:val="20"/>
                <w:szCs w:val="20"/>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592</w:t>
            </w: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1,328</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1,031</w:t>
            </w: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3,078</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64"/>
        </w:trPr>
        <w:tc>
          <w:tcPr>
            <w:tcW w:w="6040" w:type="dxa"/>
            <w:vAlign w:val="bottom"/>
            <w:shd w:val="clear" w:color="auto" w:fill="C0C0C0"/>
          </w:tcPr>
          <w:p>
            <w:pPr>
              <w:ind w:left="320"/>
              <w:spacing w:after="0"/>
              <w:rPr>
                <w:sz w:val="20"/>
                <w:szCs w:val="20"/>
                <w:color w:val="auto"/>
              </w:rPr>
            </w:pPr>
            <w:r>
              <w:rPr>
                <w:rFonts w:ascii="Arial" w:cs="Arial" w:eastAsia="Arial" w:hAnsi="Arial"/>
                <w:sz w:val="18"/>
                <w:szCs w:val="18"/>
                <w:color w:val="auto"/>
              </w:rPr>
              <w:t>Interest expense</w:t>
            </w:r>
          </w:p>
        </w:tc>
        <w:tc>
          <w:tcPr>
            <w:tcW w:w="280" w:type="dxa"/>
            <w:vAlign w:val="bottom"/>
            <w:shd w:val="clear" w:color="auto" w:fill="C0C0C0"/>
          </w:tcPr>
          <w:p>
            <w:pPr>
              <w:spacing w:after="0"/>
              <w:rPr>
                <w:sz w:val="22"/>
                <w:szCs w:val="22"/>
                <w:color w:val="auto"/>
              </w:rPr>
            </w:pPr>
          </w:p>
        </w:tc>
        <w:tc>
          <w:tcPr>
            <w:tcW w:w="88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(2,342)</w:t>
            </w:r>
          </w:p>
        </w:tc>
        <w:tc>
          <w:tcPr>
            <w:tcW w:w="260" w:type="dxa"/>
            <w:vAlign w:val="bottom"/>
            <w:shd w:val="clear" w:color="auto" w:fill="C0C0C0"/>
          </w:tcPr>
          <w:p>
            <w:pPr>
              <w:spacing w:after="0"/>
              <w:rPr>
                <w:sz w:val="22"/>
                <w:szCs w:val="22"/>
                <w:color w:val="auto"/>
              </w:rPr>
            </w:pPr>
          </w:p>
        </w:tc>
        <w:tc>
          <w:tcPr>
            <w:tcW w:w="260" w:type="dxa"/>
            <w:vAlign w:val="bottom"/>
            <w:shd w:val="clear" w:color="auto" w:fill="C0C0C0"/>
          </w:tcPr>
          <w:p>
            <w:pPr>
              <w:spacing w:after="0"/>
              <w:rPr>
                <w:sz w:val="22"/>
                <w:szCs w:val="22"/>
                <w:color w:val="auto"/>
              </w:rPr>
            </w:pPr>
          </w:p>
        </w:tc>
        <w:tc>
          <w:tcPr>
            <w:tcW w:w="800" w:type="dxa"/>
            <w:vAlign w:val="bottom"/>
            <w:shd w:val="clear" w:color="auto" w:fill="C0C0C0"/>
          </w:tcPr>
          <w:p>
            <w:pPr>
              <w:spacing w:after="0"/>
              <w:rPr>
                <w:sz w:val="22"/>
                <w:szCs w:val="22"/>
                <w:color w:val="auto"/>
              </w:rPr>
            </w:pPr>
          </w:p>
        </w:tc>
        <w:tc>
          <w:tcPr>
            <w:tcW w:w="100" w:type="dxa"/>
            <w:vAlign w:val="bottom"/>
            <w:shd w:val="clear" w:color="auto" w:fill="C0C0C0"/>
          </w:tcPr>
          <w:p>
            <w:pPr>
              <w:spacing w:after="0"/>
              <w:rPr>
                <w:sz w:val="22"/>
                <w:szCs w:val="22"/>
                <w:color w:val="auto"/>
              </w:rPr>
            </w:pPr>
          </w:p>
        </w:tc>
        <w:tc>
          <w:tcPr>
            <w:tcW w:w="280" w:type="dxa"/>
            <w:vAlign w:val="bottom"/>
            <w:shd w:val="clear" w:color="auto" w:fill="C0C0C0"/>
          </w:tcPr>
          <w:p>
            <w:pPr>
              <w:spacing w:after="0"/>
              <w:rPr>
                <w:sz w:val="22"/>
                <w:szCs w:val="22"/>
                <w:color w:val="auto"/>
              </w:rPr>
            </w:pPr>
          </w:p>
        </w:tc>
        <w:tc>
          <w:tcPr>
            <w:tcW w:w="240" w:type="dxa"/>
            <w:vAlign w:val="bottom"/>
            <w:shd w:val="clear" w:color="auto" w:fill="C0C0C0"/>
          </w:tcPr>
          <w:p>
            <w:pPr>
              <w:spacing w:after="0"/>
              <w:rPr>
                <w:sz w:val="22"/>
                <w:szCs w:val="22"/>
                <w:color w:val="auto"/>
              </w:rPr>
            </w:pPr>
          </w:p>
        </w:tc>
        <w:tc>
          <w:tcPr>
            <w:tcW w:w="86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(4,426)</w:t>
            </w:r>
          </w:p>
        </w:tc>
        <w:tc>
          <w:tcPr>
            <w:tcW w:w="280" w:type="dxa"/>
            <w:vAlign w:val="bottom"/>
            <w:shd w:val="clear" w:color="auto" w:fill="C0C0C0"/>
          </w:tcPr>
          <w:p>
            <w:pPr>
              <w:spacing w:after="0"/>
              <w:rPr>
                <w:sz w:val="22"/>
                <w:szCs w:val="22"/>
                <w:color w:val="auto"/>
              </w:rPr>
            </w:pPr>
          </w:p>
        </w:tc>
        <w:tc>
          <w:tcPr>
            <w:tcW w:w="280" w:type="dxa"/>
            <w:vAlign w:val="bottom"/>
            <w:shd w:val="clear" w:color="auto" w:fill="C0C0C0"/>
          </w:tcPr>
          <w:p>
            <w:pPr>
              <w:spacing w:after="0"/>
              <w:rPr>
                <w:sz w:val="22"/>
                <w:szCs w:val="22"/>
                <w:color w:val="auto"/>
              </w:rPr>
            </w:pPr>
          </w:p>
        </w:tc>
        <w:tc>
          <w:tcPr>
            <w:tcW w:w="760" w:type="dxa"/>
            <w:vAlign w:val="bottom"/>
            <w:shd w:val="clear" w:color="auto" w:fill="C0C0C0"/>
          </w:tcPr>
          <w:p>
            <w:pPr>
              <w:spacing w:after="0"/>
              <w:rPr>
                <w:sz w:val="22"/>
                <w:szCs w:val="22"/>
                <w:color w:val="auto"/>
              </w:rPr>
            </w:pPr>
          </w:p>
        </w:tc>
        <w:tc>
          <w:tcPr>
            <w:tcW w:w="100" w:type="dxa"/>
            <w:vAlign w:val="bottom"/>
            <w:shd w:val="clear" w:color="auto" w:fill="C0C0C0"/>
          </w:tcPr>
          <w:p>
            <w:pPr>
              <w:spacing w:after="0"/>
              <w:rPr>
                <w:sz w:val="22"/>
                <w:szCs w:val="22"/>
                <w:color w:val="auto"/>
              </w:rPr>
            </w:pPr>
          </w:p>
        </w:tc>
        <w:tc>
          <w:tcPr>
            <w:tcW w:w="20" w:type="dxa"/>
            <w:vAlign w:val="bottom"/>
          </w:tcPr>
          <w:p>
            <w:pPr>
              <w:spacing w:after="0"/>
              <w:rPr>
                <w:sz w:val="22"/>
                <w:szCs w:val="22"/>
                <w:color w:val="auto"/>
              </w:rPr>
            </w:pPr>
          </w:p>
        </w:tc>
      </w:tr>
      <w:tr>
        <w:trPr>
          <w:trHeight w:val="230"/>
        </w:trPr>
        <w:tc>
          <w:tcPr>
            <w:tcW w:w="6040" w:type="dxa"/>
            <w:vAlign w:val="bottom"/>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(1,750</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260" w:type="dxa"/>
            <w:vAlign w:val="bottom"/>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1,328</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ind w:left="320"/>
              <w:spacing w:after="0"/>
              <w:rPr>
                <w:sz w:val="20"/>
                <w:szCs w:val="20"/>
                <w:color w:val="auto"/>
              </w:rPr>
            </w:pPr>
            <w:r>
              <w:rPr>
                <w:rFonts w:ascii="Arial" w:cs="Arial" w:eastAsia="Arial" w:hAnsi="Arial"/>
                <w:sz w:val="18"/>
                <w:szCs w:val="18"/>
                <w:color w:val="auto"/>
                <w:w w:val="82"/>
              </w:rPr>
              <w:t>(3,395</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280" w:type="dxa"/>
            <w:vAlign w:val="bottom"/>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3,078</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30"/>
        </w:trPr>
        <w:tc>
          <w:tcPr>
            <w:tcW w:w="60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64"/>
        </w:trPr>
        <w:tc>
          <w:tcPr>
            <w:tcW w:w="6040" w:type="dxa"/>
            <w:vAlign w:val="bottom"/>
            <w:shd w:val="clear" w:color="auto" w:fill="C0C0C0"/>
          </w:tcPr>
          <w:p>
            <w:pPr>
              <w:spacing w:after="0"/>
              <w:rPr>
                <w:sz w:val="20"/>
                <w:szCs w:val="20"/>
                <w:color w:val="auto"/>
              </w:rPr>
            </w:pPr>
            <w:r>
              <w:rPr>
                <w:rFonts w:ascii="Arial" w:cs="Arial" w:eastAsia="Arial" w:hAnsi="Arial"/>
                <w:sz w:val="18"/>
                <w:szCs w:val="18"/>
                <w:color w:val="auto"/>
              </w:rPr>
              <w:t>Net loss</w:t>
            </w:r>
          </w:p>
        </w:tc>
        <w:tc>
          <w:tcPr>
            <w:tcW w:w="280" w:type="dxa"/>
            <w:vAlign w:val="bottom"/>
            <w:shd w:val="clear" w:color="auto" w:fill="C0C0C0"/>
          </w:tcPr>
          <w:p>
            <w:pPr>
              <w:jc w:val="right"/>
              <w:ind w:right="36"/>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(25,474)</w:t>
            </w:r>
          </w:p>
        </w:tc>
        <w:tc>
          <w:tcPr>
            <w:tcW w:w="260" w:type="dxa"/>
            <w:vAlign w:val="bottom"/>
            <w:shd w:val="clear" w:color="auto" w:fill="C0C0C0"/>
          </w:tcPr>
          <w:p>
            <w:pPr>
              <w:spacing w:after="0"/>
              <w:rPr>
                <w:sz w:val="22"/>
                <w:szCs w:val="22"/>
                <w:color w:val="auto"/>
              </w:rPr>
            </w:pPr>
          </w:p>
        </w:tc>
        <w:tc>
          <w:tcPr>
            <w:tcW w:w="26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0C0C0"/>
          </w:tcPr>
          <w:p>
            <w:pPr>
              <w:jc w:val="right"/>
              <w:ind w:right="40"/>
              <w:spacing w:after="0"/>
              <w:rPr>
                <w:sz w:val="20"/>
                <w:szCs w:val="20"/>
                <w:color w:val="auto"/>
              </w:rPr>
            </w:pPr>
            <w:r>
              <w:rPr>
                <w:rFonts w:ascii="Arial" w:cs="Arial" w:eastAsia="Arial" w:hAnsi="Arial"/>
                <w:sz w:val="18"/>
                <w:szCs w:val="18"/>
                <w:color w:val="auto"/>
              </w:rPr>
              <w:t>(14,938)</w:t>
            </w:r>
          </w:p>
        </w:tc>
        <w:tc>
          <w:tcPr>
            <w:tcW w:w="280" w:type="dxa"/>
            <w:vAlign w:val="bottom"/>
            <w:shd w:val="clear" w:color="auto" w:fill="C0C0C0"/>
          </w:tcPr>
          <w:p>
            <w:pPr>
              <w:spacing w:after="0"/>
              <w:rPr>
                <w:sz w:val="22"/>
                <w:szCs w:val="22"/>
                <w:color w:val="auto"/>
              </w:rPr>
            </w:pPr>
          </w:p>
        </w:tc>
        <w:tc>
          <w:tcPr>
            <w:tcW w:w="240" w:type="dxa"/>
            <w:vAlign w:val="bottom"/>
            <w:shd w:val="clear" w:color="auto" w:fill="C0C0C0"/>
          </w:tcPr>
          <w:p>
            <w:pPr>
              <w:jc w:val="right"/>
              <w:ind w:right="36"/>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(55,996)</w:t>
            </w:r>
          </w:p>
        </w:tc>
        <w:tc>
          <w:tcPr>
            <w:tcW w:w="560" w:type="dxa"/>
            <w:vAlign w:val="bottom"/>
            <w:gridSpan w:val="2"/>
            <w:shd w:val="clear" w:color="auto" w:fill="C0C0C0"/>
          </w:tcPr>
          <w:p>
            <w:pPr>
              <w:jc w:val="right"/>
              <w:ind w:right="1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0C0C0"/>
          </w:tcPr>
          <w:p>
            <w:pPr>
              <w:jc w:val="right"/>
              <w:ind w:right="40"/>
              <w:spacing w:after="0"/>
              <w:rPr>
                <w:sz w:val="20"/>
                <w:szCs w:val="20"/>
                <w:color w:val="auto"/>
              </w:rPr>
            </w:pPr>
            <w:r>
              <w:rPr>
                <w:rFonts w:ascii="Arial" w:cs="Arial" w:eastAsia="Arial" w:hAnsi="Arial"/>
                <w:sz w:val="18"/>
                <w:szCs w:val="18"/>
                <w:color w:val="auto"/>
              </w:rPr>
              <w:t>(30,326)</w:t>
            </w:r>
          </w:p>
        </w:tc>
        <w:tc>
          <w:tcPr>
            <w:tcW w:w="20" w:type="dxa"/>
            <w:vAlign w:val="bottom"/>
          </w:tcPr>
          <w:p>
            <w:pPr>
              <w:spacing w:after="0"/>
              <w:rPr>
                <w:sz w:val="22"/>
                <w:szCs w:val="22"/>
                <w:color w:val="auto"/>
              </w:rPr>
            </w:pPr>
          </w:p>
        </w:tc>
      </w:tr>
      <w:tr>
        <w:trPr>
          <w:trHeight w:val="230"/>
        </w:trPr>
        <w:tc>
          <w:tcPr>
            <w:tcW w:w="6040" w:type="dxa"/>
            <w:vAlign w:val="bottom"/>
            <w:tcBorders>
              <w:top w:val="single" w:sz="8" w:color="C0C0C0"/>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120" w:type="dxa"/>
            <w:vAlign w:val="bottom"/>
            <w:tcBorders>
              <w:top w:val="single" w:sz="8" w:color="C0C0C0"/>
            </w:tcBorders>
          </w:tcPr>
          <w:p>
            <w:pPr>
              <w:spacing w:after="0"/>
              <w:rPr>
                <w:sz w:val="19"/>
                <w:szCs w:val="19"/>
                <w:color w:val="auto"/>
              </w:rPr>
            </w:pPr>
          </w:p>
        </w:tc>
        <w:tc>
          <w:tcPr>
            <w:tcW w:w="260" w:type="dxa"/>
            <w:vAlign w:val="bottom"/>
            <w:tcBorders>
              <w:top w:val="single" w:sz="8" w:color="C0C0C0"/>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00" w:type="dxa"/>
            <w:vAlign w:val="bottom"/>
            <w:tcBorders>
              <w:top w:val="single" w:sz="8" w:color="C0C0C0"/>
            </w:tcBorders>
          </w:tcPr>
          <w:p>
            <w:pPr>
              <w:spacing w:after="0"/>
              <w:rPr>
                <w:sz w:val="19"/>
                <w:szCs w:val="19"/>
                <w:color w:val="auto"/>
              </w:rPr>
            </w:pPr>
          </w:p>
        </w:tc>
        <w:tc>
          <w:tcPr>
            <w:tcW w:w="280" w:type="dxa"/>
            <w:vAlign w:val="bottom"/>
            <w:tcBorders>
              <w:top w:val="single" w:sz="8" w:color="C0C0C0"/>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100" w:type="dxa"/>
            <w:vAlign w:val="bottom"/>
            <w:tcBorders>
              <w:top w:val="single" w:sz="8" w:color="C0C0C0"/>
            </w:tcBorders>
          </w:tcPr>
          <w:p>
            <w:pPr>
              <w:spacing w:after="0"/>
              <w:rPr>
                <w:sz w:val="19"/>
                <w:szCs w:val="19"/>
                <w:color w:val="auto"/>
              </w:rPr>
            </w:pPr>
          </w:p>
        </w:tc>
        <w:tc>
          <w:tcPr>
            <w:tcW w:w="280" w:type="dxa"/>
            <w:vAlign w:val="bottom"/>
            <w:tcBorders>
              <w:top w:val="single" w:sz="8" w:color="C0C0C0"/>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100" w:type="dxa"/>
            <w:vAlign w:val="bottom"/>
            <w:tcBorders>
              <w:top w:val="single" w:sz="8" w:color="C0C0C0"/>
            </w:tcBorders>
          </w:tcPr>
          <w:p>
            <w:pPr>
              <w:spacing w:after="0"/>
              <w:rPr>
                <w:sz w:val="19"/>
                <w:szCs w:val="19"/>
                <w:color w:val="auto"/>
              </w:rPr>
            </w:pPr>
          </w:p>
        </w:tc>
        <w:tc>
          <w:tcPr>
            <w:tcW w:w="20" w:type="dxa"/>
            <w:vAlign w:val="bottom"/>
          </w:tcPr>
          <w:p>
            <w:pPr>
              <w:spacing w:after="0"/>
              <w:rPr>
                <w:sz w:val="19"/>
                <w:szCs w:val="19"/>
                <w:color w:val="auto"/>
              </w:rPr>
            </w:pPr>
          </w:p>
        </w:tc>
      </w:tr>
      <w:tr>
        <w:trPr>
          <w:trHeight w:val="243"/>
        </w:trPr>
        <w:tc>
          <w:tcPr>
            <w:tcW w:w="6040" w:type="dxa"/>
            <w:vAlign w:val="bottom"/>
            <w:shd w:val="clear" w:color="auto" w:fill="C0C0C0"/>
          </w:tcPr>
          <w:p>
            <w:pPr>
              <w:spacing w:after="0"/>
              <w:rPr>
                <w:sz w:val="20"/>
                <w:szCs w:val="20"/>
                <w:color w:val="auto"/>
              </w:rPr>
            </w:pPr>
            <w:r>
              <w:rPr>
                <w:rFonts w:ascii="Arial" w:cs="Arial" w:eastAsia="Arial" w:hAnsi="Arial"/>
                <w:sz w:val="18"/>
                <w:szCs w:val="18"/>
                <w:color w:val="auto"/>
              </w:rPr>
              <w:t>Net loss per share amounts, basic and diluted</w:t>
            </w:r>
          </w:p>
        </w:tc>
        <w:tc>
          <w:tcPr>
            <w:tcW w:w="280" w:type="dxa"/>
            <w:vAlign w:val="bottom"/>
            <w:shd w:val="clear" w:color="auto" w:fill="C0C0C0"/>
          </w:tcPr>
          <w:p>
            <w:pPr>
              <w:jc w:val="right"/>
              <w:ind w:right="36"/>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(0.31)</w:t>
            </w:r>
          </w:p>
        </w:tc>
        <w:tc>
          <w:tcPr>
            <w:tcW w:w="26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900" w:type="dxa"/>
            <w:vAlign w:val="bottom"/>
            <w:gridSpan w:val="2"/>
            <w:shd w:val="clear" w:color="auto" w:fill="C0C0C0"/>
          </w:tcPr>
          <w:p>
            <w:pPr>
              <w:jc w:val="right"/>
              <w:ind w:right="40"/>
              <w:spacing w:after="0"/>
              <w:rPr>
                <w:sz w:val="20"/>
                <w:szCs w:val="20"/>
                <w:color w:val="auto"/>
              </w:rPr>
            </w:pPr>
            <w:r>
              <w:rPr>
                <w:rFonts w:ascii="Arial" w:cs="Arial" w:eastAsia="Arial" w:hAnsi="Arial"/>
                <w:sz w:val="18"/>
                <w:szCs w:val="18"/>
                <w:color w:val="auto"/>
              </w:rPr>
              <w:t>$ (0.19)</w:t>
            </w:r>
          </w:p>
        </w:tc>
        <w:tc>
          <w:tcPr>
            <w:tcW w:w="280" w:type="dxa"/>
            <w:vAlign w:val="bottom"/>
            <w:shd w:val="clear" w:color="auto" w:fill="C0C0C0"/>
          </w:tcPr>
          <w:p>
            <w:pPr>
              <w:spacing w:after="0"/>
              <w:rPr>
                <w:sz w:val="21"/>
                <w:szCs w:val="21"/>
                <w:color w:val="auto"/>
              </w:rPr>
            </w:pPr>
          </w:p>
        </w:tc>
        <w:tc>
          <w:tcPr>
            <w:tcW w:w="240" w:type="dxa"/>
            <w:vAlign w:val="bottom"/>
            <w:shd w:val="clear" w:color="auto" w:fill="C0C0C0"/>
          </w:tcPr>
          <w:p>
            <w:pPr>
              <w:jc w:val="right"/>
              <w:ind w:right="36"/>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(0.69)</w:t>
            </w:r>
          </w:p>
        </w:tc>
        <w:tc>
          <w:tcPr>
            <w:tcW w:w="560" w:type="dxa"/>
            <w:vAlign w:val="bottom"/>
            <w:gridSpan w:val="2"/>
            <w:shd w:val="clear" w:color="auto" w:fill="C0C0C0"/>
          </w:tcPr>
          <w:p>
            <w:pPr>
              <w:jc w:val="right"/>
              <w:ind w:right="180"/>
              <w:spacing w:after="0"/>
              <w:rPr>
                <w:sz w:val="20"/>
                <w:szCs w:val="20"/>
                <w:color w:val="auto"/>
              </w:rPr>
            </w:pPr>
            <w:r>
              <w:rPr>
                <w:rFonts w:ascii="Arial" w:cs="Arial" w:eastAsia="Arial" w:hAnsi="Arial"/>
                <w:sz w:val="18"/>
                <w:szCs w:val="18"/>
                <w:color w:val="auto"/>
              </w:rPr>
              <w:t>$</w:t>
            </w:r>
          </w:p>
        </w:tc>
        <w:tc>
          <w:tcPr>
            <w:tcW w:w="7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(0.38)</w:t>
            </w:r>
          </w:p>
        </w:tc>
        <w:tc>
          <w:tcPr>
            <w:tcW w:w="100" w:type="dxa"/>
            <w:vAlign w:val="bottom"/>
            <w:shd w:val="clear" w:color="auto" w:fill="C0C0C0"/>
          </w:tcPr>
          <w:p>
            <w:pPr>
              <w:spacing w:after="0"/>
              <w:rPr>
                <w:sz w:val="21"/>
                <w:szCs w:val="21"/>
                <w:color w:val="auto"/>
              </w:rPr>
            </w:pPr>
          </w:p>
        </w:tc>
        <w:tc>
          <w:tcPr>
            <w:tcW w:w="20" w:type="dxa"/>
            <w:vAlign w:val="bottom"/>
          </w:tcPr>
          <w:p>
            <w:pPr>
              <w:spacing w:after="0"/>
              <w:rPr>
                <w:sz w:val="21"/>
                <w:szCs w:val="21"/>
                <w:color w:val="auto"/>
              </w:rPr>
            </w:pPr>
          </w:p>
        </w:tc>
      </w:tr>
      <w:tr>
        <w:trPr>
          <w:trHeight w:val="243"/>
        </w:trPr>
        <w:tc>
          <w:tcPr>
            <w:tcW w:w="60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43"/>
        </w:trPr>
        <w:tc>
          <w:tcPr>
            <w:tcW w:w="6040" w:type="dxa"/>
            <w:vAlign w:val="bottom"/>
            <w:shd w:val="clear" w:color="auto" w:fill="C0C0C0"/>
          </w:tcPr>
          <w:p>
            <w:pPr>
              <w:spacing w:after="0"/>
              <w:rPr>
                <w:sz w:val="20"/>
                <w:szCs w:val="20"/>
                <w:color w:val="auto"/>
              </w:rPr>
            </w:pPr>
            <w:r>
              <w:rPr>
                <w:rFonts w:ascii="Arial" w:cs="Arial" w:eastAsia="Arial" w:hAnsi="Arial"/>
                <w:sz w:val="18"/>
                <w:szCs w:val="18"/>
                <w:color w:val="auto"/>
              </w:rPr>
              <w:t>Weighted average shares outstanding, basic and diluted</w:t>
            </w:r>
          </w:p>
        </w:tc>
        <w:tc>
          <w:tcPr>
            <w:tcW w:w="280" w:type="dxa"/>
            <w:vAlign w:val="bottom"/>
            <w:shd w:val="clear" w:color="auto" w:fill="C0C0C0"/>
          </w:tcPr>
          <w:p>
            <w:pPr>
              <w:spacing w:after="0"/>
              <w:rPr>
                <w:sz w:val="21"/>
                <w:szCs w:val="21"/>
                <w:color w:val="auto"/>
              </w:rPr>
            </w:pPr>
          </w:p>
        </w:tc>
        <w:tc>
          <w:tcPr>
            <w:tcW w:w="880" w:type="dxa"/>
            <w:vAlign w:val="bottom"/>
            <w:gridSpan w:val="2"/>
            <w:shd w:val="clear" w:color="auto" w:fill="C0C0C0"/>
          </w:tcPr>
          <w:p>
            <w:pPr>
              <w:jc w:val="right"/>
              <w:ind w:right="40"/>
              <w:spacing w:after="0"/>
              <w:rPr>
                <w:sz w:val="20"/>
                <w:szCs w:val="20"/>
                <w:color w:val="auto"/>
              </w:rPr>
            </w:pPr>
            <w:r>
              <w:rPr>
                <w:rFonts w:ascii="Arial" w:cs="Arial" w:eastAsia="Arial" w:hAnsi="Arial"/>
                <w:sz w:val="18"/>
                <w:szCs w:val="18"/>
                <w:color w:val="auto"/>
              </w:rPr>
              <w:t>81,492</w:t>
            </w:r>
          </w:p>
        </w:tc>
        <w:tc>
          <w:tcPr>
            <w:tcW w:w="26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900" w:type="dxa"/>
            <w:vAlign w:val="bottom"/>
            <w:gridSpan w:val="2"/>
            <w:shd w:val="clear" w:color="auto" w:fill="C0C0C0"/>
          </w:tcPr>
          <w:p>
            <w:pPr>
              <w:jc w:val="right"/>
              <w:ind w:right="100"/>
              <w:spacing w:after="0"/>
              <w:rPr>
                <w:sz w:val="20"/>
                <w:szCs w:val="20"/>
                <w:color w:val="auto"/>
              </w:rPr>
            </w:pPr>
            <w:r>
              <w:rPr>
                <w:rFonts w:ascii="Arial" w:cs="Arial" w:eastAsia="Arial" w:hAnsi="Arial"/>
                <w:sz w:val="18"/>
                <w:szCs w:val="18"/>
                <w:color w:val="auto"/>
              </w:rPr>
              <w:t>79,626</w:t>
            </w:r>
          </w:p>
        </w:tc>
        <w:tc>
          <w:tcPr>
            <w:tcW w:w="280" w:type="dxa"/>
            <w:vAlign w:val="bottom"/>
            <w:shd w:val="clear" w:color="auto" w:fill="C0C0C0"/>
          </w:tcPr>
          <w:p>
            <w:pPr>
              <w:spacing w:after="0"/>
              <w:rPr>
                <w:sz w:val="21"/>
                <w:szCs w:val="21"/>
                <w:color w:val="auto"/>
              </w:rPr>
            </w:pPr>
          </w:p>
        </w:tc>
        <w:tc>
          <w:tcPr>
            <w:tcW w:w="240" w:type="dxa"/>
            <w:vAlign w:val="bottom"/>
            <w:shd w:val="clear" w:color="auto" w:fill="C0C0C0"/>
          </w:tcPr>
          <w:p>
            <w:pPr>
              <w:spacing w:after="0"/>
              <w:rPr>
                <w:sz w:val="21"/>
                <w:szCs w:val="21"/>
                <w:color w:val="auto"/>
              </w:rPr>
            </w:pPr>
          </w:p>
        </w:tc>
        <w:tc>
          <w:tcPr>
            <w:tcW w:w="860" w:type="dxa"/>
            <w:vAlign w:val="bottom"/>
            <w:gridSpan w:val="2"/>
            <w:shd w:val="clear" w:color="auto" w:fill="C0C0C0"/>
          </w:tcPr>
          <w:p>
            <w:pPr>
              <w:jc w:val="right"/>
              <w:ind w:right="20"/>
              <w:spacing w:after="0"/>
              <w:rPr>
                <w:sz w:val="20"/>
                <w:szCs w:val="20"/>
                <w:color w:val="auto"/>
              </w:rPr>
            </w:pPr>
            <w:r>
              <w:rPr>
                <w:rFonts w:ascii="Arial" w:cs="Arial" w:eastAsia="Arial" w:hAnsi="Arial"/>
                <w:sz w:val="18"/>
                <w:szCs w:val="18"/>
                <w:color w:val="auto"/>
              </w:rPr>
              <w:t>81,330</w:t>
            </w:r>
          </w:p>
        </w:tc>
        <w:tc>
          <w:tcPr>
            <w:tcW w:w="280" w:type="dxa"/>
            <w:vAlign w:val="bottom"/>
            <w:shd w:val="clear" w:color="auto" w:fill="C0C0C0"/>
          </w:tcPr>
          <w:p>
            <w:pPr>
              <w:spacing w:after="0"/>
              <w:rPr>
                <w:sz w:val="21"/>
                <w:szCs w:val="21"/>
                <w:color w:val="auto"/>
              </w:rPr>
            </w:pPr>
          </w:p>
        </w:tc>
        <w:tc>
          <w:tcPr>
            <w:tcW w:w="280" w:type="dxa"/>
            <w:vAlign w:val="bottom"/>
            <w:shd w:val="clear" w:color="auto" w:fill="C0C0C0"/>
          </w:tcPr>
          <w:p>
            <w:pPr>
              <w:spacing w:after="0"/>
              <w:rPr>
                <w:sz w:val="21"/>
                <w:szCs w:val="21"/>
                <w:color w:val="auto"/>
              </w:rPr>
            </w:pPr>
          </w:p>
        </w:tc>
        <w:tc>
          <w:tcPr>
            <w:tcW w:w="7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79,562</w:t>
            </w:r>
          </w:p>
        </w:tc>
        <w:tc>
          <w:tcPr>
            <w:tcW w:w="100" w:type="dxa"/>
            <w:vAlign w:val="bottom"/>
            <w:shd w:val="clear" w:color="auto" w:fill="C0C0C0"/>
          </w:tcPr>
          <w:p>
            <w:pPr>
              <w:spacing w:after="0"/>
              <w:rPr>
                <w:sz w:val="21"/>
                <w:szCs w:val="21"/>
                <w:color w:val="auto"/>
              </w:rPr>
            </w:pPr>
          </w:p>
        </w:tc>
        <w:tc>
          <w:tcPr>
            <w:tcW w:w="20" w:type="dxa"/>
            <w:vAlign w:val="bottom"/>
          </w:tcPr>
          <w:p>
            <w:pPr>
              <w:spacing w:after="0"/>
              <w:rPr>
                <w:sz w:val="21"/>
                <w:szCs w:val="21"/>
                <w:color w:val="auto"/>
              </w:rPr>
            </w:pPr>
          </w:p>
        </w:tc>
      </w:tr>
      <w:tr>
        <w:trPr>
          <w:trHeight w:val="361"/>
        </w:trPr>
        <w:tc>
          <w:tcPr>
            <w:tcW w:w="604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76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76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76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sectPr>
      <w:pgSz w:w="11900" w:h="16838" w:orient="portrait"/>
      <w:cols w:equalWidth="0" w:num="1">
        <w:col w:w="11440"/>
      </w:cols>
      <w:pgMar w:left="240" w:top="368" w:right="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c"/>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2019-12-10T09:41:42Z</dcterms:created>
  <dcterms:modified xsi:type="dcterms:W3CDTF">2019-12-10T09:41:42Z</dcterms:modified>
</cp:coreProperties>
</file>