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60"/>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(Amendment No. 1)*</w:t>
      </w:r>
    </w:p>
    <w:p>
      <w:pPr>
        <w:spacing w:after="0" w:line="216" w:lineRule="exact"/>
        <w:rPr>
          <w:sz w:val="24"/>
          <w:szCs w:val="24"/>
          <w:color w:val="auto"/>
        </w:rPr>
      </w:pPr>
    </w:p>
    <w:p>
      <w:pPr>
        <w:jc w:val="center"/>
        <w:ind w:right="160"/>
        <w:spacing w:after="0"/>
        <w:rPr>
          <w:sz w:val="20"/>
          <w:szCs w:val="20"/>
          <w:color w:val="auto"/>
        </w:rPr>
      </w:pPr>
      <w:r>
        <w:rPr>
          <w:rFonts w:ascii="Arial" w:cs="Arial" w:eastAsia="Arial" w:hAnsi="Arial"/>
          <w:sz w:val="25"/>
          <w:szCs w:val="25"/>
          <w:b w:val="1"/>
          <w:bCs w:val="1"/>
          <w:color w:val="auto"/>
        </w:rPr>
        <w:t>Adverum Biotechnologies,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00773U108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134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580" w:hanging="559"/>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60" w:lineRule="exact"/>
        <w:rPr>
          <w:rFonts w:ascii="MS PGothic" w:cs="MS PGothic" w:eastAsia="MS PGothic" w:hAnsi="MS PGothic"/>
          <w:sz w:val="18"/>
          <w:szCs w:val="18"/>
          <w:color w:val="auto"/>
        </w:rPr>
      </w:pPr>
    </w:p>
    <w:p>
      <w:pPr>
        <w:ind w:right="420" w:firstLine="648"/>
        <w:spacing w:after="0" w:line="342" w:lineRule="auto"/>
        <w:rPr>
          <w:rFonts w:ascii="MS PGothic" w:cs="MS PGothic" w:eastAsia="MS PGothic" w:hAnsi="MS PGothic"/>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4" w:lineRule="exact"/>
        <w:rPr>
          <w:sz w:val="24"/>
          <w:szCs w:val="24"/>
          <w:color w:val="auto"/>
        </w:rPr>
      </w:pPr>
    </w:p>
    <w:p>
      <w:pPr>
        <w:ind w:firstLine="81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891" w:right="619" w:bottom="1440" w:gutter="0" w:footer="0" w:header="0"/>
        </w:sectPr>
      </w:pPr>
    </w:p>
    <w:bookmarkStart w:id="1" w:name="page2"/>
    <w:bookmarkEnd w:id="1"/>
    <w:p>
      <w:pPr>
        <w:ind w:left="780" w:hanging="479"/>
        <w:spacing w:after="0"/>
        <w:tabs>
          <w:tab w:leader="none" w:pos="78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Names of Reporting Persons.</w:t>
      </w:r>
    </w:p>
    <w:p>
      <w:pPr>
        <w:spacing w:after="0" w:line="1" w:lineRule="exact"/>
        <w:rPr>
          <w:rFonts w:ascii="Arial" w:cs="Arial" w:eastAsia="Arial" w:hAnsi="Arial"/>
          <w:sz w:val="36"/>
          <w:szCs w:val="36"/>
          <w:color w:val="auto"/>
          <w:vertAlign w:val="subscript"/>
        </w:rPr>
      </w:pPr>
    </w:p>
    <w:p>
      <w:pPr>
        <w:ind w:left="780"/>
        <w:spacing w:after="0"/>
        <w:rPr>
          <w:rFonts w:ascii="Arial" w:cs="Arial" w:eastAsia="Arial" w:hAnsi="Arial"/>
          <w:sz w:val="36"/>
          <w:szCs w:val="36"/>
          <w:color w:val="auto"/>
          <w:vertAlign w:val="subscript"/>
        </w:rPr>
      </w:pPr>
      <w:r>
        <w:rPr>
          <w:rFonts w:ascii="Arial" w:cs="Arial" w:eastAsia="Arial" w:hAnsi="Arial"/>
          <w:sz w:val="18"/>
          <w:szCs w:val="18"/>
          <w:color w:val="auto"/>
        </w:rPr>
        <w:t>I.R.S. Identification Nos. of above persons (entities only)</w:t>
      </w:r>
    </w:p>
    <w:p>
      <w:pPr>
        <w:spacing w:after="0" w:line="276" w:lineRule="exact"/>
        <w:rPr>
          <w:rFonts w:ascii="Arial" w:cs="Arial" w:eastAsia="Arial" w:hAnsi="Arial"/>
          <w:sz w:val="36"/>
          <w:szCs w:val="36"/>
          <w:color w:val="auto"/>
          <w:vertAlign w:val="subscript"/>
        </w:rPr>
      </w:pPr>
    </w:p>
    <w:p>
      <w:pPr>
        <w:ind w:left="780"/>
        <w:spacing w:after="0"/>
        <w:rPr>
          <w:rFonts w:ascii="Arial" w:cs="Arial" w:eastAsia="Arial" w:hAnsi="Arial"/>
          <w:sz w:val="36"/>
          <w:szCs w:val="36"/>
          <w:color w:val="auto"/>
          <w:vertAlign w:val="subscript"/>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13-3444607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780" w:hanging="47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340" w:hanging="560"/>
        <w:spacing w:after="0" w:line="207" w:lineRule="exact"/>
        <w:tabs>
          <w:tab w:leader="none" w:pos="134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340" w:hanging="560"/>
        <w:spacing w:after="0" w:line="207" w:lineRule="exact"/>
        <w:tabs>
          <w:tab w:leader="none" w:pos="134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ind w:left="780" w:hanging="47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7" w:lineRule="exact"/>
        <w:rPr>
          <w:sz w:val="20"/>
          <w:szCs w:val="20"/>
          <w:color w:val="auto"/>
        </w:rPr>
      </w:pPr>
    </w:p>
    <w:p>
      <w:pPr>
        <w:ind w:left="780" w:right="7780" w:hanging="479"/>
        <w:spacing w:after="0" w:line="288" w:lineRule="auto"/>
        <w:tabs>
          <w:tab w:leader="none" w:pos="78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 New York</w:t>
      </w:r>
    </w:p>
    <w:p>
      <w:pPr>
        <w:spacing w:after="0" w:line="132" w:lineRule="exact"/>
        <w:rPr>
          <w:rFonts w:ascii="Arial" w:cs="Arial" w:eastAsia="Arial" w:hAnsi="Arial"/>
          <w:sz w:val="36"/>
          <w:szCs w:val="36"/>
          <w:color w:val="auto"/>
          <w:vertAlign w:val="subscript"/>
        </w:rPr>
      </w:pPr>
    </w:p>
    <w:p>
      <w:pPr>
        <w:ind w:left="1920"/>
        <w:spacing w:after="0"/>
        <w:rPr>
          <w:rFonts w:ascii="Arial" w:cs="Arial" w:eastAsia="Arial" w:hAnsi="Arial"/>
          <w:sz w:val="36"/>
          <w:szCs w:val="36"/>
          <w:color w:val="auto"/>
          <w:vertAlign w:val="subscript"/>
        </w:rPr>
      </w:pPr>
      <w:r>
        <w:rPr>
          <w:rFonts w:ascii="Arial" w:cs="Arial" w:eastAsia="Arial" w:hAnsi="Arial"/>
          <w:sz w:val="18"/>
          <w:szCs w:val="18"/>
          <w:color w:val="auto"/>
        </w:rPr>
        <w:t>5   Sole Voting Power</w:t>
      </w:r>
    </w:p>
    <w:p>
      <w:pPr>
        <w:spacing w:after="0" w:line="225" w:lineRule="exact"/>
        <w:rPr>
          <w:rFonts w:ascii="Arial" w:cs="Arial" w:eastAsia="Arial" w:hAnsi="Arial"/>
          <w:sz w:val="36"/>
          <w:szCs w:val="36"/>
          <w:color w:val="auto"/>
          <w:vertAlign w:val="subscript"/>
        </w:rPr>
      </w:pPr>
    </w:p>
    <w:p>
      <w:pPr>
        <w:ind w:left="1920"/>
        <w:spacing w:after="0"/>
        <w:rPr>
          <w:rFonts w:ascii="Arial" w:cs="Arial" w:eastAsia="Arial" w:hAnsi="Arial"/>
          <w:sz w:val="36"/>
          <w:szCs w:val="36"/>
          <w:color w:val="auto"/>
          <w:vertAlign w:val="subscript"/>
        </w:rPr>
      </w:pPr>
      <w:r>
        <w:rPr>
          <w:rFonts w:ascii="Arial" w:cs="Arial" w:eastAsia="Arial" w:hAnsi="Arial"/>
          <w:sz w:val="18"/>
          <w:szCs w:val="18"/>
          <w:color w:val="auto"/>
        </w:rPr>
        <w:t>1,809,098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360" w:type="dxa"/>
            <w:vAlign w:val="bottom"/>
          </w:tcPr>
          <w:p>
            <w:pPr>
              <w:jc w:val="center"/>
              <w:ind w:right="370"/>
              <w:spacing w:after="0"/>
              <w:rPr>
                <w:sz w:val="20"/>
                <w:szCs w:val="20"/>
                <w:color w:val="auto"/>
              </w:rPr>
            </w:pPr>
            <w:r>
              <w:rPr>
                <w:rFonts w:ascii="Arial" w:cs="Arial" w:eastAsia="Arial" w:hAnsi="Arial"/>
                <w:sz w:val="18"/>
                <w:szCs w:val="18"/>
                <w:color w:val="auto"/>
                <w:w w:val="90"/>
              </w:rPr>
              <w:t>Number</w:t>
            </w:r>
          </w:p>
        </w:tc>
        <w:tc>
          <w:tcPr>
            <w:tcW w:w="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9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r>
      <w:tr>
        <w:trPr>
          <w:trHeight w:val="216"/>
        </w:trPr>
        <w:tc>
          <w:tcPr>
            <w:tcW w:w="1360" w:type="dxa"/>
            <w:vAlign w:val="bottom"/>
          </w:tcPr>
          <w:p>
            <w:pPr>
              <w:jc w:val="center"/>
              <w:ind w:right="370"/>
              <w:spacing w:after="0"/>
              <w:rPr>
                <w:sz w:val="20"/>
                <w:szCs w:val="20"/>
                <w:color w:val="auto"/>
              </w:rPr>
            </w:pPr>
            <w:r>
              <w:rPr>
                <w:rFonts w:ascii="Arial" w:cs="Arial" w:eastAsia="Arial" w:hAnsi="Arial"/>
                <w:sz w:val="18"/>
                <w:szCs w:val="18"/>
                <w:color w:val="auto"/>
                <w:w w:val="85"/>
              </w:rPr>
              <w:t>of Shares</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16"/>
        </w:trPr>
        <w:tc>
          <w:tcPr>
            <w:tcW w:w="1360" w:type="dxa"/>
            <w:vAlign w:val="bottom"/>
          </w:tcPr>
          <w:p>
            <w:pPr>
              <w:jc w:val="center"/>
              <w:ind w:right="350"/>
              <w:spacing w:after="0"/>
              <w:rPr>
                <w:sz w:val="20"/>
                <w:szCs w:val="20"/>
                <w:color w:val="auto"/>
              </w:rPr>
            </w:pPr>
            <w:r>
              <w:rPr>
                <w:rFonts w:ascii="Arial" w:cs="Arial" w:eastAsia="Arial" w:hAnsi="Arial"/>
                <w:sz w:val="18"/>
                <w:szCs w:val="18"/>
                <w:color w:val="auto"/>
                <w:w w:val="96"/>
              </w:rPr>
              <w:t>Beneficially</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0 shares</w:t>
            </w:r>
          </w:p>
        </w:tc>
      </w:tr>
      <w:tr>
        <w:trPr>
          <w:trHeight w:val="230"/>
        </w:trPr>
        <w:tc>
          <w:tcPr>
            <w:tcW w:w="1360" w:type="dxa"/>
            <w:vAlign w:val="bottom"/>
          </w:tcPr>
          <w:p>
            <w:pPr>
              <w:jc w:val="center"/>
              <w:ind w:right="37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r>
      <w:tr>
        <w:trPr>
          <w:trHeight w:val="182"/>
        </w:trPr>
        <w:tc>
          <w:tcPr>
            <w:tcW w:w="1360" w:type="dxa"/>
            <w:vAlign w:val="bottom"/>
          </w:tcPr>
          <w:p>
            <w:pPr>
              <w:jc w:val="center"/>
              <w:ind w:right="350"/>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Pr>
          <w:p>
            <w:pPr>
              <w:ind w:left="10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r>
      <w:tr>
        <w:trPr>
          <w:trHeight w:val="216"/>
        </w:trPr>
        <w:tc>
          <w:tcPr>
            <w:tcW w:w="1360" w:type="dxa"/>
            <w:vAlign w:val="bottom"/>
          </w:tcPr>
          <w:p>
            <w:pPr>
              <w:jc w:val="center"/>
              <w:ind w:right="350"/>
              <w:spacing w:after="0"/>
              <w:rPr>
                <w:sz w:val="20"/>
                <w:szCs w:val="20"/>
                <w:color w:val="auto"/>
              </w:rPr>
            </w:pPr>
            <w:r>
              <w:rPr>
                <w:rFonts w:ascii="Arial" w:cs="Arial" w:eastAsia="Arial" w:hAnsi="Arial"/>
                <w:sz w:val="18"/>
                <w:szCs w:val="18"/>
                <w:color w:val="auto"/>
                <w:w w:val="92"/>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44"/>
        </w:trPr>
        <w:tc>
          <w:tcPr>
            <w:tcW w:w="1360" w:type="dxa"/>
            <w:vAlign w:val="bottom"/>
          </w:tcPr>
          <w:p>
            <w:pPr>
              <w:jc w:val="center"/>
              <w:ind w:right="370"/>
              <w:spacing w:after="0"/>
              <w:rPr>
                <w:sz w:val="20"/>
                <w:szCs w:val="20"/>
                <w:color w:val="auto"/>
              </w:rPr>
            </w:pPr>
            <w:r>
              <w:rPr>
                <w:rFonts w:ascii="Arial" w:cs="Arial" w:eastAsia="Arial" w:hAnsi="Arial"/>
                <w:sz w:val="18"/>
                <w:szCs w:val="18"/>
                <w:color w:val="auto"/>
                <w:w w:val="91"/>
              </w:rPr>
              <w:t>Person With</w:t>
            </w:r>
          </w:p>
        </w:tc>
        <w:tc>
          <w:tcPr>
            <w:tcW w:w="9420" w:type="dxa"/>
            <w:vAlign w:val="bottom"/>
            <w:gridSpan w:val="2"/>
          </w:tcPr>
          <w:p>
            <w:pPr>
              <w:ind w:left="100"/>
              <w:spacing w:after="0"/>
              <w:rPr>
                <w:sz w:val="20"/>
                <w:szCs w:val="20"/>
                <w:color w:val="auto"/>
              </w:rPr>
            </w:pPr>
            <w:r>
              <w:rPr>
                <w:rFonts w:ascii="Arial" w:cs="Arial" w:eastAsia="Arial" w:hAnsi="Arial"/>
                <w:sz w:val="18"/>
                <w:szCs w:val="18"/>
                <w:color w:val="auto"/>
              </w:rPr>
              <w:t>1,809,098 shares</w:t>
            </w:r>
          </w:p>
        </w:tc>
      </w:tr>
      <w:tr>
        <w:trPr>
          <w:trHeight w:val="216"/>
        </w:trPr>
        <w:tc>
          <w:tcPr>
            <w:tcW w:w="1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120" w:type="dxa"/>
            <w:vAlign w:val="bottom"/>
            <w:tcBorders>
              <w:bottom w:val="single" w:sz="8" w:color="auto"/>
            </w:tcBorders>
          </w:tcPr>
          <w:p>
            <w:pPr>
              <w:spacing w:after="0"/>
              <w:rPr>
                <w:sz w:val="18"/>
                <w:szCs w:val="18"/>
                <w:color w:val="auto"/>
              </w:rPr>
            </w:pPr>
          </w:p>
        </w:tc>
      </w:tr>
      <w:tr>
        <w:trPr>
          <w:trHeight w:val="224"/>
        </w:trPr>
        <w:tc>
          <w:tcPr>
            <w:tcW w:w="136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8</w:t>
            </w:r>
          </w:p>
        </w:tc>
        <w:tc>
          <w:tcPr>
            <w:tcW w:w="91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r>
    </w:tbl>
    <w:p>
      <w:pPr>
        <w:spacing w:after="0" w:line="18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780" w:hanging="47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1,809,098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780" w:hanging="525"/>
        <w:spacing w:after="0"/>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8"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4" w:lineRule="exact"/>
        <w:rPr>
          <w:rFonts w:ascii="Arial" w:cs="Arial" w:eastAsia="Arial" w:hAnsi="Arial"/>
          <w:sz w:val="18"/>
          <w:szCs w:val="18"/>
          <w:color w:val="auto"/>
        </w:rPr>
      </w:pPr>
    </w:p>
    <w:p>
      <w:pPr>
        <w:ind w:left="780" w:hanging="521"/>
        <w:spacing w:after="0"/>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1.84% *</w:t>
      </w:r>
    </w:p>
    <w:p>
      <w:pPr>
        <w:spacing w:after="0" w:line="292" w:lineRule="exact"/>
        <w:rPr>
          <w:rFonts w:ascii="Arial" w:cs="Arial" w:eastAsia="Arial" w:hAnsi="Arial"/>
          <w:sz w:val="18"/>
          <w:szCs w:val="18"/>
          <w:color w:val="auto"/>
        </w:rPr>
      </w:pPr>
    </w:p>
    <w:p>
      <w:pPr>
        <w:ind w:left="780" w:right="7280" w:hanging="525"/>
        <w:spacing w:after="0" w:line="508" w:lineRule="auto"/>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 (Corporation)</w:t>
      </w:r>
    </w:p>
    <w:p>
      <w:pPr>
        <w:spacing w:after="0" w:line="1" w:lineRule="exact"/>
        <w:rPr>
          <w:rFonts w:ascii="Arial" w:cs="Arial" w:eastAsia="Arial" w:hAnsi="Arial"/>
          <w:sz w:val="18"/>
          <w:szCs w:val="18"/>
          <w:color w:val="auto"/>
        </w:rPr>
      </w:pPr>
    </w:p>
    <w:p>
      <w:pPr>
        <w:ind w:right="20"/>
        <w:spacing w:after="0" w:line="263" w:lineRule="auto"/>
        <w:rPr>
          <w:rFonts w:ascii="Arial" w:cs="Arial" w:eastAsia="Arial" w:hAnsi="Arial"/>
          <w:sz w:val="18"/>
          <w:szCs w:val="18"/>
          <w:color w:val="auto"/>
        </w:rPr>
      </w:pPr>
      <w:r>
        <w:rPr>
          <w:rFonts w:ascii="Arial" w:cs="Arial" w:eastAsia="Arial" w:hAnsi="Arial"/>
          <w:sz w:val="18"/>
          <w:szCs w:val="18"/>
          <w:color w:val="auto"/>
        </w:rPr>
        <w:t>* The percentages reported herein with respect to the Reporting Person’s holdings are calculated based upon a statement in the Issuer’s Quarterly Report on Form 10-Q, as filed with the Securities and Exchange Commission on November 4, 2021, that as of October 29, 2021, the Issuer had 98,152,090 shares of its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420" w:hanging="748"/>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Adverum Biotechnologies, Inc.</w:t>
      </w:r>
    </w:p>
    <w:p>
      <w:pPr>
        <w:spacing w:after="0" w:line="210" w:lineRule="exact"/>
        <w:rPr>
          <w:rFonts w:ascii="Arial" w:cs="Arial" w:eastAsia="Arial" w:hAnsi="Arial"/>
          <w:sz w:val="18"/>
          <w:szCs w:val="18"/>
          <w:color w:val="auto"/>
        </w:rPr>
      </w:pPr>
    </w:p>
    <w:p>
      <w:pPr>
        <w:ind w:left="1420" w:right="5299" w:hanging="748"/>
        <w:spacing w:after="0" w:line="258"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800 Saginaw Drive,</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Redwood City, CA 94063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420" w:right="6339" w:hanging="748"/>
        <w:spacing w:after="0" w:line="342"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Person Filing Regeneron Pharmaceuticals, Inc.</w:t>
      </w:r>
    </w:p>
    <w:p>
      <w:pPr>
        <w:spacing w:after="0" w:line="123" w:lineRule="exact"/>
        <w:rPr>
          <w:rFonts w:ascii="Arial" w:cs="Arial" w:eastAsia="Arial" w:hAnsi="Arial"/>
          <w:sz w:val="16"/>
          <w:szCs w:val="16"/>
          <w:color w:val="auto"/>
        </w:rPr>
      </w:pPr>
    </w:p>
    <w:p>
      <w:pPr>
        <w:ind w:left="1420" w:right="4439" w:hanging="748"/>
        <w:spacing w:after="0" w:line="258"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777 Old Saw Mill River Road,</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Tarrytown, NY 10591</w:t>
      </w:r>
    </w:p>
    <w:p>
      <w:pPr>
        <w:spacing w:after="0" w:line="210" w:lineRule="exact"/>
        <w:rPr>
          <w:rFonts w:ascii="Arial" w:cs="Arial" w:eastAsia="Arial" w:hAnsi="Arial"/>
          <w:sz w:val="18"/>
          <w:szCs w:val="18"/>
          <w:color w:val="auto"/>
        </w:rPr>
      </w:pPr>
    </w:p>
    <w:p>
      <w:pPr>
        <w:ind w:left="1420" w:right="7899" w:hanging="748"/>
        <w:spacing w:after="0" w:line="563"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New York</w:t>
      </w:r>
    </w:p>
    <w:p>
      <w:pPr>
        <w:ind w:left="1420" w:hanging="748"/>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10" w:lineRule="exact"/>
        <w:rPr>
          <w:rFonts w:ascii="Arial" w:cs="Arial" w:eastAsia="Arial" w:hAnsi="Arial"/>
          <w:sz w:val="18"/>
          <w:szCs w:val="18"/>
          <w:color w:val="auto"/>
        </w:rPr>
      </w:pPr>
    </w:p>
    <w:p>
      <w:pPr>
        <w:ind w:left="1420" w:right="7559" w:hanging="748"/>
        <w:spacing w:after="0" w:line="342"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00773U108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140" w:right="8020" w:hanging="457"/>
        <w:spacing w:after="0" w:line="277"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Amount Beneficially Owned 1,809,098</w:t>
      </w:r>
    </w:p>
    <w:p>
      <w:pPr>
        <w:spacing w:after="0" w:line="170" w:lineRule="exact"/>
        <w:rPr>
          <w:rFonts w:ascii="Arial" w:cs="Arial" w:eastAsia="Arial" w:hAnsi="Arial"/>
          <w:sz w:val="18"/>
          <w:szCs w:val="18"/>
          <w:color w:val="auto"/>
        </w:rPr>
      </w:pPr>
    </w:p>
    <w:p>
      <w:pPr>
        <w:ind w:left="1140" w:right="8920" w:hanging="457"/>
        <w:spacing w:after="0" w:line="500"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1.84% *</w:t>
      </w:r>
    </w:p>
    <w:p>
      <w:pPr>
        <w:spacing w:after="0" w:line="1" w:lineRule="exact"/>
        <w:rPr>
          <w:rFonts w:ascii="Arial" w:cs="Arial" w:eastAsia="Arial" w:hAnsi="Arial"/>
          <w:sz w:val="18"/>
          <w:szCs w:val="18"/>
          <w:color w:val="auto"/>
        </w:rPr>
      </w:pPr>
    </w:p>
    <w:p>
      <w:pPr>
        <w:ind w:left="1140" w:hanging="457"/>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80" w:right="6880" w:hanging="438"/>
        <w:spacing w:after="0" w:line="500" w:lineRule="auto"/>
        <w:tabs>
          <w:tab w:leader="none" w:pos="15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1,809,098</w:t>
      </w:r>
    </w:p>
    <w:p>
      <w:pPr>
        <w:spacing w:after="0" w:line="1" w:lineRule="exact"/>
        <w:rPr>
          <w:rFonts w:ascii="Arial" w:cs="Arial" w:eastAsia="Arial" w:hAnsi="Arial"/>
          <w:sz w:val="18"/>
          <w:szCs w:val="18"/>
          <w:color w:val="auto"/>
        </w:rPr>
      </w:pPr>
    </w:p>
    <w:p>
      <w:pPr>
        <w:ind w:left="1580" w:right="6700" w:hanging="438"/>
        <w:spacing w:after="0" w:line="500" w:lineRule="auto"/>
        <w:tabs>
          <w:tab w:leader="none" w:pos="15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580" w:right="5960" w:hanging="438"/>
        <w:spacing w:after="0" w:line="500" w:lineRule="auto"/>
        <w:tabs>
          <w:tab w:leader="none" w:pos="15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1,809,098</w:t>
      </w:r>
    </w:p>
    <w:p>
      <w:pPr>
        <w:spacing w:after="0" w:line="1" w:lineRule="exact"/>
        <w:rPr>
          <w:rFonts w:ascii="Arial" w:cs="Arial" w:eastAsia="Arial" w:hAnsi="Arial"/>
          <w:sz w:val="18"/>
          <w:szCs w:val="18"/>
          <w:color w:val="auto"/>
        </w:rPr>
      </w:pPr>
    </w:p>
    <w:p>
      <w:pPr>
        <w:ind w:left="1580" w:right="5780" w:hanging="438"/>
        <w:spacing w:after="0" w:line="500" w:lineRule="auto"/>
        <w:tabs>
          <w:tab w:leader="none" w:pos="15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The percentages reported herein with respect to the Reporting Person’s holdings are calculated based upon a statement in the Issuer’s Quarterly Report on Form 10-Q, as filed with the Securities and Exchange Commission on November 4, 2021, that as of October 29, 2021, the Issuer had 98,152,090 shares of its common stock, $0.0001 par value per share, outstanding.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972"/>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Leonard N. Brooks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lvl w:ilvl="1">
      <w:lvlJc w:val="left"/>
      <w:lvlText w:val="(%2)"/>
      <w:numFmt w:val="lowerLetter"/>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2022-02-12T02:36:07Z</dcterms:created>
  <dcterms:modified xsi:type="dcterms:W3CDTF">2022-02-12T02:36:07Z</dcterms:modified>
</cp:coreProperties>
</file>