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80"/>
        <w:spacing w:after="0"/>
        <w:rPr>
          <w:sz w:val="20"/>
          <w:szCs w:val="20"/>
          <w:color w:val="auto"/>
        </w:rPr>
      </w:pPr>
      <w:r>
        <w:rPr>
          <w:rFonts w:ascii="Arial" w:cs="Arial" w:eastAsia="Arial" w:hAnsi="Arial"/>
          <w:sz w:val="18"/>
          <w:szCs w:val="18"/>
          <w:color w:val="auto"/>
        </w:rPr>
        <w:t>Filed Pursuant to Rule 433</w:t>
      </w:r>
    </w:p>
    <w:p>
      <w:pPr>
        <w:spacing w:after="0" w:line="36"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Registration Statement No. 333-228352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227139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7139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Regeneron Announces Secondary Offering of its Common Stock Held by Sanofi and $5 Billion Stock Repurchase</w:t>
      </w:r>
    </w:p>
    <w:p>
      <w:pPr>
        <w:spacing w:after="0" w:line="225" w:lineRule="exact"/>
        <w:rPr>
          <w:sz w:val="24"/>
          <w:szCs w:val="24"/>
          <w:color w:val="auto"/>
        </w:rPr>
      </w:pPr>
    </w:p>
    <w:p>
      <w:pPr>
        <w:ind w:right="100"/>
        <w:spacing w:after="0" w:line="289" w:lineRule="auto"/>
        <w:rPr>
          <w:sz w:val="20"/>
          <w:szCs w:val="20"/>
          <w:color w:val="auto"/>
        </w:rPr>
      </w:pPr>
      <w:r>
        <w:rPr>
          <w:rFonts w:ascii="Arial" w:cs="Arial" w:eastAsia="Arial" w:hAnsi="Arial"/>
          <w:sz w:val="16"/>
          <w:szCs w:val="16"/>
          <w:b w:val="1"/>
          <w:bCs w:val="1"/>
          <w:color w:val="auto"/>
        </w:rPr>
        <w:t>TARRYTOWN, N.Y., May 25, 2020</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the commencement of an underwritten</w:t>
      </w:r>
      <w:r>
        <w:rPr>
          <w:rFonts w:ascii="Arial" w:cs="Arial" w:eastAsia="Arial" w:hAnsi="Arial"/>
          <w:sz w:val="16"/>
          <w:szCs w:val="16"/>
          <w:b w:val="1"/>
          <w:bCs w:val="1"/>
          <w:color w:val="auto"/>
        </w:rPr>
        <w:t xml:space="preserve"> </w:t>
      </w:r>
      <w:r>
        <w:rPr>
          <w:rFonts w:ascii="Arial" w:cs="Arial" w:eastAsia="Arial" w:hAnsi="Arial"/>
          <w:sz w:val="16"/>
          <w:szCs w:val="16"/>
          <w:color w:val="auto"/>
        </w:rPr>
        <w:t>public secondary offering of its common stock through which Sanofi (NASDAQ: SNY) intends to exit its investment in Regeneron shares. The shares being offered by Sanofi will be sold in an underwritten public offering. Sanofi currently owns approximately 23.2 million Regeneron shares and intends to</w:t>
      </w:r>
    </w:p>
    <w:p>
      <w:pPr>
        <w:spacing w:after="0" w:line="2" w:lineRule="exact"/>
        <w:rPr>
          <w:sz w:val="24"/>
          <w:szCs w:val="24"/>
          <w:color w:val="auto"/>
        </w:rPr>
      </w:pPr>
    </w:p>
    <w:p>
      <w:pPr>
        <w:ind w:right="140"/>
        <w:spacing w:after="0" w:line="221" w:lineRule="auto"/>
        <w:rPr>
          <w:sz w:val="20"/>
          <w:szCs w:val="20"/>
          <w:color w:val="auto"/>
        </w:rPr>
      </w:pPr>
      <w:r>
        <w:rPr>
          <w:rFonts w:ascii="Arial" w:cs="Arial" w:eastAsia="Arial" w:hAnsi="Arial"/>
          <w:sz w:val="18"/>
          <w:szCs w:val="18"/>
          <w:color w:val="auto"/>
        </w:rPr>
        <w:t>sell approximately 12.8 million shares in the public offering.</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Sanofi also expects to grant the underwriters a 30-day option to purchase an additional 10% of the shares offered in the base offering. The registered offering and share repurchase will have no impact on the ongoing collaboration between Regeneron and Sanofi.</w:t>
      </w:r>
    </w:p>
    <w:p>
      <w:pPr>
        <w:spacing w:after="0" w:line="202"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Regeneron also announced today that subject to and immediately following the close of the secondary offering, Regeneron agreed to repurchase approximately $5 billion of common stock directly from Sanofi. The purchase price to be paid by Regeneron will be equal to the net offering price per share after deducting any underwriters’ discount and commission. Regeneron will fund the purchase with a combination of $3.5 billion of cash on hand and $1.5 billion of fully-committed bridge financing from Goldman Sachs Bank USA.</w:t>
      </w:r>
    </w:p>
    <w:p>
      <w:pPr>
        <w:spacing w:after="0" w:line="187" w:lineRule="exact"/>
        <w:rPr>
          <w:sz w:val="24"/>
          <w:szCs w:val="24"/>
          <w:color w:val="auto"/>
        </w:rPr>
      </w:pPr>
    </w:p>
    <w:p>
      <w:pPr>
        <w:jc w:val="both"/>
        <w:ind w:right="100"/>
        <w:spacing w:after="0" w:line="259" w:lineRule="auto"/>
        <w:rPr>
          <w:sz w:val="20"/>
          <w:szCs w:val="20"/>
          <w:color w:val="auto"/>
        </w:rPr>
      </w:pPr>
      <w:r>
        <w:rPr>
          <w:rFonts w:ascii="Arial" w:cs="Arial" w:eastAsia="Arial" w:hAnsi="Arial"/>
          <w:sz w:val="18"/>
          <w:szCs w:val="18"/>
          <w:color w:val="auto"/>
        </w:rPr>
        <w:t>Following the offering and Regeneron’s $5 billion share repurchase, and assuming that the underwriters exercise their option to purchase additional shares in full, Sanofi will have disposed of all of its shares, other than 400,000 shares it intends to retain. Regeneron will not receive any of the proceeds from the sale of shares in this offering. The offering will occur simultaneously in the United States and internationally through underwriters led by BofA Securities and Goldman Sachs as joint book-running managers.</w:t>
      </w:r>
    </w:p>
    <w:p>
      <w:pPr>
        <w:spacing w:after="0" w:line="187"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Regeneron has filed a registration statement (including a prospectus) with the SEC for the offering. Before you invest, you should read the prospectus in that registration statement and other documents Regeneron has filed and will file with the SEC, including the preliminary prospectus supplement to be filed by Regeneron with the SEC, for more complete information about Regeneron and this offering. You may get these documents for free by visiting EDGAR on the SEC website at www.sec.gov. Alternatively, any underwriter or any dealer participating in the offering will arrange to send you the prospectus and the preliminary prospectus supplement, when available, if you request them by contacting BofA Securities, NC1-004-03-43, 200 North College Street, 3rd Floor, Charlotte, NC 28255-0001, Attention: Prospectus Department or by email at dg.prospectus_requests@bofa.com; or Goldman Sachs &amp; Co. LLC, Attention: Prospectus Department, 200 West Street, New York, New York 10282, via telephone: 1-866-471-2526, or via email: prospectus-ny@ny.email.gs.com.</w:t>
      </w:r>
    </w:p>
    <w:p>
      <w:pPr>
        <w:spacing w:after="0" w:line="192" w:lineRule="exact"/>
        <w:rPr>
          <w:sz w:val="24"/>
          <w:szCs w:val="24"/>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This announcement shall not constitute an offer to sell or the solicitation of any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Based on the Friday May 22, 2020 closing price of $569.91.</w:t>
      </w:r>
    </w:p>
    <w:p>
      <w:pPr>
        <w:spacing w:after="0" w:line="200" w:lineRule="exact"/>
        <w:rPr>
          <w:sz w:val="24"/>
          <w:szCs w:val="24"/>
          <w:color w:val="auto"/>
        </w:rPr>
      </w:pPr>
    </w:p>
    <w:p>
      <w:pPr>
        <w:spacing w:after="0" w:line="21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pain, infectious diseases, and rare diseases.</w:t>
      </w:r>
    </w:p>
    <w:p>
      <w:pPr>
        <w:spacing w:after="0" w:line="194" w:lineRule="exact"/>
        <w:rPr>
          <w:sz w:val="20"/>
          <w:szCs w:val="20"/>
          <w:color w:val="auto"/>
        </w:rPr>
      </w:pPr>
    </w:p>
    <w:p>
      <w:pPr>
        <w:ind w:right="360"/>
        <w:spacing w:after="0" w:line="242" w:lineRule="auto"/>
        <w:rPr>
          <w:sz w:val="20"/>
          <w:szCs w:val="20"/>
          <w:color w:val="auto"/>
        </w:rPr>
      </w:pPr>
      <w:r>
        <w:rPr>
          <w:rFonts w:ascii="Arial" w:cs="Arial" w:eastAsia="Arial" w:hAnsi="Arial"/>
          <w:sz w:val="16"/>
          <w:szCs w:val="16"/>
          <w:color w:val="auto"/>
        </w:rPr>
        <w:t xml:space="preserve">Regeneron is accelerating and improving the traditional drug development process through its proprietary </w:t>
      </w:r>
      <w:r>
        <w:rPr>
          <w:rFonts w:ascii="Arial" w:cs="Arial" w:eastAsia="Arial" w:hAnsi="Arial"/>
          <w:sz w:val="16"/>
          <w:szCs w:val="16"/>
          <w:i w:val="1"/>
          <w:iCs w:val="1"/>
          <w:color w:val="auto"/>
        </w:rPr>
        <w:t>VelociSuite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technologies, such as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which uses unique genetically-humanized mice to produce optimized fully-human antibodies and bispecific antibodies, and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ambitious research initiatives such as the Regeneron Genetics Center</w:t>
      </w:r>
      <w:r>
        <w:rPr>
          <w:rFonts w:ascii="Arial" w:cs="Arial" w:eastAsia="Arial" w:hAnsi="Arial"/>
          <w:sz w:val="26"/>
          <w:szCs w:val="26"/>
          <w:color w:val="auto"/>
          <w:vertAlign w:val="superscript"/>
        </w:rPr>
        <w:t>®</w:t>
      </w:r>
      <w:r>
        <w:rPr>
          <w:rFonts w:ascii="Arial" w:cs="Arial" w:eastAsia="Arial" w:hAnsi="Arial"/>
          <w:sz w:val="16"/>
          <w:szCs w:val="16"/>
          <w:color w:val="auto"/>
        </w:rPr>
        <w:t>, which is conducting one of the largest genetics sequencing efforts in the world.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i w:val="1"/>
          <w:iCs w:val="1"/>
          <w:color w:val="auto"/>
        </w:rPr>
        <w:t>This press release includes forward-looking statements that involve risks and uncertainties relating to the completion, timing, and terms of the described transactions, including the offering, the repurchase of Sanofi’s shares, and the debt financing described herein,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among others: (i) whether we will be able to consummate the described transactions, (ii) the satisfaction of customary closing conditions with respect to the described transactions, (iii) prevailing market conditions, and (iv) the impact of general economic, industry, or political conditions in the United States or internationally, including as a result of, among other risks and uncertainties, the impact of SARS-CoV-2 (the virus that has caused the COVID-19 pandemic) on Regeneron's business and its employees, collaborators,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impact of the transactions discussed in this press release on Regeneron’s business and financial condition; the nature, timing, and possible success and therapeutic applications of Regeneron's Products and Regeneron's product candidates and research and clinical programs now underway or planned, including without limitation EYLEA</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6"/>
          <w:szCs w:val="26"/>
          <w:i w:val="1"/>
          <w:iCs w:val="1"/>
          <w:color w:val="auto"/>
          <w:vertAlign w:val="superscript"/>
        </w:rPr>
        <w:t>®</w:t>
      </w:r>
    </w:p>
    <w:p>
      <w:pPr>
        <w:spacing w:after="0" w:line="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(dupilumab), Libtayo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(cemiplimab), Praluent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(alirocumab), Kevzara</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(sarilumab), fasinumab, evinacumab, REGN-EB3, garetosmab, pozelimab, Regeneron's oncology programs (including its costimulatory bispecific portfolio), Regeneron's COVID-19 antibody program and other earlier-stage programs, and the use of human genetics in Regeneron's research programs; the likelihood and timing of achieving any of our anticipated development milestones; unforeseen safety issues resulting from the administration of Regeneron's Products and product candidates in patients, including serious complications or side effects in connection with the use of Regeneron's Products and product candidates in clinical trials; the likelihood and timing of possible regulatory approval and commercial launch of Regeneron's late-stage product candidates and new indications for Regeneron's Products, including without limitation EYLEA, Dupixent, Libtayo, Praluent, Kevzara, fasinumab, evinacumab, garetosmab, pozelimab, REGN1979, and REGN-EB3; the extent to which the results from the research and development programs conducted by Regeneron or its collaborators may be replicated in other studies and lead to therapeutic applications;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coverage and reimbursement determinations by third-party payors, including Medicare and Medicaid; unanticipated expenses; the costs of developing, producing, and selling products; the ability of Regeneron to meet any of its financial projections or guidance and changes to the assumptions underlying those projections or guidance;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other litigation and other proceedings and government investigations relating to the Company and/or its operations,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2019 and its Form 10-Q for the quarterly period ended March 31, 2020.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Regeneron Contacts:</w:t>
            </w:r>
          </w:p>
        </w:tc>
        <w:tc>
          <w:tcPr>
            <w:tcW w:w="2160" w:type="dxa"/>
            <w:vAlign w:val="bottom"/>
          </w:tcPr>
          <w:p>
            <w:pPr>
              <w:spacing w:after="0"/>
              <w:rPr>
                <w:sz w:val="20"/>
                <w:szCs w:val="20"/>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b w:val="1"/>
                <w:bCs w:val="1"/>
                <w:color w:val="auto"/>
              </w:rPr>
              <w:t>Media Relations</w:t>
            </w:r>
          </w:p>
        </w:tc>
        <w:tc>
          <w:tcPr>
            <w:tcW w:w="216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Hala Mirza</w:t>
            </w:r>
          </w:p>
        </w:tc>
        <w:tc>
          <w:tcPr>
            <w:tcW w:w="2160" w:type="dxa"/>
            <w:vAlign w:val="bottom"/>
          </w:tcPr>
          <w:p>
            <w:pPr>
              <w:spacing w:after="0"/>
              <w:rPr>
                <w:sz w:val="20"/>
                <w:szCs w:val="20"/>
                <w:color w:val="auto"/>
              </w:rPr>
            </w:pPr>
            <w:r>
              <w:rPr>
                <w:rFonts w:ascii="Arial" w:cs="Arial" w:eastAsia="Arial" w:hAnsi="Arial"/>
                <w:sz w:val="18"/>
                <w:szCs w:val="18"/>
                <w:color w:val="auto"/>
              </w:rPr>
              <w:t>Justin Holko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Tel: +1 (914) 847-3422</w:t>
            </w:r>
          </w:p>
        </w:tc>
        <w:tc>
          <w:tcPr>
            <w:tcW w:w="2160" w:type="dxa"/>
            <w:vAlign w:val="bottom"/>
          </w:tcPr>
          <w:p>
            <w:pPr>
              <w:spacing w:after="0"/>
              <w:rPr>
                <w:sz w:val="20"/>
                <w:szCs w:val="20"/>
                <w:color w:val="auto"/>
              </w:rPr>
            </w:pPr>
            <w:r>
              <w:rPr>
                <w:rFonts w:ascii="Arial" w:cs="Arial" w:eastAsia="Arial" w:hAnsi="Arial"/>
                <w:sz w:val="18"/>
                <w:szCs w:val="18"/>
                <w:color w:val="auto"/>
              </w:rPr>
              <w:t>Tel: +1 (914) 847-7786</w:t>
            </w:r>
          </w:p>
        </w:tc>
      </w:tr>
      <w:tr>
        <w:trPr>
          <w:trHeight w:val="190"/>
        </w:trPr>
        <w:tc>
          <w:tcPr>
            <w:tcW w:w="5620" w:type="dxa"/>
            <w:vAlign w:val="bottom"/>
          </w:tcPr>
          <w:p>
            <w:pPr>
              <w:spacing w:after="0" w:line="190" w:lineRule="exact"/>
              <w:rPr>
                <w:sz w:val="20"/>
                <w:szCs w:val="20"/>
                <w:color w:val="auto"/>
              </w:rPr>
            </w:pPr>
            <w:r>
              <w:rPr>
                <w:rFonts w:ascii="Arial" w:cs="Arial" w:eastAsia="Arial" w:hAnsi="Arial"/>
                <w:sz w:val="18"/>
                <w:szCs w:val="18"/>
                <w:color w:val="auto"/>
              </w:rPr>
              <w:t>Hala.Mirza@regeneron.com</w:t>
            </w:r>
          </w:p>
        </w:tc>
        <w:tc>
          <w:tcPr>
            <w:tcW w:w="21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Justin.Holko@regeneron.com</w:t>
            </w: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2020-05-26T05:12:42Z</dcterms:created>
  <dcterms:modified xsi:type="dcterms:W3CDTF">2020-05-26T05:12:42Z</dcterms:modified>
</cp:coreProperties>
</file>