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One)</w:t>
      </w:r>
    </w:p>
    <w:p>
      <w:pPr>
        <w:spacing w:after="0" w:line="18" w:lineRule="exact"/>
        <w:rPr>
          <w:sz w:val="20"/>
          <w:szCs w:val="20"/>
          <w:color w:val="auto"/>
        </w:rPr>
      </w:pPr>
    </w:p>
    <w:p>
      <w:pPr>
        <w:ind w:left="700" w:right="4160" w:hanging="692"/>
        <w:spacing w:after="0" w:line="266"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0" w:lineRule="exact"/>
        <w:rPr>
          <w:sz w:val="20"/>
          <w:szCs w:val="20"/>
          <w:color w:val="auto"/>
        </w:rPr>
      </w:pPr>
    </w:p>
    <w:p>
      <w:pPr>
        <w:ind w:left="700"/>
        <w:spacing w:after="0"/>
        <w:tabs>
          <w:tab w:leader="none" w:pos="336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-10160</wp:posOffset>
            </wp:positionV>
            <wp:extent cx="1012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14" w:lineRule="exact"/>
        <w:rPr>
          <w:sz w:val="20"/>
          <w:szCs w:val="20"/>
          <w:color w:val="auto"/>
        </w:rPr>
      </w:pPr>
    </w:p>
    <w:p>
      <w:pPr>
        <w:ind w:left="700" w:right="4100" w:hanging="692"/>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auto"/>
                <w:w w:val="91"/>
              </w:rPr>
              <w:t>For the transition period from</w:t>
            </w:r>
          </w:p>
        </w:tc>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79"/>
              </w:rPr>
              <w:t>to</w:t>
            </w:r>
          </w:p>
        </w:tc>
      </w:tr>
      <w:tr>
        <w:trPr>
          <w:trHeight w:val="412"/>
        </w:trPr>
        <w:tc>
          <w:tcPr>
            <w:tcW w:w="1920" w:type="dxa"/>
            <w:vAlign w:val="bottom"/>
          </w:tcPr>
          <w:p>
            <w:pPr>
              <w:spacing w:after="0"/>
              <w:rPr>
                <w:sz w:val="20"/>
                <w:szCs w:val="20"/>
                <w:color w:val="auto"/>
              </w:rPr>
            </w:pPr>
            <w:r>
              <w:rPr>
                <w:rFonts w:ascii="Arial" w:cs="Arial" w:eastAsia="Arial" w:hAnsi="Arial"/>
                <w:sz w:val="18"/>
                <w:szCs w:val="18"/>
                <w:color w:val="auto"/>
                <w:w w:val="94"/>
              </w:rPr>
              <w:t>Commission File Number</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0-19034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-282575</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3"/>
          </w:tcPr>
          <w:p>
            <w:pPr>
              <w:ind w:left="3860"/>
              <w:spacing w:after="0"/>
              <w:rPr>
                <w:sz w:val="20"/>
                <w:szCs w:val="20"/>
                <w:color w:val="auto"/>
              </w:rPr>
            </w:pPr>
            <w:r>
              <w:rPr>
                <w:rFonts w:ascii="Arial" w:cs="Arial" w:eastAsia="Arial" w:hAnsi="Arial"/>
                <w:sz w:val="18"/>
                <w:szCs w:val="18"/>
                <w:color w:val="auto"/>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13-3444607</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777 Old Saw Mill River Road</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10591-6707</w:t>
            </w:r>
          </w:p>
        </w:tc>
      </w:t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Tarrytown, New York</w:t>
            </w:r>
          </w:p>
        </w:tc>
        <w:tc>
          <w:tcPr>
            <w:tcW w:w="58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(914) 347-7000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66"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2005:</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Class of Common Stock</w:t>
            </w:r>
          </w:p>
        </w:tc>
        <w:tc>
          <w:tcPr>
            <w:tcW w:w="580" w:type="dxa"/>
            <w:vAlign w:val="bottom"/>
          </w:tcPr>
          <w:p>
            <w:pPr>
              <w:spacing w:after="0"/>
              <w:rPr>
                <w:sz w:val="14"/>
                <w:szCs w:val="14"/>
                <w:color w:val="auto"/>
              </w:rPr>
            </w:pPr>
          </w:p>
        </w:tc>
        <w:tc>
          <w:tcPr>
            <w:tcW w:w="54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Number of Shares</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79"/>
              <w:spacing w:after="0" w:line="195" w:lineRule="exact"/>
              <w:rPr>
                <w:sz w:val="20"/>
                <w:szCs w:val="20"/>
                <w:color w:val="auto"/>
              </w:rPr>
            </w:pPr>
            <w:r>
              <w:rPr>
                <w:rFonts w:ascii="Arial" w:cs="Arial" w:eastAsia="Arial" w:hAnsi="Arial"/>
                <w:sz w:val="18"/>
                <w:szCs w:val="18"/>
                <w:color w:val="auto"/>
              </w:rPr>
              <w:t>2,358,373</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9"/>
              <w:spacing w:after="0"/>
              <w:rPr>
                <w:sz w:val="20"/>
                <w:szCs w:val="20"/>
                <w:color w:val="auto"/>
              </w:rPr>
            </w:pPr>
            <w:r>
              <w:rPr>
                <w:rFonts w:ascii="Arial" w:cs="Arial" w:eastAsia="Arial" w:hAnsi="Arial"/>
                <w:sz w:val="18"/>
                <w:szCs w:val="18"/>
                <w:color w:val="auto"/>
              </w:rPr>
              <w:t>53,763,078</w:t>
            </w:r>
          </w:p>
        </w:tc>
      </w:tr>
      <w:tr>
        <w:trPr>
          <w:trHeight w:val="203"/>
        </w:trPr>
        <w:tc>
          <w:tcPr>
            <w:tcW w:w="5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w:t>
      </w:r>
    </w:p>
    <w:p>
      <w:pPr>
        <w:spacing w:after="0" w:line="378" w:lineRule="exact"/>
        <w:rPr>
          <w:sz w:val="20"/>
          <w:szCs w:val="20"/>
          <w:color w:val="auto"/>
        </w:rPr>
      </w:pPr>
    </w:p>
    <w:p>
      <w:pPr>
        <w:jc w:val="right"/>
        <w:ind w:right="180"/>
        <w:spacing w:after="0"/>
        <w:rPr>
          <w:sz w:val="20"/>
          <w:szCs w:val="20"/>
          <w:color w:val="auto"/>
        </w:rPr>
      </w:pPr>
      <w:r>
        <w:rPr>
          <w:rFonts w:ascii="Arial" w:cs="Arial" w:eastAsia="Arial" w:hAnsi="Arial"/>
          <w:sz w:val="14"/>
          <w:szCs w:val="14"/>
          <w:b w:val="1"/>
          <w:bCs w:val="1"/>
          <w:color w:val="auto"/>
        </w:rPr>
        <w:t>Page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6350</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5" w:lineRule="exact"/>
        <w:rPr>
          <w:sz w:val="20"/>
          <w:szCs w:val="20"/>
          <w:color w:val="auto"/>
        </w:rPr>
      </w:pPr>
    </w:p>
    <w:p>
      <w:pPr>
        <w:spacing w:after="0"/>
        <w:tabs>
          <w:tab w:leader="none" w:pos="1100" w:val="left"/>
        </w:tabs>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4">
        <w:r>
          <w:rPr>
            <w:rFonts w:ascii="Arial" w:cs="Arial" w:eastAsia="Arial" w:hAnsi="Arial"/>
            <w:sz w:val="18"/>
            <w:szCs w:val="18"/>
            <w:b w:val="1"/>
            <w:bCs w:val="1"/>
            <w:u w:val="single" w:color="auto"/>
            <w:color w:val="0000EE"/>
          </w:rPr>
          <w:t>FINANCIAL INFORMATION</w:t>
        </w:r>
      </w:hyperlink>
    </w:p>
    <w:p>
      <w:pPr>
        <w:spacing w:after="0" w:line="209"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Financial Statements</w:t>
        </w:r>
      </w:hyperlink>
    </w:p>
    <w:p>
      <w:pPr>
        <w:sectPr>
          <w:pgSz w:w="11900" w:h="16838" w:orient="portrait"/>
          <w:cols w:equalWidth="0" w:num="1">
            <w:col w:w="11420"/>
          </w:cols>
          <w:pgMar w:left="240" w:top="122"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(unaudited) at March 31, 2005 and December 31, 2004</w:t>
              </w:r>
            </w:hyperlink>
          </w:p>
        </w:tc>
        <w:tc>
          <w:tcPr>
            <w:tcW w:w="2320" w:type="dxa"/>
            <w:vAlign w:val="bottom"/>
            <w:gridSpan w:val="5"/>
          </w:tcPr>
          <w:p>
            <w:pPr>
              <w:spacing w:after="0"/>
              <w:rPr>
                <w:sz w:val="17"/>
                <w:szCs w:val="17"/>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3</w:t>
            </w:r>
          </w:p>
        </w:tc>
      </w:tr>
      <w:tr>
        <w:trPr>
          <w:trHeight w:val="41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(unaudited) for the three months ended March 31, 2005 and 2004</w:t>
              </w:r>
            </w:hyperlink>
          </w:p>
        </w:tc>
        <w:tc>
          <w:tcPr>
            <w:tcW w:w="860" w:type="dxa"/>
            <w:vAlign w:val="bottom"/>
            <w:gridSpan w:val="2"/>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4</w:t>
            </w:r>
          </w:p>
        </w:tc>
      </w:tr>
      <w:tr>
        <w:trPr>
          <w:trHeight w:val="41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stockholders’ equity (unaudited) for the three months ended March 31, 2005</w:t>
              </w:r>
            </w:hyperlink>
          </w:p>
        </w:tc>
        <w:tc>
          <w:tcPr>
            <w:tcW w:w="920" w:type="dxa"/>
            <w:vAlign w:val="bottom"/>
            <w:gridSpan w:val="3"/>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5</w:t>
            </w:r>
          </w:p>
        </w:tc>
      </w:tr>
      <w:tr>
        <w:trPr>
          <w:trHeight w:val="41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statements of cash flows (unaudited) for the three months ended March 31, 2005 and 2004</w:t>
              </w:r>
            </w:hyperlink>
          </w:p>
        </w:tc>
        <w:tc>
          <w:tcPr>
            <w:tcW w:w="840" w:type="dxa"/>
            <w:vAlign w:val="bottom"/>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6</w:t>
            </w:r>
          </w:p>
        </w:tc>
      </w:tr>
      <w:tr>
        <w:trPr>
          <w:trHeight w:val="412"/>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4440" w:type="dxa"/>
            <w:vAlign w:val="bottom"/>
            <w:gridSpan w:val="7"/>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7-16</w:t>
            </w:r>
          </w:p>
        </w:tc>
      </w:tr>
      <w:tr>
        <w:trPr>
          <w:trHeight w:val="412"/>
        </w:trPr>
        <w:tc>
          <w:tcPr>
            <w:tcW w:w="480" w:type="dxa"/>
            <w:vAlign w:val="bottom"/>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640" w:type="dxa"/>
            <w:vAlign w:val="bottom"/>
            <w:gridSpan w:val="2"/>
          </w:tcPr>
          <w:p>
            <w:pPr>
              <w:spacing w:after="0"/>
              <w:rPr>
                <w:sz w:val="24"/>
                <w:szCs w:val="24"/>
                <w:color w:val="auto"/>
              </w:rPr>
            </w:pPr>
          </w:p>
        </w:tc>
        <w:tc>
          <w:tcPr>
            <w:tcW w:w="820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ind w:left="840"/>
              <w:spacing w:after="0"/>
              <w:rPr>
                <w:sz w:val="20"/>
                <w:szCs w:val="20"/>
                <w:color w:val="auto"/>
              </w:rPr>
            </w:pPr>
            <w:r>
              <w:rPr>
                <w:rFonts w:ascii="Arial" w:cs="Arial" w:eastAsia="Arial" w:hAnsi="Arial"/>
                <w:sz w:val="18"/>
                <w:szCs w:val="18"/>
                <w:color w:val="auto"/>
                <w:w w:val="86"/>
              </w:rPr>
              <w:t>17-46</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3</w:t>
              </w:r>
            </w:hyperlink>
          </w:p>
        </w:tc>
        <w:tc>
          <w:tcPr>
            <w:tcW w:w="640" w:type="dxa"/>
            <w:vAlign w:val="bottom"/>
            <w:gridSpan w:val="2"/>
          </w:tcPr>
          <w:p>
            <w:pPr>
              <w:spacing w:after="0"/>
              <w:rPr>
                <w:sz w:val="24"/>
                <w:szCs w:val="24"/>
                <w:color w:val="auto"/>
              </w:rPr>
            </w:pPr>
          </w:p>
        </w:tc>
        <w:tc>
          <w:tcPr>
            <w:tcW w:w="820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&amp; Qualitative Disclosure About Market Risk</w:t>
              </w:r>
            </w:hyperlink>
          </w:p>
        </w:tc>
        <w:tc>
          <w:tcPr>
            <w:tcW w:w="1260" w:type="dxa"/>
            <w:vAlign w:val="bottom"/>
          </w:tcPr>
          <w:p>
            <w:pPr>
              <w:ind w:left="840"/>
              <w:spacing w:after="0"/>
              <w:rPr>
                <w:sz w:val="20"/>
                <w:szCs w:val="20"/>
                <w:color w:val="auto"/>
              </w:rPr>
            </w:pPr>
            <w:r>
              <w:rPr>
                <w:rFonts w:ascii="Arial" w:cs="Arial" w:eastAsia="Arial" w:hAnsi="Arial"/>
                <w:sz w:val="18"/>
                <w:szCs w:val="18"/>
                <w:color w:val="auto"/>
                <w:w w:val="86"/>
              </w:rPr>
              <w:t>46-47</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4</w:t>
              </w:r>
            </w:hyperlink>
          </w:p>
        </w:tc>
        <w:tc>
          <w:tcPr>
            <w:tcW w:w="640" w:type="dxa"/>
            <w:vAlign w:val="bottom"/>
            <w:gridSpan w:val="2"/>
          </w:tcPr>
          <w:p>
            <w:pPr>
              <w:spacing w:after="0"/>
              <w:rPr>
                <w:sz w:val="24"/>
                <w:szCs w:val="24"/>
                <w:color w:val="auto"/>
              </w:rPr>
            </w:pPr>
          </w:p>
        </w:tc>
        <w:tc>
          <w:tcPr>
            <w:tcW w:w="820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260" w:type="dxa"/>
            <w:vAlign w:val="bottom"/>
          </w:tcPr>
          <w:p>
            <w:pPr>
              <w:ind w:left="840"/>
              <w:spacing w:after="0"/>
              <w:rPr>
                <w:sz w:val="20"/>
                <w:szCs w:val="20"/>
                <w:color w:val="auto"/>
              </w:rPr>
            </w:pPr>
            <w:r>
              <w:rPr>
                <w:rFonts w:ascii="Arial" w:cs="Arial" w:eastAsia="Arial" w:hAnsi="Arial"/>
                <w:sz w:val="18"/>
                <w:szCs w:val="18"/>
                <w:color w:val="auto"/>
              </w:rPr>
              <w:t>47</w:t>
            </w:r>
          </w:p>
        </w:tc>
      </w:tr>
      <w:tr>
        <w:trPr>
          <w:trHeight w:val="20"/>
        </w:trPr>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120" w:type="dxa"/>
            <w:vAlign w:val="bottom"/>
            <w:gridSpan w:val="3"/>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8200" w:type="dxa"/>
            <w:vAlign w:val="bottom"/>
            <w:gridSpan w:val="14"/>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126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1</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260" w:type="dxa"/>
            <w:vAlign w:val="bottom"/>
          </w:tcPr>
          <w:p>
            <w:pPr>
              <w:ind w:left="840"/>
              <w:spacing w:after="0"/>
              <w:rPr>
                <w:sz w:val="20"/>
                <w:szCs w:val="20"/>
                <w:color w:val="auto"/>
              </w:rPr>
            </w:pPr>
            <w:r>
              <w:rPr>
                <w:rFonts w:ascii="Arial" w:cs="Arial" w:eastAsia="Arial" w:hAnsi="Arial"/>
                <w:sz w:val="18"/>
                <w:szCs w:val="18"/>
                <w:color w:val="auto"/>
              </w:rPr>
              <w:t>47</w:t>
            </w:r>
          </w:p>
        </w:tc>
      </w:tr>
      <w:tr>
        <w:trPr>
          <w:trHeight w:val="20"/>
        </w:trPr>
        <w:tc>
          <w:tcPr>
            <w:tcW w:w="4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6</w:t>
              </w:r>
            </w:hyperlink>
          </w:p>
        </w:tc>
        <w:tc>
          <w:tcPr>
            <w:tcW w:w="640" w:type="dxa"/>
            <w:vAlign w:val="bottom"/>
            <w:gridSpan w:val="2"/>
          </w:tcPr>
          <w:p>
            <w:pPr>
              <w:spacing w:after="0"/>
              <w:rPr>
                <w:sz w:val="24"/>
                <w:szCs w:val="24"/>
                <w:color w:val="auto"/>
              </w:rPr>
            </w:pPr>
          </w:p>
        </w:tc>
        <w:tc>
          <w:tcPr>
            <w:tcW w:w="820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and Reports on Form 8-K</w:t>
              </w:r>
            </w:hyperlink>
          </w:p>
        </w:tc>
        <w:tc>
          <w:tcPr>
            <w:tcW w:w="1260" w:type="dxa"/>
            <w:vAlign w:val="bottom"/>
          </w:tcPr>
          <w:p>
            <w:pPr>
              <w:ind w:left="840"/>
              <w:spacing w:after="0"/>
              <w:rPr>
                <w:sz w:val="20"/>
                <w:szCs w:val="20"/>
                <w:color w:val="auto"/>
              </w:rPr>
            </w:pPr>
            <w:r>
              <w:rPr>
                <w:rFonts w:ascii="Arial" w:cs="Arial" w:eastAsia="Arial" w:hAnsi="Arial"/>
                <w:sz w:val="18"/>
                <w:szCs w:val="18"/>
                <w:color w:val="auto"/>
              </w:rPr>
              <w:t>48</w:t>
            </w:r>
          </w:p>
        </w:tc>
      </w:tr>
      <w:tr>
        <w:trPr>
          <w:trHeight w:val="20"/>
        </w:trPr>
        <w:tc>
          <w:tcPr>
            <w:tcW w:w="4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50">
              <w:r>
                <w:rPr>
                  <w:rFonts w:ascii="Arial" w:cs="Arial" w:eastAsia="Arial" w:hAnsi="Arial"/>
                  <w:sz w:val="18"/>
                  <w:szCs w:val="18"/>
                  <w:b w:val="1"/>
                  <w:bCs w:val="1"/>
                  <w:color w:val="0000EE"/>
                  <w:w w:val="97"/>
                </w:rPr>
                <w:t>SIGNATURE PAGE</w:t>
              </w:r>
            </w:hyperlink>
          </w:p>
        </w:tc>
        <w:tc>
          <w:tcPr>
            <w:tcW w:w="7720" w:type="dxa"/>
            <w:vAlign w:val="bottom"/>
            <w:gridSpan w:val="12"/>
          </w:tcPr>
          <w:p>
            <w:pPr>
              <w:spacing w:after="0"/>
              <w:rPr>
                <w:sz w:val="24"/>
                <w:szCs w:val="24"/>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rPr>
              <w:t>49</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 STATEMENT RE: COMPUTATION OF RATIO OF EARNINGS TO COMBINED FIXED CHARGES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08" w:right="10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2005 AND DECEMBER 31, 2004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147,816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206,090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369,854</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26,622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69,055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4,761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470,292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17,468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current portion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54,577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200,000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284,508</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2,358,373 shares issued and outstanding in 2005 and 2004</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$.001 par value; 160,000,000 shares authorized;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53,763,234 shares issued and outstanding in 2005</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53,502,004 shares issued and outstanding in 2004</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682,578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compensation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(493,957)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185,784</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470,292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980" w:type="dxa"/>
            <w:vAlign w:val="bottom"/>
            <w:gridSpan w:val="7"/>
          </w:tcPr>
          <w:p>
            <w:pP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13,502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progress payments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61,990</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(28,340)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23,794</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contract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64,532</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55,815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63,625</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0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4"/>
              </w:rPr>
              <w:t>Class A Stock</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13"/>
                <w:szCs w:val="13"/>
                <w:color w:val="auto"/>
              </w:rPr>
            </w:pPr>
          </w:p>
        </w:tc>
        <w:tc>
          <w:tcPr>
            <w:tcW w:w="11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Stockholders'</w:t>
            </w:r>
          </w:p>
        </w:tc>
        <w:tc>
          <w:tcPr>
            <w:tcW w:w="114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11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53,502</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54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$ 675,389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(489,834)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182,543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Stock in</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connection with</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exercise of stock</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color w:val="auto"/>
              </w:rPr>
              <w:t>options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connection with</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401(k)</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Savings Plan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Forfeitures of</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restricted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under Long-Term</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color w:val="auto"/>
              </w:rPr>
              <w:t>Incentive Plan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(4,123)</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(4,123)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9"/>
        </w:trPr>
        <w:tc>
          <w:tcPr>
            <w:tcW w:w="1760" w:type="dxa"/>
            <w:vAlign w:val="bottom"/>
          </w:tcPr>
          <w:p>
            <w:pPr>
              <w:ind w:left="220"/>
              <w:spacing w:after="0"/>
              <w:rPr>
                <w:sz w:val="20"/>
                <w:szCs w:val="20"/>
                <w:color w:val="auto"/>
              </w:rPr>
            </w:pPr>
            <w:r>
              <w:rPr>
                <w:rFonts w:ascii="Arial" w:cs="Arial" w:eastAsia="Arial" w:hAnsi="Arial"/>
                <w:sz w:val="18"/>
                <w:szCs w:val="18"/>
                <w:color w:val="auto"/>
              </w:rPr>
              <w:t>Balance,</w:t>
            </w: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420"/>
              <w:spacing w:after="0"/>
              <w:rPr>
                <w:sz w:val="20"/>
                <w:szCs w:val="20"/>
                <w:color w:val="auto"/>
              </w:rPr>
            </w:pPr>
            <w:r>
              <w:rPr>
                <w:rFonts w:ascii="Arial" w:cs="Arial" w:eastAsia="Arial" w:hAnsi="Arial"/>
                <w:sz w:val="18"/>
                <w:szCs w:val="18"/>
                <w:color w:val="auto"/>
              </w:rPr>
              <w:t>March 31, 2005</w:t>
            </w:r>
          </w:p>
        </w:tc>
        <w:tc>
          <w:tcPr>
            <w:tcW w:w="480" w:type="dxa"/>
            <w:vAlign w:val="bottom"/>
          </w:tcPr>
          <w:p>
            <w:pPr>
              <w:jc w:val="right"/>
              <w:spacing w:after="0"/>
              <w:rPr>
                <w:sz w:val="20"/>
                <w:szCs w:val="20"/>
                <w:color w:val="auto"/>
              </w:rPr>
            </w:pPr>
            <w:r>
              <w:rPr>
                <w:rFonts w:ascii="Arial" w:cs="Arial" w:eastAsia="Arial" w:hAnsi="Arial"/>
                <w:sz w:val="18"/>
                <w:szCs w:val="18"/>
                <w:color w:val="auto"/>
              </w:rPr>
              <w:t>2,358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53,763</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54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$ 682,578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(1,783)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(493,957)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185,784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980" w:type="dxa"/>
            <w:vAlign w:val="bottom"/>
            <w:gridSpan w:val="7"/>
          </w:tcPr>
          <w:p>
            <w:pP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(4,123)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00"/>
              <w:spacing w:after="0"/>
              <w:rPr>
                <w:sz w:val="20"/>
                <w:szCs w:val="20"/>
                <w:color w:val="auto"/>
              </w:rPr>
            </w:pPr>
            <w:r>
              <w:rPr>
                <w:rFonts w:ascii="Arial" w:cs="Arial" w:eastAsia="Arial" w:hAnsi="Arial"/>
                <w:sz w:val="18"/>
                <w:szCs w:val="18"/>
                <w:color w:val="auto"/>
              </w:rPr>
              <w:t>Non-cash expense related to a license agreement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Forgiveness of loan payable to Novartis Pharma AG, inclusive of accrued interest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accounts receivable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600"/>
              <w:spacing w:after="0"/>
              <w:rPr>
                <w:sz w:val="20"/>
                <w:szCs w:val="20"/>
                <w:color w:val="auto"/>
              </w:rPr>
            </w:pPr>
            <w:r>
              <w:rPr>
                <w:rFonts w:ascii="Arial" w:cs="Arial" w:eastAsia="Arial" w:hAnsi="Arial"/>
                <w:sz w:val="18"/>
                <w:szCs w:val="18"/>
                <w:color w:val="auto"/>
              </w:rPr>
              <w:t>Increase in prepaid expenses and other assets</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inventory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600"/>
              <w:spacing w:after="0"/>
              <w:rPr>
                <w:sz w:val="20"/>
                <w:szCs w:val="20"/>
                <w:color w:val="auto"/>
              </w:rPr>
            </w:pPr>
            <w:r>
              <w:rPr>
                <w:rFonts w:ascii="Arial" w:cs="Arial" w:eastAsia="Arial" w:hAnsi="Arial"/>
                <w:sz w:val="18"/>
                <w:szCs w:val="18"/>
                <w:color w:val="auto"/>
              </w:rPr>
              <w:t>Decrease in deferred revenue</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800"/>
              <w:spacing w:after="0"/>
              <w:rPr>
                <w:sz w:val="20"/>
                <w:szCs w:val="20"/>
                <w:color w:val="auto"/>
              </w:rPr>
            </w:pPr>
            <w:r>
              <w:rPr>
                <w:rFonts w:ascii="Arial" w:cs="Arial" w:eastAsia="Arial" w:hAnsi="Arial"/>
                <w:sz w:val="18"/>
                <w:szCs w:val="18"/>
                <w:color w:val="auto"/>
              </w:rPr>
              <w:t>Total adjustments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(18,582)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(35,601)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restricted marketable securities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55,385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restricted marketable securities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200"/>
              <w:spacing w:after="0"/>
              <w:rPr>
                <w:sz w:val="20"/>
                <w:szCs w:val="20"/>
                <w:color w:val="auto"/>
              </w:rPr>
            </w:pPr>
            <w:r>
              <w:rPr>
                <w:rFonts w:ascii="Arial" w:cs="Arial" w:eastAsia="Arial" w:hAnsi="Arial"/>
                <w:sz w:val="18"/>
                <w:szCs w:val="18"/>
                <w:color w:val="auto"/>
              </w:rPr>
              <w:t>Net proceeds from the issuance of stock</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loan payable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80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52,587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0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147,816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156,227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jc w:val="center"/>
              <w:ind w:left="1870"/>
              <w:spacing w:after="0"/>
              <w:rPr>
                <w:sz w:val="20"/>
                <w:szCs w:val="20"/>
                <w:color w:val="auto"/>
              </w:rPr>
            </w:pPr>
            <w:r>
              <w:rPr>
                <w:rFonts w:ascii="Arial" w:cs="Arial" w:eastAsia="Arial" w:hAnsi="Arial"/>
                <w:sz w:val="18"/>
                <w:szCs w:val="18"/>
                <w:b w:val="1"/>
                <w:bCs w:val="1"/>
                <w:color w:val="auto"/>
                <w:w w:val="89"/>
              </w:rPr>
              <w:t>The accompanying notes are an integral part of the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40" w:type="dxa"/>
            <w:vAlign w:val="bottom"/>
            <w:gridSpan w:val="2"/>
          </w:tcPr>
          <w:p>
            <w:pPr>
              <w:jc w:val="right"/>
              <w:ind w:right="35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2004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For the three months ended March 31, 2005, the Company reported a net loss and, therefore, no common stock equivalents were included in the computation of diluted net loss per share, since such inclusion would have been antidilutive. The calculations of basic and diluted net income (loss) per share are as follows: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0" w:type="dxa"/>
            <w:vAlign w:val="bottom"/>
          </w:tcPr>
          <w:p>
            <w:pPr>
              <w:spacing w:after="0"/>
              <w:rPr>
                <w:sz w:val="14"/>
                <w:szCs w:val="14"/>
                <w:color w:val="auto"/>
              </w:rPr>
            </w:pPr>
          </w:p>
        </w:tc>
        <w:tc>
          <w:tcPr>
            <w:tcW w:w="4020" w:type="dxa"/>
            <w:vAlign w:val="bottom"/>
            <w:gridSpan w:val="8"/>
          </w:tcPr>
          <w:p>
            <w:pPr>
              <w:ind w:left="2100"/>
              <w:spacing w:after="0"/>
              <w:rPr>
                <w:sz w:val="20"/>
                <w:szCs w:val="20"/>
                <w:color w:val="auto"/>
              </w:rPr>
            </w:pPr>
            <w:r>
              <w:rPr>
                <w:rFonts w:ascii="Arial" w:cs="Arial" w:eastAsia="Arial" w:hAnsi="Arial"/>
                <w:sz w:val="14"/>
                <w:szCs w:val="14"/>
                <w:color w:val="auto"/>
                <w:w w:val="96"/>
              </w:rPr>
              <w:t>Three Months Ended March 31,</w:t>
            </w:r>
          </w:p>
        </w:tc>
      </w:tr>
      <w:tr>
        <w:trPr>
          <w:trHeight w:val="142"/>
        </w:trPr>
        <w:tc>
          <w:tcPr>
            <w:tcW w:w="7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(loss) (Numerator):</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Net income (loss) for basic per share calculations</w:t>
            </w:r>
          </w:p>
        </w:tc>
        <w:tc>
          <w:tcPr>
            <w:tcW w:w="224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64,532</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for interest expense on convertible notes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r>
      <w:tr>
        <w:trPr>
          <w:trHeight w:val="223"/>
        </w:trPr>
        <w:tc>
          <w:tcPr>
            <w:tcW w:w="7400" w:type="dxa"/>
            <w:vAlign w:val="bottom"/>
          </w:tcPr>
          <w:p>
            <w:pPr>
              <w:ind w:left="420"/>
              <w:spacing w:after="0"/>
              <w:rPr>
                <w:sz w:val="20"/>
                <w:szCs w:val="20"/>
                <w:color w:val="auto"/>
              </w:rPr>
            </w:pPr>
            <w:r>
              <w:rPr>
                <w:rFonts w:ascii="Arial" w:cs="Arial" w:eastAsia="Arial" w:hAnsi="Arial"/>
                <w:sz w:val="18"/>
                <w:szCs w:val="18"/>
                <w:color w:val="auto"/>
              </w:rPr>
              <w:t>Adjusted net income (loss) for diluted per share calculations</w:t>
            </w:r>
          </w:p>
        </w:tc>
        <w:tc>
          <w:tcPr>
            <w:tcW w:w="2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67,282</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Shares, in thousands (Denominator):</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Weighted-average shares for basic per share calculations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55,815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55,283</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stock options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Effect of restricted stock awards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convertible notes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w:t>
            </w:r>
          </w:p>
        </w:tc>
      </w:tr>
      <w:tr>
        <w:trPr>
          <w:trHeight w:val="223"/>
        </w:trPr>
        <w:tc>
          <w:tcPr>
            <w:tcW w:w="7400" w:type="dxa"/>
            <w:vAlign w:val="bottom"/>
          </w:tcPr>
          <w:p>
            <w:pPr>
              <w:ind w:left="42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2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55,815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63,625</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(loss) per share</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30"/>
        </w:trPr>
        <w:tc>
          <w:tcPr>
            <w:tcW w:w="7400" w:type="dxa"/>
            <w:vAlign w:val="bottom"/>
          </w:tcPr>
          <w:p>
            <w:pPr>
              <w:ind w:left="420"/>
              <w:spacing w:after="0"/>
              <w:rPr>
                <w:sz w:val="20"/>
                <w:szCs w:val="20"/>
                <w:color w:val="auto"/>
              </w:rPr>
            </w:pPr>
            <w:r>
              <w:rPr>
                <w:rFonts w:ascii="Arial" w:cs="Arial" w:eastAsia="Arial" w:hAnsi="Arial"/>
                <w:sz w:val="18"/>
                <w:szCs w:val="18"/>
                <w:color w:val="auto"/>
              </w:rPr>
              <w:t>Diluted net income (loss) per share</w:t>
            </w:r>
          </w:p>
        </w:tc>
        <w:tc>
          <w:tcPr>
            <w:tcW w:w="224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Shares issuable upon the exercise of stock options, vesting of restricted stock awards, and conversion of convertible debt, which have been excluded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2005 and 2004 diluted per share amounts because their effect would have been antidilutive, include the following: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color w:val="auto"/>
              </w:rPr>
              <w:t>Three months ended March 31,</w:t>
            </w:r>
          </w:p>
        </w:tc>
      </w:tr>
      <w:tr>
        <w:trPr>
          <w:trHeight w:val="142"/>
        </w:trPr>
        <w:tc>
          <w:tcPr>
            <w:tcW w:w="9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2005</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r>
      <w:tr>
        <w:trPr>
          <w:trHeight w:val="210"/>
        </w:trPr>
        <w:tc>
          <w:tcPr>
            <w:tcW w:w="9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340"/>
              <w:spacing w:after="0"/>
              <w:rPr>
                <w:sz w:val="20"/>
                <w:szCs w:val="20"/>
                <w:color w:val="auto"/>
              </w:rPr>
            </w:pPr>
            <w:r>
              <w:rPr>
                <w:rFonts w:ascii="Arial" w:cs="Arial" w:eastAsia="Arial" w:hAnsi="Arial"/>
                <w:sz w:val="18"/>
                <w:szCs w:val="18"/>
                <w:color w:val="auto"/>
              </w:rPr>
              <w:t>Weighted average number, in thousands</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13,476</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7,423</w:t>
            </w:r>
          </w:p>
        </w:tc>
      </w:tr>
      <w:tr>
        <w:trPr>
          <w:trHeight w:val="216"/>
        </w:trPr>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exercise price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27.98</w:t>
            </w:r>
          </w:p>
        </w:tc>
      </w:tr>
      <w:tr>
        <w:trPr>
          <w:trHeight w:val="216"/>
        </w:trPr>
        <w:tc>
          <w:tcPr>
            <w:tcW w:w="9400" w:type="dxa"/>
            <w:vAlign w:val="bottom"/>
          </w:tcPr>
          <w:p>
            <w:pPr>
              <w:ind w:left="120"/>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in thousands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400" w:type="dxa"/>
            <w:vAlign w:val="bottom"/>
          </w:tcPr>
          <w:p>
            <w:pPr>
              <w:ind w:left="120"/>
              <w:spacing w:after="0"/>
              <w:rPr>
                <w:sz w:val="20"/>
                <w:szCs w:val="20"/>
                <w:color w:val="auto"/>
              </w:rPr>
            </w:pPr>
            <w:r>
              <w:rPr>
                <w:rFonts w:ascii="Arial" w:cs="Arial" w:eastAsia="Arial" w:hAnsi="Arial"/>
                <w:sz w:val="18"/>
                <w:szCs w:val="18"/>
                <w:color w:val="auto"/>
              </w:rPr>
              <w:t>Convertible Debt: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in thousands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6,611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9400" w:type="dxa"/>
            <w:vAlign w:val="bottom"/>
          </w:tcPr>
          <w:p>
            <w:pPr>
              <w:ind w:left="340"/>
              <w:spacing w:after="0"/>
              <w:rPr>
                <w:sz w:val="20"/>
                <w:szCs w:val="20"/>
                <w:color w:val="auto"/>
              </w:rPr>
            </w:pPr>
            <w:r>
              <w:rPr>
                <w:rFonts w:ascii="Arial" w:cs="Arial" w:eastAsia="Arial" w:hAnsi="Arial"/>
                <w:sz w:val="18"/>
                <w:szCs w:val="18"/>
                <w:color w:val="auto"/>
              </w:rPr>
              <w:t>Conversion price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30.25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Employee Compensation</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Statement of Financial Accounting Standards (“SFAS”) No. 123, </w:t>
      </w:r>
      <w:r>
        <w:rPr>
          <w:rFonts w:ascii="Arial" w:cs="Arial" w:eastAsia="Arial" w:hAnsi="Arial"/>
          <w:sz w:val="18"/>
          <w:szCs w:val="18"/>
          <w:i w:val="1"/>
          <w:iCs w:val="1"/>
          <w:color w:val="auto"/>
        </w:rPr>
        <w:t>Accounting for Stock-Based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 using the modified prospective method as described in SFAS No. 148,</w:t>
      </w:r>
      <w:r>
        <w:rPr>
          <w:rFonts w:ascii="Arial" w:cs="Arial" w:eastAsia="Arial" w:hAnsi="Arial"/>
          <w:sz w:val="16"/>
          <w:szCs w:val="16"/>
          <w:i w:val="1"/>
          <w:iCs w:val="1"/>
          <w:color w:val="auto"/>
        </w:rPr>
        <w:t xml:space="preserve"> Accounting for Stock-Based Compensation—Transition and Disclosure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the Company has begun recognizing expense, in an amount equal to the fair value of share-based payments (including stock option awards) on their date of grant, over the vesting period of the awards. Under the modified prospective method, compensation expense for the Company is recognized for</w:t>
      </w:r>
    </w:p>
    <w:p>
      <w:pPr>
        <w:ind w:right="40" w:firstLine="8"/>
        <w:spacing w:after="0" w:line="287"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all share based payments granted on or after January 1, 2005, (including replacement options granted under the Company’s stock option exchange program which concluded on January 5, 2005 (see Note 11))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Therefore, compensation expense related to employee stock options was not reflected in operating expenses in any period prior to the first quarter of 2005 and prior period results have not been restated. In the first quarter of 2005, non-cash stock-based employee compensation expense related to stock options awards (“Stock Option Expense”) totaled $5,541, of which $5,379 was recognized in operating expenses and $162 was capitalized in inventory. In the first quarter of 2004, had the Company adopted the fair value based method of accounting for stock-based employee compensation under the provisions of SFAS No. 123, Stock Option Expense would have totaled $8,925 and the effect on the Company’s net income and net income per share would have been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4"/>
          </w:tcPr>
          <w:p>
            <w:pPr>
              <w:jc w:val="right"/>
              <w:ind w:right="1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9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2"/>
              </w:rPr>
              <w:t>March 31,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w w:val="98"/>
              </w:rPr>
              <w:t>Deduct: Total stock-based employee compensation expense determined under fair value based method for all awards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Pro forma net income, basic</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net income, 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58,357</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Basic net income per share amounts:</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Pro forma</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amounts: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fair value of each option granted from the Regeneron Pharmaceuticals, Inc. 2000 Long-Term Incentive Plan (“2000 Incentive Plan”) during the three months ended March 31, 2005 and 2004 was estimated on the date of grant using the Black-Scholes option-pricing model. Using this model, fair value is calculated based on assumptions with respect to (i) expected volatility of the Company’s Common Stock price, (ii) the periods of time over which employees and Board Directors are expected to hold their options prior to exercise (expected lives), (iii) expected dividend yield on the Company’s Common Stock, and</w:t>
      </w:r>
    </w:p>
    <w:p>
      <w:pPr>
        <w:spacing w:after="0" w:line="2" w:lineRule="exact"/>
        <w:rPr>
          <w:sz w:val="20"/>
          <w:szCs w:val="20"/>
          <w:color w:val="auto"/>
        </w:rPr>
      </w:pPr>
    </w:p>
    <w:p>
      <w:pPr>
        <w:ind w:right="80" w:firstLine="8"/>
        <w:spacing w:after="0" w:line="269"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based, in part, on the Company’s limited historical exercise experience with option grants with similar exercise prices and, in part, on comparisons to expected lives reported by peers in the biotechnology industry. The expected dividend yield is zero as the Company has never paid dividends and does not currently anticipate paying any in the foreseeable future. The weighted-average fair value of the options granted during the three months ended March 31, 2005 and 2004 was $5.86 and $11.00 per option, respectively. The following table summarizes the weighted average values of the assumptions used in computing the fair value of option grants.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spacing w:after="0"/>
              <w:rPr>
                <w:sz w:val="14"/>
                <w:szCs w:val="14"/>
                <w:color w:val="auto"/>
              </w:rPr>
            </w:pPr>
          </w:p>
        </w:tc>
        <w:tc>
          <w:tcPr>
            <w:tcW w:w="2020" w:type="dxa"/>
            <w:vAlign w:val="bottom"/>
            <w:gridSpan w:val="4"/>
          </w:tcPr>
          <w:p>
            <w:pPr>
              <w:jc w:val="right"/>
              <w:ind w:right="180"/>
              <w:spacing w:after="0"/>
              <w:rPr>
                <w:sz w:val="20"/>
                <w:szCs w:val="20"/>
                <w:color w:val="auto"/>
              </w:rPr>
            </w:pPr>
            <w:r>
              <w:rPr>
                <w:rFonts w:ascii="Arial" w:cs="Arial" w:eastAsia="Arial" w:hAnsi="Arial"/>
                <w:sz w:val="14"/>
                <w:szCs w:val="14"/>
                <w:color w:val="auto"/>
                <w:w w:val="93"/>
              </w:rPr>
              <w:t>Three months ended March 31,</w:t>
            </w:r>
          </w:p>
        </w:tc>
      </w:tr>
      <w:tr>
        <w:trPr>
          <w:trHeight w:val="142"/>
        </w:trPr>
        <w:tc>
          <w:tcPr>
            <w:tcW w:w="9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2005</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6.2 years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 years</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bl>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the 2000 Incentive Plan, the Company also awards shares of restricted stock.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March 31, 2005 and 2004, the Company recognized compensation expense related to restricted stock awards of $502 and $671,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8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Included in accounts payable and accrued expenses at March 31, 2005 and December 31, 2004 are $827 and $550, respectively, of accrued capital expenditures. Included in accounts payable and accrued expenses at March 31, 2004 and December 31, 2003 are $452 and $752, respectively, of accrued capital expenditures.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4"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2004 and 2003 are $632 and $917, respectively, of accrued Company 401(k) Savings Plan contribution expense. In the first quarter of both 2005 and 2004, the Company contributed 90,385 and 64,333 shares, respectively, of Common Stock to the 401(k) Savings Plan in satisfaction of these obligations.</w:t>
      </w:r>
    </w:p>
    <w:p>
      <w:pPr>
        <w:spacing w:after="0" w:line="141"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Included in marketable securities at March 31, 2005 and December 31, 2004 are $1,760 and $2,601, respectively, of accrued interest income. Included in marketable securities at March 31, 2004 and December 31, 2003 are $1,023 and $878, respectively, of accrued interest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02"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has revised the classification of its investments in auction rate securities from cash and cash equivalents to short-term investments on its balance sheet at December 31, 2004.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$6,005 decrease in cash and cash equivalents and corresponding increase in short-term marketable securities at December 31, 2004. The Company held no auction rate securities at March 31, 2005. In addition, the Company revised its statement of cash flows for the three months ended March 31, 2004 to reflect the purchases and sales of these securities as investing activities rather than as a component of cash and cash equivalents, resulting in a $3,001 increase in cash flows from investing activities. This change in classification had no impact on the Company’s previously reported current assets, net income (loss), or cash flows from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March 31, 2005 and December 31, 2004 consist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March 31,</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Receivable from The Procter &amp; Gamble Company</w:t>
            </w:r>
          </w:p>
        </w:tc>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Merck &amp; Co., Inc.</w:t>
            </w:r>
          </w:p>
        </w:tc>
        <w:tc>
          <w:tcPr>
            <w:tcW w:w="4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4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10,371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740" w:type="dxa"/>
            <w:vAlign w:val="bottom"/>
            <w:vMerge w:val="restart"/>
          </w:tcPr>
          <w:p>
            <w:pPr>
              <w:jc w:val="right"/>
              <w:ind w:right="349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 of raw materials, work-in process, and finished products associated with the production of an intermediate for a Merck &amp; Co.,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pediatric vaccine under a long-term manufacturing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March 31, 2005 and December 31, 2004 consist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7"/>
          </w:tcPr>
          <w:p>
            <w:pPr>
              <w:ind w:left="40"/>
              <w:spacing w:after="0"/>
              <w:rPr>
                <w:sz w:val="20"/>
                <w:szCs w:val="20"/>
                <w:color w:val="auto"/>
              </w:rPr>
            </w:pPr>
            <w:r>
              <w:rPr>
                <w:rFonts w:ascii="Arial" w:cs="Arial" w:eastAsia="Arial" w:hAnsi="Arial"/>
                <w:sz w:val="14"/>
                <w:szCs w:val="14"/>
                <w:color w:val="auto"/>
              </w:rPr>
              <w:t>March 31,</w:t>
            </w:r>
          </w:p>
        </w:tc>
        <w:tc>
          <w:tcPr>
            <w:tcW w:w="1000" w:type="dxa"/>
            <w:vAlign w:val="bottom"/>
            <w:gridSpan w:val="5"/>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color w:val="auto"/>
                <w:w w:val="96"/>
              </w:rPr>
              <w:t>2005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6"/>
              </w:rPr>
              <w:t>2004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Work-in-process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8"/>
                <w:szCs w:val="18"/>
                <w:color w:val="auto"/>
              </w:rPr>
              <w:t>266</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692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91"/>
              </w:rPr>
              <w:t>2,482</w:t>
            </w:r>
            <w:r>
              <w:rPr>
                <w:rFonts w:ascii="Arial" w:cs="Arial" w:eastAsia="Arial" w:hAnsi="Arial"/>
                <w:sz w:val="15"/>
                <w:szCs w:val="15"/>
                <w:color w:val="auto"/>
                <w:w w:val="91"/>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460"/>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Net of reserves of $490.</w:t>
            </w: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60"/>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8"/>
                <w:szCs w:val="18"/>
                <w:color w:val="auto"/>
              </w:rPr>
              <w:t>Net of reserves of $427.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460"/>
              <w:spacing w:after="0"/>
              <w:rPr>
                <w:sz w:val="20"/>
                <w:szCs w:val="20"/>
                <w:color w:val="auto"/>
              </w:rPr>
            </w:pPr>
            <w:r>
              <w:rPr>
                <w:rFonts w:ascii="Arial" w:cs="Arial" w:eastAsia="Arial" w:hAnsi="Arial"/>
                <w:sz w:val="15"/>
                <w:szCs w:val="15"/>
                <w:color w:val="auto"/>
              </w:rPr>
              <w:t xml:space="preserve">(3) </w:t>
            </w:r>
            <w:r>
              <w:rPr>
                <w:rFonts w:ascii="Arial" w:cs="Arial" w:eastAsia="Arial" w:hAnsi="Arial"/>
                <w:sz w:val="18"/>
                <w:szCs w:val="18"/>
                <w:color w:val="auto"/>
              </w:rPr>
              <w:t>Net of reserves of $256.</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20" w:type="dxa"/>
            <w:vAlign w:val="bottom"/>
          </w:tcPr>
          <w:p>
            <w:pPr>
              <w:spacing w:after="0"/>
              <w:rPr>
                <w:sz w:val="20"/>
                <w:szCs w:val="20"/>
                <w:color w:val="auto"/>
              </w:rPr>
            </w:pPr>
            <w:r>
              <w:rPr>
                <w:rFonts w:ascii="Arial" w:cs="Arial" w:eastAsia="Arial" w:hAnsi="Arial"/>
                <w:sz w:val="18"/>
                <w:szCs w:val="18"/>
                <w:color w:val="auto"/>
                <w:w w:val="96"/>
              </w:rPr>
              <w:t>Accounts payable and accrued expenses as of March 31, 2005 and December 31, 2004 consist of the following:</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8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3,071</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5,596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Accrued expenses, other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17,468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(loss) on marketable securities. The net effect of income taxes on comprehensive income (loss) is immaterial. For the three months ended March 31, 2005 and 2004, the components of comprehensive income (loss) 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20" w:type="dxa"/>
            <w:vAlign w:val="bottom"/>
            <w:gridSpan w:val="7"/>
          </w:tcPr>
          <w:p>
            <w:pPr>
              <w:spacing w:after="0"/>
              <w:rPr>
                <w:sz w:val="20"/>
                <w:szCs w:val="20"/>
                <w:color w:val="auto"/>
              </w:rPr>
            </w:pPr>
            <w:r>
              <w:rPr>
                <w:rFonts w:ascii="Arial" w:cs="Arial" w:eastAsia="Arial" w:hAnsi="Arial"/>
                <w:sz w:val="14"/>
                <w:szCs w:val="14"/>
                <w:color w:val="auto"/>
                <w:w w:val="97"/>
              </w:rPr>
              <w:t>Three months ended March 31,</w:t>
            </w:r>
          </w:p>
        </w:tc>
      </w:tr>
      <w:tr>
        <w:trPr>
          <w:trHeight w:val="142"/>
        </w:trPr>
        <w:tc>
          <w:tcPr>
            <w:tcW w:w="69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64,532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7"/>
        </w:trPr>
        <w:tc>
          <w:tcPr>
            <w:tcW w:w="6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64,601</w:t>
            </w:r>
          </w:p>
        </w:tc>
      </w:tr>
      <w:tr>
        <w:trPr>
          <w:trHeight w:val="20"/>
        </w:trPr>
        <w:tc>
          <w:tcPr>
            <w:tcW w:w="6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Agreement – The sanofi-aventis Group</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September 2003, the Company entered into a collaboration agreement (the “s-a Agreement”) with Aventis Pharmaceuticals, Inc., now a member of the sanofi-aventis Group, to jointly develop and commercialize the Company’s Vascular Endothelial Growth Factor (“VEGF”) Trap. In connection with this agreement, Aventis Pharmaceuticals made a non-refundable up-front payment of $80.0 million and purchased $45.0 million of newly issued, unregistered shares of the Company’s Common Stock.</w:t>
      </w:r>
    </w:p>
    <w:p>
      <w:pPr>
        <w:spacing w:after="0" w:line="16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January 2005, the Company and sanofi-aventis amended the s-a Agreement to exclude rights to develop and commercialize the VEGF Trap for eye diseases through local delivery systems, and these VEGF Trap product rights reverted to Regeneron. In connection with this amendment, sanofi-aventis made a one-time $25.0 million payment to Regeneron in January 2005. Under the s-a Agreement, as amended, Regeneron and sanofi-aventis will share co-promotion rights for and profits on sales, if any, from the VEGF Trap, for disease indications included in the companies’ collaboration.</w:t>
      </w:r>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s-a Agreement, as amended, agreed upon development expenses incurred by both companies during the term of the agreement will be funded by sanofi-aventis. If the collaboration becomes profitable, Regeneron will reimburse sanofi-aventis for 50% of the VEGF Trap development expenses, including 50% of the $25.0 million payment received in connection with the January 2005 amendment to the collaboration agreement, in accordance with a formula based on the amount of development expenses and Regeneron’s share of the collaboration profits, or at a faster rate at Regeneron’s option. In addition, if the first commercial sale of a VEGF Trap product for diseases of the eye through local delivery systems predates the first commercial sale of a VEGF Trap product under the collaboration, Regeneron will begin reimbursing sanofi-aventis for up to $7.5 million of VEGF Trap development expenses commencing two years after such initial commercialization outside the collaboration in accordance with a defined formula, until the first commercial VEGF Trap sale under the collaboration occurs.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Exchange Program</w:t>
      </w:r>
    </w:p>
    <w:p>
      <w:pPr>
        <w:spacing w:after="0" w:line="229" w:lineRule="exact"/>
        <w:rPr>
          <w:sz w:val="20"/>
          <w:szCs w:val="20"/>
          <w:color w:val="auto"/>
        </w:rPr>
      </w:pPr>
    </w:p>
    <w:p>
      <w:pPr>
        <w:ind w:left="140" w:right="100"/>
        <w:spacing w:after="0" w:line="302" w:lineRule="auto"/>
        <w:rPr>
          <w:sz w:val="20"/>
          <w:szCs w:val="20"/>
          <w:color w:val="auto"/>
        </w:rPr>
      </w:pPr>
      <w:r>
        <w:rPr>
          <w:rFonts w:ascii="Arial" w:cs="Arial" w:eastAsia="Arial" w:hAnsi="Arial"/>
          <w:sz w:val="16"/>
          <w:szCs w:val="16"/>
          <w:color w:val="auto"/>
        </w:rPr>
        <w:t>In December 2004, the Company’s shareholders approved a stock option exchange program. Under the program, Company regular employees who worked an average of 20 hours per week, other than the Company’s chairman and the Company’s president and chief executive officer, were provided the opportunity to make a one-time election to surrender options granted under the Company’s Long-Term Incentive Plans that had an exercise price per share of at least $18.00 and exchange them for replacement options granted under the 2000 Incentive Plan in accordance with the following exchange ratios: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Exchange Ratio</w:t>
            </w: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 of Eligible Options</w:t>
            </w: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Surrendered and Cancelled for Each</w:t>
            </w:r>
          </w:p>
        </w:tc>
      </w:tr>
      <w:tr>
        <w:trPr>
          <w:trHeight w:val="167"/>
        </w:trPr>
        <w:tc>
          <w:tcPr>
            <w:tcW w:w="9020" w:type="dxa"/>
            <w:vAlign w:val="bottom"/>
            <w:gridSpan w:val="2"/>
          </w:tcPr>
          <w:p>
            <w:pPr>
              <w:spacing w:after="0"/>
              <w:rPr>
                <w:sz w:val="20"/>
                <w:szCs w:val="20"/>
                <w:color w:val="auto"/>
              </w:rPr>
            </w:pPr>
            <w:r>
              <w:rPr>
                <w:rFonts w:ascii="Arial" w:cs="Arial" w:eastAsia="Arial" w:hAnsi="Arial"/>
                <w:sz w:val="14"/>
                <w:szCs w:val="14"/>
                <w:color w:val="auto"/>
              </w:rPr>
              <w:t>Exercise Price of Eligible Options</w:t>
            </w:r>
          </w:p>
        </w:tc>
        <w:tc>
          <w:tcPr>
            <w:tcW w:w="3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Replacement Option)</w:t>
            </w:r>
          </w:p>
        </w:tc>
      </w:tr>
      <w:tr>
        <w:trPr>
          <w:trHeight w:val="210"/>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$18.00 to $28.00</w:t>
            </w:r>
          </w:p>
        </w:tc>
        <w:tc>
          <w:tcPr>
            <w:tcW w:w="30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1.50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$28.01 to $37.00</w:t>
            </w:r>
          </w:p>
        </w:tc>
        <w:tc>
          <w:tcPr>
            <w:tcW w:w="2400" w:type="dxa"/>
            <w:vAlign w:val="bottom"/>
            <w:gridSpan w:val="2"/>
          </w:tcPr>
          <w:p>
            <w:pPr>
              <w:jc w:val="center"/>
              <w:ind w:left="210"/>
              <w:spacing w:after="0"/>
              <w:rPr>
                <w:sz w:val="20"/>
                <w:szCs w:val="20"/>
                <w:color w:val="auto"/>
              </w:rPr>
            </w:pPr>
            <w:r>
              <w:rPr>
                <w:rFonts w:ascii="Arial" w:cs="Arial" w:eastAsia="Arial" w:hAnsi="Arial"/>
                <w:sz w:val="18"/>
                <w:szCs w:val="18"/>
                <w:color w:val="auto"/>
                <w:w w:val="85"/>
              </w:rPr>
              <w:t>2.00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$37.01 and up</w:t>
            </w:r>
          </w:p>
        </w:tc>
        <w:tc>
          <w:tcPr>
            <w:tcW w:w="24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5"/>
              </w:rPr>
              <w:t>3.00</w:t>
            </w:r>
          </w:p>
        </w:tc>
      </w:tr>
    </w:tbl>
    <w:p>
      <w:pPr>
        <w:spacing w:after="0" w:line="202" w:lineRule="exact"/>
        <w:rPr>
          <w:sz w:val="20"/>
          <w:szCs w:val="20"/>
          <w:color w:val="auto"/>
        </w:rPr>
      </w:pPr>
    </w:p>
    <w:p>
      <w:pPr>
        <w:jc w:val="both"/>
        <w:ind w:left="140" w:right="500"/>
        <w:spacing w:after="0" w:line="259" w:lineRule="auto"/>
        <w:rPr>
          <w:sz w:val="20"/>
          <w:szCs w:val="20"/>
          <w:color w:val="auto"/>
        </w:rPr>
      </w:pPr>
      <w:r>
        <w:rPr>
          <w:rFonts w:ascii="Arial" w:cs="Arial" w:eastAsia="Arial" w:hAnsi="Arial"/>
          <w:sz w:val="18"/>
          <w:szCs w:val="18"/>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on January 5, 2005, the Company issued replacement options with respect to a total of 1,977,840 underlying shares of Common Stock at an exercise price of $8.50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225" w:lineRule="exact"/>
        <w:rPr>
          <w:sz w:val="20"/>
          <w:szCs w:val="20"/>
          <w:color w:val="auto"/>
        </w:rPr>
      </w:pPr>
    </w:p>
    <w:p>
      <w:pPr>
        <w:ind w:left="140" w:right="100"/>
        <w:spacing w:after="0" w:line="259"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Contract manufacturing</w:t>
      </w:r>
      <w:r>
        <w:rPr>
          <w:rFonts w:ascii="Arial" w:cs="Arial" w:eastAsia="Arial" w:hAnsi="Arial"/>
          <w:sz w:val="16"/>
          <w:szCs w:val="16"/>
          <w:color w:val="auto"/>
        </w:rPr>
        <w:t>: Includes all revenues and expenses related to the commercial production of products under contract manufacturing arrangements.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produces an intermediate for a Merck &amp; Co., Inc. pediatric vaccine under a long-term manufacturing agreement.</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presents information about reported segments for the three months ended March 31, 2005 and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8"/>
              </w:rPr>
              <w:t>Three months ended March 31, 2005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23"/>
        </w:trPr>
        <w:tc>
          <w:tcPr>
            <w:tcW w:w="45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0"/>
              </w:rPr>
              <w:t>Contract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6"/>
              </w:rPr>
              <w:t>Reconciling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Development</w:t>
            </w:r>
          </w:p>
        </w:tc>
        <w:tc>
          <w:tcPr>
            <w:tcW w:w="3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Manufacturing</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Items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210"/>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$ 13,502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16,209</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060" w:type="dxa"/>
            <w:vAlign w:val="bottom"/>
            <w:gridSpan w:val="3"/>
          </w:tcPr>
          <w:p>
            <w:pPr>
              <w:jc w:val="right"/>
              <w:ind w:right="24"/>
              <w:spacing w:after="0"/>
              <w:rPr>
                <w:sz w:val="20"/>
                <w:szCs w:val="20"/>
                <w:color w:val="auto"/>
              </w:rPr>
            </w:pPr>
            <w:r>
              <w:rPr>
                <w:rFonts w:ascii="Arial" w:cs="Arial" w:eastAsia="Arial" w:hAnsi="Arial"/>
                <w:sz w:val="18"/>
                <w:szCs w:val="18"/>
                <w:color w:val="auto"/>
              </w:rPr>
              <w:t>3,597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contract income</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3,013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3060" w:type="dxa"/>
            <w:vAlign w:val="bottom"/>
            <w:gridSpan w:val="3"/>
          </w:tcPr>
          <w:p>
            <w:pPr>
              <w:jc w:val="right"/>
              <w:ind w:right="24"/>
              <w:spacing w:after="0"/>
              <w:rPr>
                <w:sz w:val="20"/>
                <w:szCs w:val="20"/>
                <w:color w:val="auto"/>
              </w:rPr>
            </w:pPr>
            <w:r>
              <w:rPr>
                <w:rFonts w:ascii="Arial" w:cs="Arial" w:eastAsia="Arial" w:hAnsi="Arial"/>
                <w:sz w:val="18"/>
                <w:szCs w:val="18"/>
                <w:color w:val="auto"/>
              </w:rPr>
              <w:t>1,637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77,527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387,779</w:t>
            </w:r>
            <w:r>
              <w:rPr>
                <w:rFonts w:ascii="Arial" w:cs="Arial" w:eastAsia="Arial" w:hAnsi="Arial"/>
                <w:sz w:val="15"/>
                <w:szCs w:val="15"/>
                <w:color w:val="auto"/>
                <w:w w:val="91"/>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470,292</w:t>
            </w:r>
          </w:p>
        </w:tc>
        <w:tc>
          <w:tcPr>
            <w:tcW w:w="100" w:type="dxa"/>
            <w:vAlign w:val="bottom"/>
            <w:shd w:val="clear" w:color="auto" w:fill="CCEEFF"/>
          </w:tcPr>
          <w:p>
            <w:pPr>
              <w:spacing w:after="0"/>
              <w:rPr>
                <w:sz w:val="18"/>
                <w:szCs w:val="18"/>
                <w:color w:val="auto"/>
              </w:rPr>
            </w:pPr>
          </w:p>
        </w:tc>
      </w:tr>
      <w:tr>
        <w:trPr>
          <w:trHeight w:val="365"/>
        </w:trPr>
        <w:tc>
          <w:tcPr>
            <w:tcW w:w="4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8"/>
              </w:rPr>
              <w:t>Three months ended March 31, 2004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23"/>
        </w:trPr>
        <w:tc>
          <w:tcPr>
            <w:tcW w:w="45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2"/>
              </w:rPr>
              <w:t>Research &amp;</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0"/>
              </w:rPr>
              <w:t>Contract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6"/>
              </w:rPr>
              <w:t>Reconciling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Development</w:t>
            </w:r>
          </w:p>
        </w:tc>
        <w:tc>
          <w:tcPr>
            <w:tcW w:w="3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Manufacturing</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Items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210"/>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$ 59,380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61,990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060" w:type="dxa"/>
            <w:vAlign w:val="bottom"/>
            <w:gridSpan w:val="3"/>
          </w:tcPr>
          <w:p>
            <w:pPr>
              <w:jc w:val="right"/>
              <w:ind w:right="24"/>
              <w:spacing w:after="0"/>
              <w:rPr>
                <w:sz w:val="20"/>
                <w:szCs w:val="20"/>
                <w:color w:val="auto"/>
              </w:rPr>
            </w:pPr>
            <w:r>
              <w:rPr>
                <w:rFonts w:ascii="Arial" w:cs="Arial" w:eastAsia="Arial" w:hAnsi="Arial"/>
                <w:sz w:val="18"/>
                <w:szCs w:val="18"/>
                <w:color w:val="auto"/>
              </w:rPr>
              <w:t>3,512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contract income</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42,750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42,750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3060" w:type="dxa"/>
            <w:vAlign w:val="bottom"/>
            <w:gridSpan w:val="3"/>
          </w:tcPr>
          <w:p>
            <w:pPr>
              <w:jc w:val="right"/>
              <w:ind w:right="24"/>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3,010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66,033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64,532</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3060" w:type="dxa"/>
            <w:vAlign w:val="bottom"/>
            <w:gridSpan w:val="3"/>
          </w:tcPr>
          <w:p>
            <w:pPr>
              <w:jc w:val="right"/>
              <w:ind w:right="24"/>
              <w:spacing w:after="0"/>
              <w:rPr>
                <w:sz w:val="20"/>
                <w:szCs w:val="20"/>
                <w:color w:val="auto"/>
              </w:rPr>
            </w:pPr>
            <w:r>
              <w:rPr>
                <w:rFonts w:ascii="Arial" w:cs="Arial" w:eastAsia="Arial" w:hAnsi="Arial"/>
                <w:sz w:val="18"/>
                <w:szCs w:val="18"/>
                <w:color w:val="auto"/>
              </w:rPr>
              <w:t>685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30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133,931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12,665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359,582</w:t>
            </w:r>
            <w:r>
              <w:rPr>
                <w:rFonts w:ascii="Arial" w:cs="Arial" w:eastAsia="Arial" w:hAnsi="Arial"/>
                <w:sz w:val="15"/>
                <w:szCs w:val="15"/>
                <w:color w:val="auto"/>
                <w:w w:val="91"/>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506,178</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ind w:left="700" w:right="120" w:hanging="260"/>
        <w:spacing w:after="0" w:line="258" w:lineRule="auto"/>
        <w:tabs>
          <w:tab w:leader="none" w:pos="700" w:val="left"/>
        </w:tabs>
        <w:numPr>
          <w:ilvl w:val="1"/>
          <w:numId w:val="5"/>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1" w:lineRule="exact"/>
        <w:rPr>
          <w:rFonts w:ascii="Arial" w:cs="Arial" w:eastAsia="Arial" w:hAnsi="Arial"/>
          <w:sz w:val="15"/>
          <w:szCs w:val="15"/>
          <w:color w:val="auto"/>
        </w:rPr>
      </w:pPr>
    </w:p>
    <w:p>
      <w:pPr>
        <w:ind w:left="700" w:hanging="260"/>
        <w:spacing w:after="0"/>
        <w:tabs>
          <w:tab w:leader="none" w:pos="700" w:val="left"/>
        </w:tabs>
        <w:numPr>
          <w:ilvl w:val="1"/>
          <w:numId w:val="5"/>
        </w:numPr>
        <w:rPr>
          <w:rFonts w:ascii="Arial" w:cs="Arial" w:eastAsia="Arial" w:hAnsi="Arial"/>
          <w:sz w:val="15"/>
          <w:szCs w:val="15"/>
          <w:color w:val="auto"/>
        </w:rPr>
      </w:pPr>
      <w:r>
        <w:rPr>
          <w:rFonts w:ascii="Arial" w:cs="Arial" w:eastAsia="Arial" w:hAnsi="Arial"/>
          <w:sz w:val="18"/>
          <w:szCs w:val="18"/>
          <w:color w:val="auto"/>
        </w:rPr>
        <w:t>Represents investment income, net of interest expense related primarily to convertible notes issued in October 2001.</w:t>
      </w:r>
    </w:p>
    <w:p>
      <w:pPr>
        <w:spacing w:after="0" w:line="9" w:lineRule="exact"/>
        <w:rPr>
          <w:rFonts w:ascii="Arial" w:cs="Arial" w:eastAsia="Arial" w:hAnsi="Arial"/>
          <w:sz w:val="15"/>
          <w:szCs w:val="15"/>
          <w:color w:val="auto"/>
        </w:rPr>
      </w:pPr>
    </w:p>
    <w:p>
      <w:pPr>
        <w:ind w:left="700" w:right="440" w:hanging="260"/>
        <w:spacing w:after="0" w:line="261" w:lineRule="auto"/>
        <w:tabs>
          <w:tab w:leader="none" w:pos="700" w:val="left"/>
        </w:tabs>
        <w:numPr>
          <w:ilvl w:val="1"/>
          <w:numId w:val="5"/>
        </w:numPr>
        <w:rPr>
          <w:rFonts w:ascii="Arial" w:cs="Arial" w:eastAsia="Arial" w:hAnsi="Arial"/>
          <w:sz w:val="15"/>
          <w:szCs w:val="15"/>
          <w:color w:val="auto"/>
        </w:rPr>
      </w:pPr>
      <w:r>
        <w:rPr>
          <w:rFonts w:ascii="Arial" w:cs="Arial" w:eastAsia="Arial" w:hAnsi="Arial"/>
          <w:sz w:val="18"/>
          <w:szCs w:val="18"/>
          <w:color w:val="auto"/>
        </w:rPr>
        <w:t>Includes cash and cash equivalents, marketable securities, restricted marketable securities, prepaid expenses and other current assets, and other assets.</w:t>
      </w:r>
    </w:p>
    <w:p>
      <w:pPr>
        <w:spacing w:after="0" w:line="179" w:lineRule="exact"/>
        <w:rPr>
          <w:rFonts w:ascii="Arial" w:cs="Arial" w:eastAsia="Arial" w:hAnsi="Arial"/>
          <w:sz w:val="15"/>
          <w:szCs w:val="15"/>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a product then being developed by the Company for the treatment of obesity, in violation of Sections 10(b)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and 20(a) of the Securities and Exchange Act of 1934 and Rule 10b-5 promulgated thereunder. Damages are sought in an unspecified amount. The ultimate outcome of this matter cannot presently be determined. Accordingly, no provision for any liability that may result upon the resolution of this matter has been made in the accompanying financial statements.</w:t>
      </w:r>
    </w:p>
    <w:p>
      <w:pPr>
        <w:spacing w:after="0" w:line="14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from time to time, has been subject to other legal claims arising in connection with its business. While the ultimate results of the legal claims cannot be predicted with certainty, at March 31, 2005 there were no asserted claims against the Company which, in the opinion of management, if adversely decided would have a material adverse effect on the Company’s financial position,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Future Impact of Recently Issued Accounting Standards</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123R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is a revision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No. 123R establishes standards for the accounting for transactions in which an entity exchanges its equity instruments for goods or services. SFAS No.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No. 123R is effective for fiscal years beginning after June 15, 2005. The Company will be required to adopt SFAS No. 123R effective for the fiscal year beginning January 1, 2006, and intends to do so using the modified prospective method. Under the modified prospective method, compensation cost is recognized beginning with the effective date based on (a) the requirements of SFAS No. 123R for all share-based payments granted after the effective date and (b) the requirements of SFAS No. 123 for all awards granted to employees prior to the effective date of SFAS No. 123R that remain unvested on the effective date. Although the impact of adopting SFAS No. 123R has not yet been quantified, management believes that the future adoption of this standard may have a material impact on the Company’s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52"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and other diseases and disorders. Developing and commercializing new medicines entails significant risk and expense. Since inception we have not generated any sales or profits from the commercialization of any of our product candidates.</w:t>
      </w:r>
    </w:p>
    <w:p>
      <w:pPr>
        <w:spacing w:after="0" w:line="12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 is a summary of the clinical status of our clinical candidates as of March 31, 2005:</w:t>
      </w:r>
    </w:p>
    <w:p>
      <w:pPr>
        <w:spacing w:after="0" w:line="221" w:lineRule="exact"/>
        <w:rPr>
          <w:sz w:val="20"/>
          <w:szCs w:val="20"/>
          <w:color w:val="auto"/>
        </w:rPr>
      </w:pPr>
    </w:p>
    <w:p>
      <w:pPr>
        <w:ind w:left="1020" w:right="40" w:hanging="445"/>
        <w:spacing w:after="0" w:line="298"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VEGF TRAP — Oncology: </w:t>
      </w:r>
      <w:r>
        <w:rPr>
          <w:rFonts w:ascii="Arial" w:cs="Arial" w:eastAsia="Arial" w:hAnsi="Arial"/>
          <w:sz w:val="16"/>
          <w:szCs w:val="16"/>
          <w:color w:val="auto"/>
        </w:rPr>
        <w:t>Protein-based product candidate designed to bind Vascular Endothelial Growth Factor (called VEGF, also known</w:t>
      </w:r>
      <w:r>
        <w:rPr>
          <w:rFonts w:ascii="Arial" w:cs="Arial" w:eastAsia="Arial" w:hAnsi="Arial"/>
          <w:sz w:val="16"/>
          <w:szCs w:val="16"/>
          <w:b w:val="1"/>
          <w:bCs w:val="1"/>
          <w:color w:val="auto"/>
        </w:rPr>
        <w:t xml:space="preserve"> </w:t>
      </w:r>
      <w:r>
        <w:rPr>
          <w:rFonts w:ascii="Arial" w:cs="Arial" w:eastAsia="Arial" w:hAnsi="Arial"/>
          <w:sz w:val="16"/>
          <w:szCs w:val="16"/>
          <w:color w:val="auto"/>
        </w:rPr>
        <w:t>as 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In 2001, we initiated a dose-escalation phase 1 clinical trial designed to assess the safety and tolerability of the VEGF Trap in subjects with advanced solid tumor malignancies. The preliminary results of this study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020" w:right="220"/>
        <w:spacing w:after="0" w:line="276" w:lineRule="auto"/>
        <w:rPr>
          <w:sz w:val="20"/>
          <w:szCs w:val="20"/>
          <w:color w:val="auto"/>
        </w:rPr>
      </w:pPr>
      <w:r>
        <w:rPr>
          <w:rFonts w:ascii="Arial" w:cs="Arial" w:eastAsia="Arial" w:hAnsi="Arial"/>
          <w:sz w:val="17"/>
          <w:szCs w:val="17"/>
          <w:color w:val="auto"/>
        </w:rPr>
        <w:t>were announced at the annual meeting of the American Society of Clinical Oncology (ASCO) in June 2004 and we updated these results in a poster session at the 16</w:t>
      </w:r>
      <w:r>
        <w:rPr>
          <w:rFonts w:ascii="Arial" w:cs="Arial" w:eastAsia="Arial" w:hAnsi="Arial"/>
          <w:sz w:val="14"/>
          <w:szCs w:val="14"/>
          <w:color w:val="auto"/>
        </w:rPr>
        <w:t>th</w:t>
      </w:r>
      <w:r>
        <w:rPr>
          <w:rFonts w:ascii="Arial" w:cs="Arial" w:eastAsia="Arial" w:hAnsi="Arial"/>
          <w:sz w:val="17"/>
          <w:szCs w:val="17"/>
          <w:color w:val="auto"/>
        </w:rPr>
        <w:t xml:space="preserve"> Annual EORTC-NCI-AACR Symposium on Molecular Targets and Cancer Therapeutics in September 2004. The phase 1 trial was an open label, dose-escalation study conducted at three sites in the United States. The study enrolled and treated 38 patients with incurable, relapsed, or refractory solid tumors with subcutaneous injections of VEGF Trap. In total, the trial enrolled patients with 15 different types of cancer. Preliminary results of this study indicated that:</w:t>
      </w:r>
    </w:p>
    <w:p>
      <w:pPr>
        <w:spacing w:after="0" w:line="173" w:lineRule="exact"/>
        <w:rPr>
          <w:sz w:val="20"/>
          <w:szCs w:val="20"/>
          <w:color w:val="auto"/>
        </w:rPr>
      </w:pPr>
    </w:p>
    <w:p>
      <w:pPr>
        <w:ind w:left="1580" w:hanging="43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VEGF Trap was generally well-tolerated at the dose levels studied, and</w:t>
      </w:r>
    </w:p>
    <w:p>
      <w:pPr>
        <w:spacing w:after="0" w:line="225" w:lineRule="exact"/>
        <w:rPr>
          <w:rFonts w:ascii="Arial" w:cs="Arial" w:eastAsia="Arial" w:hAnsi="Arial"/>
          <w:sz w:val="18"/>
          <w:szCs w:val="18"/>
          <w:color w:val="auto"/>
        </w:rPr>
      </w:pPr>
    </w:p>
    <w:p>
      <w:pPr>
        <w:ind w:left="1580" w:right="40" w:hanging="438"/>
        <w:spacing w:after="0" w:line="277"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circulating levels of the VEGF Trap at the highest dose (1.6 milligrams per kilogram of body weight (mg/kg) per week) were consistent with levels observed to be effective in preclinical models.</w:t>
      </w:r>
    </w:p>
    <w:p>
      <w:pPr>
        <w:spacing w:after="0" w:line="170" w:lineRule="exact"/>
        <w:rPr>
          <w:sz w:val="20"/>
          <w:szCs w:val="20"/>
          <w:color w:val="auto"/>
        </w:rPr>
      </w:pPr>
    </w:p>
    <w:p>
      <w:pPr>
        <w:ind w:left="1020" w:right="440"/>
        <w:spacing w:after="0" w:line="264" w:lineRule="auto"/>
        <w:rPr>
          <w:sz w:val="20"/>
          <w:szCs w:val="20"/>
          <w:color w:val="auto"/>
        </w:rPr>
      </w:pPr>
      <w:r>
        <w:rPr>
          <w:rFonts w:ascii="Arial" w:cs="Arial" w:eastAsia="Arial" w:hAnsi="Arial"/>
          <w:sz w:val="18"/>
          <w:szCs w:val="18"/>
          <w:color w:val="auto"/>
        </w:rPr>
        <w:t>Detailed results of the trial are expected to be submitted for publication in a peer-reviewed journal once all patients complete the extended treatment phase available to patients who maintained stable disease after the initial 10-week treatment period and the full results of the extension phase have been analyzed.</w:t>
      </w:r>
    </w:p>
    <w:p>
      <w:pPr>
        <w:spacing w:after="0" w:line="181" w:lineRule="exact"/>
        <w:rPr>
          <w:sz w:val="20"/>
          <w:szCs w:val="20"/>
          <w:color w:val="auto"/>
        </w:rPr>
      </w:pPr>
    </w:p>
    <w:p>
      <w:pPr>
        <w:ind w:left="1020" w:right="300"/>
        <w:spacing w:after="0" w:line="264" w:lineRule="auto"/>
        <w:rPr>
          <w:sz w:val="20"/>
          <w:szCs w:val="20"/>
          <w:color w:val="auto"/>
        </w:rPr>
      </w:pPr>
      <w:r>
        <w:rPr>
          <w:rFonts w:ascii="Arial" w:cs="Arial" w:eastAsia="Arial" w:hAnsi="Arial"/>
          <w:sz w:val="18"/>
          <w:szCs w:val="18"/>
          <w:color w:val="auto"/>
        </w:rPr>
        <w:t>A second phase 1 trial, which commenced in April 2004, is studying higher VEGF Trap exposures through intravenous administration. This study is also designed to evaluate the safety, tolerability, and pharmacokinetics of intravenous VEGF Trap in advanced cancer patients. Preliminary results of this trial will be presented at the annual meeting of ASCO in May 2005.</w:t>
      </w:r>
    </w:p>
    <w:p>
      <w:pPr>
        <w:spacing w:after="0" w:line="181" w:lineRule="exact"/>
        <w:rPr>
          <w:sz w:val="20"/>
          <w:szCs w:val="20"/>
          <w:color w:val="auto"/>
        </w:rPr>
      </w:pPr>
    </w:p>
    <w:p>
      <w:pPr>
        <w:ind w:left="1020" w:right="520"/>
        <w:spacing w:after="0" w:line="259" w:lineRule="auto"/>
        <w:rPr>
          <w:sz w:val="20"/>
          <w:szCs w:val="20"/>
          <w:color w:val="auto"/>
        </w:rPr>
      </w:pPr>
      <w:r>
        <w:rPr>
          <w:rFonts w:ascii="Arial" w:cs="Arial" w:eastAsia="Arial" w:hAnsi="Arial"/>
          <w:sz w:val="18"/>
          <w:szCs w:val="18"/>
          <w:color w:val="auto"/>
        </w:rPr>
        <w:t>We and the sanofi-aventis Group plan to initiate multiple clinical studies in 2005 to evaluate the VEGF Trap as a single-agent and in combination with other therapies in various cancer indications. During the third quarter of 2004, the U.S. Food and Drug Administration (FDA) granted Fast Track designation to the VEGF Trap for a specific niche cancer indication. As a result of the FDA’s decision, we and sanofi–aventis plan to initiate a clinical trial in that indication in 2005.</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 September 2003, we entered into a collaboration agreement with Aventis Pharmaceuticals, Inc. (now a member of the sanofi-aventis Group)</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to jointly develop and commercialize the VEGF Trap throughout the world with the exception of Japan, where product rights remain with us.</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Under the collaboration agreement, as amended in January 2005, we and sanofi-aventis will share co-promotion rights and profits on sales, if</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any, of the VEGF Trap for disease indications included in our collaboration. In December 2004, we earned a $25.0 million payment from</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sanofi-aventis, which was received in January 2005, upon the achievement of an early stage clinical milestone. We may also receive up to</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$360.0 million in additional milestone payments upon receipt of specified marketing approvals for up to eight VEGF Trap indications in Europe</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the United States</w:t>
      </w:r>
    </w:p>
    <w:p>
      <w:pPr>
        <w:spacing w:after="0" w:line="211"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Under the collaboration agreement, agreed upon development expenses incurred by both companies during the term of the agreement will be funded by sanofi-aventis. If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right="400"/>
        <w:spacing w:after="0" w:line="342" w:lineRule="auto"/>
        <w:rPr>
          <w:sz w:val="20"/>
          <w:szCs w:val="20"/>
          <w:color w:val="auto"/>
        </w:rPr>
      </w:pPr>
      <w:r>
        <w:rPr>
          <w:rFonts w:ascii="Arial" w:cs="Arial" w:eastAsia="Arial" w:hAnsi="Arial"/>
          <w:sz w:val="16"/>
          <w:szCs w:val="16"/>
          <w:color w:val="auto"/>
        </w:rPr>
        <w:t>collaboration becomes profitable, we will reimburse sanofi-aventis for 50% of the VEGF Trap development expenses in accordance with a formula based on the amount of development expenses and our share of the collaboration profit, or at a faster rate at our option.</w:t>
      </w:r>
    </w:p>
    <w:p>
      <w:pPr>
        <w:spacing w:after="0" w:line="120" w:lineRule="exact"/>
        <w:rPr>
          <w:sz w:val="20"/>
          <w:szCs w:val="20"/>
          <w:color w:val="auto"/>
        </w:rPr>
      </w:pPr>
    </w:p>
    <w:p>
      <w:pPr>
        <w:ind w:left="1020" w:right="20" w:hanging="445"/>
        <w:spacing w:after="0" w:line="272"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VEGF TRAP – Eye Diseases</w:t>
      </w:r>
      <w:r>
        <w:rPr>
          <w:rFonts w:ascii="Arial" w:cs="Arial" w:eastAsia="Arial" w:hAnsi="Arial"/>
          <w:sz w:val="17"/>
          <w:szCs w:val="17"/>
          <w:color w:val="auto"/>
        </w:rPr>
        <w:t>: VEGF both stimulates angiogenesis and increases vascular permeability. It has been shown in preclinical studies</w:t>
      </w:r>
      <w:r>
        <w:rPr>
          <w:rFonts w:ascii="Arial" w:cs="Arial" w:eastAsia="Arial" w:hAnsi="Arial"/>
          <w:sz w:val="17"/>
          <w:szCs w:val="17"/>
          <w:b w:val="1"/>
          <w:bCs w:val="1"/>
          <w:color w:val="auto"/>
        </w:rPr>
        <w:t xml:space="preserve"> </w:t>
      </w:r>
      <w:r>
        <w:rPr>
          <w:rFonts w:ascii="Arial" w:cs="Arial" w:eastAsia="Arial" w:hAnsi="Arial"/>
          <w:sz w:val="17"/>
          <w:szCs w:val="17"/>
          <w:color w:val="auto"/>
        </w:rPr>
        <w:t>to be a major pathogenic factor in diabetic retinopathy, diabetic macular edema, and age-related macular degeneration, and is believed to be involved in other medical problems affecting the eyes. In January 2005, we and sanofi-aventis amended our collaboration agreement to exclude rights to develop and commercialize the VEGF Trap for eye diseases through local delivery systems. We now have the exclusive right to develop and commercialize the VEGF Trap for eye diseases through local administration to the eye and plan to initiate a clinical trial of the VEGF Trap delivered through intravitreal injection in mid-2005. While use of the VEGF Trap for eye diseases using systemic delivery remains part of our collaboration with sanofi-aventis, we and sanofi-aventis do not currently intend to pursue further clinical development using systemic delivery of VEGF Trap for eye diseases.</w:t>
      </w:r>
    </w:p>
    <w:p>
      <w:pPr>
        <w:spacing w:after="0" w:line="176" w:lineRule="exact"/>
        <w:rPr>
          <w:rFonts w:ascii="Arial" w:cs="Arial" w:eastAsia="Arial" w:hAnsi="Arial"/>
          <w:sz w:val="17"/>
          <w:szCs w:val="17"/>
          <w:color w:val="auto"/>
        </w:rPr>
      </w:pPr>
    </w:p>
    <w:p>
      <w:pPr>
        <w:ind w:left="1020"/>
        <w:spacing w:after="0" w:line="271" w:lineRule="auto"/>
        <w:rPr>
          <w:rFonts w:ascii="Arial" w:cs="Arial" w:eastAsia="Arial" w:hAnsi="Arial"/>
          <w:sz w:val="17"/>
          <w:szCs w:val="17"/>
          <w:color w:val="auto"/>
        </w:rPr>
      </w:pPr>
      <w:r>
        <w:rPr>
          <w:rFonts w:ascii="Arial" w:cs="Arial" w:eastAsia="Arial" w:hAnsi="Arial"/>
          <w:sz w:val="17"/>
          <w:szCs w:val="17"/>
          <w:color w:val="auto"/>
        </w:rPr>
        <w:t>Two phase 1 clinical trials of the VEGF Trap delivered systemically in patients with the neovascular form of age-related macular degeneration (wet AMD) and diabetic macular edema (DME) were completed in 2004. The results of the study of the VEGF Trap in 25 patients with advanced wet AMD were discussed at the annual meeting of the Association for Research in Vision and Ophthalmology (ARVO) in May 2005. The trial successfully met its pre-specified efficacy endpoint as preliminary results from the trial indicated that the VEGF Trap demonstrated a statistically significant decrease in excess retinal thickness in treated patients, which increased in both magnitude and duration with higher doses. The trial results also showed that the VEGF Trap caused a dose-dependent increase in blood pressure (hypertension), which appears to be a “class-effect” of systemically administered anti-VEGF agents. We plan to initiate a phase 1 trial of the VEGF Trap in mid-2005 in advanced wet AMD patients using direct injections into the eye.</w:t>
      </w:r>
    </w:p>
    <w:p>
      <w:pPr>
        <w:spacing w:after="0" w:line="174" w:lineRule="exact"/>
        <w:rPr>
          <w:rFonts w:ascii="Arial" w:cs="Arial" w:eastAsia="Arial" w:hAnsi="Arial"/>
          <w:sz w:val="17"/>
          <w:szCs w:val="17"/>
          <w:color w:val="auto"/>
        </w:rPr>
      </w:pPr>
    </w:p>
    <w:p>
      <w:pPr>
        <w:ind w:left="1020" w:right="100" w:hanging="445"/>
        <w:spacing w:after="0" w:line="26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INTERLEUKIN-1 TRAP (IL-1 Trap): </w:t>
      </w:r>
      <w:r>
        <w:rPr>
          <w:rFonts w:ascii="Arial" w:cs="Arial" w:eastAsia="Arial" w:hAnsi="Arial"/>
          <w:sz w:val="18"/>
          <w:szCs w:val="18"/>
          <w:color w:val="auto"/>
        </w:rPr>
        <w:t>Protein-based product candidate designed to bind the interleukin-1 (called IL-1) cytokine and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its interaction with cell surface receptors. IL-1 may play an important role in a number of rheumatological and other diseases and disorders, including diseases associated with inflammation in blood vessels.</w:t>
      </w:r>
    </w:p>
    <w:p>
      <w:pPr>
        <w:spacing w:after="0" w:line="180" w:lineRule="exact"/>
        <w:rPr>
          <w:rFonts w:ascii="Arial" w:cs="Arial" w:eastAsia="Arial" w:hAnsi="Arial"/>
          <w:sz w:val="18"/>
          <w:szCs w:val="18"/>
          <w:color w:val="auto"/>
        </w:rPr>
      </w:pPr>
    </w:p>
    <w:p>
      <w:pPr>
        <w:ind w:left="1020"/>
        <w:spacing w:after="0" w:line="293" w:lineRule="auto"/>
        <w:rPr>
          <w:rFonts w:ascii="Arial" w:cs="Arial" w:eastAsia="Arial" w:hAnsi="Arial"/>
          <w:sz w:val="18"/>
          <w:szCs w:val="18"/>
          <w:color w:val="auto"/>
        </w:rPr>
      </w:pPr>
      <w:r>
        <w:rPr>
          <w:rFonts w:ascii="Arial" w:cs="Arial" w:eastAsia="Arial" w:hAnsi="Arial"/>
          <w:sz w:val="16"/>
          <w:szCs w:val="16"/>
          <w:color w:val="auto"/>
        </w:rPr>
        <w:t>In October 2003, we announced that the IL-1 Trap demonstrated evidence of clinical activity and safety in patients with rheumatoid arthritis in a phase 2 dose-ranging study in approximately 200 patients. Patients treated with the highest dose, 100 milligrams of the IL-1 Trap, exhibited non-statistically significant improvements in the proportion of American College of Rheumatology (ACR) 20 responses versus placebo, the primary endpoint of the trial. Patients treated with the IL-1 Trap also exhibited improvements in secondary endpoints of the trial. Patients in this trial experienced statistically significant reductions in C-reactive protein (CRP) levels, and the improvements in CRP levels demonstrated a clear dose response to the IL-1 Trap. The IL-1 Trap was generally well tolerated and no serious drug-related adverse events were reported.</w:t>
      </w:r>
    </w:p>
    <w:p>
      <w:pPr>
        <w:spacing w:after="0" w:line="165" w:lineRule="exact"/>
        <w:rPr>
          <w:sz w:val="20"/>
          <w:szCs w:val="20"/>
          <w:color w:val="auto"/>
        </w:rPr>
      </w:pPr>
    </w:p>
    <w:p>
      <w:pPr>
        <w:ind w:left="1020" w:right="140"/>
        <w:spacing w:after="0" w:line="279" w:lineRule="auto"/>
        <w:rPr>
          <w:sz w:val="20"/>
          <w:szCs w:val="20"/>
          <w:color w:val="auto"/>
        </w:rPr>
      </w:pPr>
      <w:r>
        <w:rPr>
          <w:rFonts w:ascii="Arial" w:cs="Arial" w:eastAsia="Arial" w:hAnsi="Arial"/>
          <w:sz w:val="17"/>
          <w:szCs w:val="17"/>
          <w:color w:val="auto"/>
        </w:rPr>
        <w:t>We are nearing completion of safety and tolerability studies in healthy individuals being treated with higher doses of the IL-1 Trap. We plan to further evaluate the safety and efficacy of the IL-1 Trap in rheumatoid arthritis in a double blind, placebo-controlled, multi-center trial. This trial will be conducted in a larger patient population, testing higher doses of IL-1 Trap for a longer period of time than the phase 2 trial completed in 2003. We expect to evaluate doses of 160 milligrams and 320 milligrams of IL-1 Trap delivered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subcutaneously once a week. Additional trials of the IL-1 Trap will be required to support an application seeking approval to market the IL-1 Trap in rheumatoid arthritis.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xml:space="preserve">In the fourth quarter of 2004, we initiated a pilot study of the IL-1 Trap in patients with </w:t>
      </w:r>
      <w:r>
        <w:rPr>
          <w:rFonts w:ascii="Arial" w:cs="Arial" w:eastAsia="Arial" w:hAnsi="Arial"/>
          <w:sz w:val="17"/>
          <w:szCs w:val="17"/>
          <w:i w:val="1"/>
          <w:iCs w:val="1"/>
          <w:color w:val="auto"/>
        </w:rPr>
        <w:t>CIAS</w:t>
      </w:r>
      <w:r>
        <w:rPr>
          <w:rFonts w:ascii="Arial" w:cs="Arial" w:eastAsia="Arial" w:hAnsi="Arial"/>
          <w:sz w:val="17"/>
          <w:szCs w:val="17"/>
          <w:color w:val="auto"/>
        </w:rPr>
        <w:t>1-Associated Periodic Syndrome (CAPS), a</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xml:space="preserve">spectrum of rare diseases associated with mutations in the </w:t>
      </w:r>
      <w:r>
        <w:rPr>
          <w:rFonts w:ascii="Arial" w:cs="Arial" w:eastAsia="Arial" w:hAnsi="Arial"/>
          <w:sz w:val="17"/>
          <w:szCs w:val="17"/>
          <w:i w:val="1"/>
          <w:iCs w:val="1"/>
          <w:color w:val="auto"/>
        </w:rPr>
        <w:t>CIAS</w:t>
      </w:r>
      <w:r>
        <w:rPr>
          <w:rFonts w:ascii="Arial" w:cs="Arial" w:eastAsia="Arial" w:hAnsi="Arial"/>
          <w:sz w:val="17"/>
          <w:szCs w:val="17"/>
          <w:color w:val="auto"/>
        </w:rPr>
        <w:t>-1 gene. IL-1 appears to play a significant role in these diseases. In</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December 2004, the FDA granted orphan drug status to the IL-1 Trap for the treatment of these diseases. We expect to commence an additional</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trial for this indication in 2005.</w:t>
      </w:r>
    </w:p>
    <w:p>
      <w:pPr>
        <w:spacing w:after="0" w:line="211" w:lineRule="exact"/>
        <w:rPr>
          <w:sz w:val="20"/>
          <w:szCs w:val="20"/>
          <w:color w:val="auto"/>
        </w:rPr>
      </w:pPr>
    </w:p>
    <w:p>
      <w:pPr>
        <w:ind w:left="1020" w:right="360"/>
        <w:spacing w:after="0" w:line="259" w:lineRule="auto"/>
        <w:rPr>
          <w:sz w:val="20"/>
          <w:szCs w:val="20"/>
          <w:color w:val="auto"/>
        </w:rPr>
      </w:pPr>
      <w:r>
        <w:rPr>
          <w:rFonts w:ascii="Arial" w:cs="Arial" w:eastAsia="Arial" w:hAnsi="Arial"/>
          <w:sz w:val="18"/>
          <w:szCs w:val="18"/>
          <w:color w:val="auto"/>
        </w:rPr>
        <w:t>We believe blocking IL-1 could be useful in a number of potential indications where inflammation plays a role. Examples include such indications as osteoarthritis, certain rare genetic diseases, Still’s disease and cardiovascular diseases. In April 2005, we initiated a proof-of-concept study of the IL-1 Trap in osteoarthritis and later in 2005, we plan to initiate several other proof-of-concept studies to identify indications where the IL-1 Trap demonstrates evidence of efficacy and safety.</w:t>
      </w:r>
    </w:p>
    <w:p>
      <w:pPr>
        <w:spacing w:after="0" w:line="187" w:lineRule="exact"/>
        <w:rPr>
          <w:sz w:val="20"/>
          <w:szCs w:val="20"/>
          <w:color w:val="auto"/>
        </w:rPr>
      </w:pPr>
    </w:p>
    <w:p>
      <w:pPr>
        <w:ind w:left="1020" w:right="180"/>
        <w:spacing w:after="0" w:line="286" w:lineRule="auto"/>
        <w:rPr>
          <w:sz w:val="20"/>
          <w:szCs w:val="20"/>
          <w:color w:val="auto"/>
        </w:rPr>
      </w:pPr>
      <w:r>
        <w:rPr>
          <w:rFonts w:ascii="Arial" w:cs="Arial" w:eastAsia="Arial" w:hAnsi="Arial"/>
          <w:sz w:val="17"/>
          <w:szCs w:val="17"/>
          <w:color w:val="auto"/>
        </w:rPr>
        <w:t>Under the terms of our March 2003 collaboration agreement with Novartis Pharma AG, we retain the right to elect to collaborate in the future development and commercialization of a Novartis IL-1 antibody, which is in clinical development, and Novartis has the right to elect to collaborate in the development and commercialization of our second generation IL-1 Trap, which is in pre-clinical development.</w:t>
      </w:r>
    </w:p>
    <w:p>
      <w:pPr>
        <w:spacing w:after="0" w:line="162" w:lineRule="exact"/>
        <w:rPr>
          <w:sz w:val="20"/>
          <w:szCs w:val="20"/>
          <w:color w:val="auto"/>
        </w:rPr>
      </w:pPr>
    </w:p>
    <w:p>
      <w:pPr>
        <w:ind w:left="1020" w:hanging="445"/>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INTERLEUKIN-4/INTERLEUKIN-13 TRAP (IL-4/13 Trap): </w:t>
      </w:r>
      <w:r>
        <w:rPr>
          <w:rFonts w:ascii="Arial" w:cs="Arial" w:eastAsia="Arial" w:hAnsi="Arial"/>
          <w:sz w:val="18"/>
          <w:szCs w:val="18"/>
          <w:color w:val="auto"/>
        </w:rPr>
        <w:t>Protein-based product candidate designed to bind both the interleukin-4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interleukin-13 (called IL-4 and IL-13) cytokines and prevent their interaction with cell surface receptors. Based on preclinical data, IL-4 and IL-13 are thought to play a major role in diseases such as asthma, allergic disorders, and other inflammatory diseases. At a scientific conference during the second quarter of 2004, we presented the results of a placebo-controlled, double-blind, dose escalation phase 1 trial of the IL-4/13 Trap using subcutaneous injections in adult subjects with mild to moderate asthma. The IL-4/13 Trap was generally safe and well tolerated at the doses tested. We plan to initiate a phase 2 trial in the second half of 2005 to evaluate the safety and potential efficacy of the IL-4/13 Trap in asthma or allergy indications.</w:t>
      </w:r>
    </w:p>
    <w:p>
      <w:pPr>
        <w:spacing w:after="0" w:line="19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to our clinical programs, we have research programs focused on angiogenesis, metabolic diseases, muscle atrophy and related disorders, inflammatory conditions, and other diseases and disorders. We also use our Velocigene® and Trap technology platforms to discover and develop new product candidates and are developing our Velocimmune</w:t>
      </w:r>
      <w:r>
        <w:rPr>
          <w:rFonts w:ascii="Arial" w:cs="Arial" w:eastAsia="Arial" w:hAnsi="Arial"/>
          <w:sz w:val="15"/>
          <w:szCs w:val="15"/>
          <w:color w:val="auto"/>
        </w:rPr>
        <w:t>TM</w:t>
      </w:r>
      <w:r>
        <w:rPr>
          <w:rFonts w:ascii="Arial" w:cs="Arial" w:eastAsia="Arial" w:hAnsi="Arial"/>
          <w:sz w:val="18"/>
          <w:szCs w:val="18"/>
          <w:color w:val="auto"/>
        </w:rPr>
        <w:t xml:space="preserve"> platform to create fully human, therapeutic antibodies.</w:t>
      </w:r>
    </w:p>
    <w:p>
      <w:pPr>
        <w:spacing w:after="0" w:line="154"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U.S. Food and Drug Administration (or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53" w:lineRule="exact"/>
        <w:rPr>
          <w:sz w:val="20"/>
          <w:szCs w:val="20"/>
          <w:color w:val="auto"/>
        </w:rPr>
      </w:pPr>
    </w:p>
    <w:p>
      <w:pPr>
        <w:ind w:right="1000" w:firstLine="225"/>
        <w:spacing w:after="0" w:line="342" w:lineRule="auto"/>
        <w:rPr>
          <w:sz w:val="20"/>
          <w:szCs w:val="20"/>
          <w:color w:val="auto"/>
        </w:rPr>
      </w:pPr>
      <w:r>
        <w:rPr>
          <w:rFonts w:ascii="Arial" w:cs="Arial" w:eastAsia="Arial" w:hAnsi="Arial"/>
          <w:sz w:val="16"/>
          <w:szCs w:val="16"/>
          <w:color w:val="auto"/>
        </w:rPr>
        <w:t>From inception on January 8, 1988 through March 31, 2005, we had a cumulative loss of $494.0 million. In the absence of revenues from the commercialization of our product candidates or other sources, the amount, timing, nature, or source of which cannot be predicted, our losses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will continue as we conduct our research and development activities. We expect to incur substantial losses over the next several years as we continue the clinical development of the VEGF Trap, IL-1 Trap, and IL-4/13 Trap; advance new product candidates into clinical development from our existing research programs; continue our research and development programs; and commercialize product candidates that receive regulatory approval, if any.</w:t>
      </w:r>
    </w:p>
    <w:p>
      <w:pPr>
        <w:spacing w:after="0" w:line="12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141"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first quarter 2005 events and plans for the remainder of 2005 are as follows:</w:t>
      </w:r>
    </w:p>
    <w:p>
      <w:pPr>
        <w:sectPr>
          <w:pgSz w:w="11900" w:h="16838" w:orient="portrait"/>
          <w:cols w:equalWidth="0" w:num="1">
            <w:col w:w="11420"/>
          </w:cols>
          <w:pgMar w:left="240" w:top="419" w:right="239" w:bottom="1440" w:gutter="0" w:footer="0" w:header="0"/>
        </w:sect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Product Candidate</w:t>
            </w:r>
          </w:p>
        </w:tc>
        <w:tc>
          <w:tcPr>
            <w:tcW w:w="2000" w:type="dxa"/>
            <w:vAlign w:val="bottom"/>
            <w:vMerge w:val="restart"/>
          </w:tcPr>
          <w:p>
            <w:pPr>
              <w:ind w:left="1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2005 Events to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tcPr>
          <w:p>
            <w:pPr>
              <w:spacing w:after="0" w:line="195" w:lineRule="exact"/>
              <w:rPr>
                <w:sz w:val="20"/>
                <w:szCs w:val="20"/>
                <w:color w:val="auto"/>
              </w:rPr>
            </w:pPr>
            <w:r>
              <w:rPr>
                <w:rFonts w:ascii="Arial" w:cs="Arial" w:eastAsia="Arial" w:hAnsi="Arial"/>
                <w:sz w:val="18"/>
                <w:szCs w:val="18"/>
                <w:color w:val="auto"/>
              </w:rPr>
              <w:t>VEGF Trap —</w:t>
            </w:r>
          </w:p>
        </w:tc>
        <w:tc>
          <w:tcPr>
            <w:tcW w:w="2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Sanofi-aventis reaffirmed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Oncology</w:t>
            </w:r>
          </w:p>
        </w:tc>
        <w:tc>
          <w:tcPr>
            <w:tcW w:w="200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their commitment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collaborative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of the VEGF Trap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oncology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920"/>
        <w:spacing w:after="0"/>
        <w:rPr>
          <w:sz w:val="20"/>
          <w:szCs w:val="20"/>
          <w:color w:val="auto"/>
        </w:rPr>
      </w:pPr>
      <w:r>
        <w:rPr>
          <w:rFonts w:ascii="Arial" w:cs="Arial" w:eastAsia="Arial" w:hAnsi="Arial"/>
          <w:sz w:val="14"/>
          <w:szCs w:val="14"/>
          <w:b w:val="1"/>
          <w:bCs w:val="1"/>
          <w:color w:val="auto"/>
        </w:rPr>
        <w:t>Additional 2005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6350</wp:posOffset>
            </wp:positionV>
            <wp:extent cx="2023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 w:lineRule="exact"/>
        <w:rPr>
          <w:sz w:val="20"/>
          <w:szCs w:val="20"/>
          <w:color w:val="auto"/>
        </w:rPr>
      </w:pPr>
    </w:p>
    <w:p>
      <w:pPr>
        <w:ind w:left="424" w:right="960" w:hanging="424"/>
        <w:spacing w:after="0" w:line="25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 additional single-agent and combination trials in cancer</w:t>
      </w:r>
    </w:p>
    <w:p>
      <w:pPr>
        <w:spacing w:after="0" w:line="422" w:lineRule="exact"/>
        <w:rPr>
          <w:sz w:val="20"/>
          <w:szCs w:val="20"/>
          <w:color w:val="auto"/>
        </w:rPr>
      </w:pPr>
    </w:p>
    <w:p>
      <w:pPr>
        <w:sectPr>
          <w:pgSz w:w="11900" w:h="16838" w:orient="portrait"/>
          <w:cols w:equalWidth="0" w:num="2">
            <w:col w:w="7096" w:space="720"/>
            <w:col w:w="3604"/>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VEGF Trap —</w:t>
            </w:r>
          </w:p>
        </w:tc>
        <w:tc>
          <w:tcPr>
            <w:tcW w:w="128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3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Continued preclinical</w:t>
            </w:r>
          </w:p>
        </w:tc>
        <w:tc>
          <w:tcPr>
            <w:tcW w:w="140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3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Commence clinical trial in eye</w:t>
            </w:r>
          </w:p>
        </w:tc>
      </w:tr>
      <w:tr>
        <w:trPr>
          <w:trHeight w:val="216"/>
        </w:trPr>
        <w:tc>
          <w:tcPr>
            <w:tcW w:w="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Eye Diseases</w:t>
            </w: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activities for intraocular</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disease utilizing local delivery</w:t>
            </w:r>
          </w:p>
        </w:tc>
      </w:tr>
      <w:tr>
        <w:trPr>
          <w:trHeight w:val="230"/>
        </w:trPr>
        <w:tc>
          <w:tcPr>
            <w:tcW w:w="2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injection of VEGF Trap</w:t>
            </w:r>
          </w:p>
        </w:tc>
        <w:tc>
          <w:tcPr>
            <w:tcW w:w="1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by intravitreal injections</w:t>
            </w: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IL-1 Trap</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3160" w:type="dxa"/>
            <w:vAlign w:val="bottom"/>
          </w:tcPr>
          <w:p>
            <w:pPr>
              <w:ind w:left="180"/>
              <w:spacing w:after="0"/>
              <w:rPr>
                <w:sz w:val="20"/>
                <w:szCs w:val="20"/>
                <w:color w:val="auto"/>
              </w:rPr>
            </w:pPr>
            <w:r>
              <w:rPr>
                <w:rFonts w:ascii="Arial" w:cs="Arial" w:eastAsia="Arial" w:hAnsi="Arial"/>
                <w:sz w:val="18"/>
                <w:szCs w:val="18"/>
                <w:color w:val="auto"/>
              </w:rPr>
              <w:t>Successfully completed</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Commence clinical trial in</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safety and tolerability</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rheumatoid arthritis</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studies of IL-1 Trap at</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Commence exploratory proof-of-</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higher doses</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concept trials in other</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3160" w:type="dxa"/>
            <w:vAlign w:val="bottom"/>
          </w:tcPr>
          <w:p>
            <w:pPr>
              <w:ind w:left="180"/>
              <w:spacing w:after="0"/>
              <w:rPr>
                <w:sz w:val="20"/>
                <w:szCs w:val="20"/>
                <w:color w:val="auto"/>
              </w:rPr>
            </w:pPr>
            <w:r>
              <w:rPr>
                <w:rFonts w:ascii="Arial" w:cs="Arial" w:eastAsia="Arial" w:hAnsi="Arial"/>
                <w:sz w:val="18"/>
                <w:szCs w:val="18"/>
                <w:color w:val="auto"/>
              </w:rPr>
              <w:t>Commenced clinical trial</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indications</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 osteoarthritis</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Complete CAPS proof-of-</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3160" w:type="dxa"/>
            <w:vAlign w:val="bottom"/>
          </w:tcPr>
          <w:p>
            <w:pPr>
              <w:ind w:left="180"/>
              <w:spacing w:after="0"/>
              <w:rPr>
                <w:sz w:val="20"/>
                <w:szCs w:val="20"/>
                <w:color w:val="auto"/>
              </w:rPr>
            </w:pPr>
            <w:r>
              <w:rPr>
                <w:rFonts w:ascii="Arial" w:cs="Arial" w:eastAsia="Arial" w:hAnsi="Arial"/>
                <w:sz w:val="18"/>
                <w:szCs w:val="18"/>
                <w:color w:val="auto"/>
              </w:rPr>
              <w:t>Successfully completed</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concept study and commence</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initial treatment phase of</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additional trial in this indication</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proof-of-concept study in</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Evaluate IL-1 Trap in other</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i w:val="1"/>
                <w:iCs w:val="1"/>
                <w:color w:val="auto"/>
              </w:rPr>
              <w:t>CIAS</w:t>
            </w:r>
            <w:r>
              <w:rPr>
                <w:rFonts w:ascii="Arial" w:cs="Arial" w:eastAsia="Arial" w:hAnsi="Arial"/>
                <w:sz w:val="18"/>
                <w:szCs w:val="18"/>
                <w:color w:val="auto"/>
              </w:rPr>
              <w:t>1-Associated</w:t>
            </w:r>
          </w:p>
        </w:tc>
        <w:tc>
          <w:tcPr>
            <w:tcW w:w="14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inflammatory conditions</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Periodic Syndrome</w:t>
            </w:r>
          </w:p>
        </w:tc>
        <w:tc>
          <w:tcPr>
            <w:tcW w:w="14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(CAPS)</w:t>
            </w:r>
          </w:p>
        </w:tc>
        <w:tc>
          <w:tcPr>
            <w:tcW w:w="1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IL-4/13 Trap</w:t>
            </w:r>
          </w:p>
        </w:tc>
        <w:tc>
          <w:tcPr>
            <w:tcW w:w="1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Commence clinical trial in</w:t>
            </w:r>
          </w:p>
        </w:tc>
      </w:tr>
      <w:tr>
        <w:trPr>
          <w:trHeight w:val="230"/>
        </w:trPr>
        <w:tc>
          <w:tcPr>
            <w:tcW w:w="2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asthma or allergy indication</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Employee Compensation</w:t>
      </w:r>
    </w:p>
    <w:p>
      <w:pPr>
        <w:spacing w:after="0" w:line="189"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Effective January 1, 2005, we adopted the fair value based method of accounting for stock-based employee compensation under the provisions of Statement of Financial Accounting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Standards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using the modified prospective method as described in SFAS No. 148,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Stock-Based Compensation— Transition and Disclosure</w:t>
      </w:r>
      <w:r>
        <w:rPr>
          <w:rFonts w:ascii="Arial" w:cs="Arial" w:eastAsia="Arial" w:hAnsi="Arial"/>
          <w:sz w:val="17"/>
          <w:szCs w:val="17"/>
          <w:color w:val="auto"/>
        </w:rPr>
        <w:t>. As a result, we have begun recognizing expense in an amount equal to the fair value of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payments (including stock option awards) on their date of grant, over the vesting period of the awards. Under the modified prospective method, we recognize compensation expense for (a) all share based payments granted on or after January 1, 2005, (including replacement options granted under our stock option exchange program which concluded on January 5, 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No. 25), and related interpretations. Therefore, compensation expense related to employee stock options was not reflected in operating expenses in any period prior to the first quarter of 2005 and prior period operating results have not been restated. In the first quarter of 2005, non-cash stock-based employee compensation expense related to stock options awards (“Stock Option Expense”) totaled $5.6 million, of which $5.4 million was recognized in operating expenses and $0.2 million was capitalized in inventory.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85"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We use the Black-Scholes model to estimate the fair value of each option granted from the Regeneron Pharmaceuticals, Inc. 2000 Long-Term Incentive Plan. Using this model, fair value is calculated based on assumptions with respect to (i) expected volatility of our Common Stock price, (ii) the periods of time over which employees and Board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based, in part, on our limited historical exercise experience with option grants with similar exercise prices and, in part, on comparisons to expected lives reported by peers in the biotechnology industry. The expected dividend yield is zero as we have never paid dividends and do not currently anticipate paying any in the foreseeable future. The following table summarizes the weighted average values of the assumptions we used in computing the fair value of option grants during the first quarter of 2005:</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20" w:type="dxa"/>
            <w:vAlign w:val="bottom"/>
            <w:shd w:val="clear" w:color="auto" w:fill="CCEEFF"/>
          </w:tcPr>
          <w:p>
            <w:pPr>
              <w:jc w:val="right"/>
              <w:ind w:right="7290"/>
              <w:spacing w:after="0"/>
              <w:rPr>
                <w:sz w:val="20"/>
                <w:szCs w:val="20"/>
                <w:color w:val="auto"/>
              </w:rPr>
            </w:pPr>
            <w:r>
              <w:rPr>
                <w:rFonts w:ascii="Arial" w:cs="Arial" w:eastAsia="Arial" w:hAnsi="Arial"/>
                <w:sz w:val="18"/>
                <w:szCs w:val="18"/>
                <w:color w:val="auto"/>
              </w:rPr>
              <w:t>75%</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Expected lives</w:t>
            </w:r>
          </w:p>
        </w:tc>
        <w:tc>
          <w:tcPr>
            <w:tcW w:w="9020" w:type="dxa"/>
            <w:vAlign w:val="bottom"/>
          </w:tcPr>
          <w:p>
            <w:pPr>
              <w:jc w:val="right"/>
              <w:ind w:right="7430"/>
              <w:spacing w:after="0"/>
              <w:rPr>
                <w:sz w:val="20"/>
                <w:szCs w:val="20"/>
                <w:color w:val="auto"/>
              </w:rPr>
            </w:pPr>
            <w:r>
              <w:rPr>
                <w:rFonts w:ascii="Arial" w:cs="Arial" w:eastAsia="Arial" w:hAnsi="Arial"/>
                <w:sz w:val="18"/>
                <w:szCs w:val="18"/>
                <w:color w:val="auto"/>
              </w:rPr>
              <w:t>6.2 years</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20" w:type="dxa"/>
            <w:vAlign w:val="bottom"/>
            <w:shd w:val="clear" w:color="auto" w:fill="CCEEFF"/>
          </w:tcPr>
          <w:p>
            <w:pPr>
              <w:jc w:val="right"/>
              <w:ind w:right="7290"/>
              <w:spacing w:after="0"/>
              <w:rPr>
                <w:sz w:val="20"/>
                <w:szCs w:val="20"/>
                <w:color w:val="auto"/>
              </w:rPr>
            </w:pPr>
            <w:r>
              <w:rPr>
                <w:rFonts w:ascii="Arial" w:cs="Arial" w:eastAsia="Arial" w:hAnsi="Arial"/>
                <w:sz w:val="18"/>
                <w:szCs w:val="18"/>
                <w:color w:val="auto"/>
              </w:rPr>
              <w:t>0%</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20" w:type="dxa"/>
            <w:vAlign w:val="bottom"/>
          </w:tcPr>
          <w:p>
            <w:pPr>
              <w:jc w:val="right"/>
              <w:ind w:right="7290"/>
              <w:spacing w:after="0"/>
              <w:rPr>
                <w:sz w:val="20"/>
                <w:szCs w:val="20"/>
                <w:color w:val="auto"/>
              </w:rPr>
            </w:pPr>
            <w:r>
              <w:rPr>
                <w:rFonts w:ascii="Arial" w:cs="Arial" w:eastAsia="Arial" w:hAnsi="Arial"/>
                <w:sz w:val="18"/>
                <w:szCs w:val="18"/>
                <w:color w:val="auto"/>
              </w:rPr>
              <w:t>3.96%</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Changes in any of these estimates may materially affect the amount of stock-based compensation recognized in any period.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2005 and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Measures:</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described above, effective January 1, 2005, Regeneron began recognizing Stock Option Expense in accordance with SFAS No. 123 in each of the categories of expense in our Statement of Operations. Prior to the adoption of SFAS No. 123, Stock Option Expense was not reflected in operating expenses and prior period operating results have not been restated.</w:t>
      </w:r>
    </w:p>
    <w:p>
      <w:pPr>
        <w:spacing w:after="0" w:line="15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discussion of our results of operations for the three months ended March 31, 2005 and 2004 includes certain financial measures that are calculated in a manner different from generally accepted accounting principles (GAAP) and are considered non-GAAP financial measures under United States Securities and Exchange Commission (SEC) rules. These non-GAAP financial measures for the three months ended March 31, 2005 are: (1) pro forma net income and pro forma net income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124"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and a more useful basis for comparing our operating results in the first quarters of 2005 and 2004. In addition, Regeneron’s management uses non-GAAP financial measures which exclude Stock Option Expense internally for operating, budgeting, and financial planning purposes. In our discussion below we have included tables which provide a reconciliation of the differences between these non-GAAP financial measures and the most directly comparable financial measures calculated and presented in accordance with GAAP.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9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Regeneron reported a net loss of $4.1 million, or $0.07 per share (basic and diluted) for the first quarter of 2005 compared with net income of $64.5 million, or $1.17 per basic share and $1.06 per diluted share, for the first quarter of 2004. Excluding Stock Option Expense, Regeneron had pro forma net income of $1.3 million, or $0.02 per share (basic and diluted), in the first quarter of 2005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color w:val="auto"/>
              </w:rPr>
              <w:t>For the three months ended March 31, 2005</w:t>
            </w:r>
          </w:p>
        </w:tc>
        <w:tc>
          <w:tcPr>
            <w:tcW w:w="2960" w:type="dxa"/>
            <w:vAlign w:val="bottom"/>
            <w:vMerge w:val="restart"/>
          </w:tcPr>
          <w:p>
            <w:pPr>
              <w:spacing w:after="0"/>
              <w:rPr>
                <w:sz w:val="14"/>
                <w:szCs w:val="14"/>
                <w:color w:val="auto"/>
              </w:rPr>
            </w:pPr>
          </w:p>
        </w:tc>
        <w:tc>
          <w:tcPr>
            <w:tcW w:w="13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Net Income (Loss)</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9"/>
              </w:rPr>
              <w:t>Net Income (Loss) per Share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96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Basic and Diluted</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(4.1 )</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Add: Stock Option Expense</w:t>
            </w:r>
          </w:p>
        </w:tc>
        <w:tc>
          <w:tcPr>
            <w:tcW w:w="2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 net income, exclusive of Stock Option Expense</w:t>
            </w:r>
          </w:p>
        </w:tc>
        <w:tc>
          <w:tcPr>
            <w:tcW w:w="34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960" w:type="dxa"/>
            <w:vAlign w:val="bottom"/>
            <w:vMerge w:val="restart"/>
          </w:tcPr>
          <w:p>
            <w:pPr>
              <w:jc w:val="right"/>
              <w:ind w:right="2070"/>
              <w:spacing w:after="0"/>
              <w:rPr>
                <w:sz w:val="20"/>
                <w:szCs w:val="20"/>
                <w:color w:val="auto"/>
              </w:rPr>
            </w:pPr>
            <w:r>
              <w:rPr>
                <w:rFonts w:ascii="Arial" w:cs="Arial" w:eastAsia="Arial" w:hAnsi="Arial"/>
                <w:sz w:val="18"/>
                <w:szCs w:val="18"/>
                <w:color w:val="auto"/>
              </w:rPr>
              <w:t>23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in the three months ended March 31, 2005 and 2004 consist of the following: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Novartis Pharma AG</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The Procter &amp; Gamble Company</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6660" w:type="dxa"/>
            <w:vAlign w:val="bottom"/>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Research progress payment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2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0</w:t>
            </w:r>
          </w:p>
        </w:tc>
      </w:tr>
      <w:tr>
        <w:trPr>
          <w:trHeight w:val="20"/>
        </w:trPr>
        <w:tc>
          <w:tcPr>
            <w:tcW w:w="6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total revenue decreased to $16.2 million in the first quarter of 2005 from $62.0 million in the same period of 2004 due primarily to lower revenues related to our collaboration with sanofi-aventis on the VEGF Trap and our prior collaboration with Novartis on the IL-1 Trap.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Sanofi-aventis and Novartis contract research &amp; development revenues for the three months ended March 31, 2005 and 2004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2005 Regeneron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3"/>
              </w:rPr>
              <w:t>Up-front Payment to Regeneron</w:t>
            </w: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For the three months ended March 31, 2005</w:t>
            </w:r>
          </w:p>
        </w:tc>
        <w:tc>
          <w:tcPr>
            <w:tcW w:w="14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Amount</w:t>
            </w:r>
          </w:p>
        </w:tc>
        <w:tc>
          <w:tcPr>
            <w:tcW w:w="1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Deferred Revenue</w:t>
            </w: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Reimbursement</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2005</w:t>
            </w: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at March 31, 2005</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in 2005</w:t>
            </w:r>
          </w:p>
        </w:tc>
        <w:tc>
          <w:tcPr>
            <w:tcW w:w="0" w:type="dxa"/>
            <w:vAlign w:val="bottom"/>
          </w:tcPr>
          <w:p>
            <w:pPr>
              <w:spacing w:after="0"/>
              <w:rPr>
                <w:sz w:val="1"/>
                <w:szCs w:val="1"/>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Sanofi-aventis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311" w:lineRule="exact"/>
        <w:rPr>
          <w:sz w:val="20"/>
          <w:szCs w:val="20"/>
          <w:color w:val="auto"/>
        </w:rPr>
      </w:pPr>
    </w:p>
    <w:p>
      <w:pPr>
        <w:ind w:right="1880"/>
        <w:spacing w:after="0" w:line="238" w:lineRule="auto"/>
        <w:rPr>
          <w:sz w:val="20"/>
          <w:szCs w:val="20"/>
          <w:color w:val="auto"/>
        </w:rPr>
      </w:pPr>
      <w:r>
        <w:rPr>
          <w:rFonts w:ascii="Arial" w:cs="Arial" w:eastAsia="Arial" w:hAnsi="Arial"/>
          <w:sz w:val="14"/>
          <w:szCs w:val="14"/>
          <w:b w:val="1"/>
          <w:bCs w:val="1"/>
          <w:color w:val="auto"/>
        </w:rPr>
        <w:t xml:space="preserve">For the three months ended March 31, 2004 </w:t>
      </w: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0" w:type="dxa"/>
            <w:vAlign w:val="bottom"/>
            <w:vMerge w:val="restart"/>
          </w:tcPr>
          <w:p>
            <w:pPr>
              <w:jc w:val="center"/>
              <w:ind w:right="348"/>
              <w:spacing w:after="0"/>
              <w:rPr>
                <w:sz w:val="20"/>
                <w:szCs w:val="20"/>
                <w:color w:val="auto"/>
              </w:rPr>
            </w:pPr>
            <w:r>
              <w:rPr>
                <w:rFonts w:ascii="Arial" w:cs="Arial" w:eastAsia="Arial" w:hAnsi="Arial"/>
                <w:sz w:val="14"/>
                <w:szCs w:val="14"/>
                <w:b w:val="1"/>
                <w:bCs w:val="1"/>
                <w:color w:val="auto"/>
                <w:w w:val="90"/>
              </w:rPr>
              <w:t>2004 Regeneron</w:t>
            </w:r>
          </w:p>
        </w:tc>
        <w:tc>
          <w:tcPr>
            <w:tcW w:w="6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Up-front Payment to Regeneron</w:t>
            </w:r>
          </w:p>
        </w:tc>
        <w:tc>
          <w:tcPr>
            <w:tcW w:w="220" w:type="dxa"/>
            <w:vAlign w:val="bottom"/>
          </w:tcPr>
          <w:p>
            <w:pPr>
              <w:spacing w:after="0"/>
              <w:rPr>
                <w:sz w:val="14"/>
                <w:szCs w:val="14"/>
                <w:color w:val="auto"/>
              </w:rPr>
            </w:pPr>
          </w:p>
        </w:tc>
        <w:tc>
          <w:tcPr>
            <w:tcW w:w="10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1400" w:type="dxa"/>
            <w:vAlign w:val="bottom"/>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360" w:type="dxa"/>
            <w:vAlign w:val="bottom"/>
          </w:tcPr>
          <w:p>
            <w:pPr>
              <w:jc w:val="center"/>
              <w:ind w:left="189"/>
              <w:spacing w:after="0" w:line="119" w:lineRule="exact"/>
              <w:rPr>
                <w:sz w:val="20"/>
                <w:szCs w:val="20"/>
                <w:color w:val="auto"/>
              </w:rPr>
            </w:pPr>
            <w:r>
              <w:rPr>
                <w:rFonts w:ascii="Arial" w:cs="Arial" w:eastAsia="Arial" w:hAnsi="Arial"/>
                <w:sz w:val="13"/>
                <w:szCs w:val="13"/>
                <w:b w:val="1"/>
                <w:bCs w:val="1"/>
                <w:color w:val="auto"/>
              </w:rPr>
              <w:t>Amount</w:t>
            </w: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Deferred Revenue</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86"/>
              </w:rPr>
              <w:t>Expense</w:t>
            </w:r>
          </w:p>
        </w:tc>
        <w:tc>
          <w:tcPr>
            <w:tcW w:w="620" w:type="dxa"/>
            <w:vAlign w:val="bottom"/>
            <w:vMerge w:val="continue"/>
          </w:tcPr>
          <w:p>
            <w:pPr>
              <w:spacing w:after="0"/>
              <w:rPr>
                <w:sz w:val="12"/>
                <w:szCs w:val="12"/>
                <w:color w:val="auto"/>
              </w:rPr>
            </w:pPr>
          </w:p>
        </w:tc>
        <w:tc>
          <w:tcPr>
            <w:tcW w:w="1360" w:type="dxa"/>
            <w:vAlign w:val="bottom"/>
          </w:tcPr>
          <w:p>
            <w:pPr>
              <w:jc w:val="center"/>
              <w:ind w:left="189"/>
              <w:spacing w:after="0" w:line="149" w:lineRule="exact"/>
              <w:rPr>
                <w:sz w:val="20"/>
                <w:szCs w:val="20"/>
                <w:color w:val="auto"/>
              </w:rPr>
            </w:pPr>
            <w:r>
              <w:rPr>
                <w:rFonts w:ascii="Arial" w:cs="Arial" w:eastAsia="Arial" w:hAnsi="Arial"/>
                <w:sz w:val="14"/>
                <w:szCs w:val="14"/>
                <w:b w:val="1"/>
                <w:bCs w:val="1"/>
                <w:color w:val="auto"/>
                <w:w w:val="89"/>
              </w:rPr>
              <w:t>Recognized</w:t>
            </w:r>
          </w:p>
        </w:tc>
        <w:tc>
          <w:tcPr>
            <w:tcW w:w="1540" w:type="dxa"/>
            <w:vAlign w:val="bottom"/>
            <w:gridSpan w:val="2"/>
            <w:vMerge w:val="continue"/>
          </w:tcPr>
          <w:p>
            <w:pPr>
              <w:spacing w:after="0"/>
              <w:rPr>
                <w:sz w:val="12"/>
                <w:szCs w:val="12"/>
                <w:color w:val="auto"/>
              </w:rPr>
            </w:pP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71"/>
        </w:trPr>
        <w:tc>
          <w:tcPr>
            <w:tcW w:w="1400" w:type="dxa"/>
            <w:vAlign w:val="bottom"/>
          </w:tcPr>
          <w:p>
            <w:pPr>
              <w:jc w:val="center"/>
              <w:ind w:right="348"/>
              <w:spacing w:after="0"/>
              <w:rPr>
                <w:sz w:val="20"/>
                <w:szCs w:val="20"/>
                <w:color w:val="auto"/>
              </w:rPr>
            </w:pPr>
            <w:r>
              <w:rPr>
                <w:rFonts w:ascii="Arial" w:cs="Arial" w:eastAsia="Arial" w:hAnsi="Arial"/>
                <w:sz w:val="14"/>
                <w:szCs w:val="14"/>
                <w:b w:val="1"/>
                <w:bCs w:val="1"/>
                <w:color w:val="auto"/>
                <w:w w:val="92"/>
              </w:rPr>
              <w:t>Reimbursement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360" w:type="dxa"/>
            <w:vAlign w:val="bottom"/>
          </w:tcPr>
          <w:p>
            <w:pPr>
              <w:jc w:val="center"/>
              <w:ind w:left="169"/>
              <w:spacing w:after="0"/>
              <w:rPr>
                <w:sz w:val="20"/>
                <w:szCs w:val="20"/>
                <w:color w:val="auto"/>
              </w:rPr>
            </w:pPr>
            <w:r>
              <w:rPr>
                <w:rFonts w:ascii="Arial" w:cs="Arial" w:eastAsia="Arial" w:hAnsi="Arial"/>
                <w:sz w:val="14"/>
                <w:szCs w:val="14"/>
                <w:b w:val="1"/>
                <w:bCs w:val="1"/>
                <w:color w:val="auto"/>
                <w:w w:val="92"/>
              </w:rPr>
              <w:t>in 2004</w:t>
            </w: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at March 31, 2004</w:t>
            </w:r>
          </w:p>
        </w:tc>
        <w:tc>
          <w:tcPr>
            <w:tcW w:w="108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in 2004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580" w:space="720"/>
            <w:col w:w="61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Sanofi-aventis</w:t>
            </w:r>
          </w:p>
        </w:tc>
        <w:tc>
          <w:tcPr>
            <w:tcW w:w="2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8"/>
                <w:szCs w:val="18"/>
                <w:color w:val="auto"/>
              </w:rPr>
              <w:t>73.6</w:t>
            </w: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Novartis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7"/>
        </w:trPr>
        <w:tc>
          <w:tcPr>
            <w:tcW w:w="3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0"/>
        </w:trPr>
        <w:tc>
          <w:tcPr>
            <w:tcW w:w="3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1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Sanofi-aventis reimbursement of Regeneron VEGF Trap expenses decreased in the first quarter of 2005 from the same period in 2004, primarily due to lower costs in 2005 related to our manufacture of VEGF Trap clinical supplies. In the first quarter of 2004, Novartis provided notice of its intention not to proceed with the joint development of the IL-1 Trap and the remaining balance of the $27.0 million up-front payment received from Novartis in March 2003 was recognized as contract research and development revenue. We do not expect future contract research and development revenue from Novartis.</w:t>
      </w:r>
    </w:p>
    <w:p>
      <w:pPr>
        <w:spacing w:after="0" w:line="12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In March 2004, Novartis forgave all of its outstanding loans, including interest, to us totaling $17.8 million, based upon our achievement of a pre-defined IL-1 Trap development milestone, which was recognized as a research progress payment.</w:t>
      </w:r>
    </w:p>
    <w:p>
      <w:pPr>
        <w:spacing w:after="0" w:line="13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Contract manufacturing revenue relates to our long-term agreement with Merck to manufacture a vaccine intermediate at our Rensselaer, New York facility. Contract manufacturing revenue was $2.7 million in the first quarter of 2005 and $2.6 million in the same period of 2004 as we shipped similar quantities of product to Merck each quarter. Revenue and the related manufacturing expense are recognized as product is shipped, after acceptance by Merck. Included in contract manufacturing revenue in the first three months of 2005 and 2004 was $0.3 million and $0.5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agreement. In February 2005, we agreed to extend the manufacturing agreement by one year through October 2006 and provide Merck an opportunity, upon twelve months’ prior notice, to extend the agreement for an additional year through October 2007. As a result, we are recognizing the remaining $2.7 million deferred balance of Merck’s capital improvement reimbursements as of December 31, 2004, as revenue as product is shipped to Merck, based upon our revised estimate of Merck’s order quantities through October 2006.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98"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Total operating expenses increased to $44.5 million in the first quarter of 2005 from $38.2 million in the same period of 2004. Operating expenses in the first quarter of 2005 include a total of $5.4 million of Stock Option Expense,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gridSpan w:val="3"/>
          </w:tcPr>
          <w:p>
            <w:pPr>
              <w:spacing w:after="0" w:line="119" w:lineRule="exact"/>
              <w:rPr>
                <w:sz w:val="20"/>
                <w:szCs w:val="20"/>
                <w:color w:val="auto"/>
              </w:rPr>
            </w:pPr>
            <w:r>
              <w:rPr>
                <w:rFonts w:ascii="Arial" w:cs="Arial" w:eastAsia="Arial" w:hAnsi="Arial"/>
                <w:sz w:val="13"/>
                <w:szCs w:val="13"/>
                <w:b w:val="1"/>
                <w:bCs w:val="1"/>
                <w:i w:val="1"/>
                <w:iCs w:val="1"/>
                <w:color w:val="auto"/>
              </w:rPr>
              <w:t>(in millions)</w:t>
            </w: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Expenses as</w:t>
            </w:r>
          </w:p>
        </w:tc>
        <w:tc>
          <w:tcPr>
            <w:tcW w:w="1240" w:type="dxa"/>
            <w:vAlign w:val="bottom"/>
            <w:gridSpan w:val="4"/>
          </w:tcPr>
          <w:p>
            <w:pPr>
              <w:ind w:left="200"/>
              <w:spacing w:after="0" w:line="119" w:lineRule="exact"/>
              <w:rPr>
                <w:sz w:val="20"/>
                <w:szCs w:val="20"/>
                <w:color w:val="auto"/>
              </w:rPr>
            </w:pPr>
            <w:r>
              <w:rPr>
                <w:rFonts w:ascii="Arial" w:cs="Arial" w:eastAsia="Arial" w:hAnsi="Arial"/>
                <w:sz w:val="13"/>
                <w:szCs w:val="13"/>
                <w:b w:val="1"/>
                <w:bCs w:val="1"/>
                <w:color w:val="auto"/>
              </w:rPr>
              <w:t>Stock Option</w:t>
            </w:r>
          </w:p>
        </w:tc>
        <w:tc>
          <w:tcPr>
            <w:tcW w:w="200" w:type="dxa"/>
            <w:vAlign w:val="bottom"/>
          </w:tcPr>
          <w:p>
            <w:pPr>
              <w:spacing w:after="0"/>
              <w:rPr>
                <w:sz w:val="10"/>
                <w:szCs w:val="10"/>
                <w:color w:val="auto"/>
              </w:rPr>
            </w:pPr>
          </w:p>
        </w:tc>
        <w:tc>
          <w:tcPr>
            <w:tcW w:w="13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3"/>
              </w:rPr>
              <w:t>Expenses exclusive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1"/>
              </w:rPr>
              <w:t>Expenses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Expense</w:t>
            </w:r>
          </w:p>
        </w:tc>
        <w:tc>
          <w:tcPr>
            <w:tcW w:w="1760" w:type="dxa"/>
            <w:vAlign w:val="bottom"/>
            <w:gridSpan w:val="4"/>
          </w:tcPr>
          <w:p>
            <w:pPr>
              <w:ind w:left="200"/>
              <w:spacing w:after="0"/>
              <w:rPr>
                <w:sz w:val="20"/>
                <w:szCs w:val="20"/>
                <w:color w:val="auto"/>
              </w:rPr>
            </w:pPr>
            <w:r>
              <w:rPr>
                <w:rFonts w:ascii="Arial" w:cs="Arial" w:eastAsia="Arial" w:hAnsi="Arial"/>
                <w:sz w:val="14"/>
                <w:szCs w:val="14"/>
                <w:b w:val="1"/>
                <w:bCs w:val="1"/>
                <w:color w:val="auto"/>
              </w:rPr>
              <w:t>Stock Option Expense</w:t>
            </w:r>
          </w:p>
        </w:tc>
        <w:tc>
          <w:tcPr>
            <w:tcW w:w="2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$0.2 million of Stock Option Expense was capitalized into inventory, for a total of $5.6 million of Stock Option Expense recognized in the first quarter of 2005. Stock Option Expense was not included in operating expenses in the first quarter of 2004, as reported in our Statement of Operations. In the first quarter of 2004, had we adopted the fair value based method of accounting for stock-based employee compensation under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provisions of SFAS No. 123, Stock Option Expense would have totaled $8.9 million. The decrease in total Stock Option Expense of $3.3 million in the first quarter of 2005 was primarily due to the lower exercise prices of option grants made by us in December 2004 and, in connection with our stock option exchange program, in January 2005. Exercise prices of these option grants were generally equal to the fair market value of our Common Stock on the date of grant.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Research and development expenses, exclusive of Stock Option Expense, increased slightly to $32.5 million in the first quarter of 2005 from $32.2 million in the same period of 2004. The following table summarizes the major categories of our research and development expenses for the three months ended March 31, 2005 and 2004: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gridSpan w:val="3"/>
          </w:tcPr>
          <w:p>
            <w:pPr>
              <w:spacing w:after="0" w:line="119" w:lineRule="exact"/>
              <w:rPr>
                <w:sz w:val="20"/>
                <w:szCs w:val="20"/>
                <w:color w:val="auto"/>
              </w:rPr>
            </w:pPr>
            <w:r>
              <w:rPr>
                <w:rFonts w:ascii="Arial" w:cs="Arial" w:eastAsia="Arial" w:hAnsi="Arial"/>
                <w:sz w:val="13"/>
                <w:szCs w:val="13"/>
                <w:b w:val="1"/>
                <w:bCs w:val="1"/>
                <w:i w:val="1"/>
                <w:iCs w:val="1"/>
                <w:color w:val="auto"/>
              </w:rPr>
              <w:t>(in millions)</w:t>
            </w:r>
          </w:p>
        </w:tc>
        <w:tc>
          <w:tcPr>
            <w:tcW w:w="11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Expenses as</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 Option</w:t>
            </w:r>
          </w:p>
        </w:tc>
        <w:tc>
          <w:tcPr>
            <w:tcW w:w="180" w:type="dxa"/>
            <w:vAlign w:val="bottom"/>
          </w:tcPr>
          <w:p>
            <w:pPr>
              <w:spacing w:after="0"/>
              <w:rPr>
                <w:sz w:val="10"/>
                <w:szCs w:val="10"/>
                <w:color w:val="auto"/>
              </w:rPr>
            </w:pPr>
          </w:p>
        </w:tc>
        <w:tc>
          <w:tcPr>
            <w:tcW w:w="13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Expenses exclusive of</w:t>
            </w:r>
          </w:p>
        </w:tc>
        <w:tc>
          <w:tcPr>
            <w:tcW w:w="40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3"/>
              </w:rPr>
              <w:t>Expenses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Expense</w:t>
            </w: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Stock Option Expense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Reported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manufacturing costs (1)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Research and preclinical development costs</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right="22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2004, research and development expenses as reported in our Statement of Operations did not include Stock Option Expense.</w:t>
      </w:r>
    </w:p>
    <w:p>
      <w:pPr>
        <w:spacing w:after="0" w:line="225"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Payroll and benefits, exclusive of Stock Option Expense, increased $1.3 million in the first quarter of 2005 compared to the same period in 2004 as we added research and development personnel to support our clinical and research programs, especially for the VEGF Trap and IL-1 Trap. Clinical trial expenses decreased $1.3 million in the first quarter of 2005 compared to the same period in 2004 due to the completion of our IL-4/13 Trap phase 1 trial and of various AXOKINE trials in 2004. These decreases were partially offset by higher clinical trial expenses related to our VEGF Trap and IL-1 Trap clinical programs. Clinical manufacturing costs, exclusive of Stock Option Expenses, increased $0.3 million in the first quarter of 2005 compared to the same period in 2004. In 2005, higher costs for manufacturing IL-1 Trap clinical supplies were largely offset by lower costs for manufacturing VEGF Trap clinical supplies. In the first quarter of 2005, research and preclinical development costs decreased slightly by $0.1 million and occupancy and other operating costs increased slightly by $0.1 million compared to the same period in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85"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Contract manufacturing expenses was $2.5 million in the first quarter of 2005 and $2.2 million in the comparable quarter of 2004. We shipped similar quantities of product to Merck each quarter.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General and administrative expenses, exclusive of Stock Option Expense, increased to $4.1 million in the first quarter of 2005 from $3.8 million in the same period of 2004. In 2005, we incurred higher administrative personnel and facility costs, and higher accounting and other professional fees, primarily related to our efforts to comply with the requirements of Section 404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85"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January 2005, we and sanofi-aventis amended our collaboration agreement to exclude rights to develop and commercialization the VEGF Trap for eye diseases through local delivery systems. In connection with the amendment, sanofi-aventis made a one-time $25.0 million payment to us, which was recognized as other contract income in the first quarter of 2005. In the first quarter of 2004, Novartis notified us of its decision to forgo its right under the collaboration to jointly develop the IL-1 Trap and agreed to pay us $42.75 million to satisfy its obligation to fund development costs for the IL-1 Trap for the nine-month period following its notification and for the two months prior to that notice. The $42.75 million was included in other contract income in the first quarter of 2004.</w:t>
      </w:r>
    </w:p>
    <w:p>
      <w:pPr>
        <w:spacing w:after="0" w:line="166"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Investment income increased to $2.2 million in the first quarter of 2005 from $1.1 million in the same period of 2004 due primarily to higher effective interest rates on investment securities in 2005. Interest expense decreased slightly to $3.0 million in the first quarter of 2005 from $3.1 million in the same period of 2004. Interest expense is attributable primarily to $200.0 million of convertible notes issued in October 2001, which mature in 2008 and bear interest at 5.5% per annum.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Novartis, Procter &amp; Gamble, and Merck, and investment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Classification</w:t>
      </w:r>
    </w:p>
    <w:p>
      <w:pPr>
        <w:spacing w:after="0" w:line="18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revised the classification of our investments in auction rate securities from cash and cash equivalents to short-term investments in our previously issued financial statements.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decrease in cash and cash equivalents and corresponding increase in short-term marketable securities at each balance sheet date. In addition, we revised our statements of cash flows to reflect the purchases and sales of these securities as investing activities rather than as a component of cash and cash equivalents. This change in classification had no impact on our previously reported current assets, net income (loss), or cash flows from operations. We held no auction rate securities at March 31, 2005.</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impact of the revision to the classification of our investments in auction rate securities on previously reported amounts for cash and cash equivalents and short-term marketable securities at December 31, 2004 and 2003, and cash flows provided by (used in) investing activities for the three month, six month, and nine month periods ended March 31, 2004, June 30, 2004, and September 30, 2004, respectively, and the years ended December 31, 2004 and 2003,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Balance Sheet Impact at December 31, 2004 and 2003</w:t>
            </w: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240" w:type="dxa"/>
            <w:vAlign w:val="bottom"/>
            <w:gridSpan w:val="2"/>
          </w:tcPr>
          <w:p>
            <w:pPr>
              <w:spacing w:after="0" w:line="154" w:lineRule="exact"/>
              <w:rPr>
                <w:sz w:val="20"/>
                <w:szCs w:val="20"/>
                <w:color w:val="auto"/>
              </w:rPr>
            </w:pPr>
            <w:r>
              <w:rPr>
                <w:rFonts w:ascii="Arial" w:cs="Arial" w:eastAsia="Arial" w:hAnsi="Arial"/>
                <w:sz w:val="14"/>
                <w:szCs w:val="14"/>
                <w:b w:val="1"/>
                <w:bCs w:val="1"/>
                <w:i w:val="1"/>
                <w:iCs w:val="1"/>
                <w:color w:val="auto"/>
              </w:rPr>
              <w:t>(in millions)</w:t>
            </w:r>
          </w:p>
        </w:tc>
        <w:tc>
          <w:tcPr>
            <w:tcW w:w="4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Revised to reflect auction rate securities as short-term investments: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260" w:type="dxa"/>
            <w:vAlign w:val="bottom"/>
            <w:vMerge w:val="restart"/>
          </w:tcPr>
          <w:p>
            <w:pPr>
              <w:jc w:val="right"/>
              <w:ind w:right="361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right="760"/>
        <w:spacing w:after="0" w:line="233" w:lineRule="auto"/>
        <w:rPr>
          <w:sz w:val="20"/>
          <w:szCs w:val="20"/>
          <w:color w:val="auto"/>
        </w:rPr>
      </w:pPr>
      <w:r>
        <w:rPr>
          <w:rFonts w:ascii="Arial" w:cs="Arial" w:eastAsia="Arial" w:hAnsi="Arial"/>
          <w:sz w:val="14"/>
          <w:szCs w:val="14"/>
          <w:b w:val="1"/>
          <w:bCs w:val="1"/>
          <w:color w:val="auto"/>
        </w:rPr>
        <w:t>Statement of Cash Flows Impact for the three month, six month, and nine month periods ended March 31, June 30, and September 30, 2004, respectively, and the years ended December 31, 2004 and 2003</w:t>
      </w:r>
    </w:p>
    <w:tbl>
      <w:tblPr>
        <w:tblLayout w:type="fixed"/>
        <w:tblInd w:w="0" w:type="dxa"/>
        <w:tblCellMar>
          <w:top w:w="0" w:type="dxa"/>
          <w:left w:w="0" w:type="dxa"/>
          <w:bottom w:w="0" w:type="dxa"/>
          <w:right w:w="0" w:type="dxa"/>
        </w:tblCellMar>
      </w:tblPr>
      <w:tr>
        <w:trPr>
          <w:trHeight w:val="156"/>
        </w:trPr>
        <w:tc>
          <w:tcPr>
            <w:tcW w:w="5380" w:type="dxa"/>
            <w:vAlign w:val="bottom"/>
            <w:gridSpan w:val="2"/>
          </w:tcPr>
          <w:p>
            <w:pPr>
              <w:spacing w:after="0" w:line="156" w:lineRule="exact"/>
              <w:rPr>
                <w:sz w:val="20"/>
                <w:szCs w:val="20"/>
                <w:color w:val="auto"/>
              </w:rPr>
            </w:pPr>
            <w:r>
              <w:rPr>
                <w:rFonts w:ascii="Arial" w:cs="Arial" w:eastAsia="Arial" w:hAnsi="Arial"/>
                <w:sz w:val="14"/>
                <w:szCs w:val="14"/>
                <w:b w:val="1"/>
                <w:bCs w:val="1"/>
                <w:i w:val="1"/>
                <w:iCs w:val="1"/>
                <w:color w:val="auto"/>
              </w:rPr>
              <w:t>(in millions)</w:t>
            </w:r>
          </w:p>
        </w:tc>
        <w:tc>
          <w:tcPr>
            <w:tcW w:w="560" w:type="dxa"/>
            <w:vAlign w:val="bottom"/>
          </w:tcPr>
          <w:p>
            <w:pPr>
              <w:spacing w:after="0"/>
              <w:rPr>
                <w:sz w:val="13"/>
                <w:szCs w:val="13"/>
                <w:color w:val="auto"/>
              </w:rPr>
            </w:pPr>
          </w:p>
        </w:tc>
        <w:tc>
          <w:tcPr>
            <w:tcW w:w="112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March 31,</w:t>
            </w:r>
          </w:p>
        </w:tc>
        <w:tc>
          <w:tcPr>
            <w:tcW w:w="6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3"/>
                <w:szCs w:val="13"/>
                <w:color w:val="auto"/>
              </w:rPr>
            </w:pPr>
          </w:p>
        </w:tc>
        <w:tc>
          <w:tcPr>
            <w:tcW w:w="13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760" w:type="dxa"/>
            <w:vAlign w:val="bottom"/>
            <w:gridSpan w:val="6"/>
          </w:tcPr>
          <w:p>
            <w:pPr>
              <w:jc w:val="right"/>
              <w:ind w:right="580"/>
              <w:spacing w:after="0" w:line="15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9"/>
              </w:rPr>
              <w:t>Revised to reflect auction rate securities as short-term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revised amounts, as applicable, are reflected in this Quarterly Report on Form 10-Q for the period ended March 31, 2005, and will be included in our Quarterly Reports on Form 10-Q for the periods ended June 30 and September 30, 2005 and our Annual Report on Form 10-K for the year ended December 31, 2005.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2005 and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198"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At March 31, 2005, we had $380.5 million in cash, cash equivalents and marketable securities compared with $348.9 million at December 31, 2004. In January 2005, we received two $25.0 million payments from sanofi-aventis. One payment was related to a VEGF Trap clinical milestone that was earned in December 2004. The second payment related to changes to our collaboration agreement with sanofi-aventis that were made in January 2005.</w:t>
      </w:r>
    </w:p>
    <w:p>
      <w:pPr>
        <w:spacing w:after="0" w:line="106"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the first quarter of 2005, our net loss was $4.1 million but cash provided by our operations was $33.1 million, principally due to receipts during the quarter from sanofi-aventis for (i) reimbursement of VEGF Trap development expenses incurred by us and (ii) the $25.0 million clinical milestone payment earned in December 2004. In addition, our net loss in the first quarter of 2005 included $5.9 million of non-cash stock-based employee compensation costs, of which $5.4 million represents Stock Option Expense resulting from our adoption of SFAS No. 123 in January 2005. In the first quarter of 2004, our net income was $64.5 million but we used $18.6 million of cash in operations. The difference between net income and cash usage was primarily due to above-described $42.75 million of other contract income, which was receivable from Novartis at the end of the first quarter of 2004 (and paid in April 2004) and the recognition of $39.9 million of non-cash deferred and research progress payment revenue pursuant to our agreement with Novartis.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98"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Net cash provided by investing activities decreased to $18.4 million in the first quarter of 2005 from $73.2 million in the same period in 2004, due primarily to a decrease in sales or maturities of marketable securities, net of purchases. In the first quarter of 2005, sales or maturities of marketable securities exceeded purchases by $19.8 million, whereas in the first quarter of 2004, sales or maturities of marketable securities exceeded purchases by $74.2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8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Cash provided by financing activities decreased to $1.0 million in the first quarter of 2005 from $4.1 million in the same period in 2004. In accordance with our collaboration agreement with Novartis, we elected to fund our share of 2003 IL-1 Trap development expenses through a loan from Novartis that was forgiven in March 2004 upon our achievement of a pre-defined IL-1 Trap development milestone. In the first quarter of 2004, we drew $3.8 million, excluding interest, against this loan facility for expenses incurred during 2003.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Sanofi-aventis Agreement:</w:t>
      </w:r>
    </w:p>
    <w:p>
      <w:pPr>
        <w:spacing w:after="0" w:line="185"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In January 2005, we and sanofi-aventis amended our collaboration agreement to exclude rights to develop and commercialize the VEGF Trap for eye diseases through local delivery systems. In connection with this amendment, sanofi-aventis made a one-time $25.0 million payment to us. Under the collaboration agreement, as amended, we and sanofi-aventis will share co-promotion rights for and profits on sales, if any, of the VEGF Trap for disease indications included in our collaboration.</w:t>
      </w:r>
    </w:p>
    <w:p>
      <w:pPr>
        <w:spacing w:after="0" w:line="146"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We have agreed to continue to manufacture clinical supplies of the VEGF Trap at our plant in Rensselaer, New York. Sanofi-aventis has agreed to be responsible for providing commercial scale manufacturing capacity for the VEGF Trap. Under the collaboration agreement, as amended, agreed upon development expenses incurred by both companies during the term of the agreement, including costs associated with the manufacture of clinical drug supply, will be funded by sanofi-aventis. If the collaboration becomes profitable, we will reimburse sanofi-aventis for 50% of these development expenses, including 50% of the $25.0 million payment received in connection with the January 2005 amendment to our collaboration agreement, in accordance with a formula based on the amount of development expenses and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share of the collaboration profits, or at a faster rate at our option. In addition, if the first commercial sale of a VEGF Trap product for diseases of the eye through local delivery systems predates the first commercial sale of a VEGF Trap product under the collaboration, we will begin reimbursing sanofi-aventis for up to $7.5 million of VEGF Trap development expenses commencing two years after such initial commercialization outside the collaboration in accordance with a formula until the first commercial VEGF Trap sale under the collaboration occurs.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Our additions to property, plant, and equipment totaled $1.6 million and $0.7 million for the first three months of 2005 and 2004, respectively. During the remainder of 2005, we expect to incur approximately $7 million to $9 million in capital expenditures which primarily consists of equipment for our expanded manufacturing, research, and development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There were no changes to our critical accounting policies and significant judgments and estimates, as described in our Annual Report on Form 10-K for the year ended December 31, 2004, during the quarter ended March 31,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for the remainder of 2005 approximately 55%-65% of our expenditures will be directed toward the preclinical and clinical development of product candidates, including the VEGF Trap, IL-1 Trap, and IL-4/13 Trap; approximately 20%-30% of our expenditures will be applied to our basic research activities and the continued development of our novel technology platforms; and the remainder of our expenditures for 2005 will be used for capital expenditures and general corporate purposes..</w:t>
      </w:r>
    </w:p>
    <w:p>
      <w:pPr>
        <w:spacing w:after="0" w:line="161"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any collaborative research and development collaborations. For example, our agreements with Procter &amp; Gamble and Serono, S.A. expire in 2005.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 Also, under the terms of the sanofi-aventis collaboration agreement, if the collaboration becomes profitable, we will reimburse sanofi-aventis for 50% of the VEGF Trap development expenses, including 50% of the $25.0 million payment received in connection with amending our collaboration agreement in January 2005, in accordance with a formula based on the amount of development expenses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share of the collaboration profits, or at a faster rate at our option. In addition, if the first commercial sale of a VEGF Trap product for diseases of the eye through local delivery systems predates the first commercial sale of a VEGF Trap product under the collaboration, we will begin reimbursing sanofi-aventis for up to $7.5 million of VEGF Trap development expenses commencing two years after such initial commercialization outside the collaboration in accordance with a formula until the first commercial VEGF Trap sale under the collaboration occurs. 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15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30"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mid-2007.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March 31, 2005,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02"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 xml:space="preserve">In December 2004, the Financial Accounting Standards Board issued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No. 123R is a revision of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and supersedes APB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No. 123R establishes standards for the accounting for transactions in which an entity exchanges its equity instruments for goods or services. SFAS No.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No. 123R is effective for fiscal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years beginning after June 15, 2005. We will be required to adopt SFAS No. 123R effective for the fiscal year beginning January 1, 2006, and intend to do so using the modified prospective method. Under the modified prospective method, compensation cost is recognized beginning with the effective date based on</w:t>
      </w:r>
    </w:p>
    <w:p>
      <w:pPr>
        <w:ind w:right="20" w:firstLine="8"/>
        <w:spacing w:after="0" w:line="281"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requirements of SFAS No. 123R for all share-based payments granted after the effective date and (b) the requirements of SFAS No. 123 for all awards granted to employees prior to the effective date of SFAS No. 123R that remain unvested on the effective date. Although the impact of adopting SFAS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No. 123R has not yet been quantified, management believes that the future adoption of this standard may have a material impact on our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our Annual Report on Form 10-K and should be considered by our investors.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13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From inception on January 8, 1988 through March 31, 2005, we had a cumulative loss of $494.0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contract research and development revenue from our agreements with Procter &amp; Gamble and Serono. Our agreements with Procter &amp; Gamble and Serono expire in 2005. Our agreement with Merck is scheduled to expire before the end of 2006, unless extended for one additional year by Merck. The expiration of these agreements will result in a significant loss of revenue to the Company, which may negatively affect our business, operating results, and financial condition.</w:t>
      </w:r>
    </w:p>
    <w:p>
      <w:pPr>
        <w:spacing w:after="0" w:line="1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43"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We will need to expend substantial resources for research and development, including costs associated with clinical testing of our product candidates. We believe our existing capital resources will enable us to meet operating needs through at least mid-2007; however, our projected revenue may decrease or our expenses may increase and that would lead to our capital</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30"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53"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We have adopted, effective January 1, 2005, the fair market value based method of accounting for stock-based employee compensation. This will materially increase operating expenses in our Statement of Operations, primarily due to non-cash compensation costs related to stock options.</w:t>
      </w:r>
    </w:p>
    <w:p>
      <w:pPr>
        <w:spacing w:after="0" w:line="74"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 xml:space="preserve">We have adopted, effective January 1, 2005, the fair value based method of accounting for stock-based employee compensation under the provisions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xml:space="preserve">, using the modified prospective method as described in SFAS No. 148, </w:t>
      </w:r>
      <w:r>
        <w:rPr>
          <w:rFonts w:ascii="Arial" w:cs="Arial" w:eastAsia="Arial" w:hAnsi="Arial"/>
          <w:sz w:val="16"/>
          <w:szCs w:val="16"/>
          <w:i w:val="1"/>
          <w:iCs w:val="1"/>
          <w:color w:val="auto"/>
        </w:rPr>
        <w:t>Accounting for Stock 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Transition and Disclosure</w:t>
      </w:r>
      <w:r>
        <w:rPr>
          <w:rFonts w:ascii="Arial" w:cs="Arial" w:eastAsia="Arial" w:hAnsi="Arial"/>
          <w:sz w:val="16"/>
          <w:szCs w:val="16"/>
          <w:color w:val="auto"/>
        </w:rPr>
        <w:t>. As a result, we have begun recognizing expense in an amount equal to the fair value of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 option awards) on their date of grant over the vesting period of the awards. Although the impact of adopting SFAS No. 123 has not been quantified for the full year 2005, in the first quarter of 2005, non-cash stock-based employee compensation expense of $5.4 million related to stock options awards was recognized in operating expenses in our Statement of Operations, which decreased our basic net income per share by $0.09 per share. Also, if we had adopted SFAS No. 123 effective January 1, 2004, our net income for the full year 2004 would have decreased by approximately $33.6 million and our basic net income per share in 2004 would have been $0.15 per share instead of $0.75 per share.</w:t>
      </w:r>
    </w:p>
    <w:p>
      <w:pPr>
        <w:spacing w:after="0" w:line="126"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In addition, 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is a revision of SFAS No. 123 and supersedes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No. 123R requires the recognition of compensation expense in an amount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equal to the fair value of share-based payments (including stock options) issued to employees. We will be required to adopt SFAS No. 123R effective for the fiscal year beginning January 1, 2006. The impact of adopting SFAS No. 123R has not yet been quantified.</w:t>
      </w:r>
    </w:p>
    <w:p>
      <w:pPr>
        <w:spacing w:after="0" w:line="143"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 negative impact on our income (loss) as a result of adopting SFAS No. 123 as of January 1, 2005, and subsequently adopting SFAS No. 123R commencing January 1, 2006, may negatively affect our stock price.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9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5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October 2003, we reported results from the first phase 2 trial of our IL-1 Trap in rheumatoid arthritis. We plan to conduct large-scale rheumatoid arthritis trials of the IL-1 Trap in a larger patient population, testing higher doses than were tested in the previous phase 2 trial for a longer period of time. However, higher doses may not lead to better results than were demonstrated in the previous phase 2 trial. In addition, safety or tolerability concerns may arise which limit our ability to deliver higher doses of the IL-1 Trap to patients. The dose levels that will be tested are substantially higher than the dose levels of other biological therapeutics currently approved for the treatment of rheumatoid arthritis. The higher doses may affect the safety and/or tolerability of the IL-1 Trap, which could delay or prevent its being approved for marketing and sale and could limit its commercial potential if the product candidate is ever approved.</w:t>
      </w:r>
    </w:p>
    <w:p>
      <w:pPr>
        <w:spacing w:after="0" w:line="149"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intend to study our lead product candidates, the VEGF Trap and IL-1 Trap, in a wide variety of indications in so-called “proof of concept” studies. We intend to study the VEGF Trap in a variety of cancer settings and ophthalmologic indications and the IL-1 Trap in a wide variety of inflammatory disorders. The specific indications were selected based on available preclinical and clinical data from medical publications, our product candidates, and competitive agents. The purpose of these exploratory “proof of concept” studies is to identify what diseases, if any, are best suited for treatment with these product candidates. However, it is likely that our product candidates will not demonstrate the requisite efficacy and/or safety profile to support continued development for most of the indications that are to be studied in these “proof of concept” studies.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fact, our product candidates may not demonstrate the requisite efficacy and safety profile to support the continued development for any of the indications studied in these early-stage trials.</w:t>
      </w:r>
    </w:p>
    <w:p>
      <w:pPr>
        <w:spacing w:after="0" w:line="1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8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intend to study higher doses of the IL-1 Trap after a previous phase 2 trial of the IL-1 Trap in subjects with rheumatoid arthritis failed to achieve its primary endpoint.</w:t>
      </w:r>
    </w:p>
    <w:p>
      <w:pPr>
        <w:spacing w:after="0" w:line="126"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30"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97" w:lineRule="exact"/>
        <w:rPr>
          <w:sz w:val="20"/>
          <w:szCs w:val="20"/>
          <w:color w:val="auto"/>
        </w:rPr>
      </w:pPr>
    </w:p>
    <w:p>
      <w:pPr>
        <w:ind w:right="280" w:firstLine="225"/>
        <w:spacing w:after="0" w:line="293" w:lineRule="auto"/>
        <w:rPr>
          <w:sz w:val="20"/>
          <w:szCs w:val="20"/>
          <w:color w:val="auto"/>
        </w:rPr>
      </w:pPr>
      <w:r>
        <w:rPr>
          <w:rFonts w:ascii="Arial" w:cs="Arial" w:eastAsia="Arial" w:hAnsi="Arial"/>
          <w:sz w:val="16"/>
          <w:szCs w:val="16"/>
          <w:color w:val="auto"/>
        </w:rPr>
        <w:t>Our VEGF Trap is being studied for the potential treatment of certain types of cancer and diseases of the eye. There are many potential safety concerns associated with significant blockade of vascular endothelial growth factor, or VEGF. These risks, based on the clinical and preclinical experience of systemically delivered VEGF inhibitors, including the VEGF Trap, include bleeding, hypertension, and proteinuria. These serious side effects and other serious side effects have been reported in our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either the treatment of cancer or diseases of the eye.</w:t>
      </w:r>
    </w:p>
    <w:p>
      <w:pPr>
        <w:spacing w:after="0" w:line="124"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rheumatoid arthritis and other inflammatory diseases and disorders. Like TNF-antagonists such as EnbrelÒ (a registered trademark of Amgen) and RemicadeÒ (a registered trademark of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12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4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85"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3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9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48"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In May 2003, purported class action securities lawsuits were commenced against us and certain of our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On February 1, 2005, the Court denied our motion to dismiss the consolidated amended complaint. We believe the lawsuit is without merit and intend to continue to defend the action vigorously. Because we do not believe that a loss is probable, no legal reserve has been established. However, we cannot assure investors that we will be successful in defending this action, or that the amount of any settlement or judgment in this action will not exceed the coverage limits of our directors’ and officers’ liability insurance policies. If we are not successful in defending this action, our business and financial condition could be adversely affected. In addition, whether or not we are successful, the defense of this action may divert attention of our management and other resources that would otherwise be engaged in running our business.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43" w:lineRule="exact"/>
        <w:rPr>
          <w:sz w:val="20"/>
          <w:szCs w:val="20"/>
          <w:color w:val="auto"/>
        </w:rPr>
      </w:pPr>
    </w:p>
    <w:p>
      <w:pPr>
        <w:ind w:right="10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85"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increased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130" w:lineRule="exact"/>
        <w:rPr>
          <w:sz w:val="20"/>
          <w:szCs w:val="20"/>
          <w:color w:val="auto"/>
        </w:rPr>
      </w:pPr>
    </w:p>
    <w:p>
      <w:pPr>
        <w:ind w:right="20" w:firstLine="215"/>
        <w:spacing w:after="0" w:line="253"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2004, which report was included in our Annual Report on Form 10-K for the year ended December 31, 2004.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On February 27, 2004, Novartis Pharma AG provided notice to us that they would not participate in the continued development and commercialization of the IL-1 Trap under our collaboration agreement. This may harm our ability to develop and commercialize the IL-1 Trap.</w:t>
      </w:r>
    </w:p>
    <w:p>
      <w:pPr>
        <w:spacing w:after="0" w:line="106"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13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143"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rely heavily on sanofi-aventis to assist with the development of the VEGF Trap. If the VEGF Trap program continues, we will rely on sanofi-aventis to assist with funding the VEGF Trap program,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sanofi-aventis does not perform its obligations in a timely manner, or at all, our ability to develop, manufacture, and commercialize the VEGF Trap will be significantly adversely affected. Sanofi-aventis has the right to terminate its collaboration agreement with us at any time. If sanofi-aventis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 would create new and additional risks to the successful development of the VEGF Trap.</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130"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4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6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commercial use. In addition, we may be unable to secure adequate filling and finishing services to support our products. As a result, our business, financial condition, and results of operations may be materially harmed.</w:t>
      </w:r>
    </w:p>
    <w:p>
      <w:pPr>
        <w:spacing w:after="0" w:line="143"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85"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have large-scale manufacturing operations in Rensselaer, New York. Under a long-term manufacturing agreement with Merck, which expires in October 2006 unless extended for one additional year by Merck,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1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118"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should it be approved in the future by regulatory authorities for marketing.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85"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3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15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Genentech has an approved VEGF antagonist on the market for treating certain cancers and many different pharmaceutical and biotechnology companies are working to develop competing VEGF antagonists, including Novartis, Eyetech Pharmaceuticals, and Pfizer. Many of these molecules are farther along in development than the VEGF Trap and may offer competitive advantages over our molecule. Novartis has an ongoing phase 3 clinical development program evaluating an orally delivered VEGF tyrosine kinase inhibitor in different cancer settings. The marketing approval for Genentech’s VEGF antagonist, Avastin™,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if approved by the FDA, the Novartis phase 3 tyrosine kinase, because doctors and patients will have significant experience using these medicines.</w:t>
      </w:r>
    </w:p>
    <w:p>
      <w:pPr>
        <w:spacing w:after="0" w:line="139"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market for eye diseases is also very competitive. Eyetech Pharmaceuticals and Pfizer are marketing an approved VEGF inhibitor for age-related macular degeneration. Novartis and Genentech are collaborating on another VEGF inhibitor for the treatment of eye diseases that is in phase 3 development. The marketing approval of the Eyetech/Pfizer VEGF inhibitor and the potential approval of the Novartis/Genentech VEGF antibody makes it more difficult for us to successfully develop the VEGF Trap in eye diseases. In addition, even if the VEGF Trap is ever approved for sale for the treatment of eye diseases, it will be difficult for our drug to compete against the Eyetech/Pfizer drug and, if approved by the FDA, the Novartis/Genentech phase 3 VEGF antibody, because doctors and patients will have significant experience using these medicines</w:t>
      </w:r>
    </w:p>
    <w:p>
      <w:pPr>
        <w:spacing w:after="0" w:line="138"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markets for both rheumatoid arthritis and asthma are very competitive. Several highly successful medicines are available for these diseases. Examples in rheumatoid arthritis include the TNF-antagonists Enbrel® (a registered trademark of Amgen), Remicade® (a registered trademark of Centocor), and Humira® (a registered trademark of Abbott Laboratories), and the IL-1 receptor antagonist Kineret® (a registered trademark of Amgen). Examples in asthma include and the leukotriene-modifier Singulair® (a registered trademark of Merck), as well as various inexpensive corticosteroid medicines for asthma.</w:t>
      </w:r>
    </w:p>
    <w:p>
      <w:pPr>
        <w:spacing w:after="0" w:line="114"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availability of highly effective FDA approved TNF-antagonists and other marketed therapies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 In addition, there are both small molecules and antibodies in development by third parties that are designed to block the synthesis of interleukin-1 or inhibit the signaling of interleukin-1. For example, Vertex Pharmaceuticals Incorporated is developing an oral cytokine inhibitor of interleukin-1 beta converting enzyme (ICE). These drug candidates could offer competitive advantages over the IL-1 Trap. The successful development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competing molecules could delay or impair our ability to successfully develop and commercialize the IL-1 Trap.</w:t>
      </w:r>
    </w:p>
    <w:p>
      <w:pPr>
        <w:spacing w:after="0" w:line="198"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payors.</w:t>
      </w:r>
    </w:p>
    <w:p>
      <w:pPr>
        <w:spacing w:after="0" w:line="130"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examine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30" w:lineRule="exact"/>
        <w:rPr>
          <w:sz w:val="20"/>
          <w:szCs w:val="20"/>
          <w:color w:val="auto"/>
        </w:rPr>
      </w:pPr>
    </w:p>
    <w:p>
      <w:pPr>
        <w:jc w:val="both"/>
        <w:ind w:firstLine="222"/>
        <w:spacing w:after="0" w:line="288"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w:t>
      </w:r>
    </w:p>
    <w:p>
      <w:pPr>
        <w:ind w:right="880"/>
        <w:spacing w:after="0" w:line="323" w:lineRule="auto"/>
        <w:rPr>
          <w:sz w:val="20"/>
          <w:szCs w:val="20"/>
          <w:color w:val="auto"/>
        </w:rPr>
      </w:pPr>
      <w:r>
        <w:rPr>
          <w:rFonts w:ascii="Arial" w:cs="Arial" w:eastAsia="Arial" w:hAnsi="Arial"/>
          <w:sz w:val="16"/>
          <w:szCs w:val="16"/>
          <w:color w:val="auto"/>
        </w:rPr>
        <w:t>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3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third party patents.</w:t>
      </w:r>
    </w:p>
    <w:p>
      <w:pPr>
        <w:spacing w:after="0" w:line="185"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12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aware of patents, allowed patent applications, and pending applications owned by Genentech that claim certain chimeric VEGF receptor compositions. Although we do not believe that the VEGF Trap infringes any valid claim in these patents or patent applications, Genentech could initiate a lawsuit for patent infringement and assert its patents are valid and cover the VEGF Trap. Genentech may be motivated to initiate such a lawsuit at some point in an effort to impair our ability to develop and sell the VEGF Trap, which represents a potential competitive threat to Genentech’s VEGF-binding products and product candidates. An adverse determination by a court in any such potential patent litigation could materially harm our business either by requiring us to seek a license or resulting in our inability to develop and sell the VEGF Trap.</w:t>
      </w:r>
    </w:p>
    <w:p>
      <w:pPr>
        <w:spacing w:after="0" w:line="15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48"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commercializing any one or more of our product candidates, which could severely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85"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7" w:lineRule="exact"/>
        <w:rPr>
          <w:sz w:val="20"/>
          <w:szCs w:val="20"/>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delays, or adverse results in clinical trials;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our product candidates;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relationship with collaborative partners;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30"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15, 2005, our eight largest shareholders, which include sanofi-aventis and Novartis, beneficially owned 58.6%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2005. As of that date, Novartis owned 7,527,050 shares of Common Stock, representing approximately 14.0% of the shares of Common Stock then outstanding. These shares owned by Novartis are eligible to be sold pursuant to Rule 144(k) under the Securities Act of 1933, as amended, without registration, without regard to the volume, manner-of-sale, or other limitations set forth in Rule 144 under such Act, and without any contractual restrictions on sale.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April 15, 2005, sanofi-aventis owned 2,799,552 shares of Common Stock, representing approximately 5.2% of the shares of Common Stock then outstanding. Under our stock purchase agreement with sanofi-aventis, these shares may generally not be sold or otherwise transferred until after September 5, 2005, and for one year after that date, sanofi-aventis may sell no more than 250,000 shares in any calendar quarter. After September 5, 2006, sanofi-aventis may sell no more than 500,000 shares in any calendar quarter. If Novartis or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and Novartis, also might make it more difficult for us to raise funds by selling equity or equity-related securities in the future at a time and price that we deem appropriate.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Holders of Class A Stock, who are the shareholders who purchased their stock from us before our initial public offering, are entitled to ten votes per share, while holders of Common Stock are entitled to one vote per share. As of April 15, 2005, holders of Class A Stock held 4.2% of all shares of Common Stock and Class A Stock then outstanding, and had 30.5% of the combined voting power of all of Common Stock and Class A Stock then outstanding assuming, in each case, the exercise of all options held by such persons which are exercisable within 60 days of April 15, 2005.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15, 2005:</w:t>
      </w:r>
    </w:p>
    <w:p>
      <w:pPr>
        <w:spacing w:after="0" w:line="167" w:lineRule="exact"/>
        <w:rPr>
          <w:sz w:val="20"/>
          <w:szCs w:val="20"/>
          <w:color w:val="auto"/>
        </w:rPr>
      </w:pPr>
    </w:p>
    <w:p>
      <w:pPr>
        <w:ind w:left="1020" w:right="40" w:hanging="445"/>
        <w:spacing w:after="0" w:line="29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current officers and directors beneficially owned 13.8% of our outstanding shares of Common Stock (assuming conversion of their Class A Stock into Common Stock and the exercise of all options held by such persons which are exercisable within 60 days of April 15, 2005) and</w:t>
      </w:r>
    </w:p>
    <w:p>
      <w:pPr>
        <w:ind w:left="1020" w:right="80"/>
        <w:spacing w:after="0" w:line="261" w:lineRule="auto"/>
        <w:rPr>
          <w:rFonts w:ascii="Arial" w:cs="Arial" w:eastAsia="Arial" w:hAnsi="Arial"/>
          <w:sz w:val="16"/>
          <w:szCs w:val="16"/>
          <w:color w:val="auto"/>
        </w:rPr>
      </w:pPr>
      <w:r>
        <w:rPr>
          <w:rFonts w:ascii="Arial" w:cs="Arial" w:eastAsia="Arial" w:hAnsi="Arial"/>
          <w:sz w:val="18"/>
          <w:szCs w:val="18"/>
          <w:color w:val="auto"/>
        </w:rPr>
        <w:t>34.7% of the combined voting power of our outstanding shares of Common Stock and Class A Stock, assuming the exercise of all options held by such persons which are exercisable within 60 days of April 15, 2005; and</w:t>
      </w:r>
    </w:p>
    <w:p>
      <w:pPr>
        <w:spacing w:after="0" w:line="183" w:lineRule="exact"/>
        <w:rPr>
          <w:rFonts w:ascii="Arial" w:cs="Arial" w:eastAsia="Arial" w:hAnsi="Arial"/>
          <w:sz w:val="16"/>
          <w:szCs w:val="16"/>
          <w:color w:val="auto"/>
        </w:rPr>
      </w:pPr>
    </w:p>
    <w:p>
      <w:pPr>
        <w:ind w:left="1020" w:right="120" w:hanging="445"/>
        <w:spacing w:after="0" w:line="297"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eight largest shareholders beneficially owned 58.6%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2005. In addition, these eight shareholders held 63.9% of the combined voting power of our outstanding shares of Common Stock and Class A Stock, assuming the exercise of all options held by our Chief Executive Officer and our Chairman which are exercisable within 60 days of April 15, 2005.</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88" w:lineRule="exact"/>
        <w:rPr>
          <w:sz w:val="20"/>
          <w:szCs w:val="20"/>
          <w:color w:val="auto"/>
        </w:rPr>
      </w:pPr>
    </w:p>
    <w:p>
      <w:pPr>
        <w:ind w:left="1020" w:right="220" w:hanging="44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170" w:lineRule="exact"/>
        <w:rPr>
          <w:rFonts w:ascii="Arial" w:cs="Arial" w:eastAsia="Arial" w:hAnsi="Arial"/>
          <w:sz w:val="18"/>
          <w:szCs w:val="18"/>
          <w:color w:val="auto"/>
        </w:rPr>
      </w:pPr>
    </w:p>
    <w:p>
      <w:pPr>
        <w:ind w:left="1020" w:hanging="44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25"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81" w:lineRule="exact"/>
        <w:rPr>
          <w:rFonts w:ascii="Arial" w:cs="Arial" w:eastAsia="Arial" w:hAnsi="Arial"/>
          <w:sz w:val="18"/>
          <w:szCs w:val="18"/>
          <w:color w:val="auto"/>
        </w:rPr>
      </w:pPr>
    </w:p>
    <w:p>
      <w:pPr>
        <w:ind w:left="1020" w:right="100" w:hanging="445"/>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46" w:lineRule="exact"/>
        <w:rPr>
          <w:rFonts w:ascii="Arial" w:cs="Arial" w:eastAsia="Arial" w:hAnsi="Arial"/>
          <w:sz w:val="17"/>
          <w:szCs w:val="17"/>
          <w:color w:val="auto"/>
        </w:rPr>
      </w:pPr>
    </w:p>
    <w:p>
      <w:pPr>
        <w:ind w:left="1020" w:right="140" w:hanging="44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170" w:lineRule="exact"/>
        <w:rPr>
          <w:rFonts w:ascii="Arial" w:cs="Arial" w:eastAsia="Arial" w:hAnsi="Arial"/>
          <w:sz w:val="18"/>
          <w:szCs w:val="18"/>
          <w:color w:val="auto"/>
        </w:rPr>
      </w:pPr>
    </w:p>
    <w:p>
      <w:pPr>
        <w:ind w:left="1020" w:right="60" w:hanging="445"/>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w:t>
      </w:r>
      <w:r>
        <w:rPr>
          <w:rFonts w:ascii="Arial" w:cs="Arial" w:eastAsia="Arial" w:hAnsi="Arial"/>
          <w:sz w:val="18"/>
          <w:szCs w:val="18"/>
          <w:color w:val="auto"/>
        </w:rPr>
        <w:t xml:space="preserve"> </w:t>
      </w:r>
      <w:r>
        <w:rPr>
          <w:rFonts w:ascii="Arial" w:cs="Arial" w:eastAsia="Arial" w:hAnsi="Arial"/>
          <w:sz w:val="18"/>
          <w:szCs w:val="18"/>
          <w:i w:val="1"/>
          <w:iCs w:val="1"/>
          <w:color w:val="auto"/>
        </w:rPr>
        <w:t>exert significant influence over matters requiring shareholder approval.”</w:t>
      </w:r>
    </w:p>
    <w:p>
      <w:pPr>
        <w:spacing w:after="0" w:line="18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Under our current policies we do not use interest rate derivative instruments to manage exposure to interest rate changes. We estimated that a one percent change in interest rates would result in an approximately $1.2 million and $0.9 million change in the fair market value of our investment portfolio at March 31, 2005 and 2004,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our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2005 that has materially affected, or is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On February 1, 2005, the Court denied our motion to dismiss the consolidated amended complaint. We believe the lawsuit is without merit and intend to continue to defend the action vigorously. Because we do not believe that a loss is probable, no legal reserve has been established. However, we cannot assure investors that we will be successful in defending this action, or that the amount of any settlement or judgement in this action will not exceed the coverage limits of our directors’ and officers’ liability insurance policies. If we are not successful in defending this action, our business and financial condition could be adversely affected. In addition, whether or not we are successful, the defense of this action may divert attention of our management and other resources that would otherwise be engaged in running our business.</w:t>
      </w:r>
    </w:p>
    <w:p>
      <w:pPr>
        <w:spacing w:after="0" w:line="15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other legal proceedings to have a material adverse effect on our business or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100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10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230"/>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 Certification of CFO pursuant to Rule 13a-14(a) under the Securities and Exchange Act of 1934.</w:t>
            </w:r>
          </w:p>
        </w:tc>
        <w:tc>
          <w:tcPr>
            <w:tcW w:w="0" w:type="dxa"/>
            <w:vAlign w:val="bottom"/>
          </w:tcPr>
          <w:p>
            <w:pPr>
              <w:spacing w:after="0"/>
              <w:rPr>
                <w:sz w:val="1"/>
                <w:szCs w:val="1"/>
                <w:color w:val="auto"/>
              </w:rPr>
            </w:pPr>
          </w:p>
        </w:tc>
      </w:tr>
    </w:tbl>
    <w:p>
      <w:pPr>
        <w:ind w:left="5620" w:right="5140" w:hanging="5144"/>
        <w:spacing w:after="0" w:line="552" w:lineRule="auto"/>
        <w:tabs>
          <w:tab w:leader="none" w:pos="1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 Certification of CEO and CFO pursuant to 18 U.S.C. Section 1350.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9, 2005</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Murray A. Goldberg</w:t>
            </w: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Senior Vice President, Finance &amp; Administration, Chief</w:t>
            </w: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Financial Officer, Treasurer, and Assistant Secretary</w:t>
            </w:r>
          </w:p>
        </w:tc>
      </w:tr>
      <w:tr>
        <w:trPr>
          <w:trHeight w:val="608"/>
        </w:trPr>
        <w:tc>
          <w:tcPr>
            <w:tcW w:w="3360" w:type="dxa"/>
            <w:vAlign w:val="bottom"/>
          </w:tcPr>
          <w:p>
            <w:pPr>
              <w:spacing w:after="0"/>
              <w:rPr>
                <w:sz w:val="24"/>
                <w:szCs w:val="24"/>
                <w:color w:val="auto"/>
              </w:rPr>
            </w:pPr>
          </w:p>
        </w:tc>
        <w:tc>
          <w:tcPr>
            <w:tcW w:w="6380" w:type="dxa"/>
            <w:vAlign w:val="bottom"/>
            <w:gridSpan w:val="2"/>
          </w:tcPr>
          <w:p>
            <w:pPr>
              <w:jc w:val="right"/>
              <w:ind w:right="385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80"/>
          </w:cols>
          <w:pgMar w:left="240" w:top="419"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ind w:left="22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color w:val="auto"/>
                <w:w w:val="89"/>
              </w:rPr>
              <w:t>Years ended December 31,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2002</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200"/>
              <w:spacing w:after="0" w:line="201" w:lineRule="exact"/>
              <w:rPr>
                <w:sz w:val="20"/>
                <w:szCs w:val="20"/>
                <w:color w:val="auto"/>
              </w:rPr>
            </w:pPr>
            <w:r>
              <w:rPr>
                <w:rFonts w:ascii="Arial" w:cs="Arial" w:eastAsia="Arial" w:hAnsi="Arial"/>
                <w:sz w:val="18"/>
                <w:szCs w:val="18"/>
                <w:color w:val="auto"/>
                <w:w w:val="96"/>
              </w:rPr>
              <w:t>Income (loss) from continuing operations before income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(17,077)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(75,178)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(124,350)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(107,395)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41,565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2"/>
              </w:rPr>
              <w:t>(15,768)</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(71,290)</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0"/>
              </w:rPr>
              <w:t>(110,887)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(93,530)</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4"/>
              </w:rPr>
              <w:t>55,703</w:t>
            </w:r>
          </w:p>
        </w:tc>
        <w:tc>
          <w:tcPr>
            <w:tcW w:w="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11,859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11,932</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12,175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Assumed interest component of rental charges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1,028</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1,231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1,885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14,060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(A)</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right="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2000, 2001, 2002, and 2003 and for the three months ended March 31, 2005, the ratio coverage was less than 1:1. To achieve a coverage ration of 1:1, the registrant must generate additional earning of the amounts shown in the table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4"/>
          </w:tcPr>
          <w:p>
            <w:pPr>
              <w:jc w:val="center"/>
              <w:ind w:left="348"/>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color w:val="auto"/>
                <w:w w:val="89"/>
              </w:rPr>
              <w:t>Years ended December 31,</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48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680" w:type="dxa"/>
            <w:vAlign w:val="bottom"/>
          </w:tcPr>
          <w:p>
            <w:pPr>
              <w:jc w:val="right"/>
              <w:ind w:right="99"/>
              <w:spacing w:after="0" w:line="142" w:lineRule="exact"/>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90"/>
              <w:spacing w:after="0" w:line="142" w:lineRule="exact"/>
              <w:rPr>
                <w:sz w:val="20"/>
                <w:szCs w:val="20"/>
                <w:color w:val="auto"/>
              </w:rPr>
            </w:pPr>
            <w:r>
              <w:rPr>
                <w:rFonts w:ascii="Arial" w:cs="Arial" w:eastAsia="Arial" w:hAnsi="Arial"/>
                <w:sz w:val="14"/>
                <w:szCs w:val="14"/>
                <w:color w:val="auto"/>
              </w:rPr>
              <w:t>2001</w:t>
            </w:r>
          </w:p>
        </w:tc>
        <w:tc>
          <w:tcPr>
            <w:tcW w:w="1160" w:type="dxa"/>
            <w:vAlign w:val="bottom"/>
            <w:gridSpan w:val="2"/>
          </w:tcPr>
          <w:p>
            <w:pPr>
              <w:jc w:val="center"/>
              <w:ind w:left="368"/>
              <w:spacing w:after="0" w:line="142" w:lineRule="exact"/>
              <w:rPr>
                <w:sz w:val="20"/>
                <w:szCs w:val="20"/>
                <w:color w:val="auto"/>
              </w:rPr>
            </w:pPr>
            <w:r>
              <w:rPr>
                <w:rFonts w:ascii="Arial" w:cs="Arial" w:eastAsia="Arial" w:hAnsi="Arial"/>
                <w:sz w:val="14"/>
                <w:szCs w:val="14"/>
                <w:color w:val="auto"/>
                <w:w w:val="89"/>
              </w:rPr>
              <w:t>2002</w:t>
            </w:r>
          </w:p>
        </w:tc>
        <w:tc>
          <w:tcPr>
            <w:tcW w:w="44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2003</w:t>
            </w:r>
          </w:p>
        </w:tc>
        <w:tc>
          <w:tcPr>
            <w:tcW w:w="112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2" w:lineRule="exact"/>
              <w:rPr>
                <w:sz w:val="20"/>
                <w:szCs w:val="20"/>
                <w:color w:val="auto"/>
              </w:rPr>
            </w:pPr>
            <w:r>
              <w:rPr>
                <w:rFonts w:ascii="Arial" w:cs="Arial" w:eastAsia="Arial" w:hAnsi="Arial"/>
                <w:sz w:val="14"/>
                <w:szCs w:val="14"/>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860" w:type="dxa"/>
            <w:vAlign w:val="bottom"/>
            <w:vMerge w:val="continue"/>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$ 17,077</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$ 75,178</w:t>
            </w:r>
          </w:p>
        </w:tc>
        <w:tc>
          <w:tcPr>
            <w:tcW w:w="46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$ 124,572</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$ 107,638</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260" w:hanging="446"/>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90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580" w:hanging="232"/>
        <w:spacing w:after="0" w:line="308" w:lineRule="auto"/>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9, 2005</w:t>
      </w:r>
      <w:r>
        <w:rPr>
          <w:sz w:val="20"/>
          <w:szCs w:val="20"/>
          <w:color w:val="auto"/>
        </w:rPr>
        <w:tab/>
      </w:r>
      <w:r>
        <w:rPr>
          <w:rFonts w:ascii="Arial" w:cs="Arial" w:eastAsia="Arial" w:hAnsi="Arial"/>
          <w:sz w:val="16"/>
          <w:szCs w:val="16"/>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6073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936"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26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left="90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580" w:hanging="232"/>
        <w:spacing w:after="0" w:line="308" w:lineRule="auto"/>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9, 2005</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607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Finance &amp; Administration, Chief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Financial Officer, Treasurer, and Assistant Secretary</w:t>
      </w:r>
    </w:p>
    <w:p>
      <w:pPr>
        <w:sectPr>
          <w:pgSz w:w="11900" w:h="16838" w:orient="portrait"/>
          <w:cols w:equalWidth="0" w:num="1">
            <w:col w:w="11400"/>
          </w:cols>
          <w:pgMar w:left="240" w:top="936"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2005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46" w:lineRule="exact"/>
        <w:rPr>
          <w:sz w:val="20"/>
          <w:szCs w:val="20"/>
          <w:color w:val="auto"/>
        </w:rPr>
      </w:pPr>
    </w:p>
    <w:p>
      <w:pPr>
        <w:ind w:left="700" w:hanging="467"/>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00" w:hanging="467"/>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Roman"/>
      <w:start w:val="4"/>
    </w:lvl>
  </w:abstractNum>
  <w:abstractNum w:abstractNumId="4">
    <w:nsid w:val="1BEFD79F"/>
    <w:multiLevelType w:val="hybridMultilevel"/>
    <w:lvl w:ilvl="0">
      <w:lvlJc w:val="left"/>
      <w:lvlText w:val="%1"/>
      <w:numFmt w:val="decimal"/>
      <w:start w:val="1"/>
    </w:lvl>
    <w:lvl w:ilvl="1">
      <w:lvlJc w:val="left"/>
      <w:lvlText w:val="(%2)"/>
      <w:numFmt w:val="decimal"/>
      <w:start w:val="1"/>
    </w:lvl>
  </w:abstractNum>
  <w:abstractNum w:abstractNumId="5">
    <w:nsid w:val="41A7C4C9"/>
    <w:multiLevelType w:val="hybridMultilevel"/>
    <w:lvl w:ilvl="0">
      <w:lvlJc w:val="left"/>
      <w:lvlText w:val="%1."/>
      <w:numFmt w:val="decimal"/>
      <w:start w:val="13"/>
    </w:lvl>
    <w:lvl w:ilvl="1">
      <w:lvlJc w:val="left"/>
      <w:lvlText w:val="%2"/>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32"/>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4"/>
    </w:lvl>
  </w:abstractNum>
  <w:abstractNum w:abstractNumId="20">
    <w:nsid w:val="2D1D5AE9"/>
    <w:multiLevelType w:val="hybridMultilevel"/>
    <w:lvl w:ilvl="0">
      <w:lvlJc w:val="left"/>
      <w:lvlText w:val="%1."/>
      <w:numFmt w:val="decimal"/>
      <w:start w:val="5"/>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4"/>
    </w:lvl>
  </w:abstractNum>
  <w:abstractNum w:abstractNumId="23">
    <w:nsid w:val="8EDBDAB"/>
    <w:multiLevelType w:val="hybridMultilevel"/>
    <w:lvl w:ilvl="0">
      <w:lvlJc w:val="left"/>
      <w:lvlText w:val="%1."/>
      <w:numFmt w:val="decimal"/>
      <w:start w:val="5"/>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2019-12-20T02:54:27Z</dcterms:created>
  <dcterms:modified xsi:type="dcterms:W3CDTF">2019-12-20T02:54:27Z</dcterms:modified>
</cp:coreProperties>
</file>