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6090d1_8k.htm"/>
      <w:bookmarkStart w:id="1" w:name="kstm2626090d1_8k"/>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92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September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REGENERON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New York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4475"/>
        <w:gridCol w:w="60"/>
        <w:gridCol w:w="1565"/>
      </w:tblGrid>
      <w:tr>
        <w:trPr/>
        <w:tc>
          <w:tcPr>
            <w:tcW w:w="4475" w:type="dxa"/>
            <w:tcBorders/>
            <w:vAlign w:val="center"/>
          </w:tcPr>
          <w:p>
            <w:pPr>
              <w:pStyle w:val="TableContents"/>
              <w:bidi w:val="0"/>
              <w:spacing w:before="0" w:after="283"/>
              <w:jc w:val="center"/>
              <w:rPr>
                <w:b/>
                <w:i w:val="false"/>
                <w:caps w:val="false"/>
                <w:smallCaps w:val="false"/>
                <w:sz w:val="20"/>
              </w:rPr>
            </w:pPr>
            <w:bookmarkStart w:id="6" w:name="xdx_904_edei--EntityFileNumber_c20260924"/>
            <w:bookmarkEnd w:id="6"/>
            <w:r>
              <w:rPr>
                <w:b/>
                <w:i w:val="false"/>
                <w:caps w:val="false"/>
                <w:smallCaps w:val="false"/>
                <w:sz w:val="20"/>
              </w:rPr>
              <w:t>000-19034</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b/>
                <w:i w:val="false"/>
                <w:caps w:val="false"/>
                <w:smallCaps w:val="false"/>
                <w:sz w:val="20"/>
              </w:rPr>
            </w:pPr>
            <w:bookmarkStart w:id="7" w:name="xdx_908_edei--EntityTaxIdentificationNum"/>
            <w:bookmarkEnd w:id="7"/>
            <w:r>
              <w:rPr>
                <w:b/>
                <w:i w:val="false"/>
                <w:caps w:val="false"/>
                <w:smallCaps w:val="false"/>
                <w:sz w:val="20"/>
              </w:rPr>
              <w:t>13-3444607</w:t>
            </w:r>
          </w:p>
        </w:tc>
      </w:tr>
      <w:tr>
        <w:trPr/>
        <w:tc>
          <w:tcPr>
            <w:tcW w:w="4475" w:type="dxa"/>
            <w:tcBorders/>
            <w:vAlign w:val="center"/>
          </w:tcPr>
          <w:p>
            <w:pPr>
              <w:pStyle w:val="TableContents"/>
              <w:bidi w:val="0"/>
              <w:spacing w:before="0" w:after="283"/>
              <w:jc w:val="center"/>
              <w:rPr>
                <w:b/>
                <w:sz w:val="20"/>
              </w:rPr>
            </w:pPr>
            <w:r>
              <w:rPr>
                <w:b/>
                <w:sz w:val="20"/>
              </w:rPr>
              <w:t>(Commission</w:t>
              <w:br/>
              <w:t>File Number)</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b/>
                <w:sz w:val="20"/>
              </w:rPr>
            </w:pPr>
            <w:r>
              <w:rPr>
                <w:b/>
                <w:sz w:val="20"/>
              </w:rPr>
              <w:t>(I.R.S. Employer</w:t>
              <w:br/>
              <w:t>Identification No.)</w:t>
            </w:r>
          </w:p>
        </w:tc>
      </w:tr>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pPr>
            <w:r>
              <w:rPr/>
              <w:t> </w:t>
            </w:r>
          </w:p>
        </w:tc>
      </w:tr>
      <w:tr>
        <w:trPr/>
        <w:tc>
          <w:tcPr>
            <w:tcW w:w="4475" w:type="dxa"/>
            <w:tcBorders/>
            <w:vAlign w:val="center"/>
          </w:tcPr>
          <w:p>
            <w:pPr>
              <w:pStyle w:val="TableContents"/>
              <w:bidi w:val="0"/>
              <w:spacing w:before="0" w:after="283"/>
              <w:jc w:val="center"/>
              <w:rPr>
                <w:b/>
                <w:i w:val="false"/>
                <w:caps w:val="false"/>
                <w:smallCaps w:val="false"/>
                <w:sz w:val="20"/>
              </w:rPr>
            </w:pPr>
            <w:bookmarkStart w:id="8" w:name="xdx_902_edei--EntityAddressAddressLine1_"/>
            <w:bookmarkEnd w:id="8"/>
            <w:r>
              <w:rPr>
                <w:b/>
                <w:i w:val="false"/>
                <w:caps w:val="false"/>
                <w:smallCaps w:val="false"/>
                <w:sz w:val="20"/>
              </w:rPr>
              <w:t xml:space="preserve">777 Old Saw Mill River Road, </w:t>
            </w:r>
            <w:bookmarkStart w:id="9" w:name="xdx_908_edei--EntityAddressCityOrTown_c2"/>
            <w:bookmarkEnd w:id="9"/>
            <w:r>
              <w:rPr>
                <w:b/>
                <w:i w:val="false"/>
                <w:caps w:val="false"/>
                <w:smallCaps w:val="false"/>
                <w:sz w:val="20"/>
              </w:rPr>
              <w:t xml:space="preserve">Tarrytown, </w:t>
            </w:r>
            <w:bookmarkStart w:id="10" w:name="xdx_905_edei--EntityAddressStateOrProvin"/>
            <w:bookmarkEnd w:id="10"/>
            <w:r>
              <w:rPr>
                <w:b/>
                <w:i w:val="false"/>
                <w:caps w:val="false"/>
                <w:smallCaps w:val="false"/>
                <w:sz w:val="20"/>
              </w:rPr>
              <w:t>New York</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b/>
                <w:i w:val="false"/>
                <w:caps w:val="false"/>
                <w:smallCaps w:val="false"/>
                <w:sz w:val="20"/>
              </w:rPr>
            </w:pPr>
            <w:bookmarkStart w:id="11" w:name="xdx_902_edei--EntityAddressPostalZipCode"/>
            <w:bookmarkEnd w:id="11"/>
            <w:r>
              <w:rPr>
                <w:b/>
                <w:i w:val="false"/>
                <w:caps w:val="false"/>
                <w:smallCaps w:val="false"/>
                <w:sz w:val="20"/>
              </w:rPr>
              <w:t>10591-6707</w:t>
            </w:r>
          </w:p>
        </w:tc>
      </w:tr>
      <w:tr>
        <w:trPr/>
        <w:tc>
          <w:tcPr>
            <w:tcW w:w="4475" w:type="dxa"/>
            <w:tcBorders/>
            <w:vAlign w:val="center"/>
          </w:tcPr>
          <w:p>
            <w:pPr>
              <w:pStyle w:val="TableContents"/>
              <w:bidi w:val="0"/>
              <w:spacing w:before="0" w:after="283"/>
              <w:jc w:val="center"/>
              <w:rPr>
                <w:b/>
                <w:i w:val="false"/>
                <w:caps w:val="false"/>
                <w:smallCaps w:val="false"/>
                <w:sz w:val="20"/>
              </w:rPr>
            </w:pPr>
            <w:r>
              <w:rPr>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b/>
                <w:i w:val="false"/>
                <w:caps w:val="false"/>
                <w:smallCaps w:val="false"/>
                <w:sz w:val="20"/>
              </w:rPr>
            </w:pPr>
            <w:r>
              <w:rPr>
                <w:b/>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0_edei--CityAreaCode_c20260924__20"/>
      <w:bookmarkEnd w:id="12"/>
      <w:r>
        <w:rPr>
          <w:rFonts w:ascii="Times New Roman;Times;Serif" w:hAnsi="Times New Roman;Times;Serif"/>
          <w:b/>
          <w:i w:val="false"/>
          <w:caps w:val="false"/>
          <w:smallCaps w:val="false"/>
          <w:sz w:val="20"/>
        </w:rPr>
        <w:t xml:space="preserve">914) </w:t>
      </w:r>
      <w:bookmarkStart w:id="13" w:name="xdx_90D_edei--LocalPhoneNumber_c20260924"/>
      <w:bookmarkEnd w:id="13"/>
      <w:r>
        <w:rPr>
          <w:rFonts w:ascii="Times New Roman;Times;Serif" w:hAnsi="Times New Roman;Times;Serif"/>
          <w:b/>
          <w:i w:val="false"/>
          <w:caps w:val="false"/>
          <w:smallCaps w:val="false"/>
          <w:sz w:val="20"/>
        </w:rPr>
        <w:t>847-7000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4" w:name="xdx_908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bookmarkStart w:id="15" w:name="xdx_90A_edei--SolicitingMaterial_c202609"/>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bookmarkStart w:id="16" w:name="xdx_900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bookmarkStart w:id="17" w:name="xdx_90B_edei--PreCommencementIssuerTende"/>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45" w:type="dxa"/>
        <w:jc w:val="left"/>
        <w:tblInd w:w="0" w:type="dxa"/>
        <w:tblLayout w:type="fixed"/>
        <w:tblCellMar>
          <w:top w:w="28" w:type="dxa"/>
          <w:left w:w="0" w:type="dxa"/>
          <w:bottom w:w="28" w:type="dxa"/>
          <w:right w:w="108" w:type="dxa"/>
        </w:tblCellMar>
      </w:tblPr>
      <w:tblGrid>
        <w:gridCol w:w="3620"/>
        <w:gridCol w:w="1535"/>
        <w:gridCol w:w="3590"/>
      </w:tblGrid>
      <w:tr>
        <w:trPr/>
        <w:tc>
          <w:tcPr>
            <w:tcW w:w="362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i w:val="false"/>
                <w:caps w:val="false"/>
                <w:smallCaps w:val="false"/>
                <w:sz w:val="20"/>
              </w:rPr>
            </w:pPr>
            <w:r>
              <w:rPr>
                <w:i w:val="false"/>
                <w:caps w:val="false"/>
                <w:smallCaps w:val="false"/>
                <w:sz w:val="20"/>
              </w:rPr>
              <w:t>Title of each class</w:t>
            </w:r>
          </w:p>
        </w:tc>
        <w:tc>
          <w:tcPr>
            <w:tcW w:w="153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i w:val="false"/>
                <w:caps w:val="false"/>
                <w:smallCaps w:val="false"/>
                <w:sz w:val="20"/>
              </w:rPr>
            </w:pPr>
            <w:r>
              <w:rPr>
                <w:i w:val="false"/>
                <w:caps w:val="false"/>
                <w:smallCaps w:val="false"/>
                <w:sz w:val="20"/>
              </w:rPr>
              <w:t>Trading Symbol(s)</w:t>
            </w:r>
          </w:p>
        </w:tc>
        <w:tc>
          <w:tcPr>
            <w:tcW w:w="359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i w:val="false"/>
                <w:caps w:val="false"/>
                <w:smallCaps w:val="false"/>
                <w:sz w:val="20"/>
              </w:rPr>
            </w:pPr>
            <w:r>
              <w:rPr>
                <w:i w:val="false"/>
                <w:caps w:val="false"/>
                <w:smallCaps w:val="false"/>
                <w:sz w:val="20"/>
              </w:rPr>
              <w:t>Name of each exchange on which registered</w:t>
            </w:r>
          </w:p>
        </w:tc>
      </w:tr>
      <w:tr>
        <w:trPr/>
        <w:tc>
          <w:tcPr>
            <w:tcW w:w="3620" w:type="dxa"/>
            <w:tcBorders>
              <w:left w:val="single" w:sz="8" w:space="0" w:color="000000"/>
              <w:bottom w:val="single" w:sz="8" w:space="0" w:color="000000"/>
              <w:right w:val="single" w:sz="8" w:space="0" w:color="000000"/>
            </w:tcBorders>
            <w:tcMar>
              <w:top w:w="0" w:type="dxa"/>
              <w:left w:w="108" w:type="dxa"/>
            </w:tcMar>
            <w:vAlign w:val="center"/>
          </w:tcPr>
          <w:p>
            <w:pPr>
              <w:pStyle w:val="TableContents"/>
              <w:bidi w:val="0"/>
              <w:spacing w:before="0" w:after="283"/>
              <w:jc w:val="center"/>
              <w:rPr>
                <w:i w:val="false"/>
                <w:caps w:val="false"/>
                <w:smallCaps w:val="false"/>
                <w:sz w:val="20"/>
              </w:rPr>
            </w:pPr>
            <w:bookmarkStart w:id="18" w:name="xdx_90A_edei--Security12bTitle_c20260924"/>
            <w:bookmarkEnd w:id="18"/>
            <w:r>
              <w:rPr>
                <w:i w:val="false"/>
                <w:caps w:val="false"/>
                <w:smallCaps w:val="false"/>
                <w:sz w:val="20"/>
              </w:rPr>
              <w:t>Common Stock – par value $0.001 per share</w:t>
            </w:r>
          </w:p>
        </w:tc>
        <w:tc>
          <w:tcPr>
            <w:tcW w:w="1535" w:type="dxa"/>
            <w:tcBorders>
              <w:bottom w:val="single" w:sz="8" w:space="0" w:color="000000"/>
              <w:right w:val="single" w:sz="8" w:space="0" w:color="000000"/>
            </w:tcBorders>
            <w:tcMar>
              <w:top w:w="0" w:type="dxa"/>
            </w:tcMar>
            <w:vAlign w:val="center"/>
          </w:tcPr>
          <w:p>
            <w:pPr>
              <w:pStyle w:val="TableContents"/>
              <w:bidi w:val="0"/>
              <w:spacing w:before="0" w:after="283"/>
              <w:jc w:val="center"/>
              <w:rPr>
                <w:i w:val="false"/>
                <w:caps w:val="false"/>
                <w:smallCaps w:val="false"/>
                <w:sz w:val="20"/>
              </w:rPr>
            </w:pPr>
            <w:bookmarkStart w:id="19" w:name="xdx_904_edei--TradingSymbol_c20260924__2"/>
            <w:bookmarkEnd w:id="19"/>
            <w:r>
              <w:rPr>
                <w:i w:val="false"/>
                <w:caps w:val="false"/>
                <w:smallCaps w:val="false"/>
                <w:sz w:val="20"/>
              </w:rPr>
              <w:t>REGN</w:t>
            </w:r>
          </w:p>
        </w:tc>
        <w:tc>
          <w:tcPr>
            <w:tcW w:w="3590" w:type="dxa"/>
            <w:tcBorders>
              <w:bottom w:val="single" w:sz="8" w:space="0" w:color="000000"/>
              <w:right w:val="single" w:sz="8" w:space="0" w:color="000000"/>
            </w:tcBorders>
            <w:tcMar>
              <w:top w:w="0" w:type="dxa"/>
            </w:tcMar>
            <w:vAlign w:val="center"/>
          </w:tcPr>
          <w:p>
            <w:pPr>
              <w:pStyle w:val="TableContents"/>
              <w:bidi w:val="0"/>
              <w:spacing w:before="0" w:after="283"/>
              <w:jc w:val="center"/>
              <w:rPr>
                <w:i w:val="false"/>
                <w:caps w:val="false"/>
                <w:smallCaps w:val="false"/>
                <w:sz w:val="20"/>
              </w:rPr>
            </w:pPr>
            <w:bookmarkStart w:id="20" w:name="xdx_90A_edei--SecurityExchangeName_c2026"/>
            <w:bookmarkEnd w:id="20"/>
            <w:r>
              <w:rPr>
                <w:i w:val="false"/>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2"/>
        <w:gridCol w:w="9343"/>
      </w:tblGrid>
      <w:tr>
        <w:trPr/>
        <w:tc>
          <w:tcPr>
            <w:tcW w:w="862" w:type="dxa"/>
            <w:tcBorders/>
            <w:vAlign w:val="center"/>
          </w:tcPr>
          <w:p>
            <w:pPr>
              <w:pStyle w:val="TableContents"/>
              <w:bidi w:val="0"/>
              <w:spacing w:before="0" w:after="283"/>
              <w:jc w:val="left"/>
              <w:rPr>
                <w:b/>
                <w:sz w:val="20"/>
              </w:rPr>
            </w:pPr>
            <w:r>
              <w:rPr>
                <w:b/>
                <w:sz w:val="20"/>
              </w:rPr>
              <w:t>Item 5.02.</w:t>
            </w:r>
          </w:p>
        </w:tc>
        <w:tc>
          <w:tcPr>
            <w:tcW w:w="9343" w:type="dxa"/>
            <w:tcBorders/>
            <w:vAlign w:val="center"/>
          </w:tcPr>
          <w:p>
            <w:pPr>
              <w:pStyle w:val="TableContents"/>
              <w:bidi w:val="0"/>
              <w:spacing w:before="0" w:after="283"/>
              <w:jc w:val="left"/>
              <w:rPr>
                <w:b/>
                <w:sz w:val="20"/>
              </w:rPr>
            </w:pPr>
            <w:r>
              <w:rPr>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1.     New Equity Awards for CEO and CSO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24, 2026 (the “</w:t>
      </w:r>
      <w:r>
        <w:rPr>
          <w:rFonts w:ascii="Times New Roman;Times;Serif" w:hAnsi="Times New Roman;Times;Serif"/>
          <w:b w:val="false"/>
          <w:i w:val="false"/>
          <w:caps w:val="false"/>
          <w:smallCaps w:val="false"/>
          <w:sz w:val="20"/>
          <w:u w:val="single"/>
        </w:rPr>
        <w:t>Grant Date</w:t>
      </w:r>
      <w:r>
        <w:rPr>
          <w:rFonts w:ascii="Times New Roman;Times;Serif" w:hAnsi="Times New Roman;Times;Serif"/>
          <w:b w:val="false"/>
          <w:i w:val="false"/>
          <w:caps w:val="false"/>
          <w:smallCaps w:val="false"/>
          <w:sz w:val="20"/>
        </w:rPr>
        <w:t>”), the Compensation Committee (the “</w:t>
      </w:r>
      <w:r>
        <w:rPr>
          <w:rFonts w:ascii="Times New Roman;Times;Serif" w:hAnsi="Times New Roman;Times;Serif"/>
          <w:b w:val="false"/>
          <w:i w:val="false"/>
          <w:caps w:val="false"/>
          <w:smallCaps w:val="false"/>
          <w:sz w:val="20"/>
          <w:u w:val="single"/>
        </w:rPr>
        <w:t>Compensation Committee</w:t>
      </w:r>
      <w:r>
        <w:rPr>
          <w:rFonts w:ascii="Times New Roman;Times;Serif" w:hAnsi="Times New Roman;Times;Serif"/>
          <w:b w:val="false"/>
          <w:i w:val="false"/>
          <w:caps w:val="false"/>
          <w:smallCaps w:val="false"/>
          <w:sz w:val="20"/>
        </w:rPr>
        <w:t>”) of the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of Regeneron Pharmaceuticals, Inc. (“</w:t>
      </w:r>
      <w:r>
        <w:rPr>
          <w:rFonts w:ascii="Times New Roman;Times;Serif" w:hAnsi="Times New Roman;Times;Serif"/>
          <w:b w:val="false"/>
          <w:i w:val="false"/>
          <w:caps w:val="false"/>
          <w:smallCaps w:val="false"/>
          <w:sz w:val="20"/>
          <w:u w:val="single"/>
        </w:rPr>
        <w:t>Regeneron</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granted, upon the approval of the independent, non-employee members of the Board, a one-time award of performance share units (together, the “</w:t>
      </w:r>
      <w:r>
        <w:rPr>
          <w:rFonts w:ascii="Times New Roman;Times;Serif" w:hAnsi="Times New Roman;Times;Serif"/>
          <w:b w:val="false"/>
          <w:i w:val="false"/>
          <w:caps w:val="false"/>
          <w:smallCaps w:val="false"/>
          <w:sz w:val="20"/>
          <w:u w:val="single"/>
        </w:rPr>
        <w:t>2026 PSUs</w:t>
      </w:r>
      <w:r>
        <w:rPr>
          <w:rFonts w:ascii="Times New Roman;Times;Serif" w:hAnsi="Times New Roman;Times;Serif"/>
          <w:b w:val="false"/>
          <w:i w:val="false"/>
          <w:caps w:val="false"/>
          <w:smallCaps w:val="false"/>
          <w:sz w:val="20"/>
        </w:rPr>
        <w:t>”) under the Second Amended and Restated Regeneron Pharmaceuticals, Inc. 2014 Long-Term Incentive Plan (the “</w:t>
      </w:r>
      <w:r>
        <w:rPr>
          <w:rFonts w:ascii="Times New Roman;Times;Serif" w:hAnsi="Times New Roman;Times;Serif"/>
          <w:b w:val="false"/>
          <w:i w:val="false"/>
          <w:caps w:val="false"/>
          <w:smallCaps w:val="false"/>
          <w:sz w:val="20"/>
          <w:u w:val="single"/>
        </w:rPr>
        <w:t>Equity Plan</w:t>
      </w:r>
      <w:r>
        <w:rPr>
          <w:rFonts w:ascii="Times New Roman;Times;Serif" w:hAnsi="Times New Roman;Times;Serif"/>
          <w:b w:val="false"/>
          <w:i w:val="false"/>
          <w:caps w:val="false"/>
          <w:smallCaps w:val="false"/>
          <w:sz w:val="20"/>
        </w:rPr>
        <w:t>”) to each of Leonard S. Schleifer, M.D., Ph.D., Board co-Chair, President and Chief Executive Officer of the Company (“</w:t>
      </w:r>
      <w:r>
        <w:rPr>
          <w:rFonts w:ascii="Times New Roman;Times;Serif" w:hAnsi="Times New Roman;Times;Serif"/>
          <w:b w:val="false"/>
          <w:i w:val="false"/>
          <w:caps w:val="false"/>
          <w:smallCaps w:val="false"/>
          <w:sz w:val="20"/>
          <w:u w:val="single"/>
        </w:rPr>
        <w:t>CEO</w:t>
      </w:r>
      <w:r>
        <w:rPr>
          <w:rFonts w:ascii="Times New Roman;Times;Serif" w:hAnsi="Times New Roman;Times;Serif"/>
          <w:b w:val="false"/>
          <w:i w:val="false"/>
          <w:caps w:val="false"/>
          <w:smallCaps w:val="false"/>
          <w:sz w:val="20"/>
        </w:rPr>
        <w:t>”), and George D. Yancopoulos, M.D., Ph.D., Board co-Chair, President and Chief Scientific Officer of the Company (“</w:t>
      </w:r>
      <w:r>
        <w:rPr>
          <w:rFonts w:ascii="Times New Roman;Times;Serif" w:hAnsi="Times New Roman;Times;Serif"/>
          <w:b w:val="false"/>
          <w:i w:val="false"/>
          <w:caps w:val="false"/>
          <w:smallCaps w:val="false"/>
          <w:sz w:val="20"/>
          <w:u w:val="single"/>
        </w:rPr>
        <w:t>CSO</w:t>
      </w:r>
      <w:r>
        <w:rPr>
          <w:rFonts w:ascii="Times New Roman;Times;Serif" w:hAnsi="Times New Roman;Times;Serif"/>
          <w:b w:val="false"/>
          <w:i w:val="false"/>
          <w:caps w:val="false"/>
          <w:smallCaps w:val="false"/>
          <w:sz w:val="20"/>
        </w:rPr>
        <w:t>”),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shd w:fill="E1E4E7" w:val="clear"/>
        </w:rPr>
      </w:pPr>
      <w:r>
        <w:rPr>
          <w:caps w:val="false"/>
          <w:smallCaps w:val="false"/>
          <w:bdr w:val="single" w:sz="8" w:space="1" w:color="000000"/>
          <w:shd w:fill="E1E4E7"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shd w:fill="E1E4E7" w:val="clear"/>
        </w:rPr>
      </w:pPr>
      <w:r>
        <w:rPr>
          <w:rFonts w:ascii="Times New Roman;Times;Serif" w:hAnsi="Times New Roman;Times;Serif"/>
          <w:b/>
          <w:i w:val="false"/>
          <w:caps w:val="false"/>
          <w:smallCaps w:val="false"/>
          <w:sz w:val="20"/>
          <w:bdr w:val="single" w:sz="8" w:space="1" w:color="000000"/>
          <w:shd w:fill="E1E4E7" w:val="clear"/>
        </w:rPr>
        <w:t>THE 2026 CEO AND CSO AWARDS OVERVIEW</w:t>
      </w:r>
    </w:p>
    <w:p>
      <w:pPr>
        <w:pStyle w:val="TextBody"/>
        <w:bidi w:val="0"/>
        <w:spacing w:before="0" w:after="0"/>
        <w:ind w:left="0" w:right="0" w:hanging="0"/>
        <w:jc w:val="left"/>
        <w:rPr>
          <w:caps w:val="false"/>
          <w:smallCaps w:val="false"/>
          <w:bdr w:val="single" w:sz="8" w:space="1" w:color="000000"/>
          <w:shd w:fill="E1E4E7" w:val="clear"/>
        </w:rPr>
      </w:pPr>
      <w:r>
        <w:rPr>
          <w:caps w:val="false"/>
          <w:smallCaps w:val="false"/>
          <w:bdr w:val="single" w:sz="8" w:space="1" w:color="000000"/>
          <w:shd w:fill="E1E4E7" w:val="clear"/>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8" w:space="1" w:color="000000"/>
          <w:shd w:fill="E1E4E7" w:val="clear"/>
        </w:rPr>
      </w:pPr>
      <w:r>
        <w:rPr>
          <w:rFonts w:ascii="Times New Roman;Times;Serif" w:hAnsi="Times New Roman;Times;Serif"/>
          <w:b w:val="false"/>
          <w:i/>
          <w:caps w:val="false"/>
          <w:smallCaps w:val="false"/>
          <w:sz w:val="20"/>
          <w:bdr w:val="single" w:sz="8" w:space="1" w:color="000000"/>
          <w:shd w:fill="E1E4E7" w:val="clear"/>
        </w:rPr>
        <w:t>This summary highlights certain features of the 2026 PSUs and is qualified by the supplemental information in Exhibit 99.1 and the 2026 PSU agreements filed as Exhibits 10.1 and 10.2.</w:t>
      </w:r>
    </w:p>
    <w:p>
      <w:pPr>
        <w:pStyle w:val="TextBody"/>
        <w:bidi w:val="0"/>
        <w:spacing w:before="0" w:after="0"/>
        <w:ind w:left="0" w:right="0" w:hanging="0"/>
        <w:jc w:val="left"/>
        <w:rPr>
          <w:caps w:val="false"/>
          <w:smallCaps w:val="false"/>
          <w:bdr w:val="single" w:sz="8" w:space="1" w:color="000000"/>
          <w:shd w:fill="E1E4E7" w:val="clear"/>
        </w:rPr>
      </w:pPr>
      <w:r>
        <w:rPr>
          <w:caps w:val="false"/>
          <w:smallCaps w:val="false"/>
          <w:bdr w:val="single" w:sz="8" w:space="1" w:color="000000"/>
          <w:shd w:fill="E1E4E7" w:val="clea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Designed to drive long-term, sustainable value creation.</w:t>
            </w:r>
            <w:r>
              <w:rPr>
                <w:rFonts w:ascii="Times New Roman;Times;Serif" w:hAnsi="Times New Roman;Times;Serif"/>
              </w:rPr>
              <w:t xml:space="preserve"> The 2026 PSUs reward successful, timely execution by Regeneron’s co-founders Drs. Schleifer and Yancopoulos against ambitious pipeline and commercial growth goals sustained through the full 10-year performance period, which is aligned with Regeneron’s mission, focus on long-term value creation, and product development and commercialization cycles.</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Thoughtful, multi-year process that incorporated shareholder input.</w:t>
            </w:r>
            <w:r>
              <w:rPr>
                <w:rFonts w:ascii="Times New Roman;Times;Serif" w:hAnsi="Times New Roman;Times;Serif"/>
              </w:rPr>
              <w:t xml:space="preserve"> The award structure is a result of a multi-year process led by the Compensation Committee and directly reflects feedback from many of the Company’s largest investors, gathered through a dedicated 2026 engagement campaign led by the independent Compensation Committee Chair and Lead Independent Director of the Board.</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Single, 100% performance-based award for ten years; mandatory holding period applies into 2036.</w:t>
            </w:r>
            <w:r>
              <w:rPr>
                <w:rFonts w:ascii="Times New Roman;Times;Serif" w:hAnsi="Times New Roman;Times;Serif"/>
              </w:rPr>
              <w:t xml:space="preserve"> These one-time awards replace annual equity awards under the Company’s long-term incentive plan for the CEO and the CSO until 2036. All PSU shares are subject to a mandatory holding period and cannot be sold until February 2036 (the certification date for 2035 performance), with exceptions only for death, disability, or a change in control.</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Rigorous performance goals that reflect Regeneron’s strategic objectives.</w:t>
            </w:r>
            <w:r>
              <w:rPr>
                <w:rFonts w:ascii="Times New Roman;Times;Serif" w:hAnsi="Times New Roman;Times;Serif"/>
              </w:rPr>
              <w:t xml:space="preserve"> The performance goals are tied to new product filings and approvals (smaller earnout opportunity) and the revenues generated from them (greater earnout opportunity), with top payouts linked to transformational pipeline and revenue creation.</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Maximum earnout requires nearly $30 billion in new product annual revenues, substantial pipeline advancement, positive absolute TSR, and relative TSR outperformance.</w:t>
            </w:r>
            <w:r>
              <w:rPr>
                <w:rFonts w:ascii="Times New Roman;Times;Serif" w:hAnsi="Times New Roman;Times;Serif"/>
              </w:rPr>
              <w:t xml:space="preserve"> That revenue level is approximately double the Company’s total 2025 revenues and demands exceptional commercial and pipeline execution in the face of headwinds from increasing biosimilar and branded competition to existing products.</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New revenue generation represents the largest earnout opportunity.</w:t>
            </w:r>
            <w:r>
              <w:rPr>
                <w:rFonts w:ascii="Times New Roman;Times;Serif" w:hAnsi="Times New Roman;Times;Serif"/>
              </w:rPr>
              <w:t xml:space="preserve"> Consistent with shareholder feedback, earnout is significantly more weighted toward new product revenues rather than pipeline activity alone. Below $10 billion of new product annual revenues, no revenue-based PSUs would be earned and the activity-based earnout is capped at 100,000 PSUs (CEO) and 300,000 PSUs (CSO), with the greater cap applicable to the CSO to recognize the executive’s primary responsibility for the research and development efforts required to generate activity-based PSUs. Between $10 billion and $30 billion, the total number of PSUs eligible to be earned by the CEO and the CSO in the aggregate is determined such that activity-based PSUs may not exceed 30% of such total number of PSUs.</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Designed to align compensation outcomes with long-term shareholder experience.</w:t>
            </w:r>
            <w:r>
              <w:rPr>
                <w:rFonts w:ascii="Times New Roman;Times;Serif" w:hAnsi="Times New Roman;Times;Serif"/>
              </w:rPr>
              <w:t xml:space="preserve"> A relative TSR modifier adjusts earned PSUs by up to ±20% based on Regeneron’s TSR against the NASDAQ Biotechnology Total Return Index over the full 10-year performance period. Any shares delivered before the end of the performance period will be subject to a 20% holdback pending the relative TSR adjustment in 2036. In limited circumstances when the executive’s service terminates earlier, the relative TSR adjustment will be measured as of the date of termination.</w:t>
            </w:r>
          </w:p>
        </w:tc>
      </w:tr>
    </w:tbl>
    <w:p>
      <w:pPr>
        <w:pStyle w:val="TextBody"/>
        <w:bidi w:val="0"/>
        <w:spacing w:before="0" w:after="0"/>
        <w:ind w:left="288" w:right="0" w:hanging="288"/>
        <w:jc w:val="left"/>
        <w:rPr>
          <w:caps w:val="false"/>
          <w:smallCaps w:val="false"/>
          <w:bdr w:val="single" w:sz="8" w:space="1" w:color="000000"/>
          <w:shd w:fill="E1E4E7" w:val="clear"/>
        </w:rPr>
      </w:pPr>
      <w:r>
        <w:rPr>
          <w:caps w:val="false"/>
          <w:smallCaps w:val="false"/>
          <w:bdr w:val="single" w:sz="8" w:space="1" w:color="000000"/>
          <w:shd w:fill="E1E4E7" w:val="clea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88" w:right="0" w:hanging="288"/>
        <w:jc w:val="left"/>
        <w:rPr>
          <w:caps w:val="false"/>
          <w:smallCaps w:val="false"/>
          <w:bdr w:val="single" w:sz="8" w:space="1" w:color="000000"/>
          <w:shd w:fill="E1E4E7" w:val="clear"/>
        </w:rPr>
      </w:pPr>
      <w:r>
        <w:rPr>
          <w:caps w:val="false"/>
          <w:smallCaps w:val="false"/>
          <w:bdr w:val="single" w:sz="8" w:space="1" w:color="000000"/>
          <w:shd w:fill="E1E4E7" w:val="clea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Promotes sustained performance, with earnout and delivery concentrated in the final years.</w:t>
            </w:r>
            <w:r>
              <w:rPr>
                <w:rFonts w:ascii="Times New Roman;Times;Serif" w:hAnsi="Times New Roman;Times;Serif"/>
              </w:rPr>
              <w:t xml:space="preserve"> To promote sustained performance and mitigate the risk of award over-delivery, earnout and delivery opportunities before the last two years of the full 10-year performance period are limited: No revenue-based PSUs may be earned before certification of 2032 revenue, activity-based earnout is capped through 2031, aggregate earnout is capped through 2033, and further delivery limits apply before 2035.</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Only new revenue the Company generates from newly approved or acquired products is counted.</w:t>
            </w:r>
            <w:r>
              <w:rPr>
                <w:rFonts w:ascii="Times New Roman;Times;Serif" w:hAnsi="Times New Roman;Times;Serif"/>
              </w:rPr>
              <w:t xml:space="preserve"> Only sales from products for which the Company obtains FDA approval during the full 10-year performance period (defined to include Lynozyfic</w:t>
            </w:r>
            <w:r>
              <w:rPr>
                <w:rFonts w:ascii="Times New Roman;Times;Serif" w:hAnsi="Times New Roman;Times;Serif"/>
                <w:position w:val="5"/>
                <w:sz w:val="13"/>
                <w:sz w:val="16"/>
              </w:rPr>
              <w:t>®</w:t>
            </w:r>
            <w:r>
              <w:rPr>
                <w:rFonts w:ascii="Times New Roman;Times;Serif" w:hAnsi="Times New Roman;Times;Serif"/>
              </w:rPr>
              <w:t xml:space="preserve"> (linvoseltamab) and Otarmeni</w:t>
            </w:r>
            <w:r>
              <w:rPr>
                <w:rFonts w:ascii="Times New Roman;Times;Serif" w:hAnsi="Times New Roman;Times;Serif"/>
                <w:position w:val="8"/>
                <w:sz w:val="19"/>
              </w:rPr>
              <w:t>™</w:t>
            </w:r>
            <w:r>
              <w:rPr>
                <w:rFonts w:ascii="Times New Roman;Times;Serif" w:hAnsi="Times New Roman;Times;Serif"/>
              </w:rPr>
              <w:t xml:space="preserve"> (lunsotogene parvec) solely in the event that the Company obtains significant label expansion for such products) count toward the revenue goals. For acquired products, only sales above the pre-acquisition baseline are included.</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Long-term service required.</w:t>
            </w:r>
            <w:r>
              <w:rPr>
                <w:rFonts w:ascii="Times New Roman;Times;Serif" w:hAnsi="Times New Roman;Times;Serif"/>
              </w:rPr>
              <w:t xml:space="preserve"> Executives must remain continuously employed or otherwise provide service through the applicable earnout measurement dates during the full 10-year performance period ending December 31, 2035 (subject to certain qualifying termination protections). Serving as a member of the Board will satisfy this requirement, and the executives have the right to be nominated as Board members for so long as they remain employed as CEO and CSO. Voluntary departure or retirement prior to such dates would result in full forfeiture of any unvested PSUs.</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Hard caps apply in every scenario.</w:t>
            </w:r>
            <w:r>
              <w:rPr>
                <w:rFonts w:ascii="Times New Roman;Times;Serif" w:hAnsi="Times New Roman;Times;Serif"/>
              </w:rPr>
              <w:t xml:space="preserve"> Awards are capped at 2,700,000 PSUs (CEO) and 2,900,000 PSUs (CSO), regardless of greater performance. The higher CSO limit reflects his primary responsibility for the research and development work that generates activity-based earnout and supports the revenue goals.</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Succession planning required.</w:t>
            </w:r>
            <w:r>
              <w:rPr>
                <w:rFonts w:ascii="Times New Roman;Times;Serif" w:hAnsi="Times New Roman;Times;Serif"/>
              </w:rPr>
              <w:t xml:space="preserve"> Awards require good-faith participation in CEO and CSO succession planning, with formal plans to be completed by the 5th anniversary of grant, helping ensure stability and continuity of key leadership.</w:t>
            </w:r>
          </w:p>
        </w:tc>
      </w:tr>
    </w:tbl>
    <w:p>
      <w:pPr>
        <w:pStyle w:val="TextBody"/>
        <w:bidi w:val="0"/>
        <w:spacing w:before="0" w:after="0"/>
        <w:ind w:left="288" w:right="0" w:hanging="288"/>
        <w:jc w:val="left"/>
        <w:rPr>
          <w:caps w:val="false"/>
          <w:smallCaps w:val="false"/>
          <w:bdr w:val="single" w:sz="8" w:space="1" w:color="000000"/>
          <w:shd w:fill="E1E4E7" w:val="clear"/>
        </w:rPr>
      </w:pPr>
      <w:r>
        <w:rPr>
          <w:caps w:val="false"/>
          <w:smallCaps w:val="false"/>
          <w:bdr w:val="single" w:sz="8" w:space="1" w:color="000000"/>
          <w:shd w:fill="E1E4E7" w:val="clear"/>
        </w:rPr>
        <w:t> </w:t>
      </w:r>
    </w:p>
    <w:p>
      <w:pPr>
        <w:pStyle w:val="TextBody"/>
        <w:bidi w:val="0"/>
        <w:spacing w:before="0" w:after="0"/>
        <w:ind w:left="288" w:right="0" w:hanging="288"/>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2026 PSUs is qualified in its entirety by reference to Exhibit 99.1, “Supplemental Information Regarding Award Rationale, Design Process, and Key Terms,” as well as the full and complete text of the 2026 PSU agreements under the Equity Plan (collectively, the “</w:t>
      </w:r>
      <w:r>
        <w:rPr>
          <w:rFonts w:ascii="Times New Roman;Times;Serif" w:hAnsi="Times New Roman;Times;Serif"/>
          <w:b w:val="false"/>
          <w:i w:val="false"/>
          <w:caps w:val="false"/>
          <w:smallCaps w:val="false"/>
          <w:sz w:val="20"/>
          <w:u w:val="single"/>
        </w:rPr>
        <w:t>PSU Award Agreements</w:t>
      </w:r>
      <w:r>
        <w:rPr>
          <w:rFonts w:ascii="Times New Roman;Times;Serif" w:hAnsi="Times New Roman;Times;Serif"/>
          <w:b w:val="false"/>
          <w:i w:val="false"/>
          <w:caps w:val="false"/>
          <w:smallCaps w:val="false"/>
          <w:sz w:val="20"/>
        </w:rPr>
        <w:t>”) filed as Exhibits 10.1 and 10.2. Such documents are filed as exhibits to this Current Report on Form 8-K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     Formation of New Subsidiary and Grant of Subsidiary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recently formed a new entity (the “</w:t>
      </w:r>
      <w:r>
        <w:rPr>
          <w:rFonts w:ascii="Times New Roman;Times;Serif" w:hAnsi="Times New Roman;Times;Serif"/>
          <w:b w:val="false"/>
          <w:i w:val="false"/>
          <w:caps w:val="false"/>
          <w:smallCaps w:val="false"/>
          <w:sz w:val="20"/>
          <w:u w:val="single"/>
        </w:rPr>
        <w:t>New Subsidiary</w:t>
      </w:r>
      <w:r>
        <w:rPr>
          <w:rFonts w:ascii="Times New Roman;Times;Serif" w:hAnsi="Times New Roman;Times;Serif"/>
          <w:b w:val="false"/>
          <w:i w:val="false"/>
          <w:caps w:val="false"/>
          <w:smallCaps w:val="false"/>
          <w:sz w:val="20"/>
        </w:rPr>
        <w:t>”) to explore a potential non-core business opportunity. Drs. Schleifer and Yancopoulos each received an equity stake in the New Subsidiary, a portion of which is subject to vesting. The Company has only recently begun exploring this business opportunity. The New Subsidiary is majority owned and controlled by Regeneron, has a nominal value, does not have any significant assets at present, has not yet commenced operations, and may not pursue this business opportunity in the near future,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restricted stock purchase agreement with each of Drs. Schleifer and Yancopoulos, pursuant to which each of them received his equity stake in the New Subsidiary, entered into effective September 24, 2026, will be filed as an exhibit to the Company’s Quarterly Report on Form 10-Q for the quarterly period ending September 30, 2026.</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455"/>
        <w:gridCol w:w="8975"/>
      </w:tblGrid>
      <w:tr>
        <w:trPr/>
        <w:tc>
          <w:tcPr>
            <w:tcW w:w="455" w:type="dxa"/>
            <w:tcBorders/>
            <w:vAlign w:val="center"/>
          </w:tcPr>
          <w:p>
            <w:pPr>
              <w:pStyle w:val="TableContents"/>
              <w:bidi w:val="0"/>
              <w:spacing w:before="0" w:after="283"/>
              <w:jc w:val="left"/>
              <w:rPr/>
            </w:pPr>
            <w:hyperlink w:anchor="tm2626090d1_ex99-1.htm">
              <w:r>
                <w:rPr>
                  <w:rStyle w:val="InternetLink"/>
                </w:rPr>
                <w:t>99.1</w:t>
              </w:r>
            </w:hyperlink>
          </w:p>
        </w:tc>
        <w:tc>
          <w:tcPr>
            <w:tcW w:w="8975" w:type="dxa"/>
            <w:tcBorders/>
            <w:vAlign w:val="center"/>
          </w:tcPr>
          <w:p>
            <w:pPr>
              <w:pStyle w:val="TableContents"/>
              <w:bidi w:val="0"/>
              <w:spacing w:before="0" w:after="283"/>
              <w:jc w:val="both"/>
              <w:rPr/>
            </w:pPr>
            <w:hyperlink w:anchor="tm2626090d1_ex99-1.htm">
              <w:r>
                <w:rPr>
                  <w:rStyle w:val="InternetLink"/>
                </w:rPr>
                <w:t>Supplemental Information Regarding Award Rationale, Design Process, and Key Terms</w:t>
              </w:r>
            </w:hyperlink>
          </w:p>
        </w:tc>
      </w:tr>
      <w:tr>
        <w:trPr/>
        <w:tc>
          <w:tcPr>
            <w:tcW w:w="455" w:type="dxa"/>
            <w:tcBorders/>
            <w:vAlign w:val="center"/>
          </w:tcPr>
          <w:p>
            <w:pPr>
              <w:pStyle w:val="TableContents"/>
              <w:bidi w:val="0"/>
              <w:spacing w:before="0" w:after="283"/>
              <w:jc w:val="left"/>
              <w:rPr/>
            </w:pPr>
            <w:hyperlink w:anchor="tm2626090d1_ex10-1.htm">
              <w:r>
                <w:rPr>
                  <w:rStyle w:val="InternetLink"/>
                </w:rPr>
                <w:t>10.1</w:t>
              </w:r>
            </w:hyperlink>
          </w:p>
        </w:tc>
        <w:tc>
          <w:tcPr>
            <w:tcW w:w="8975" w:type="dxa"/>
            <w:tcBorders/>
            <w:vAlign w:val="center"/>
          </w:tcPr>
          <w:p>
            <w:pPr>
              <w:pStyle w:val="TableContents"/>
              <w:bidi w:val="0"/>
              <w:spacing w:before="0" w:after="283"/>
              <w:jc w:val="both"/>
              <w:rPr/>
            </w:pPr>
            <w:hyperlink w:anchor="tm2626090d1_ex10-1.htm">
              <w:r>
                <w:rPr>
                  <w:rStyle w:val="InternetLink"/>
                </w:rPr>
                <w:t>PSU Award Agreement (Leonard S. Schleifer, M.D., Ph.D.)</w:t>
              </w:r>
            </w:hyperlink>
          </w:p>
        </w:tc>
      </w:tr>
      <w:tr>
        <w:trPr/>
        <w:tc>
          <w:tcPr>
            <w:tcW w:w="455" w:type="dxa"/>
            <w:tcBorders/>
            <w:vAlign w:val="center"/>
          </w:tcPr>
          <w:p>
            <w:pPr>
              <w:pStyle w:val="TableContents"/>
              <w:bidi w:val="0"/>
              <w:spacing w:before="0" w:after="283"/>
              <w:jc w:val="left"/>
              <w:rPr/>
            </w:pPr>
            <w:hyperlink w:anchor="tm2626090d1_ex10-2.htm">
              <w:r>
                <w:rPr>
                  <w:rStyle w:val="InternetLink"/>
                </w:rPr>
                <w:t>10.2</w:t>
              </w:r>
            </w:hyperlink>
          </w:p>
        </w:tc>
        <w:tc>
          <w:tcPr>
            <w:tcW w:w="8975" w:type="dxa"/>
            <w:tcBorders/>
            <w:vAlign w:val="center"/>
          </w:tcPr>
          <w:p>
            <w:pPr>
              <w:pStyle w:val="TableContents"/>
              <w:bidi w:val="0"/>
              <w:spacing w:before="0" w:after="283"/>
              <w:jc w:val="both"/>
              <w:rPr/>
            </w:pPr>
            <w:hyperlink w:anchor="tm2626090d1_ex10-2.htm">
              <w:r>
                <w:rPr>
                  <w:rStyle w:val="InternetLink"/>
                </w:rPr>
                <w:t>PSU Award Agreement (George D. Yancopoulos, M.D., Ph.D.)</w:t>
              </w:r>
            </w:hyperlink>
          </w:p>
        </w:tc>
      </w:tr>
      <w:tr>
        <w:trPr/>
        <w:tc>
          <w:tcPr>
            <w:tcW w:w="455" w:type="dxa"/>
            <w:tcBorders/>
            <w:vAlign w:val="center"/>
          </w:tcPr>
          <w:p>
            <w:pPr>
              <w:pStyle w:val="TableContents"/>
              <w:bidi w:val="0"/>
              <w:spacing w:before="0" w:after="283"/>
              <w:jc w:val="left"/>
              <w:rPr>
                <w:sz w:val="20"/>
              </w:rPr>
            </w:pPr>
            <w:r>
              <w:rPr>
                <w:sz w:val="20"/>
              </w:rPr>
              <w:t>104</w:t>
            </w:r>
          </w:p>
        </w:tc>
        <w:tc>
          <w:tcPr>
            <w:tcW w:w="8975" w:type="dxa"/>
            <w:tcBorders/>
            <w:vAlign w:val="center"/>
          </w:tcPr>
          <w:p>
            <w:pPr>
              <w:pStyle w:val="TableContents"/>
              <w:bidi w:val="0"/>
              <w:spacing w:before="0" w:after="283"/>
              <w:jc w:val="both"/>
              <w:rPr>
                <w:sz w:val="20"/>
              </w:rPr>
            </w:pPr>
            <w:r>
              <w:rPr>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910" w:type="dxa"/>
        <w:jc w:val="left"/>
        <w:tblInd w:w="0" w:type="dxa"/>
        <w:tblLayout w:type="fixed"/>
        <w:tblCellMar>
          <w:top w:w="0" w:type="dxa"/>
          <w:left w:w="0" w:type="dxa"/>
          <w:bottom w:w="0" w:type="dxa"/>
          <w:right w:w="0" w:type="dxa"/>
        </w:tblCellMar>
      </w:tblPr>
      <w:tblGrid>
        <w:gridCol w:w="75"/>
        <w:gridCol w:w="4835"/>
      </w:tblGrid>
      <w:tr>
        <w:trPr/>
        <w:tc>
          <w:tcPr>
            <w:tcW w:w="75"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b/>
              </w:rPr>
            </w:pPr>
            <w:r>
              <w:rPr>
                <w:b/>
              </w:rPr>
              <w:t>REGENERON PHARMACEUTICALS, INC.</w:t>
            </w:r>
          </w:p>
        </w:tc>
      </w:tr>
      <w:tr>
        <w:trPr/>
        <w:tc>
          <w:tcPr>
            <w:tcW w:w="75"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J. LaRosa</w:t>
            </w:r>
          </w:p>
        </w:tc>
      </w:tr>
      <w:tr>
        <w:trPr/>
        <w:tc>
          <w:tcPr>
            <w:tcW w:w="75"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J. LaRosa</w:t>
            </w:r>
          </w:p>
        </w:tc>
      </w:tr>
      <w:tr>
        <w:trPr/>
        <w:tc>
          <w:tcPr>
            <w:tcW w:w="75"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 w:name="tm2626090d1_ex99-1.htm"/>
      <w:bookmarkStart w:id="23" w:name="kstm2626090d1_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Supplemental Information Regarding Award Rationale, Design Process, and Key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Note: See definitions set forth under “1. New Equity Awards for CEO and CSO” in Item 5.02 of this Current Report on Form 8-K for capitalized terms used but not defined below.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Award Rationale and Design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PSUs were approved after a rigorous, multi-year process led by the Compensation Committee, incorporating long-term strategic considerations and informed by direct feedback from many of the Company’s largest investors as well as the Compensation Committee’s independent compensation consultant and several other compensation and governance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that process, the Compensation Committee and the other independent Board members carefully considered Regeneron’s mission and long-term growth strategy, including the need to maximize the value of its pipeline of approximately 50 product candidates amid increasing biosimilar and branded competition. The Board also recognized the Company’s nearly 40-year record of success for patients and shareholders under the leadership of Regeneron’s co-founders Drs. Schleifer and Yancopoulos, as demonstrated by the invention, development, and commercialization of 16 approved or authorized medicines, including four that have achieved “blockbuster” status and currently generate more than $1 billion in annual net product sales each, and by a total shareholder return (“</w:t>
      </w:r>
      <w:r>
        <w:rPr>
          <w:rFonts w:ascii="Times New Roman;Times;Serif" w:hAnsi="Times New Roman;Times;Serif"/>
          <w:b w:val="false"/>
          <w:i w:val="false"/>
          <w:caps w:val="false"/>
          <w:smallCaps w:val="false"/>
          <w:sz w:val="20"/>
          <w:u w:val="single"/>
        </w:rPr>
        <w:t>TSR</w:t>
      </w:r>
      <w:r>
        <w:rPr>
          <w:rFonts w:ascii="Times New Roman;Times;Serif" w:hAnsi="Times New Roman;Times;Serif"/>
          <w:b w:val="false"/>
          <w:i w:val="false"/>
          <w:caps w:val="false"/>
          <w:smallCaps w:val="false"/>
          <w:sz w:val="20"/>
        </w:rPr>
        <w:t>”) of over 3,500% since the Company became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Key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terms of the PSUs are further described below. Unless otherwise indicated, PSU and share information is expressed per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Performance Goals. </w:t>
      </w:r>
      <w:r>
        <w:rPr>
          <w:rFonts w:ascii="Times New Roman;Times;Serif" w:hAnsi="Times New Roman;Times;Serif"/>
          <w:b w:val="false"/>
          <w:i w:val="false"/>
          <w:caps w:val="false"/>
          <w:smallCaps w:val="false"/>
          <w:sz w:val="20"/>
        </w:rPr>
        <w:t>The performance goals for the 2026 PSUs span two main operational categories,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5"/>
        <w:gridCol w:w="9896"/>
      </w:tblGrid>
      <w:tr>
        <w:trPr/>
        <w:tc>
          <w:tcPr>
            <w:tcW w:w="7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(1)</w:t>
            </w:r>
          </w:p>
        </w:tc>
        <w:tc>
          <w:tcPr>
            <w:tcW w:w="9896" w:type="dxa"/>
            <w:tcBorders/>
            <w:vAlign w:val="center"/>
          </w:tcPr>
          <w:p>
            <w:pPr>
              <w:pStyle w:val="TableContents"/>
              <w:bidi w:val="0"/>
              <w:spacing w:before="0" w:after="283"/>
              <w:jc w:val="left"/>
              <w:rPr/>
            </w:pPr>
            <w:r>
              <w:rPr/>
              <w:t>the filing of Biologics License Applications (“</w:t>
            </w:r>
            <w:r>
              <w:rPr>
                <w:u w:val="single"/>
              </w:rPr>
              <w:t>BLAs</w:t>
            </w:r>
            <w:r>
              <w:rPr/>
              <w:t>”) or New Drug Applications (“</w:t>
            </w:r>
            <w:r>
              <w:rPr>
                <w:u w:val="single"/>
              </w:rPr>
              <w:t>NDAs</w:t>
            </w:r>
            <w:r>
              <w:rPr/>
              <w:t>”) for new molecular entities (such BLAs and NDAs, “</w:t>
            </w:r>
            <w:r>
              <w:rPr>
                <w:u w:val="single"/>
              </w:rPr>
              <w:t>New Product Filings</w:t>
            </w:r>
            <w:r>
              <w:rPr/>
              <w:t>”) and U.S. Food and Drug Administration (“</w:t>
            </w:r>
            <w:r>
              <w:rPr>
                <w:u w:val="single"/>
              </w:rPr>
              <w:t>FDA</w:t>
            </w:r>
            <w:r>
              <w:rPr/>
              <w:t>”) approval of New Product Filings and Eligible Supplemental Filings (as defined below) (“</w:t>
            </w:r>
            <w:r>
              <w:rPr>
                <w:u w:val="single"/>
              </w:rPr>
              <w:t>New Product Approvals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00"/>
        <w:gridCol w:w="9931"/>
      </w:tblGrid>
      <w:tr>
        <w:trPr/>
        <w:tc>
          <w:tcPr>
            <w:tcW w:w="7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a.</w:t>
            </w:r>
          </w:p>
        </w:tc>
        <w:tc>
          <w:tcPr>
            <w:tcW w:w="9931" w:type="dxa"/>
            <w:tcBorders/>
            <w:vAlign w:val="center"/>
          </w:tcPr>
          <w:p>
            <w:pPr>
              <w:pStyle w:val="TableContents"/>
              <w:bidi w:val="0"/>
              <w:spacing w:before="0" w:after="283"/>
              <w:jc w:val="left"/>
              <w:rPr/>
            </w:pPr>
            <w:r>
              <w:rPr/>
              <w:t>10,000 PSUs per New Product Filing from January 1, 2026</w:t>
            </w:r>
            <w:r>
              <w:rPr>
                <w:rFonts w:ascii="Times New Roman;Times;Serif" w:hAnsi="Times New Roman;Times;Serif"/>
                <w:position w:val="5"/>
                <w:sz w:val="13"/>
                <w:sz w:val="16"/>
              </w:rPr>
              <w:t>1</w:t>
            </w:r>
            <w:r>
              <w:rPr/>
              <w:t xml:space="preserve"> through December 31, 2034</w:t>
            </w:r>
          </w:p>
        </w:tc>
      </w:tr>
      <w:tr>
        <w:trPr/>
        <w:tc>
          <w:tcPr>
            <w:tcW w:w="7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left"/>
              <w:rPr/>
            </w:pPr>
            <w:r>
              <w:rPr/>
              <w:t>15,000 PSUs per New Product Approval based on a New Product Filing obtained from January 1, 2026</w:t>
            </w:r>
            <w:r>
              <w:rPr>
                <w:rFonts w:ascii="Times New Roman;Times;Serif" w:hAnsi="Times New Roman;Times;Serif"/>
                <w:position w:val="5"/>
                <w:sz w:val="13"/>
                <w:sz w:val="16"/>
              </w:rPr>
              <w:t>1</w:t>
            </w:r>
            <w:r>
              <w:rPr/>
              <w:t xml:space="preserve"> through December 31, 2035</w:t>
            </w:r>
          </w:p>
        </w:tc>
      </w:tr>
      <w:tr>
        <w:trPr/>
        <w:tc>
          <w:tcPr>
            <w:tcW w:w="7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c.</w:t>
            </w:r>
          </w:p>
        </w:tc>
        <w:tc>
          <w:tcPr>
            <w:tcW w:w="9931" w:type="dxa"/>
            <w:tcBorders/>
            <w:vAlign w:val="center"/>
          </w:tcPr>
          <w:p>
            <w:pPr>
              <w:pStyle w:val="TableContents"/>
              <w:bidi w:val="0"/>
              <w:spacing w:before="0" w:after="283"/>
              <w:jc w:val="left"/>
              <w:rPr/>
            </w:pPr>
            <w:r>
              <w:rPr/>
              <w:t>12,500 PSUs per FDA approval of a supplemental BLA (“</w:t>
            </w:r>
            <w:r>
              <w:rPr>
                <w:u w:val="single"/>
              </w:rPr>
              <w:t>sBLA</w:t>
            </w:r>
            <w:r>
              <w:rPr/>
              <w:t>”) or supplemental NDA (“</w:t>
            </w:r>
            <w:r>
              <w:rPr>
                <w:u w:val="single"/>
              </w:rPr>
              <w:t>sNDA</w:t>
            </w:r>
            <w:r>
              <w:rPr/>
              <w:t>”) obtained during the Performance Period, excluding (i) sBLAs/sNDAs for products marketed as of the Grant Date or (ii) sBLAs/sNDAs that do not expand the eligible patient population (“</w:t>
            </w:r>
            <w:r>
              <w:rPr>
                <w:u w:val="single"/>
              </w:rPr>
              <w:t>Eligible Supplemental Filing</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3"/>
        <w:gridCol w:w="9898"/>
      </w:tblGrid>
      <w:tr>
        <w:trPr/>
        <w:tc>
          <w:tcPr>
            <w:tcW w:w="74"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(2)</w:t>
            </w:r>
          </w:p>
        </w:tc>
        <w:tc>
          <w:tcPr>
            <w:tcW w:w="9898" w:type="dxa"/>
            <w:tcBorders/>
            <w:vAlign w:val="center"/>
          </w:tcPr>
          <w:p>
            <w:pPr>
              <w:pStyle w:val="TableContents"/>
              <w:bidi w:val="0"/>
              <w:spacing w:before="0" w:after="283"/>
              <w:jc w:val="left"/>
              <w:rPr/>
            </w:pPr>
            <w:r>
              <w:rPr/>
              <w:t>the generation of new revenues (“</w:t>
            </w:r>
            <w:r>
              <w:rPr>
                <w:u w:val="single"/>
              </w:rPr>
              <w:t>New Product Annual Revenues</w:t>
            </w:r>
            <w:r>
              <w:rPr/>
              <w:t>”) from products approved or acquired during the Performance Period (in the case of an acquired product, only to the extent above the pre-acquisition net sale baseline for such product) (“</w:t>
            </w:r>
            <w:r>
              <w:rPr>
                <w:u w:val="single"/>
              </w:rPr>
              <w:t>New Products</w:t>
            </w:r>
            <w:r>
              <w:rPr/>
              <w:t>”)</w:t>
            </w:r>
            <w:r>
              <w:rPr>
                <w:rFonts w:ascii="Times New Roman;Times;Serif" w:hAnsi="Times New Roman;Times;Serif"/>
                <w:position w:val="5"/>
                <w:sz w:val="13"/>
                <w:sz w:val="16"/>
              </w:rPr>
              <w:t>2</w:t>
            </w:r>
            <w:r>
              <w:rPr/>
              <w:t xml:space="preserve"> measured on the basis of the Company’s audited financial statements for fiscal years 2032, 2033, 2034, and 2035:</w:t>
            </w:r>
          </w:p>
        </w:tc>
      </w:tr>
    </w:tbl>
    <w:p>
      <w:pPr>
        <w:pStyle w:val="TextBody"/>
        <w:bidi w:val="0"/>
        <w:spacing w:before="0" w:after="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75"/>
        <w:gridCol w:w="185"/>
        <w:gridCol w:w="143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1430" w:type="dxa"/>
            <w:tcBorders/>
            <w:vAlign w:val="center"/>
          </w:tcPr>
          <w:p>
            <w:pPr>
              <w:pStyle w:val="TableContents"/>
              <w:bidi w:val="0"/>
              <w:spacing w:before="0" w:after="283"/>
              <w:jc w:val="left"/>
              <w:rPr/>
            </w:pPr>
            <w:r>
              <w:rPr/>
              <w:t>&lt;$10 billion: 0</w:t>
            </w:r>
          </w:p>
        </w:tc>
      </w:tr>
    </w:tbl>
    <w:tbl>
      <w:tblPr>
        <w:tblW w:w="9660" w:type="dxa"/>
        <w:jc w:val="left"/>
        <w:tblInd w:w="0" w:type="dxa"/>
        <w:tblLayout w:type="fixed"/>
        <w:tblCellMar>
          <w:top w:w="0" w:type="dxa"/>
          <w:left w:w="0" w:type="dxa"/>
          <w:bottom w:w="0" w:type="dxa"/>
          <w:right w:w="0" w:type="dxa"/>
        </w:tblCellMar>
      </w:tblPr>
      <w:tblGrid>
        <w:gridCol w:w="75"/>
        <w:gridCol w:w="170"/>
        <w:gridCol w:w="2330"/>
        <w:gridCol w:w="60"/>
        <w:gridCol w:w="60"/>
        <w:gridCol w:w="6890"/>
        <w:gridCol w:w="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 billion: 250,000 PSUs</w:t>
            </w:r>
          </w:p>
        </w:tc>
        <w:tc>
          <w:tcPr>
            <w:tcW w:w="60"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90" w:type="dxa"/>
            <w:vMerge w:val="restart"/>
            <w:tcBorders/>
            <w:vAlign w:val="center"/>
          </w:tcPr>
          <w:p>
            <w:pPr>
              <w:pStyle w:val="TableContents"/>
              <w:bidi w:val="0"/>
              <w:spacing w:before="0" w:after="283"/>
              <w:jc w:val="center"/>
              <w:rPr>
                <w:bdr w:val="single" w:sz="8" w:space="5" w:color="000000"/>
              </w:rPr>
            </w:pPr>
            <w:r>
              <w:rPr>
                <w:bdr w:val="single" w:sz="8" w:space="5" w:color="000000"/>
              </w:rPr>
              <w:t>Linear interpolation between each level above $10 billion/250,000 PSUs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 billion: 900,000 PSUs</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90" w:type="dxa"/>
            <w:vMerge w:val="continue"/>
            <w:tcBorders/>
            <w:vAlign w:val="center"/>
          </w:tcPr>
          <w:p>
            <w:pPr>
              <w:pStyle w:val="Normal"/>
              <w:bidi w:val="0"/>
              <w:jc w:val="left"/>
              <w:rPr/>
            </w:pPr>
            <w:r>
              <w:rPr/>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 billion: 1,800,000 PSUs</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90" w:type="dxa"/>
            <w:vMerge w:val="continue"/>
            <w:tcBorders/>
            <w:vAlign w:val="center"/>
          </w:tcPr>
          <w:p>
            <w:pPr>
              <w:pStyle w:val="Normal"/>
              <w:bidi w:val="0"/>
              <w:jc w:val="left"/>
              <w:rPr/>
            </w:pPr>
            <w:r>
              <w:rPr/>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5"/>
          <w:sz w:val="13"/>
          <w:sz w:val="16"/>
        </w:rPr>
        <w:t>1</w:t>
      </w:r>
      <w:r>
        <w:rPr>
          <w:rFonts w:ascii="Times New Roman;Times;Serif" w:hAnsi="Times New Roman;Times;Serif"/>
          <w:b w:val="false"/>
          <w:i w:val="false"/>
          <w:caps w:val="false"/>
          <w:smallCaps w:val="false"/>
          <w:sz w:val="20"/>
        </w:rPr>
        <w:t xml:space="preserve">        The start of the performance period gives recognition to the fact that the CEO and the CSO became eligible for additional equity awards effective January 1, 2026. The full 10-year performance period from January 1, 2026 through December 31, 2035 is referred to as the “</w:t>
      </w:r>
      <w:r>
        <w:rPr>
          <w:rFonts w:ascii="Times New Roman;Times;Serif" w:hAnsi="Times New Roman;Times;Serif"/>
          <w:b w:val="false"/>
          <w:i w:val="false"/>
          <w:caps w:val="false"/>
          <w:smallCaps w:val="false"/>
          <w:sz w:val="20"/>
          <w:u w:val="single"/>
        </w:rPr>
        <w:t>Performance Period</w:t>
      </w:r>
      <w:r>
        <w:rPr>
          <w:rFonts w:ascii="Times New Roman;Times;Serif" w:hAnsi="Times New Roman;Times;Serif"/>
          <w:b w:val="false"/>
          <w:i w:val="false"/>
          <w:caps w:val="false"/>
          <w:smallCaps w:val="false"/>
          <w:sz w:val="20"/>
        </w:rPr>
        <w:t>.” Notwithstanding the start of the Performance Period on January 1, 2026, the 2026 BLA filing for Otarmeni</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(lunsotogene parvec) and the 2026 FDA approval of such product will not constitute a “New Product Filing” and “New Product Approval,” respectively; provided that an sBLA (as defined below) for such product that expands the eligible patient population will constitute an “Eligible Supplemental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5"/>
          <w:sz w:val="13"/>
          <w:sz w:val="16"/>
        </w:rPr>
        <w:t>2</w:t>
      </w:r>
      <w:r>
        <w:rPr>
          <w:rFonts w:ascii="Times New Roman;Times;Serif" w:hAnsi="Times New Roman;Times;Serif"/>
          <w:b w:val="false"/>
          <w:i w:val="false"/>
          <w:caps w:val="false"/>
          <w:smallCaps w:val="false"/>
          <w:sz w:val="20"/>
        </w:rPr>
        <w:t xml:space="preserve">        “New Products” include (i) Ordspono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(odronextamab) if such product is approved by the FDA, (ii) Lynozyfic</w:t>
      </w:r>
      <w:r>
        <w:rPr>
          <w:rFonts w:ascii="Times New Roman;Times;Serif" w:hAnsi="Times New Roman;Times;Serif"/>
          <w:b w:val="false"/>
          <w:i w:val="false"/>
          <w:caps w:val="false"/>
          <w:smallCaps w:val="false"/>
          <w:position w:val="5"/>
          <w:sz w:val="13"/>
          <w:sz w:val="16"/>
        </w:rPr>
        <w:t>®</w:t>
      </w:r>
      <w:r>
        <w:rPr>
          <w:rFonts w:ascii="Times New Roman;Times;Serif" w:hAnsi="Times New Roman;Times;Serif"/>
          <w:b w:val="false"/>
          <w:i w:val="false"/>
          <w:caps w:val="false"/>
          <w:smallCaps w:val="false"/>
          <w:sz w:val="20"/>
        </w:rPr>
        <w:t> (linvoseltamab) if such product receives FDA approval for earlier lines of treatment in its currently approved multiple myeloma indication or FDA approval of another indication, and (iii) Otarmeni</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(lunsotogene parvec) if such product receives FDA approval that expands the eligible patient population.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earned pursuant to (1) and (2) above are subject to maximum earnout opportunities of 2,700,000 PSUs (CEO) and 2,900,000 PSUs (CSO)</w:t>
      </w:r>
      <w:r>
        <w:rPr>
          <w:rFonts w:ascii="Times New Roman;Times;Serif" w:hAnsi="Times New Roman;Times;Serif"/>
          <w:b w:val="false"/>
          <w:i w:val="false"/>
          <w:caps w:val="false"/>
          <w:smallCaps w:val="false"/>
          <w:position w:val="5"/>
          <w:sz w:val="13"/>
          <w:sz w:val="16"/>
        </w:rPr>
        <w:t>3</w:t>
      </w:r>
      <w:r>
        <w:rPr>
          <w:rFonts w:ascii="Times New Roman;Times;Serif" w:hAnsi="Times New Roman;Times;Serif"/>
          <w:b w:val="false"/>
          <w:i w:val="false"/>
          <w:caps w:val="false"/>
          <w:smallCaps w:val="false"/>
          <w:sz w:val="20"/>
        </w:rPr>
        <w:t xml:space="preserve"> that also may be satisfied by the generation of $40 billion of New Product Annual Revenues in fiscal 2034 or 2035 so long as the Company’s absolute TSR is positive for the Performance Period and exceeds the NASDAQ Biotechnology Total Return Index (“</w:t>
      </w:r>
      <w:r>
        <w:rPr>
          <w:rFonts w:ascii="Times New Roman;Times;Serif" w:hAnsi="Times New Roman;Times;Serif"/>
          <w:b w:val="false"/>
          <w:i w:val="false"/>
          <w:caps w:val="false"/>
          <w:smallCaps w:val="false"/>
          <w:sz w:val="20"/>
          <w:u w:val="single"/>
        </w:rPr>
        <w:t>NBI</w:t>
      </w:r>
      <w:r>
        <w:rPr>
          <w:rFonts w:ascii="Times New Roman;Times;Serif" w:hAnsi="Times New Roman;Times;Serif"/>
          <w:b w:val="false"/>
          <w:i w:val="false"/>
          <w:caps w:val="false"/>
          <w:smallCaps w:val="false"/>
          <w:sz w:val="20"/>
        </w:rPr>
        <w:t>”) return over the Performance Period. No additional Revenue-Based PSUs are eligible to be earned for New Product Annual Revenues above $30 billion unless the criteria set forth in the preceding sentence are satisfied.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PSUs linked to New Product Filings and New Product Approvals are collectively referred to as “</w:t>
      </w:r>
      <w:r>
        <w:rPr>
          <w:rFonts w:ascii="Times New Roman;Times;Serif" w:hAnsi="Times New Roman;Times;Serif"/>
          <w:b w:val="false"/>
          <w:i w:val="false"/>
          <w:caps w:val="false"/>
          <w:smallCaps w:val="false"/>
          <w:sz w:val="20"/>
          <w:u w:val="single"/>
        </w:rPr>
        <w:t>Activity-Based PSUs</w:t>
      </w:r>
      <w:r>
        <w:rPr>
          <w:rFonts w:ascii="Times New Roman;Times;Serif" w:hAnsi="Times New Roman;Times;Serif"/>
          <w:b w:val="false"/>
          <w:i w:val="false"/>
          <w:caps w:val="false"/>
          <w:smallCaps w:val="false"/>
          <w:sz w:val="20"/>
        </w:rPr>
        <w:t>”; and PSUs linked to New Product Annual Revenues are collectively referred to as “</w:t>
      </w:r>
      <w:r>
        <w:rPr>
          <w:rFonts w:ascii="Times New Roman;Times;Serif" w:hAnsi="Times New Roman;Times;Serif"/>
          <w:b w:val="false"/>
          <w:i w:val="false"/>
          <w:caps w:val="false"/>
          <w:smallCaps w:val="false"/>
          <w:sz w:val="20"/>
          <w:u w:val="single"/>
        </w:rPr>
        <w:t>Revenue-Based PSUs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Earnout and Vesting Determinations</w:t>
      </w:r>
      <w:r>
        <w:rPr>
          <w:rFonts w:ascii="Times New Roman;Times;Serif" w:hAnsi="Times New Roman;Times;Serif"/>
          <w:b w:val="false"/>
          <w:i w:val="false"/>
          <w:caps w:val="false"/>
          <w:smallCaps w:val="false"/>
          <w:sz w:val="20"/>
        </w:rPr>
        <w:t>. Earnout and vesting determinations for both Activity-Based PSUs and Revenue-Based PSUs will be made following year-end for each applicable year during the Performance Period based on the Committee’s certification of performance, subject to the limitations described under “</w:t>
      </w:r>
      <w:r>
        <w:rPr>
          <w:rFonts w:ascii="Times New Roman;Times;Serif" w:hAnsi="Times New Roman;Times;Serif"/>
          <w:b w:val="false"/>
          <w:i/>
          <w:caps w:val="false"/>
          <w:smallCaps w:val="false"/>
          <w:sz w:val="20"/>
        </w:rPr>
        <w:t>Earnout and Delivery Limitations</w:t>
      </w:r>
      <w:r>
        <w:rPr>
          <w:rFonts w:ascii="Times New Roman;Times;Serif" w:hAnsi="Times New Roman;Times;Serif"/>
          <w:b w:val="false"/>
          <w:i w:val="false"/>
          <w:caps w:val="false"/>
          <w:smallCaps w:val="false"/>
          <w:sz w:val="20"/>
        </w:rPr>
        <w:t>” below.</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pPr>
            <w:r>
              <w:rPr>
                <w:u w:val="single"/>
              </w:rPr>
              <w:t>Activity-Based PSUs</w:t>
            </w:r>
            <w:r>
              <w:rPr/>
              <w:t>: Such determinations will be made for each year during the period of 2026–2034 for New Product Filings and 2026–2035 for New Product Approvals.</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pPr>
            <w:r>
              <w:rPr>
                <w:u w:val="single"/>
              </w:rPr>
              <w:t>Revenue-Based PSUs</w:t>
            </w:r>
            <w:r>
              <w:rPr/>
              <w:t>: Such determinations will be made for each of the final four years of the Performance Period (2032–2035). New Product Annual Revenues will be measured for each such year based on the Company’s audited financial results and comprise the sum of (i) aggregate annual global net product sales of New Products (other than those acquired from third parties); (ii) the incremental amount of aggregate annual global net product sales of New Products acquired from third parties over their pre-acquisition aggregate annual global net product sales for the most recently completed fiscal period; and (iii) for any New Product subject to a collaboration with one or more third parties, the product of (x) such New Product’s aggregate annual global net product sales multiplied by (y) the Company’s share of profits for such New Product (provided that if such collaborated New Product was acquired from a third party, clause (ii) will also apply as appropriate).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Earnout and Delivery Limitations. </w:t>
      </w:r>
      <w:r>
        <w:rPr>
          <w:rFonts w:ascii="Times New Roman;Times;Serif" w:hAnsi="Times New Roman;Times;Serif"/>
          <w:b w:val="false"/>
          <w:i w:val="false"/>
          <w:caps w:val="false"/>
          <w:smallCaps w:val="false"/>
          <w:sz w:val="20"/>
        </w:rPr>
        <w:t>The 2026 PSUs contain the following earnout caps and delivery limits:</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pPr>
            <w:r>
              <w:rPr>
                <w:u w:val="single"/>
              </w:rPr>
              <w:t>Earnout caps on Activity-Based PSUs</w:t>
            </w:r>
            <w:r>
              <w:rPr/>
              <w:t>: To the extent New Product Annual Revenues are less than $10 billion, the earnout opportunity for Activity-Based PSUs is capped at 100,000 PSUs for the CEO and 300,000 PSUs for the CSO and is allocated 25% to the CEO and 75% to the CSO.</w:t>
            </w:r>
            <w:r>
              <w:rPr>
                <w:rFonts w:ascii="Times New Roman;Times;Serif" w:hAnsi="Times New Roman;Times;Serif"/>
                <w:position w:val="5"/>
                <w:sz w:val="13"/>
                <w:sz w:val="16"/>
              </w:rPr>
              <w:t>3</w:t>
            </w:r>
            <w:r>
              <w:rPr/>
              <w:t xml:space="preserve"> In the event New Product Annual Revenues are equal to or greater than $10 billion and less than or equal to $30 billion, the total number of PSUs eligible to be earned by the CEO and the CSO is determined such that Activity-Based PSUs may not exceed 30% of such total number of PSUs. Activity-Based PSUs that would have been earned in a particular year if not for the applicable caps set forth above and below will be eligible to be earned in the remaining years of the Performance Period to the extent their earnout complies with the applicable cap(s) for those years.</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pPr>
            <w:r>
              <w:rPr>
                <w:u w:val="single"/>
              </w:rPr>
              <w:t>Earnout caps before 2034</w:t>
            </w:r>
            <w:r>
              <w:rPr/>
              <w:t>: (i) No earnout of Revenue-Based PSUs in 2026–2031; (ii) a cumulative earnout cap (inclusive of any Activity-Based PSUs earned previously) on Activity-Based PSUs of 100,000/300,000 (CEO/CSO) in 2026–2031; and (iii) a cumulative earnout cap of 300,000 and 525,000 per executive (inclusive of any PSUs earned previously) on aggregate Activity-Based PSUs and Revenue-Based PSUs in 2032 and 2033, respectively.</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pPr>
            <w:r>
              <w:rPr>
                <w:u w:val="single"/>
              </w:rPr>
              <w:t>20% holdback</w:t>
            </w:r>
            <w:r>
              <w:rPr/>
              <w:t xml:space="preserve"> applies to any shares delivered before the end of the Performance Period (other than as described under “Termination Treatment” below).</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pPr>
            <w:r>
              <w:rPr>
                <w:u w:val="single"/>
              </w:rPr>
              <w:t>Additional delivery limits before 2035</w:t>
            </w:r>
            <w:r>
              <w:rPr/>
              <w:t>: (i) No delivery of shares from Revenue-Based PSUs before 2033 and (ii) additional delivery limits apply to shares delivered before 2035.</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pPr>
            <w:r>
              <w:rPr>
                <w:u w:val="single"/>
              </w:rPr>
              <w:t>Absolute caps of 2,700,000 PSUs (CEO) and 2,900,000 (CSO)</w:t>
            </w:r>
            <w:r>
              <w:rPr/>
              <w:t xml:space="preserve"> apply in all circumstances.</w:t>
            </w:r>
            <w:r>
              <w:rPr>
                <w:rFonts w:ascii="Times New Roman;Times;Serif" w:hAnsi="Times New Roman;Times;Serif"/>
                <w:position w:val="5"/>
                <w:sz w:val="13"/>
                <w:sz w:val="16"/>
              </w:rPr>
              <w:t>3</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5"/>
          <w:sz w:val="13"/>
          <w:sz w:val="16"/>
        </w:rPr>
        <w:t>3</w:t>
      </w:r>
      <w:r>
        <w:rPr>
          <w:rFonts w:ascii="Times New Roman;Times;Serif" w:hAnsi="Times New Roman;Times;Serif"/>
          <w:b w:val="false"/>
          <w:i w:val="false"/>
          <w:caps w:val="false"/>
          <w:smallCaps w:val="false"/>
          <w:sz w:val="20"/>
        </w:rPr>
        <w:t xml:space="preserve">        The greater caps and allocation percentages applicable to the CSO are meant to recognize the executive’s critical role in overseeing the research and development efforts necessary to generate Activity-Based PSUs and to build a robust new product pipeline capable of supporting achievement of the New Product Annual Revenue goals.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Relative TSR Modifier</w:t>
      </w:r>
      <w:r>
        <w:rPr>
          <w:rFonts w:ascii="Times New Roman;Times;Serif" w:hAnsi="Times New Roman;Times;Serif"/>
          <w:b w:val="false"/>
          <w:i w:val="false"/>
          <w:caps w:val="false"/>
          <w:smallCaps w:val="false"/>
          <w:sz w:val="20"/>
        </w:rPr>
        <w:t>. A relative TSR modifier (“</w:t>
      </w:r>
      <w:r>
        <w:rPr>
          <w:rFonts w:ascii="Times New Roman;Times;Serif" w:hAnsi="Times New Roman;Times;Serif"/>
          <w:b w:val="false"/>
          <w:i w:val="false"/>
          <w:caps w:val="false"/>
          <w:smallCaps w:val="false"/>
          <w:sz w:val="20"/>
          <w:u w:val="single"/>
        </w:rPr>
        <w:t>rTSR Modifier</w:t>
      </w:r>
      <w:r>
        <w:rPr>
          <w:rFonts w:ascii="Times New Roman;Times;Serif" w:hAnsi="Times New Roman;Times;Serif"/>
          <w:b w:val="false"/>
          <w:i w:val="false"/>
          <w:caps w:val="false"/>
          <w:smallCaps w:val="false"/>
          <w:sz w:val="20"/>
        </w:rPr>
        <w:t>”) adjusts earned PSUs by ±20% based on Regeneron’s TSR performance versus the NBI from January 1, 2026 through December 31, 2035 (+20% if Regeneron’s relative TSR exceeds the NBI’s return by 25 percentage points or more and -20% if Regeneron’s relative TSR trails the NBI’s return by 25 percentage points or more, with linear interpolation applied in between); a shorter measurement period may apply in the circumstances described under “Termination Treatment” below. The rTSR Modifier may not increase the number of earned PSUs if Regeneron’s absolute TSR is negative over the applicable measurement period.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Mandatory Holding Period. </w:t>
      </w:r>
      <w:r>
        <w:rPr>
          <w:rFonts w:ascii="Times New Roman;Times;Serif" w:hAnsi="Times New Roman;Times;Serif"/>
          <w:b w:val="false"/>
          <w:i w:val="false"/>
          <w:caps w:val="false"/>
          <w:smallCaps w:val="false"/>
          <w:sz w:val="20"/>
        </w:rPr>
        <w:t>Any shares delivered to the executives prior to December 31, 2035 remain subject to a mandatory holding period until February 2036 (the certification date for 2035 performance) (the “</w:t>
      </w:r>
      <w:r>
        <w:rPr>
          <w:rFonts w:ascii="Times New Roman;Times;Serif" w:hAnsi="Times New Roman;Times;Serif"/>
          <w:b w:val="false"/>
          <w:i w:val="false"/>
          <w:caps w:val="false"/>
          <w:smallCaps w:val="false"/>
          <w:sz w:val="20"/>
          <w:u w:val="single"/>
        </w:rPr>
        <w:t>Holding Period</w:t>
      </w:r>
      <w:r>
        <w:rPr>
          <w:rFonts w:ascii="Times New Roman;Times;Serif" w:hAnsi="Times New Roman;Times;Serif"/>
          <w:b w:val="false"/>
          <w:i w:val="false"/>
          <w:caps w:val="false"/>
          <w:smallCaps w:val="false"/>
          <w:sz w:val="20"/>
        </w:rPr>
        <w:t>”), except following termination of employment due to death or disability or upon a change in control as described under “Termination Treatment” below. Certain transfers for estate planning purposes will be permissible so long as the transferee agrees to remain bound by the applicable restrictions during the Holding Period.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 Additional Equity Awards. </w:t>
      </w:r>
      <w:r>
        <w:rPr>
          <w:rFonts w:ascii="Times New Roman;Times;Serif" w:hAnsi="Times New Roman;Times;Serif"/>
          <w:b w:val="false"/>
          <w:i w:val="false"/>
          <w:caps w:val="false"/>
          <w:smallCaps w:val="false"/>
          <w:sz w:val="20"/>
        </w:rPr>
        <w:t>As a condition to the grant of the 2026 PSUs, it has been agreed that the CEO and the CSO will not be entitled to any additional equity or equity-based awards under the Equity Plan or any successor to the Equity Plan until 2036.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Succession Planning</w:t>
      </w:r>
      <w:r>
        <w:rPr>
          <w:rFonts w:ascii="Times New Roman;Times;Serif" w:hAnsi="Times New Roman;Times;Serif"/>
          <w:b w:val="false"/>
          <w:i w:val="false"/>
          <w:caps w:val="false"/>
          <w:smallCaps w:val="false"/>
          <w:sz w:val="20"/>
        </w:rPr>
        <w:t>. The 2026 PSUs contain covenants that require the recipients to participate in good faith in the Board’s continued development of CEO and CSO succession plans (as applicable), with such plans to be in place by the 5th anniversary of the grant date or such later date as determined by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Service Requirement; Board Nomination Right</w:t>
      </w:r>
      <w:r>
        <w:rPr>
          <w:rFonts w:ascii="Times New Roman;Times;Serif" w:hAnsi="Times New Roman;Times;Serif"/>
          <w:b w:val="false"/>
          <w:i w:val="false"/>
          <w:caps w:val="false"/>
          <w:smallCaps w:val="false"/>
          <w:sz w:val="20"/>
        </w:rPr>
        <w:t>. The 2026 PSUs will continue to be outstanding and may be earned and vest for so long as the recipient serves as an employee or consultant of the Company or a member of the Board. The recipients have the right to be nominated as members of the Board for so long as they remain employed as CEO and CSO,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Termination Treatment. </w:t>
      </w:r>
      <w:r>
        <w:rPr>
          <w:rFonts w:ascii="Times New Roman;Times;Serif" w:hAnsi="Times New Roman;Times;Serif"/>
          <w:b w:val="false"/>
          <w:i w:val="false"/>
          <w:caps w:val="false"/>
          <w:smallCaps w:val="false"/>
          <w:sz w:val="20"/>
        </w:rPr>
        <w:t>The following provisions apply to the 2026 PSUs in the circumstances described below.</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pPr>
            <w:r>
              <w:rPr>
                <w:u w:val="single"/>
              </w:rPr>
              <w:t>Voluntary Termination or Retirement</w:t>
            </w:r>
            <w:r>
              <w:rPr/>
              <w:t>. Upon voluntary departure or retirement from the Company (except where the executive’s service continues as noted above), any unvested PSUs are forfeited. The Holding Period will remain in effect in respect of any previously vested shares, and the rTSR Modifier applicable to such shares will be measured as of the termination date.</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pPr>
            <w:r>
              <w:rPr>
                <w:u w:val="single"/>
              </w:rPr>
              <w:t>Termination without Cause/Departure for Good Reason</w:t>
            </w:r>
            <w:r>
              <w:rPr/>
              <w:t>. If the executive’s employment with the Company is terminated without Cause or the executive leaves his employment with the Company for a Good Reason (each as defined in the applicable PSU Award Agreement) not in connection with a change in control, the 2026 PSUs will remain outstanding and may be earned in accordance with the terms of the award except that (i) any earnout following the termination date will be based solely on New Products in existence as of the termination date as well as Eligible New Products and Eligible New Product Candidates (each as defined below) (the “</w:t>
            </w:r>
            <w:r>
              <w:rPr>
                <w:u w:val="single"/>
              </w:rPr>
              <w:t>Qualifying Termination Earnout Methodology</w:t>
            </w:r>
            <w:r>
              <w:rPr/>
              <w:t>”) and (ii) the rTSR Modifier will be measured (a) as of the termination date if the termination occurs on or prior to December 31, 2031 and (b) as of the end of the Performance Period if the termination occurs on January 1, 2032 or later. PSUs earned in accordance with the preceding sentence will vest as of the applicable measurement date and shares delivered in respect of such PSUs will remain subject to the Holding Period, provided that the 20% holdback will not apply if the termination occurs on or prior to December 31, 2031. “</w:t>
            </w:r>
            <w:r>
              <w:rPr>
                <w:u w:val="single"/>
              </w:rPr>
              <w:t>Eligible New Product Candidates</w:t>
            </w:r>
            <w:r>
              <w:rPr/>
              <w:t>” consist of (a) product candidates of the Company for which Investigational New Drug Applications have been submitted to the FDA prior to the termination date, (b) product candidates of the Company in Phase 1 or later clinical development as of the termination date, and (c) product candidates acquired from third parties pursuant to an agreement that is entered into within 12 months following the termination date (a “</w:t>
            </w:r>
            <w:r>
              <w:rPr>
                <w:u w:val="single"/>
              </w:rPr>
              <w:t>Qualifying Purchase</w:t>
            </w:r>
            <w:r>
              <w:rPr/>
              <w:t>”). “</w:t>
            </w:r>
            <w:r>
              <w:rPr>
                <w:u w:val="single"/>
              </w:rPr>
              <w:t>Eligible New Products</w:t>
            </w:r>
            <w:r>
              <w:rPr/>
              <w:t>” consist of New Products resulting from Eligible New Product Candidates or a Qualifying Purchase.</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pPr>
            <w:r>
              <w:rPr>
                <w:u w:val="single"/>
              </w:rPr>
              <w:t>Qualifying Termination Upon or Following a Change in Control</w:t>
            </w:r>
            <w:r>
              <w:rPr/>
              <w:t>. Upon a change in control, the 2026 PSUs will remain outstanding and may be earned in accordance with the terms of the award except the rTSR Modifier will be measured as of the change-in-control date based on the price per share of Company common stock to be paid in the change-in-control transaction. If following a change in control and prior to December 31, 2035 the executive’s employment with the Company or its successor is terminated without Cause or the executive leaves his employment with the Company or its successor for a Good Reason, the 2026 PSUs will remain outstanding and may be earned in accordance with the Qualifying Termination Earnout Methodology and the rTSR Modifier will be measured as of the change-in-control date. PSUs earned in accordance with the preceding two sentences will vest as of the applicable measurement date and shares delivered in respect of such PSUs will no longer be subject to the Holding Period or the 20% holdback.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pPr>
            <w:r>
              <w:rPr>
                <w:u w:val="single"/>
              </w:rPr>
              <w:t>Death or Disability</w:t>
            </w:r>
            <w:r>
              <w:rPr/>
              <w:t>. In the case of the executive’s death or disability, the PSUs remain outstanding and may be earned during their term and, to the extent earned, will no longer be subject to the Holding Period.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PSU Award Agreements</w:t>
      </w:r>
      <w:r>
        <w:rPr>
          <w:rFonts w:ascii="Times New Roman;Times;Serif" w:hAnsi="Times New Roman;Times;Serif"/>
          <w:b w:val="false"/>
          <w:i w:val="false"/>
          <w:caps w:val="false"/>
          <w:smallCaps w:val="false"/>
          <w:sz w:val="20"/>
        </w:rPr>
        <w:t>. The 2026 PSUs were granted pursuant to the PSU Award Agreements and are subject to the terms of the Company’s Policy Regarding Recoupment or Reduction of Incentive Compensation for Compliance Violations and the Company’s Clawback Policy, both as in effect from time to time.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2026 PSUs is qualified in its entirety by reference to the full and complete text of the PSU Award Agreements, copies of which are filed as Exhibits 10.1 and 10.2 to this Current Report on Form 8-K and are incorporated herein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4" w:name="tm2626090d1_ex10-1.htm"/>
      <w:bookmarkStart w:id="25" w:name="kstm2626090d1_ex10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tbl>
      <w:tblPr>
        <w:tblW w:w="3860" w:type="dxa"/>
        <w:jc w:val="left"/>
        <w:tblInd w:w="0" w:type="dxa"/>
        <w:tblLayout w:type="fixed"/>
        <w:tblCellMar>
          <w:top w:w="0" w:type="dxa"/>
          <w:left w:w="0" w:type="dxa"/>
          <w:bottom w:w="0" w:type="dxa"/>
          <w:right w:w="0" w:type="dxa"/>
        </w:tblCellMar>
      </w:tblPr>
      <w:tblGrid>
        <w:gridCol w:w="75"/>
        <w:gridCol w:w="37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REGENERON PHARMACEUTICALS,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ID:</w:t>
            </w:r>
            <w:r>
              <w:rPr>
                <w:rFonts w:ascii="Times New Roman;Times;Serif" w:hAnsi="Times New Roman;Times;Serif"/>
                <w:b w:val="false"/>
                <w:i w:val="false"/>
                <w:caps w:val="false"/>
                <w:smallCaps w:val="false"/>
                <w:sz w:val="20"/>
              </w:rPr>
              <w:t xml:space="preserve"> 13-3444607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 Old Saw Mill River Road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Tarrytown, NY 10591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 of Grant of Performance Restricted Stock Units and Performance Restricted Stock Unit Agreement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Notice”)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00" w:type="dxa"/>
          <w:right w:w="0" w:type="dxa"/>
        </w:tblCellMar>
      </w:tblPr>
      <w:tblGrid>
        <w:gridCol w:w="2501"/>
        <w:gridCol w:w="7628"/>
        <w:gridCol w:w="76"/>
      </w:tblGrid>
      <w:tr>
        <w:trPr/>
        <w:tc>
          <w:tcPr>
            <w:tcW w:w="2501" w:type="dxa"/>
            <w:tcBorders>
              <w:top w:val="single" w:sz="8" w:space="0" w:color="000000"/>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Leonard S. Schleifer, M.D., Ph.D.</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w:t>
            </w:r>
          </w:p>
        </w:tc>
        <w:tc>
          <w:tcPr>
            <w:tcW w:w="7628" w:type="dxa"/>
            <w:tcBorders>
              <w:top w:val="single" w:sz="8" w:space="0" w:color="000000"/>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RSU Number: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Plan: </w:t>
            </w:r>
            <w:r>
              <w:rPr>
                <w:rFonts w:ascii="Times New Roman;Times;Serif" w:hAnsi="Times New Roman;Times;Serif"/>
                <w:b w:val="false"/>
                <w:i w:val="false"/>
                <w:caps w:val="false"/>
                <w:smallCaps w:val="false"/>
                <w:sz w:val="20"/>
              </w:rPr>
              <w:t>Second Amended and Restated Regeneron Pharmaceuticals, Inc. 2014 Long-Term Incentive Plan</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w:t>
            </w:r>
          </w:p>
        </w:tc>
        <w:tc>
          <w:tcPr>
            <w:tcW w:w="76" w:type="dxa"/>
            <w:tcBorders>
              <w:top w:val="single" w:sz="8" w:space="0" w:color="000000"/>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24, 2026 (the “</w:t>
      </w:r>
      <w:r>
        <w:rPr>
          <w:rFonts w:ascii="Times New Roman;Times;Serif" w:hAnsi="Times New Roman;Times;Serif"/>
          <w:b/>
          <w:i w:val="false"/>
          <w:caps w:val="false"/>
          <w:smallCaps w:val="false"/>
          <w:sz w:val="20"/>
        </w:rPr>
        <w:t>Grant Date</w:t>
      </w:r>
      <w:r>
        <w:rPr>
          <w:rFonts w:ascii="Times New Roman;Times;Serif" w:hAnsi="Times New Roman;Times;Serif"/>
          <w:b w:val="false"/>
          <w:i w:val="false"/>
          <w:caps w:val="false"/>
          <w:smallCaps w:val="false"/>
          <w:sz w:val="20"/>
        </w:rPr>
        <w:t>”), you have been granted a one-time, front-loaded award of Performance Restricted Stock Units (collectively, the “</w:t>
      </w:r>
      <w:r>
        <w:rPr>
          <w:rFonts w:ascii="Times New Roman;Times;Serif" w:hAnsi="Times New Roman;Times;Serif"/>
          <w:b/>
          <w:i w:val="false"/>
          <w:caps w:val="false"/>
          <w:smallCaps w:val="false"/>
          <w:sz w:val="20"/>
        </w:rPr>
        <w:t>PSUs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Performance Restricted Stock Units</w:t>
      </w:r>
      <w:r>
        <w:rPr>
          <w:rFonts w:ascii="Times New Roman;Times;Serif" w:hAnsi="Times New Roman;Times;Serif"/>
          <w:b w:val="false"/>
          <w:i w:val="false"/>
          <w:caps w:val="false"/>
          <w:smallCaps w:val="false"/>
          <w:sz w:val="20"/>
        </w:rPr>
        <w:t>”) representing the opportunity to earn up to 2,700,000 shares of REGENERON PHARMACEUTICALS,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common stock. Please refer to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below for definitions of certain terms used in this Notice. Any capitalized term used but not defined in this Notice shall have the meaning given to such term in the Plan.</w:t>
      </w:r>
    </w:p>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215"/>
        <w:gridCol w:w="3335"/>
      </w:tblGrid>
      <w:tr>
        <w:trPr/>
        <w:tc>
          <w:tcPr>
            <w:tcW w:w="215" w:type="dxa"/>
            <w:tcBorders/>
            <w:vAlign w:val="center"/>
          </w:tcPr>
          <w:p>
            <w:pPr>
              <w:pStyle w:val="TableContents"/>
              <w:bidi w:val="0"/>
              <w:spacing w:before="0" w:after="283"/>
              <w:jc w:val="left"/>
              <w:rPr/>
            </w:pPr>
            <w:r>
              <w:rPr/>
              <w:t>1.</w:t>
            </w:r>
          </w:p>
        </w:tc>
        <w:tc>
          <w:tcPr>
            <w:tcW w:w="3335" w:type="dxa"/>
            <w:tcBorders/>
            <w:vAlign w:val="center"/>
          </w:tcPr>
          <w:p>
            <w:pPr>
              <w:pStyle w:val="TableContents"/>
              <w:bidi w:val="0"/>
              <w:spacing w:before="0" w:after="283"/>
              <w:jc w:val="both"/>
              <w:rPr/>
            </w:pPr>
            <w:r>
              <w:rPr>
                <w:u w:val="single"/>
              </w:rPr>
              <w:t>Vesting Conditions; Certain Rules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3"/>
        <w:gridCol w:w="2369"/>
        <w:gridCol w:w="7153"/>
      </w:tblGrid>
      <w:tr>
        <w:trPr/>
        <w:tc>
          <w:tcPr>
            <w:tcW w:w="683" w:type="dxa"/>
            <w:tcBorders/>
            <w:vAlign w:val="center"/>
          </w:tcPr>
          <w:p>
            <w:pPr>
              <w:pStyle w:val="TableContents"/>
              <w:bidi w:val="0"/>
              <w:spacing w:before="0" w:after="283"/>
              <w:jc w:val="left"/>
              <w:rPr/>
            </w:pPr>
            <w:r>
              <w:rPr/>
              <w:t> </w:t>
            </w:r>
          </w:p>
        </w:tc>
        <w:tc>
          <w:tcPr>
            <w:tcW w:w="2369" w:type="dxa"/>
            <w:tcBorders/>
            <w:vAlign w:val="center"/>
          </w:tcPr>
          <w:p>
            <w:pPr>
              <w:pStyle w:val="TableContents"/>
              <w:bidi w:val="0"/>
              <w:spacing w:before="0" w:after="283"/>
              <w:jc w:val="left"/>
              <w:rPr/>
            </w:pPr>
            <w:r>
              <w:rPr/>
              <w:t>A.</w:t>
            </w:r>
          </w:p>
        </w:tc>
        <w:tc>
          <w:tcPr>
            <w:tcW w:w="7153" w:type="dxa"/>
            <w:tcBorders/>
            <w:vAlign w:val="center"/>
          </w:tcPr>
          <w:p>
            <w:pPr>
              <w:pStyle w:val="TableContents"/>
              <w:bidi w:val="0"/>
              <w:spacing w:before="0" w:after="283"/>
              <w:jc w:val="both"/>
              <w:rPr>
                <w:u w:val="single"/>
              </w:rPr>
            </w:pPr>
            <w:r>
              <w:rPr>
                <w:u w:val="single"/>
              </w:rPr>
              <w:t>General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PSUs granted under this Notice shall be subject to the rules set forth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and shall be earned and eligible to vest on the basis of the performance criteria in respect of (i) the filing of new molecular entity Biologics License Applications (“</w:t>
      </w:r>
      <w:r>
        <w:rPr>
          <w:rFonts w:ascii="Times New Roman;Times;Serif" w:hAnsi="Times New Roman;Times;Serif"/>
          <w:b/>
          <w:i w:val="false"/>
          <w:caps w:val="false"/>
          <w:smallCaps w:val="false"/>
          <w:sz w:val="20"/>
        </w:rPr>
        <w:t>BLAs</w:t>
      </w:r>
      <w:r>
        <w:rPr>
          <w:rFonts w:ascii="Times New Roman;Times;Serif" w:hAnsi="Times New Roman;Times;Serif"/>
          <w:b w:val="false"/>
          <w:i w:val="false"/>
          <w:caps w:val="false"/>
          <w:smallCaps w:val="false"/>
          <w:sz w:val="20"/>
        </w:rPr>
        <w:t>”) and New Drug Applications (“</w:t>
      </w:r>
      <w:r>
        <w:rPr>
          <w:rFonts w:ascii="Times New Roman;Times;Serif" w:hAnsi="Times New Roman;Times;Serif"/>
          <w:b/>
          <w:i w:val="false"/>
          <w:caps w:val="false"/>
          <w:smallCaps w:val="false"/>
          <w:sz w:val="20"/>
        </w:rPr>
        <w:t>NDAs</w:t>
      </w:r>
      <w:r>
        <w:rPr>
          <w:rFonts w:ascii="Times New Roman;Times;Serif" w:hAnsi="Times New Roman;Times;Serif"/>
          <w:b w:val="false"/>
          <w:i w:val="false"/>
          <w:caps w:val="false"/>
          <w:smallCaps w:val="false"/>
          <w:sz w:val="20"/>
        </w:rPr>
        <w:t>”) with the U.S. Food and Drug Administration (the “</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xml:space="preserve">”) (such PSUs earned and eligible to vest pursuant to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Filing Shares</w:t>
      </w:r>
      <w:r>
        <w:rPr>
          <w:rFonts w:ascii="Times New Roman;Times;Serif" w:hAnsi="Times New Roman;Times;Serif"/>
          <w:b w:val="false"/>
          <w:i w:val="false"/>
          <w:caps w:val="false"/>
          <w:smallCaps w:val="false"/>
          <w:sz w:val="20"/>
        </w:rPr>
        <w:t>”), (ii) the approval by the FDA of BLAs and NDAs and supplemental BLAs (“</w:t>
      </w:r>
      <w:r>
        <w:rPr>
          <w:rFonts w:ascii="Times New Roman;Times;Serif" w:hAnsi="Times New Roman;Times;Serif"/>
          <w:b/>
          <w:i w:val="false"/>
          <w:caps w:val="false"/>
          <w:smallCaps w:val="false"/>
          <w:sz w:val="20"/>
        </w:rPr>
        <w:t>sBLAs</w:t>
      </w:r>
      <w:r>
        <w:rPr>
          <w:rFonts w:ascii="Times New Roman;Times;Serif" w:hAnsi="Times New Roman;Times;Serif"/>
          <w:b w:val="false"/>
          <w:i w:val="false"/>
          <w:caps w:val="false"/>
          <w:smallCaps w:val="false"/>
          <w:sz w:val="20"/>
        </w:rPr>
        <w:t>”) and supplemental NDAs (“</w:t>
      </w:r>
      <w:r>
        <w:rPr>
          <w:rFonts w:ascii="Times New Roman;Times;Serif" w:hAnsi="Times New Roman;Times;Serif"/>
          <w:b/>
          <w:i w:val="false"/>
          <w:caps w:val="false"/>
          <w:smallCaps w:val="false"/>
          <w:sz w:val="20"/>
        </w:rPr>
        <w:t>sNDAs</w:t>
      </w:r>
      <w:r>
        <w:rPr>
          <w:rFonts w:ascii="Times New Roman;Times;Serif" w:hAnsi="Times New Roman;Times;Serif"/>
          <w:b w:val="false"/>
          <w:i w:val="false"/>
          <w:caps w:val="false"/>
          <w:smallCaps w:val="false"/>
          <w:sz w:val="20"/>
        </w:rPr>
        <w:t xml:space="preserve">”) (such PSUs earned and eligible to vest pursuant to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Approval Shares</w:t>
      </w:r>
      <w:r>
        <w:rPr>
          <w:rFonts w:ascii="Times New Roman;Times;Serif" w:hAnsi="Times New Roman;Times;Serif"/>
          <w:b w:val="false"/>
          <w:i w:val="false"/>
          <w:caps w:val="false"/>
          <w:smallCaps w:val="false"/>
          <w:sz w:val="20"/>
        </w:rPr>
        <w:t>,” and, together with the Filing Shares, collectively, the “</w:t>
      </w:r>
      <w:r>
        <w:rPr>
          <w:rFonts w:ascii="Times New Roman;Times;Serif" w:hAnsi="Times New Roman;Times;Serif"/>
          <w:b/>
          <w:i w:val="false"/>
          <w:caps w:val="false"/>
          <w:smallCaps w:val="false"/>
          <w:sz w:val="20"/>
        </w:rPr>
        <w:t>Activity-Based Shares</w:t>
      </w:r>
      <w:r>
        <w:rPr>
          <w:rFonts w:ascii="Times New Roman;Times;Serif" w:hAnsi="Times New Roman;Times;Serif"/>
          <w:b w:val="false"/>
          <w:i w:val="false"/>
          <w:caps w:val="false"/>
          <w:smallCaps w:val="false"/>
          <w:sz w:val="20"/>
        </w:rPr>
        <w:t xml:space="preserve">”), and (iii) the achievement of annual global New Product Revenue hurdles (as defined below) (such PSUs earned and eligible to vest pursuant to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Revenue Shares</w:t>
      </w:r>
      <w:r>
        <w:rPr>
          <w:rFonts w:ascii="Times New Roman;Times;Serif" w:hAnsi="Times New Roman;Times;Serif"/>
          <w:b w:val="false"/>
          <w:i w:val="false"/>
          <w:caps w:val="false"/>
          <w:smallCaps w:val="false"/>
          <w:sz w:val="20"/>
        </w:rPr>
        <w:t>”), in each case determined as provided below and subject to the application of the relative TSR (“</w:t>
      </w:r>
      <w:r>
        <w:rPr>
          <w:rFonts w:ascii="Times New Roman;Times;Serif" w:hAnsi="Times New Roman;Times;Serif"/>
          <w:b/>
          <w:i w:val="false"/>
          <w:caps w:val="false"/>
          <w:smallCaps w:val="false"/>
          <w:sz w:val="20"/>
        </w:rPr>
        <w:t>rTSR</w:t>
      </w:r>
      <w:r>
        <w:rPr>
          <w:rFonts w:ascii="Times New Roman;Times;Serif" w:hAnsi="Times New Roman;Times;Serif"/>
          <w:b w:val="false"/>
          <w:i w:val="false"/>
          <w:caps w:val="false"/>
          <w:smallCaps w:val="false"/>
          <w:sz w:val="20"/>
        </w:rPr>
        <w:t xml:space="preserve">”) modifier (as set forth in </w:t>
      </w:r>
      <w:r>
        <w:rPr>
          <w:rFonts w:ascii="Times New Roman;Times;Serif" w:hAnsi="Times New Roman;Times;Serif"/>
          <w:b w:val="false"/>
          <w:i w:val="false"/>
          <w:caps w:val="false"/>
          <w:smallCaps w:val="false"/>
          <w:sz w:val="20"/>
          <w:u w:val="single"/>
        </w:rPr>
        <w:t>Section 1.D</w:t>
      </w:r>
      <w:r>
        <w:rPr>
          <w:rFonts w:ascii="Times New Roman;Times;Serif" w:hAnsi="Times New Roman;Times;Serif"/>
          <w:b w:val="false"/>
          <w:i w:val="false"/>
          <w:caps w:val="false"/>
          <w:smallCaps w:val="false"/>
          <w:sz w:val="20"/>
        </w:rPr>
        <w:t xml:space="preserve"> below), the Activity-Based Share Limitations (as set forth in </w:t>
      </w:r>
      <w:r>
        <w:rPr>
          <w:rFonts w:ascii="Times New Roman;Times;Serif" w:hAnsi="Times New Roman;Times;Serif"/>
          <w:b w:val="false"/>
          <w:i w:val="false"/>
          <w:caps w:val="false"/>
          <w:smallCaps w:val="false"/>
          <w:sz w:val="20"/>
          <w:u w:val="single"/>
        </w:rPr>
        <w:t>Section 1.E</w:t>
      </w:r>
      <w:r>
        <w:rPr>
          <w:rFonts w:ascii="Times New Roman;Times;Serif" w:hAnsi="Times New Roman;Times;Serif"/>
          <w:b w:val="false"/>
          <w:i w:val="false"/>
          <w:caps w:val="false"/>
          <w:smallCaps w:val="false"/>
          <w:sz w:val="20"/>
        </w:rPr>
        <w:t xml:space="preserve"> below), and the other limitations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the PSUs shall be earned and eligible to vest (i) with respect to the Activity-Based Shares, following December 31 of each year during the Performance Period (as defined below) (collectively, “</w:t>
      </w:r>
      <w:r>
        <w:rPr>
          <w:rFonts w:ascii="Times New Roman;Times;Serif" w:hAnsi="Times New Roman;Times;Serif"/>
          <w:b/>
          <w:i w:val="false"/>
          <w:caps w:val="false"/>
          <w:smallCaps w:val="false"/>
          <w:sz w:val="20"/>
        </w:rPr>
        <w:t>Years 1-10</w:t>
      </w:r>
      <w:r>
        <w:rPr>
          <w:rFonts w:ascii="Times New Roman;Times;Serif" w:hAnsi="Times New Roman;Times;Serif"/>
          <w:b w:val="false"/>
          <w:i w:val="false"/>
          <w:caps w:val="false"/>
          <w:smallCaps w:val="false"/>
          <w:sz w:val="20"/>
        </w:rPr>
        <w:t>”) based on the filings with and approvals by the FDA that occurred during the applicable year, subject to and upon annual certification by the Compensation Committee (the “</w:t>
      </w:r>
      <w:r>
        <w:rPr>
          <w:rFonts w:ascii="Times New Roman;Times;Serif" w:hAnsi="Times New Roman;Times;Serif"/>
          <w:b/>
          <w:i w:val="false"/>
          <w:caps w:val="false"/>
          <w:smallCaps w:val="false"/>
          <w:sz w:val="20"/>
        </w:rPr>
        <w:t>Compensation Committee</w:t>
      </w:r>
      <w:r>
        <w:rPr>
          <w:rFonts w:ascii="Times New Roman;Times;Serif" w:hAnsi="Times New Roman;Times;Serif"/>
          <w:b w:val="false"/>
          <w:i w:val="false"/>
          <w:caps w:val="false"/>
          <w:smallCaps w:val="false"/>
          <w:sz w:val="20"/>
        </w:rPr>
        <w:t>”) of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of such filings and approvals in January of the following calendar year (as further provided in </w:t>
      </w:r>
      <w:r>
        <w:rPr>
          <w:rFonts w:ascii="Times New Roman;Times;Serif" w:hAnsi="Times New Roman;Times;Serif"/>
          <w:b w:val="false"/>
          <w:i w:val="false"/>
          <w:caps w:val="false"/>
          <w:smallCaps w:val="false"/>
          <w:sz w:val="20"/>
          <w:u w:val="single"/>
        </w:rPr>
        <w:t>Section 1.B</w:t>
      </w:r>
      <w:r>
        <w:rPr>
          <w:rFonts w:ascii="Times New Roman;Times;Serif" w:hAnsi="Times New Roman;Times;Serif"/>
          <w:b w:val="false"/>
          <w:i w:val="false"/>
          <w:caps w:val="false"/>
          <w:smallCaps w:val="false"/>
          <w:sz w:val="20"/>
        </w:rPr>
        <w:t xml:space="preserve"> below), and (ii) with respect to the Revenue Shares, following each of December 31, 2032 (the fiscal year ended on such date, “</w:t>
      </w:r>
      <w:r>
        <w:rPr>
          <w:rFonts w:ascii="Times New Roman;Times;Serif" w:hAnsi="Times New Roman;Times;Serif"/>
          <w:b/>
          <w:i w:val="false"/>
          <w:caps w:val="false"/>
          <w:smallCaps w:val="false"/>
          <w:sz w:val="20"/>
        </w:rPr>
        <w:t>Year 7</w:t>
      </w:r>
      <w:r>
        <w:rPr>
          <w:rFonts w:ascii="Times New Roman;Times;Serif" w:hAnsi="Times New Roman;Times;Serif"/>
          <w:b w:val="false"/>
          <w:i w:val="false"/>
          <w:caps w:val="false"/>
          <w:smallCaps w:val="false"/>
          <w:sz w:val="20"/>
        </w:rPr>
        <w:t>”), December 31, 2033 (the fiscal year ended on such date, “</w:t>
      </w:r>
      <w:r>
        <w:rPr>
          <w:rFonts w:ascii="Times New Roman;Times;Serif" w:hAnsi="Times New Roman;Times;Serif"/>
          <w:b/>
          <w:i w:val="false"/>
          <w:caps w:val="false"/>
          <w:smallCaps w:val="false"/>
          <w:sz w:val="20"/>
        </w:rPr>
        <w:t>Year 8</w:t>
      </w:r>
      <w:r>
        <w:rPr>
          <w:rFonts w:ascii="Times New Roman;Times;Serif" w:hAnsi="Times New Roman;Times;Serif"/>
          <w:b w:val="false"/>
          <w:i w:val="false"/>
          <w:caps w:val="false"/>
          <w:smallCaps w:val="false"/>
          <w:sz w:val="20"/>
        </w:rPr>
        <w:t>”), December 31, 2034 (the fiscal year ended on such date, “</w:t>
      </w:r>
      <w:r>
        <w:rPr>
          <w:rFonts w:ascii="Times New Roman;Times;Serif" w:hAnsi="Times New Roman;Times;Serif"/>
          <w:b/>
          <w:i w:val="false"/>
          <w:caps w:val="false"/>
          <w:smallCaps w:val="false"/>
          <w:sz w:val="20"/>
        </w:rPr>
        <w:t>Year 9</w:t>
      </w:r>
      <w:r>
        <w:rPr>
          <w:rFonts w:ascii="Times New Roman;Times;Serif" w:hAnsi="Times New Roman;Times;Serif"/>
          <w:b w:val="false"/>
          <w:i w:val="false"/>
          <w:caps w:val="false"/>
          <w:smallCaps w:val="false"/>
          <w:sz w:val="20"/>
        </w:rPr>
        <w:t>”), and December 31, 2035 (the fiscal year ended on such date, “</w:t>
      </w:r>
      <w:r>
        <w:rPr>
          <w:rFonts w:ascii="Times New Roman;Times;Serif" w:hAnsi="Times New Roman;Times;Serif"/>
          <w:b/>
          <w:i w:val="false"/>
          <w:caps w:val="false"/>
          <w:smallCaps w:val="false"/>
          <w:sz w:val="20"/>
        </w:rPr>
        <w:t>Year 10</w:t>
      </w:r>
      <w:r>
        <w:rPr>
          <w:rFonts w:ascii="Times New Roman;Times;Serif" w:hAnsi="Times New Roman;Times;Serif"/>
          <w:b w:val="false"/>
          <w:i w:val="false"/>
          <w:caps w:val="false"/>
          <w:smallCaps w:val="false"/>
          <w:sz w:val="20"/>
        </w:rPr>
        <w:t xml:space="preserve">”), based on the annual global New Product Revenue hurdles achieved during the applicable year, subject to and upon certification by the Compensation Committee of the attainment of the applicable annual global New Product Revenue hurdles following the release of the Company’s audited annual financial statements for the applicable year (as further provided in </w:t>
      </w:r>
      <w:r>
        <w:rPr>
          <w:rFonts w:ascii="Times New Roman;Times;Serif" w:hAnsi="Times New Roman;Times;Serif"/>
          <w:b w:val="false"/>
          <w:i w:val="false"/>
          <w:caps w:val="false"/>
          <w:smallCaps w:val="false"/>
          <w:sz w:val="20"/>
          <w:u w:val="single"/>
        </w:rPr>
        <w:t>Section 1.C</w:t>
      </w:r>
      <w:r>
        <w:rPr>
          <w:rFonts w:ascii="Times New Roman;Times;Serif" w:hAnsi="Times New Roman;Times;Serif"/>
          <w:b w:val="false"/>
          <w:i w:val="false"/>
          <w:caps w:val="false"/>
          <w:smallCaps w:val="false"/>
          <w:sz w:val="20"/>
        </w:rPr>
        <w:t xml:space="preserve"> below), and subject in each case to your continuous employment with the Company or your continued service as a member of the Board or a consultant to the Company, including any successor thereto (such employment or service as a member of the Board or as a consultant to the Company is referred to herein as “</w:t>
      </w:r>
      <w:r>
        <w:rPr>
          <w:rFonts w:ascii="Times New Roman;Times;Serif" w:hAnsi="Times New Roman;Times;Serif"/>
          <w:b/>
          <w:i w:val="false"/>
          <w:caps w:val="false"/>
          <w:smallCaps w:val="false"/>
          <w:sz w:val="20"/>
        </w:rPr>
        <w:t>Service</w:t>
      </w:r>
      <w:r>
        <w:rPr>
          <w:rFonts w:ascii="Times New Roman;Times;Serif" w:hAnsi="Times New Roman;Times;Serif"/>
          <w:b w:val="false"/>
          <w:i w:val="false"/>
          <w:caps w:val="false"/>
          <w:smallCaps w:val="false"/>
          <w:sz w:val="20"/>
        </w:rPr>
        <w:t>”) through the applicable Certification Date (as defined below) and subject to all limitations and other calculations as set forth herein. While you are employed as Chief Executive Officer of the Company (“</w:t>
      </w:r>
      <w:r>
        <w:rPr>
          <w:rFonts w:ascii="Times New Roman;Times;Serif" w:hAnsi="Times New Roman;Times;Serif"/>
          <w:b/>
          <w:i w:val="false"/>
          <w:caps w:val="false"/>
          <w:smallCaps w:val="false"/>
          <w:sz w:val="20"/>
        </w:rPr>
        <w:t>CEO</w:t>
      </w:r>
      <w:r>
        <w:rPr>
          <w:rFonts w:ascii="Times New Roman;Times;Serif" w:hAnsi="Times New Roman;Times;Serif"/>
          <w:b w:val="false"/>
          <w:i w:val="false"/>
          <w:caps w:val="false"/>
          <w:smallCaps w:val="false"/>
          <w:sz w:val="20"/>
        </w:rPr>
        <w:t>”), the Company shall nominate you to serve as a member of the Board (“</w:t>
      </w:r>
      <w:r>
        <w:rPr>
          <w:rFonts w:ascii="Times New Roman;Times;Serif" w:hAnsi="Times New Roman;Times;Serif"/>
          <w:b/>
          <w:i w:val="false"/>
          <w:caps w:val="false"/>
          <w:smallCaps w:val="false"/>
          <w:sz w:val="20"/>
        </w:rPr>
        <w:t>Board Nomination Right</w:t>
      </w:r>
      <w:r>
        <w:rPr>
          <w:rFonts w:ascii="Times New Roman;Times;Serif" w:hAnsi="Times New Roman;Times;Serif"/>
          <w:b w:val="false"/>
          <w:i w:val="false"/>
          <w:caps w:val="false"/>
          <w:smallCaps w:val="false"/>
          <w:sz w:val="20"/>
        </w:rPr>
        <w:t>”); provided that, for the avoidance of doubt, upon your termination as CEO for any reason, your Board Nomination Right shall terminate and have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to entering into the Performance Restricted Stock Unit Agreement (as defined below) and this Notice, you agree to participate in good faith in the Board’s continued development of the Company’s CEO succession plan, with such succession plan to be in place by the fifth (5th) anniversary of the Grant Date or such later date as may be determined by the Board. Subject to your participation in good faith in the efforts to develop such succession plan as set forth above, the failure to finalize a succession plan within such time frame shall not impact your rights and entitlements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that the PSUs that are eligible to vest during the Performance Period have not vested prior to the Certification Date in respect of Year 10 either (1) pursuant to the activity-based criteria set forth in </w:t>
      </w:r>
      <w:r>
        <w:rPr>
          <w:rFonts w:ascii="Times New Roman;Times;Serif" w:hAnsi="Times New Roman;Times;Serif"/>
          <w:b w:val="false"/>
          <w:i w:val="false"/>
          <w:caps w:val="false"/>
          <w:smallCaps w:val="false"/>
          <w:sz w:val="20"/>
          <w:u w:val="single"/>
        </w:rPr>
        <w:t>Section 1.B</w:t>
      </w:r>
      <w:r>
        <w:rPr>
          <w:rFonts w:ascii="Times New Roman;Times;Serif" w:hAnsi="Times New Roman;Times;Serif"/>
          <w:b w:val="false"/>
          <w:i w:val="false"/>
          <w:caps w:val="false"/>
          <w:smallCaps w:val="false"/>
          <w:sz w:val="20"/>
        </w:rPr>
        <w:t xml:space="preserve"> below, (2) pursuant to the annual global New Product Revenue criteria set forth in </w:t>
      </w:r>
      <w:r>
        <w:rPr>
          <w:rFonts w:ascii="Times New Roman;Times;Serif" w:hAnsi="Times New Roman;Times;Serif"/>
          <w:b w:val="false"/>
          <w:i w:val="false"/>
          <w:caps w:val="false"/>
          <w:smallCaps w:val="false"/>
          <w:sz w:val="20"/>
          <w:u w:val="single"/>
        </w:rPr>
        <w:t>Section 1.C</w:t>
      </w:r>
      <w:r>
        <w:rPr>
          <w:rFonts w:ascii="Times New Roman;Times;Serif" w:hAnsi="Times New Roman;Times;Serif"/>
          <w:b w:val="false"/>
          <w:i w:val="false"/>
          <w:caps w:val="false"/>
          <w:smallCaps w:val="false"/>
          <w:sz w:val="20"/>
        </w:rPr>
        <w:t xml:space="preserve"> below, or (3) pursuant to the criteria set forth in </w:t>
      </w:r>
      <w:r>
        <w:rPr>
          <w:rFonts w:ascii="Times New Roman;Times;Serif" w:hAnsi="Times New Roman;Times;Serif"/>
          <w:b w:val="false"/>
          <w:i w:val="false"/>
          <w:caps w:val="false"/>
          <w:smallCaps w:val="false"/>
          <w:sz w:val="20"/>
          <w:u w:val="single"/>
        </w:rPr>
        <w:t>Section 1.F</w:t>
      </w:r>
      <w:r>
        <w:rPr>
          <w:rFonts w:ascii="Times New Roman;Times;Serif" w:hAnsi="Times New Roman;Times;Serif"/>
          <w:b w:val="false"/>
          <w:i w:val="false"/>
          <w:caps w:val="false"/>
          <w:smallCaps w:val="false"/>
          <w:sz w:val="20"/>
        </w:rPr>
        <w:t xml:space="preserve"> below, such unvested PSUs shall be forfeited on such Certification Date, subject to earlier vesting or termination pursuant to the application of the Special Vesting Rules Upon Certain Terminations and Change in Control set forth in </w:t>
      </w:r>
      <w:r>
        <w:rPr>
          <w:rFonts w:ascii="Times New Roman;Times;Serif" w:hAnsi="Times New Roman;Times;Serif"/>
          <w:b w:val="false"/>
          <w:i w:val="false"/>
          <w:caps w:val="false"/>
          <w:smallCaps w:val="false"/>
          <w:sz w:val="20"/>
          <w:u w:val="single"/>
        </w:rPr>
        <w:t>Section 1.H</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Rules regarding the timing of delivery of shares of Company common stock in connection with the vesting of the PSUs are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below. In addition, subject to </w:t>
      </w:r>
      <w:r>
        <w:rPr>
          <w:rFonts w:ascii="Times New Roman;Times;Serif" w:hAnsi="Times New Roman;Times;Serif"/>
          <w:b w:val="false"/>
          <w:i w:val="false"/>
          <w:caps w:val="false"/>
          <w:smallCaps w:val="false"/>
          <w:sz w:val="20"/>
          <w:u w:val="single"/>
        </w:rPr>
        <w:t>Section 1.H</w:t>
      </w:r>
      <w:r>
        <w:rPr>
          <w:rFonts w:ascii="Times New Roman;Times;Serif" w:hAnsi="Times New Roman;Times;Serif"/>
          <w:b w:val="false"/>
          <w:i w:val="false"/>
          <w:caps w:val="false"/>
          <w:smallCaps w:val="false"/>
          <w:sz w:val="20"/>
        </w:rPr>
        <w:t xml:space="preserve"> below, any and all Activity-Based Shares and Revenue Shares that are earned and settled based on performance during the Performance Period shall be subject to the Holding Period (as defined below) through the Certification Date in respect of Year 10, as described in </w:t>
      </w:r>
      <w:r>
        <w:rPr>
          <w:rFonts w:ascii="Times New Roman;Times;Serif" w:hAnsi="Times New Roman;Times;Serif"/>
          <w:b w:val="false"/>
          <w:i w:val="false"/>
          <w:caps w:val="false"/>
          <w:smallCaps w:val="false"/>
          <w:sz w:val="20"/>
          <w:u w:val="single"/>
        </w:rPr>
        <w:t>Section 2.H</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recognition of the one-time, front-loaded nature of this PSU Award, you acknowledge and agree that no additional equity or equity-based awards under the Plan or any successor thereto or replacement thereof shall be granted to you at any time on or prior to December 31,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provisions of this Notice, the maximum aggregate number of shares of Company common stock that may be earned by you pursuant to this PSU Award shall not exceed 2,700,000 shares, which limit shall be applied after giving effect to the rTSR modifier, the Activity-Based Share Limitations, and all other calculations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9"/>
        <w:gridCol w:w="1012"/>
        <w:gridCol w:w="8884"/>
      </w:tblGrid>
      <w:tr>
        <w:trPr/>
        <w:tc>
          <w:tcPr>
            <w:tcW w:w="309"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283"/>
              <w:jc w:val="both"/>
              <w:rPr>
                <w:u w:val="single"/>
              </w:rPr>
            </w:pPr>
            <w:r>
              <w:rPr>
                <w:u w:val="single"/>
              </w:rPr>
              <w:t>Activity-Based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Activity-Based Shares, if any, earned and vested in respect of this PSU Award shall be determined as the sum of the Filing Shares and the Approval Shares described in this </w:t>
      </w:r>
      <w:r>
        <w:rPr>
          <w:rFonts w:ascii="Times New Roman;Times;Serif" w:hAnsi="Times New Roman;Times;Serif"/>
          <w:b w:val="false"/>
          <w:i w:val="false"/>
          <w:caps w:val="false"/>
          <w:smallCaps w:val="false"/>
          <w:sz w:val="20"/>
          <w:u w:val="single"/>
        </w:rPr>
        <w:t>Section 1.B</w:t>
      </w:r>
      <w:r>
        <w:rPr>
          <w:rFonts w:ascii="Times New Roman;Times;Serif" w:hAnsi="Times New Roman;Times;Serif"/>
          <w:b w:val="false"/>
          <w:i w:val="false"/>
          <w:caps w:val="false"/>
          <w:smallCaps w:val="false"/>
          <w:sz w:val="20"/>
        </w:rPr>
        <w:t xml:space="preserve">, subject in each case to the application of the rTSR modifier and the Activity-Based Share Limitations set forth in </w:t>
      </w:r>
      <w:r>
        <w:rPr>
          <w:rFonts w:ascii="Times New Roman;Times;Serif" w:hAnsi="Times New Roman;Times;Serif"/>
          <w:b w:val="false"/>
          <w:i w:val="false"/>
          <w:caps w:val="false"/>
          <w:smallCaps w:val="false"/>
          <w:sz w:val="20"/>
          <w:u w:val="single"/>
        </w:rPr>
        <w:t>Sections 1.D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1.E</w:t>
      </w:r>
      <w:r>
        <w:rPr>
          <w:rFonts w:ascii="Times New Roman;Times;Serif" w:hAnsi="Times New Roman;Times;Serif"/>
          <w:b w:val="false"/>
          <w:i w:val="false"/>
          <w:caps w:val="false"/>
          <w:smallCaps w:val="false"/>
          <w:sz w:val="20"/>
        </w:rPr>
        <w:t xml:space="preserve"> below, respectively. Additional limitations on the delivery of any such earned and vested Activity-Based Shares apply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Filing Shares.</w:t>
      </w:r>
      <w:r>
        <w:rPr>
          <w:rFonts w:ascii="Times New Roman;Times;Serif" w:hAnsi="Times New Roman;Times;Serif"/>
          <w:b w:val="false"/>
          <w:i w:val="false"/>
          <w:caps w:val="false"/>
          <w:smallCaps w:val="false"/>
          <w:sz w:val="20"/>
        </w:rPr>
        <w:t xml:space="preserve"> 10,000 PSUs shall be earned (subject to the special adjustment rule in </w:t>
      </w:r>
      <w:r>
        <w:rPr>
          <w:rFonts w:ascii="Times New Roman;Times;Serif" w:hAnsi="Times New Roman;Times;Serif"/>
          <w:b w:val="false"/>
          <w:i w:val="false"/>
          <w:caps w:val="false"/>
          <w:smallCaps w:val="false"/>
          <w:sz w:val="20"/>
          <w:u w:val="single"/>
        </w:rPr>
        <w:t>Section 1.G</w:t>
      </w:r>
      <w:r>
        <w:rPr>
          <w:rFonts w:ascii="Times New Roman;Times;Serif" w:hAnsi="Times New Roman;Times;Serif"/>
          <w:b w:val="false"/>
          <w:i w:val="false"/>
          <w:caps w:val="false"/>
          <w:smallCaps w:val="false"/>
          <w:sz w:val="20"/>
        </w:rPr>
        <w:t xml:space="preserve"> below) for each new BLA or NDA filed with the FDA during the period from January 1, 2026 through December 31, 2034 (each, a “</w:t>
      </w:r>
      <w:r>
        <w:rPr>
          <w:rFonts w:ascii="Times New Roman;Times;Serif" w:hAnsi="Times New Roman;Times;Serif"/>
          <w:b/>
          <w:i w:val="false"/>
          <w:caps w:val="false"/>
          <w:smallCaps w:val="false"/>
          <w:sz w:val="20"/>
        </w:rPr>
        <w:t>New Entity Filing</w:t>
      </w:r>
      <w:r>
        <w:rPr>
          <w:rFonts w:ascii="Times New Roman;Times;Serif" w:hAnsi="Times New Roman;Times;Serif"/>
          <w:b w:val="false"/>
          <w:i w:val="false"/>
          <w:caps w:val="false"/>
          <w:smallCaps w:val="false"/>
          <w:sz w:val="20"/>
        </w:rPr>
        <w:t>”). For the avoidance of doubt, and notwithstanding the foregoing, New Entity Filings shall include (i) filings in respect of assets acquired by the Company through a Purchase (as defined below) and (ii) the BLAs/NDAs filed by the Company between January 1, 2026 and the Grant Date in respect of the following: garetosmab and cemdisiran. In addition, and for the avoidance of doubt, Otarmeni™ (lunsotogene parvec) shall not be counted as a New Entity Filing hereunder. No Filing Shares shall be earned in respect of the filing (as opposed to approval) of any sBLAs or sNDAs.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Approval Shares.</w:t>
      </w:r>
      <w:r>
        <w:rPr>
          <w:rFonts w:ascii="Times New Roman;Times;Serif" w:hAnsi="Times New Roman;Times;Serif"/>
          <w:b w:val="false"/>
          <w:i w:val="false"/>
          <w:caps w:val="false"/>
          <w:smallCaps w:val="false"/>
          <w:sz w:val="20"/>
        </w:rPr>
        <w:t xml:space="preserve"> 15,000 PSUs shall be earned (subject to the special adjustment rule in </w:t>
      </w:r>
      <w:r>
        <w:rPr>
          <w:rFonts w:ascii="Times New Roman;Times;Serif" w:hAnsi="Times New Roman;Times;Serif"/>
          <w:b w:val="false"/>
          <w:i w:val="false"/>
          <w:caps w:val="false"/>
          <w:smallCaps w:val="false"/>
          <w:sz w:val="20"/>
          <w:u w:val="single"/>
        </w:rPr>
        <w:t>Section 1.G</w:t>
      </w:r>
      <w:r>
        <w:rPr>
          <w:rFonts w:ascii="Times New Roman;Times;Serif" w:hAnsi="Times New Roman;Times;Serif"/>
          <w:b w:val="false"/>
          <w:i w:val="false"/>
          <w:caps w:val="false"/>
          <w:smallCaps w:val="false"/>
          <w:sz w:val="20"/>
        </w:rPr>
        <w:t xml:space="preserve"> below) upon each FDA approval of any New Entity Filing during the Performance Period. In addition, you shall earn 12,500 PSUs upon each FDA approval of any sBLA or sNDA filed and approved during the Performance Period, in each case excluding any sBLA or sNDA (i) for a product approved by the FDA as of the Grant Date or (ii) that does not expand the eligible patient population for the applicable product (including, without limitation, an sBLA or sNDA relating to manufacturing and quality changes, safety labeling changes, new formulation or dosage form, pediatric supplements unless they extend the approved indication to a population not previously covered by the approved labeling and such population represents a significant commercial opportunity, or post-marketing commitments or study results that do not change the approved indication and patient eligibility criteria) (each, an “</w:t>
      </w:r>
      <w:r>
        <w:rPr>
          <w:rFonts w:ascii="Times New Roman;Times;Serif" w:hAnsi="Times New Roman;Times;Serif"/>
          <w:b/>
          <w:i w:val="false"/>
          <w:caps w:val="false"/>
          <w:smallCaps w:val="false"/>
          <w:sz w:val="20"/>
        </w:rPr>
        <w:t>Eligible Supplemental Filing</w:t>
      </w:r>
      <w:r>
        <w:rPr>
          <w:rFonts w:ascii="Times New Roman;Times;Serif" w:hAnsi="Times New Roman;Times;Serif"/>
          <w:b w:val="false"/>
          <w:i w:val="false"/>
          <w:caps w:val="false"/>
          <w:smallCaps w:val="false"/>
          <w:sz w:val="20"/>
        </w:rPr>
        <w:t>”). For the avoidance of doubt, if Otarmeni™ (lunsotogene parvec) receives approval for a broader FDA indication as compared to the indication that was approved prior to the Grant Date, such broader approval shall be counted as an approval of an Eligible Supplemental Filing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above-referenced Activity-Based Shares shall be earned and vest as of the Certification Date following each performance year during the Performance Period, based on the annual certification by the Compensation Committee of such filings and approvals and your continuous Service through such applicable Certification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Activity-Based Shares that are earned and vest in respect of a performance year in accordance with the criteria set forth above shall be subject to the 80/20 Rule (as defined below) in connection with the settlement of such earned and vested Activity-Based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Activity-Based Shares that would have been earned for Years 1-9 if not for the applicable earning caps and limitations that apply in such years (“</w:t>
      </w:r>
      <w:r>
        <w:rPr>
          <w:rFonts w:ascii="Times New Roman;Times;Serif" w:hAnsi="Times New Roman;Times;Serif"/>
          <w:b/>
          <w:i w:val="false"/>
          <w:caps w:val="false"/>
          <w:smallCaps w:val="false"/>
          <w:sz w:val="20"/>
        </w:rPr>
        <w:t>Carryover Activity-Based Shares</w:t>
      </w:r>
      <w:r>
        <w:rPr>
          <w:rFonts w:ascii="Times New Roman;Times;Serif" w:hAnsi="Times New Roman;Times;Serif"/>
          <w:b w:val="false"/>
          <w:i w:val="false"/>
          <w:caps w:val="false"/>
          <w:smallCaps w:val="false"/>
          <w:sz w:val="20"/>
        </w:rPr>
        <w:t>”) shall be eligible to be earned and vest for Years 7-10 so long as the applicable earnings caps and limitations and the resulting calculations allow for such earnout and vesting (including, without limitation, the Activity-Based Share Limitations and the aggregate caps on the combined number of Activity-Based Shares and Revenue Shares that apply in Year 7 and Year 8).</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266"/>
        <w:gridCol w:w="9858"/>
      </w:tblGrid>
      <w:tr>
        <w:trPr/>
        <w:tc>
          <w:tcPr>
            <w:tcW w:w="81"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C.</w:t>
            </w:r>
          </w:p>
        </w:tc>
        <w:tc>
          <w:tcPr>
            <w:tcW w:w="9858" w:type="dxa"/>
            <w:tcBorders/>
            <w:vAlign w:val="center"/>
          </w:tcPr>
          <w:p>
            <w:pPr>
              <w:pStyle w:val="TableContents"/>
              <w:bidi w:val="0"/>
              <w:spacing w:before="0" w:after="283"/>
              <w:jc w:val="both"/>
              <w:rPr>
                <w:u w:val="single"/>
              </w:rPr>
            </w:pPr>
            <w:r>
              <w:rPr>
                <w:u w:val="single"/>
              </w:rPr>
              <w:t>Revenue Shares; Combined Earnout Limits with Activity-Based Shares Prior to Years 9 and 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Revenue Shares, if any, earned and vested in respect of this PSU Award shall be determined based on the Company’s annual global New Product Revenue for Year 7, Year 8, Year 9, and Year 10, in each case as derived from the Company’s audited annual financial statements and in accordance with the following schedule (and subject to the limitations set forth below), subject in each case to the application of the rTSR modifier set forth in </w:t>
      </w:r>
      <w:r>
        <w:rPr>
          <w:rFonts w:ascii="Times New Roman;Times;Serif" w:hAnsi="Times New Roman;Times;Serif"/>
          <w:b w:val="false"/>
          <w:i w:val="false"/>
          <w:caps w:val="false"/>
          <w:smallCaps w:val="false"/>
          <w:sz w:val="20"/>
          <w:u w:val="single"/>
        </w:rPr>
        <w:t>Section 1.D</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tbl>
      <w:tblPr>
        <w:tblW w:w="5334" w:type="dxa"/>
        <w:jc w:val="left"/>
        <w:tblInd w:w="0" w:type="dxa"/>
        <w:tblLayout w:type="fixed"/>
        <w:tblCellMar>
          <w:top w:w="0" w:type="dxa"/>
          <w:left w:w="0" w:type="dxa"/>
          <w:bottom w:w="0" w:type="dxa"/>
          <w:right w:w="0" w:type="dxa"/>
        </w:tblCellMar>
      </w:tblPr>
      <w:tblGrid>
        <w:gridCol w:w="3170"/>
        <w:gridCol w:w="60"/>
        <w:gridCol w:w="134"/>
        <w:gridCol w:w="1895"/>
        <w:gridCol w:w="75"/>
      </w:tblGrid>
      <w:tr>
        <w:trPr/>
        <w:tc>
          <w:tcPr>
            <w:tcW w:w="3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Global New Product Revenue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2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Shares Earned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$10 billion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billion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billion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billion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provided that, notwithstanding the schedule set forth above, (i) the cumulative maximum number of Revenue Shares when combined with Activity-Based Shares that may be earned and vested for Year 7 shall be 300,000 (which number of Revenue Shares combined with Activity-Based Shares for Year 7 shall be calculated inclusive of, and reduced by, any Activity-Based Shares that were earned and vested for performance years prior to Year 7) and (ii) the cumulative maximum number of Revenue Shares when combined with Activity-Based Shares that may be earned and vested for Year 8 shall be 525,000 (which number of Revenue Shares combined with Activity-Based Shares for Year 8 shall be calculated inclusive of, and reduced by, any Shares (as defined below) that were earned and vested for Year 7). For the avoidance of doubt, there are no additional maximum caps (other than those set forth in the schedule above and in </w:t>
      </w:r>
      <w:r>
        <w:rPr>
          <w:rFonts w:ascii="Times New Roman;Times;Serif" w:hAnsi="Times New Roman;Times;Serif"/>
          <w:b w:val="false"/>
          <w:i w:val="false"/>
          <w:caps w:val="false"/>
          <w:smallCaps w:val="false"/>
          <w:sz w:val="20"/>
          <w:u w:val="single"/>
        </w:rPr>
        <w:t>Section 1.F</w:t>
      </w:r>
      <w:r>
        <w:rPr>
          <w:rFonts w:ascii="Times New Roman;Times;Serif" w:hAnsi="Times New Roman;Times;Serif"/>
          <w:b w:val="false"/>
          <w:i w:val="false"/>
          <w:caps w:val="false"/>
          <w:smallCaps w:val="false"/>
          <w:sz w:val="20"/>
        </w:rPr>
        <w:t xml:space="preserve"> below) on the number of Revenue Shares that may be earned and vested for Year 9 or Year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Additional Rules and Limitations on Revenue Shares Earned. </w:t>
      </w:r>
      <w:r>
        <w:rPr>
          <w:rFonts w:ascii="Times New Roman;Times;Serif" w:hAnsi="Times New Roman;Times;Serif"/>
          <w:b w:val="false"/>
          <w:i w:val="false"/>
          <w:caps w:val="false"/>
          <w:smallCaps w:val="false"/>
          <w:sz w:val="20"/>
        </w:rPr>
        <w:t>Any Revenue Shares that are earned and vested in respect of a fiscal year in accordance with the schedule set forth above shall be subject to the 80/20 Rule in connection with the settlement of such earned and vested Revenue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amount of annual global New Product Revenue for Year 7 has been certified, subsequent determinations of annual global New Product Revenue for any later fiscal year will only entitle you to an incremental amount of Revenue Shares (if any), which shall equal to the number of Revenue Shares that would be earned and vested in respect of such later fiscal year in accordance with the schedule set forth above, less the number of Revenue Shares that became earned and vested in respect of any prior fiscal year (for the avoidance of doubt, taking into account the cumulative maximum number of Revenue Shares when combined with Activity-Based Shares that may be earned and vested for Year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no Revenue Shares shall be earned for any annual global New Product Revenue that is below $10 billion as certified as of each applicable Certification Date, and the Company shall apply linear interpolation to determine the number of Revenue Shares earned for any annual global New Product Revenue falling between each of the performance hurdles above $10 billion and the corresponding Revenue Share levels set forth in the schedule above. Except as provided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1.F</w:t>
      </w:r>
      <w:r>
        <w:rPr>
          <w:rFonts w:ascii="Times New Roman;Times;Serif" w:hAnsi="Times New Roman;Times;Serif"/>
          <w:b w:val="false"/>
          <w:i w:val="false"/>
          <w:caps w:val="false"/>
          <w:smallCaps w:val="false"/>
          <w:sz w:val="20"/>
        </w:rPr>
        <w:t xml:space="preserve"> below, no additional shares shall be earned for any annual global New Product Revenue that is above $30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above-referenced Revenue Shares shall be earned and become vested on each Certification Date following December 31, 2032, December 31, 2033, December 31, 2034, or December 31, 2035, as applicable, based on certification by the Compensation Committee of the attainment of the applicable annual global New Product Revenue hurdles following the release of the Company’s audited annual financial statements for the applicable year and your continuous Service through the applicable Certification Date (but in any event no later than the end of the Performance Period).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9"/>
        <w:gridCol w:w="1491"/>
        <w:gridCol w:w="8285"/>
      </w:tblGrid>
      <w:tr>
        <w:trPr/>
        <w:tc>
          <w:tcPr>
            <w:tcW w:w="429" w:type="dxa"/>
            <w:tcBorders/>
            <w:vAlign w:val="center"/>
          </w:tcPr>
          <w:p>
            <w:pPr>
              <w:pStyle w:val="TableContents"/>
              <w:bidi w:val="0"/>
              <w:spacing w:before="0" w:after="283"/>
              <w:jc w:val="left"/>
              <w:rPr/>
            </w:pPr>
            <w:r>
              <w:rPr/>
              <w:t> </w:t>
            </w:r>
          </w:p>
        </w:tc>
        <w:tc>
          <w:tcPr>
            <w:tcW w:w="1491" w:type="dxa"/>
            <w:tcBorders/>
            <w:vAlign w:val="center"/>
          </w:tcPr>
          <w:p>
            <w:pPr>
              <w:pStyle w:val="TableContents"/>
              <w:bidi w:val="0"/>
              <w:spacing w:before="0" w:after="283"/>
              <w:jc w:val="left"/>
              <w:rPr/>
            </w:pPr>
            <w:r>
              <w:rPr/>
              <w:t>D.</w:t>
            </w:r>
          </w:p>
        </w:tc>
        <w:tc>
          <w:tcPr>
            <w:tcW w:w="8285" w:type="dxa"/>
            <w:tcBorders/>
            <w:vAlign w:val="center"/>
          </w:tcPr>
          <w:p>
            <w:pPr>
              <w:pStyle w:val="TableContents"/>
              <w:bidi w:val="0"/>
              <w:spacing w:before="0" w:after="283"/>
              <w:jc w:val="both"/>
              <w:rPr>
                <w:u w:val="single"/>
              </w:rPr>
            </w:pPr>
            <w:r>
              <w:rPr>
                <w:u w:val="single"/>
              </w:rPr>
              <w:t>rTSR Modifier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number of PSUs earned and vested pursuant to </w:t>
      </w:r>
      <w:r>
        <w:rPr>
          <w:rFonts w:ascii="Times New Roman;Times;Serif" w:hAnsi="Times New Roman;Times;Serif"/>
          <w:b w:val="false"/>
          <w:i w:val="false"/>
          <w:caps w:val="false"/>
          <w:smallCaps w:val="false"/>
          <w:sz w:val="20"/>
          <w:u w:val="single"/>
        </w:rPr>
        <w:t>Sections 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1.C</w:t>
      </w:r>
      <w:r>
        <w:rPr>
          <w:rFonts w:ascii="Times New Roman;Times;Serif" w:hAnsi="Times New Roman;Times;Serif"/>
          <w:b w:val="false"/>
          <w:i w:val="false"/>
          <w:caps w:val="false"/>
          <w:smallCaps w:val="false"/>
          <w:sz w:val="20"/>
        </w:rPr>
        <w:t xml:space="preserve"> above shall be adjusted upward or downward by application of the rTSR modifier determined by comparing (i) the Company’s cumulative TSR for the period from January 1, 2026 through December 31, 2035 (as may be modified by operation of </w:t>
      </w:r>
      <w:r>
        <w:rPr>
          <w:rFonts w:ascii="Times New Roman;Times;Serif" w:hAnsi="Times New Roman;Times;Serif"/>
          <w:b w:val="false"/>
          <w:i w:val="false"/>
          <w:caps w:val="false"/>
          <w:smallCaps w:val="false"/>
          <w:sz w:val="20"/>
          <w:u w:val="single"/>
        </w:rPr>
        <w:t>Section 1.H</w:t>
      </w:r>
      <w:r>
        <w:rPr>
          <w:rFonts w:ascii="Times New Roman;Times;Serif" w:hAnsi="Times New Roman;Times;Serif"/>
          <w:b w:val="false"/>
          <w:i w:val="false"/>
          <w:caps w:val="false"/>
          <w:smallCaps w:val="false"/>
          <w:sz w:val="20"/>
        </w:rPr>
        <w:t xml:space="preserve"> below) (the “</w:t>
      </w:r>
      <w:r>
        <w:rPr>
          <w:rFonts w:ascii="Times New Roman;Times;Serif" w:hAnsi="Times New Roman;Times;Serif"/>
          <w:b/>
          <w:i w:val="false"/>
          <w:caps w:val="false"/>
          <w:smallCaps w:val="false"/>
          <w:sz w:val="20"/>
        </w:rPr>
        <w:t>rTSR Measurement Period</w:t>
      </w:r>
      <w:r>
        <w:rPr>
          <w:rFonts w:ascii="Times New Roman;Times;Serif" w:hAnsi="Times New Roman;Times;Serif"/>
          <w:b w:val="false"/>
          <w:i w:val="false"/>
          <w:caps w:val="false"/>
          <w:smallCaps w:val="false"/>
          <w:sz w:val="20"/>
        </w:rPr>
        <w:t xml:space="preserve">”) relative to (ii) the Cumulative NBI Return (as defined below) over the rTSR Measurement Period. If the Company’s TSR is </w:t>
      </w:r>
      <w:r>
        <w:rPr>
          <w:rFonts w:ascii="Times New Roman;Times;Serif" w:hAnsi="Times New Roman;Times;Serif"/>
          <w:b w:val="false"/>
          <w:i/>
          <w:caps w:val="false"/>
          <w:smallCaps w:val="false"/>
          <w:sz w:val="20"/>
        </w:rPr>
        <w:t>less than</w:t>
      </w:r>
      <w:r>
        <w:rPr>
          <w:rFonts w:ascii="Times New Roman;Times;Serif" w:hAnsi="Times New Roman;Times;Serif"/>
          <w:b w:val="false"/>
          <w:i w:val="false"/>
          <w:caps w:val="false"/>
          <w:smallCaps w:val="false"/>
          <w:sz w:val="20"/>
        </w:rPr>
        <w:t xml:space="preserve"> the Cumulative NBI Return by twenty-five percentage points (25pp) or more, the aggregate shares earned pursuant to this PSU Award shall be decreased by twenty percent (20%); if the Company’s TSR is </w:t>
      </w:r>
      <w:r>
        <w:rPr>
          <w:rFonts w:ascii="Times New Roman;Times;Serif" w:hAnsi="Times New Roman;Times;Serif"/>
          <w:b w:val="false"/>
          <w:i/>
          <w:caps w:val="false"/>
          <w:smallCaps w:val="false"/>
          <w:sz w:val="20"/>
        </w:rPr>
        <w:t>greater than</w:t>
      </w:r>
      <w:r>
        <w:rPr>
          <w:rFonts w:ascii="Times New Roman;Times;Serif" w:hAnsi="Times New Roman;Times;Serif"/>
          <w:b w:val="false"/>
          <w:i w:val="false"/>
          <w:caps w:val="false"/>
          <w:smallCaps w:val="false"/>
          <w:sz w:val="20"/>
        </w:rPr>
        <w:t xml:space="preserve"> the Cumulative NBI Return by twenty-five percentage points (25pp) or more, the aggregate shares earned pursuant to this PSU Award shall be increased by twenty percent (20%). The Company shall apply linear interpolation to determine the rTSR modifier where the Company’s TSR falls between negative twenty-five percentage points (25pp) and positive twenty-five percentage points (25pp) relative to the Cumulative NBI Return. Notwithstanding the foregoing or any other provision of this Notice, the rTSR modifier shall not operate to increase the number of shares earned pursuant to this PSU Award if the Company’s TSR over the rTSR Measurement Period is negative. Except as otherwise set forth in </w:t>
      </w:r>
      <w:r>
        <w:rPr>
          <w:rFonts w:ascii="Times New Roman;Times;Serif" w:hAnsi="Times New Roman;Times;Serif"/>
          <w:b w:val="false"/>
          <w:i w:val="false"/>
          <w:caps w:val="false"/>
          <w:smallCaps w:val="false"/>
          <w:sz w:val="20"/>
          <w:u w:val="single"/>
        </w:rPr>
        <w:t>Section 1.H</w:t>
      </w:r>
      <w:r>
        <w:rPr>
          <w:rFonts w:ascii="Times New Roman;Times;Serif" w:hAnsi="Times New Roman;Times;Serif"/>
          <w:b w:val="false"/>
          <w:i w:val="false"/>
          <w:caps w:val="false"/>
          <w:smallCaps w:val="false"/>
          <w:sz w:val="20"/>
        </w:rPr>
        <w:t xml:space="preserve"> below, the rTSR modifier shall be applied by the Compensation Committee on the Certification Date in respect of Year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calculate the final, aggregate number of PSUs earned and vested pursuant to </w:t>
      </w:r>
      <w:r>
        <w:rPr>
          <w:rFonts w:ascii="Times New Roman;Times;Serif" w:hAnsi="Times New Roman;Times;Serif"/>
          <w:b w:val="false"/>
          <w:i w:val="false"/>
          <w:caps w:val="false"/>
          <w:smallCaps w:val="false"/>
          <w:sz w:val="20"/>
          <w:u w:val="single"/>
        </w:rPr>
        <w:t>Sections 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1.C</w:t>
      </w:r>
      <w:r>
        <w:rPr>
          <w:rFonts w:ascii="Times New Roman;Times;Serif" w:hAnsi="Times New Roman;Times;Serif"/>
          <w:b w:val="false"/>
          <w:i w:val="false"/>
          <w:caps w:val="false"/>
          <w:smallCaps w:val="false"/>
          <w:sz w:val="20"/>
        </w:rPr>
        <w:t xml:space="preserve"> above, the rTSR modifier shall be applied to the entire number of PSUs that would otherwise be earned and vested at the end of the Performance Period (or which have previously vested and settled pursuant to the application of </w:t>
      </w:r>
      <w:r>
        <w:rPr>
          <w:rFonts w:ascii="Times New Roman;Times;Serif" w:hAnsi="Times New Roman;Times;Serif"/>
          <w:b w:val="false"/>
          <w:i w:val="false"/>
          <w:caps w:val="false"/>
          <w:smallCaps w:val="false"/>
          <w:sz w:val="20"/>
          <w:u w:val="single"/>
        </w:rPr>
        <w:t>Section 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1.C</w:t>
      </w:r>
      <w:r>
        <w:rPr>
          <w:rFonts w:ascii="Times New Roman;Times;Serif" w:hAnsi="Times New Roman;Times;Serif"/>
          <w:b w:val="false"/>
          <w:i w:val="false"/>
          <w:caps w:val="false"/>
          <w:smallCaps w:val="false"/>
          <w:sz w:val="20"/>
        </w:rPr>
        <w:t xml:space="preserve"> and taking into account the 80/20 Rule), and any reduction or increase in the number of earned PSUs resulting from the application of the rTSR modifier (and any previously earned PSUs to which the 80/20 Rule was applied) shall be trued up based on the achievement of the rTSR modifier (the “</w:t>
      </w:r>
      <w:r>
        <w:rPr>
          <w:rFonts w:ascii="Times New Roman;Times;Serif" w:hAnsi="Times New Roman;Times;Serif"/>
          <w:b/>
          <w:i w:val="false"/>
          <w:caps w:val="false"/>
          <w:smallCaps w:val="false"/>
          <w:sz w:val="20"/>
        </w:rPr>
        <w:t>rTSR True Up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9"/>
        <w:gridCol w:w="672"/>
        <w:gridCol w:w="9314"/>
      </w:tblGrid>
      <w:tr>
        <w:trPr/>
        <w:tc>
          <w:tcPr>
            <w:tcW w:w="219"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E.</w:t>
            </w:r>
          </w:p>
        </w:tc>
        <w:tc>
          <w:tcPr>
            <w:tcW w:w="9314" w:type="dxa"/>
            <w:tcBorders/>
            <w:vAlign w:val="center"/>
          </w:tcPr>
          <w:p>
            <w:pPr>
              <w:pStyle w:val="TableContents"/>
              <w:bidi w:val="0"/>
              <w:spacing w:before="0" w:after="283"/>
              <w:jc w:val="both"/>
              <w:rPr>
                <w:u w:val="single"/>
              </w:rPr>
            </w:pPr>
            <w:r>
              <w:rPr>
                <w:u w:val="single"/>
              </w:rPr>
              <w:t>Activity-Based Share Limitations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Years 1-6 and, in certain circumstances after Year 7, Year 8, Year 9, and in respect of Year 10, after application of the rTSR modifier described in </w:t>
      </w:r>
      <w:r>
        <w:rPr>
          <w:rFonts w:ascii="Times New Roman;Times;Serif" w:hAnsi="Times New Roman;Times;Serif"/>
          <w:b w:val="false"/>
          <w:i w:val="false"/>
          <w:caps w:val="false"/>
          <w:smallCaps w:val="false"/>
          <w:sz w:val="20"/>
          <w:u w:val="single"/>
        </w:rPr>
        <w:t>Section 1.D</w:t>
      </w:r>
      <w:r>
        <w:rPr>
          <w:rFonts w:ascii="Times New Roman;Times;Serif" w:hAnsi="Times New Roman;Times;Serif"/>
          <w:b w:val="false"/>
          <w:i w:val="false"/>
          <w:caps w:val="false"/>
          <w:smallCaps w:val="false"/>
          <w:sz w:val="20"/>
        </w:rPr>
        <w:t xml:space="preserve"> above, the number of Activity-Based Shares otherwise earned shall also be subject to the following limitations (the “</w:t>
      </w:r>
      <w:r>
        <w:rPr>
          <w:rFonts w:ascii="Times New Roman;Times;Serif" w:hAnsi="Times New Roman;Times;Serif"/>
          <w:b/>
          <w:i w:val="false"/>
          <w:caps w:val="false"/>
          <w:smallCaps w:val="false"/>
          <w:sz w:val="20"/>
        </w:rPr>
        <w:t>Activity-Based Share Limitations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Proportion of Aggregate Earned Activity-Based Shares Allocable to You in Years 1-6 or in any Performance Year in Which the Company’s Annual Global New Product Revenue for Year 7, Year 8, Year 9, or Year 10 is less than $10 billion</w:t>
      </w:r>
      <w:r>
        <w:rPr>
          <w:rFonts w:ascii="Times New Roman;Times;Serif" w:hAnsi="Times New Roman;Times;Serif"/>
          <w:b w:val="false"/>
          <w:i w:val="false"/>
          <w:caps w:val="false"/>
          <w:smallCaps w:val="false"/>
          <w:sz w:val="20"/>
        </w:rPr>
        <w:t xml:space="preserve">. During Years 1-6 and in Years 7-10 if the Company’s annual global New Product Revenue for any such performance year is less than $10 billion, across both this PSU Award and the PSU Award granted to George D. Yancopoulos, M.D., Ph.D., twenty-five percent (25%) of the aggregate Activity-Based Shares that are earned in accordance with </w:t>
      </w:r>
      <w:r>
        <w:rPr>
          <w:rFonts w:ascii="Times New Roman;Times;Serif" w:hAnsi="Times New Roman;Times;Serif"/>
          <w:b w:val="false"/>
          <w:i w:val="false"/>
          <w:caps w:val="false"/>
          <w:smallCaps w:val="false"/>
          <w:sz w:val="20"/>
          <w:u w:val="single"/>
        </w:rPr>
        <w:t>Section 1.B</w:t>
      </w:r>
      <w:r>
        <w:rPr>
          <w:rFonts w:ascii="Times New Roman;Times;Serif" w:hAnsi="Times New Roman;Times;Serif"/>
          <w:b w:val="false"/>
          <w:i w:val="false"/>
          <w:caps w:val="false"/>
          <w:smallCaps w:val="false"/>
          <w:sz w:val="20"/>
        </w:rPr>
        <w:t xml:space="preserve"> above for the applicable performance year shall be allocated to you subject to a cumulative cap of 100,000 Activity-Based Shares that may be earned by you as of the end of any such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Activity-Based Shares Also Limited if the Company’s Annual Global New Product Revenue for Year 7, Year 8, Year 9, or Year 10 is Equal to or Greater than $10 Billion</w:t>
      </w:r>
      <w:r>
        <w:rPr>
          <w:rFonts w:ascii="Times New Roman;Times;Serif" w:hAnsi="Times New Roman;Times;Serif"/>
          <w:b w:val="false"/>
          <w:i w:val="false"/>
          <w:caps w:val="false"/>
          <w:smallCaps w:val="false"/>
          <w:sz w:val="20"/>
        </w:rPr>
        <w:t xml:space="preserve">. If the Company’s annual global New Product Revenue for Year 7, Year 8, Year 9, or Year 10 is </w:t>
      </w:r>
      <w:r>
        <w:rPr>
          <w:rFonts w:ascii="Times New Roman;Times;Serif" w:hAnsi="Times New Roman;Times;Serif"/>
          <w:b w:val="false"/>
          <w:i/>
          <w:caps w:val="false"/>
          <w:smallCaps w:val="false"/>
          <w:sz w:val="20"/>
        </w:rPr>
        <w:t>equal to or greater than</w:t>
      </w:r>
      <w:r>
        <w:rPr>
          <w:rFonts w:ascii="Times New Roman;Times;Serif" w:hAnsi="Times New Roman;Times;Serif"/>
          <w:b w:val="false"/>
          <w:i w:val="false"/>
          <w:caps w:val="false"/>
          <w:smallCaps w:val="false"/>
          <w:sz w:val="20"/>
        </w:rPr>
        <w:t xml:space="preserve"> $10 billion such that Revenue Shares are earned, the aggregate Activity-Based Shares and Revenue Shares earned in accordance with </w:t>
      </w:r>
      <w:r>
        <w:rPr>
          <w:rFonts w:ascii="Times New Roman;Times;Serif" w:hAnsi="Times New Roman;Times;Serif"/>
          <w:b w:val="false"/>
          <w:i w:val="false"/>
          <w:caps w:val="false"/>
          <w:smallCaps w:val="false"/>
          <w:sz w:val="20"/>
          <w:u w:val="single"/>
        </w:rPr>
        <w:t>Sections 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1.C</w:t>
      </w:r>
      <w:r>
        <w:rPr>
          <w:rFonts w:ascii="Times New Roman;Times;Serif" w:hAnsi="Times New Roman;Times;Serif"/>
          <w:b w:val="false"/>
          <w:i w:val="false"/>
          <w:caps w:val="false"/>
          <w:smallCaps w:val="false"/>
          <w:sz w:val="20"/>
        </w:rPr>
        <w:t xml:space="preserve"> above, respectively, across both this PSU Award and the PSU Award granted to George D. Yancopoulos, M.D., Ph.D. shall be limited such that the Activity-Based Shares shall not comprise more than, and shall be capped at, thirty percent (30%) of the aggregate number of Shares earned for the applicable performance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calculations and percentages set forth in this </w:t>
      </w:r>
      <w:r>
        <w:rPr>
          <w:rFonts w:ascii="Times New Roman;Times;Serif" w:hAnsi="Times New Roman;Times;Serif"/>
          <w:b w:val="false"/>
          <w:i w:val="false"/>
          <w:caps w:val="false"/>
          <w:smallCaps w:val="false"/>
          <w:sz w:val="20"/>
          <w:u w:val="single"/>
        </w:rPr>
        <w:t>Section 1.E</w:t>
      </w:r>
      <w:r>
        <w:rPr>
          <w:rFonts w:ascii="Times New Roman;Times;Serif" w:hAnsi="Times New Roman;Times;Serif"/>
          <w:b w:val="false"/>
          <w:i w:val="false"/>
          <w:caps w:val="false"/>
          <w:smallCaps w:val="false"/>
          <w:sz w:val="20"/>
        </w:rPr>
        <w:t xml:space="preserve"> shall be applied regardless of whether the PSU Award granted to George D. Yancopoulos, M.D., Ph.D. remains in effect and outstanding or whether such executive remains in Service.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0"/>
        <w:gridCol w:w="805"/>
        <w:gridCol w:w="9120"/>
      </w:tblGrid>
      <w:tr>
        <w:trPr/>
        <w:tc>
          <w:tcPr>
            <w:tcW w:w="28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F.</w:t>
            </w:r>
          </w:p>
        </w:tc>
        <w:tc>
          <w:tcPr>
            <w:tcW w:w="9120" w:type="dxa"/>
            <w:tcBorders/>
            <w:vAlign w:val="center"/>
          </w:tcPr>
          <w:p>
            <w:pPr>
              <w:pStyle w:val="TableContents"/>
              <w:bidi w:val="0"/>
              <w:spacing w:before="0" w:after="283"/>
              <w:jc w:val="both"/>
              <w:rPr>
                <w:u w:val="single"/>
              </w:rPr>
            </w:pPr>
            <w:r>
              <w:rPr>
                <w:u w:val="single"/>
              </w:rPr>
              <w:t>Maximum Shares Earned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 event shall the total number of shares earned pursuant to this PSU Award exceed the maximum of 2,700,000 PSUs set forth in </w:t>
      </w:r>
      <w:r>
        <w:rPr>
          <w:rFonts w:ascii="Times New Roman;Times;Serif" w:hAnsi="Times New Roman;Times;Serif"/>
          <w:b w:val="false"/>
          <w:i w:val="false"/>
          <w:caps w:val="false"/>
          <w:smallCaps w:val="false"/>
          <w:sz w:val="20"/>
          <w:u w:val="single"/>
        </w:rPr>
        <w:t>Section 1.A</w:t>
      </w:r>
      <w:r>
        <w:rPr>
          <w:rFonts w:ascii="Times New Roman;Times;Serif" w:hAnsi="Times New Roman;Times;Serif"/>
          <w:b w:val="false"/>
          <w:i w:val="false"/>
          <w:caps w:val="false"/>
          <w:smallCaps w:val="false"/>
          <w:sz w:val="20"/>
        </w:rPr>
        <w:t xml:space="preserve"> above, which maximum shall be deemed earned upon the achievement of either (i) any combination of Activity-Based Shares and Revenue Shares determined in accordance with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that equals or exceeds such maximum after giving effect to the rTSR modifier at the end of the Performance Period and after giving effect to the Activity-Based Share Limitations, or (ii) the higher of the Company’s annual global New Product Revenue for Year 9 or Year 10 exceeding $40 billion while the Company’s absolute TSR over the rTSR Measurement Period is positive and exceeds the Cumulative NBI Return over the rTSR Measurement Period.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530"/>
        <w:gridCol w:w="9523"/>
      </w:tblGrid>
      <w:tr>
        <w:trPr/>
        <w:tc>
          <w:tcPr>
            <w:tcW w:w="15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G.</w:t>
            </w:r>
          </w:p>
        </w:tc>
        <w:tc>
          <w:tcPr>
            <w:tcW w:w="9523" w:type="dxa"/>
            <w:tcBorders/>
            <w:vAlign w:val="center"/>
          </w:tcPr>
          <w:p>
            <w:pPr>
              <w:pStyle w:val="TableContents"/>
              <w:bidi w:val="0"/>
              <w:spacing w:before="0" w:after="283"/>
              <w:jc w:val="both"/>
              <w:rPr>
                <w:u w:val="single"/>
              </w:rPr>
            </w:pPr>
            <w:r>
              <w:rPr>
                <w:u w:val="single"/>
              </w:rPr>
              <w:t>Special Adjustment Rule Commencing in Year 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Commencing in Year 7, if the Company’s annual global New Product Revenue for such performance year or subsequent performance year is </w:t>
      </w:r>
      <w:r>
        <w:rPr>
          <w:rFonts w:ascii="Times New Roman;Times;Serif" w:hAnsi="Times New Roman;Times;Serif"/>
          <w:b w:val="false"/>
          <w:i/>
          <w:caps w:val="false"/>
          <w:smallCaps w:val="false"/>
          <w:sz w:val="20"/>
        </w:rPr>
        <w:t>equal to or greater than</w:t>
      </w:r>
      <w:r>
        <w:rPr>
          <w:rFonts w:ascii="Times New Roman;Times;Serif" w:hAnsi="Times New Roman;Times;Serif"/>
          <w:b w:val="false"/>
          <w:i w:val="false"/>
          <w:caps w:val="false"/>
          <w:smallCaps w:val="false"/>
          <w:sz w:val="20"/>
        </w:rPr>
        <w:t xml:space="preserve"> $10 billion such that Revenue Shares are earned, any Activity-Based Shares and Revenue Shares that would otherwise be earned and vested in respect of the applicable year in accordance with the provisions of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(taking in account the Activity-Based Share Limitations and the other limitations set forth herein) shall be reduced by 100,000 Shares (but not more than 100,000 Shares in total shall be subject to this special adjustment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362"/>
        <w:gridCol w:w="9739"/>
      </w:tblGrid>
      <w:tr>
        <w:trPr/>
        <w:tc>
          <w:tcPr>
            <w:tcW w:w="104"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H.</w:t>
            </w:r>
          </w:p>
        </w:tc>
        <w:tc>
          <w:tcPr>
            <w:tcW w:w="9739" w:type="dxa"/>
            <w:tcBorders/>
            <w:vAlign w:val="center"/>
          </w:tcPr>
          <w:p>
            <w:pPr>
              <w:pStyle w:val="TableContents"/>
              <w:bidi w:val="0"/>
              <w:spacing w:before="0" w:after="283"/>
              <w:jc w:val="both"/>
              <w:rPr>
                <w:u w:val="single"/>
              </w:rPr>
            </w:pPr>
            <w:r>
              <w:rPr>
                <w:u w:val="single"/>
              </w:rPr>
              <w:t>Special Vesting Rules Upon Certain Terminations and Change in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specifically set forth in this </w:t>
      </w:r>
      <w:r>
        <w:rPr>
          <w:rFonts w:ascii="Times New Roman;Times;Serif" w:hAnsi="Times New Roman;Times;Serif"/>
          <w:b w:val="false"/>
          <w:i w:val="false"/>
          <w:caps w:val="false"/>
          <w:smallCaps w:val="false"/>
          <w:sz w:val="20"/>
          <w:u w:val="single"/>
        </w:rPr>
        <w:t>Section 1.H</w:t>
      </w:r>
      <w:r>
        <w:rPr>
          <w:rFonts w:ascii="Times New Roman;Times;Serif" w:hAnsi="Times New Roman;Times;Serif"/>
          <w:b w:val="false"/>
          <w:i w:val="false"/>
          <w:caps w:val="false"/>
          <w:smallCaps w:val="false"/>
          <w:sz w:val="20"/>
        </w:rPr>
        <w:t xml:space="preserve">, any unvested PSUs shall be forfeited in their entirety in the event that your Service ceases prior to the end of the Performance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with respect to any Activity-Based Shares that have been earned based on the annual certification of the Compensation Committee, you shall be deemed to have met the continuous Service requirement with respect to such PSUs if you are in Service as of the applicable Certification Date and (ii) with respect to any Revenue Shares that have been earned based on the certification by the Compensation Committee of the attainment of the applicable annual global New Product Revenue hurdles following the release of the Company’s audited annual financial statements for Year 7, Year 8, Year 9, or Year 10, as applicable, you shall be deemed to have met the continuous Service requirement with respect to such PSUs if you are in Service as of the applicable Certification Date (or the end of the Performance Period, as applicable). You specifically acknowledge and agree that the provisions set forth herein with respect to your termination of Service supersede any provisions of any other agreement between you and the Company or any Affiliate, including any agreement that provides a different treatment for equity awards due to death or retirement. The following special rules shall apply to the PSUs, notwithstanding the provisions of </w:t>
      </w:r>
      <w:r>
        <w:rPr>
          <w:rFonts w:ascii="Times New Roman;Times;Serif" w:hAnsi="Times New Roman;Times;Serif"/>
          <w:b w:val="false"/>
          <w:i w:val="false"/>
          <w:caps w:val="false"/>
          <w:smallCaps w:val="false"/>
          <w:sz w:val="20"/>
          <w:u w:val="single"/>
        </w:rPr>
        <w:t>Sections 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1.C</w:t>
      </w:r>
      <w:r>
        <w:rPr>
          <w:rFonts w:ascii="Times New Roman;Times;Serif" w:hAnsi="Times New Roman;Times;Serif"/>
          <w:b w:val="false"/>
          <w:i w:val="false"/>
          <w:caps w:val="false"/>
          <w:smallCaps w:val="false"/>
          <w:sz w:val="20"/>
        </w:rPr>
        <w:t xml:space="preserv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Without Cause or for Good Reason</w:t>
      </w:r>
      <w:r>
        <w:rPr>
          <w:rFonts w:ascii="Times New Roman;Times;Serif" w:hAnsi="Times New Roman;Times;Serif"/>
          <w:b w:val="false"/>
          <w:i w:val="false"/>
          <w:caps w:val="false"/>
          <w:smallCaps w:val="false"/>
          <w:sz w:val="20"/>
        </w:rPr>
        <w:t>. If your Service is terminated without Cause (as defined below) or you resign from your Service for a Good Reason (as defined below) prior to December 31, 2035 and prior to the date of a Change in Control, the PSUs shall remain outstanding and may be earned pursuant to the provisions hereof without regard to the continued Service requirement, except that (i) the determination of any earnout as of a Certification Date following the termination date will be based solely on New Products in existence as of the termination date as well as Eligible New Products and Eligible New Product Candidates, each as defined below (the “</w:t>
      </w:r>
      <w:r>
        <w:rPr>
          <w:rFonts w:ascii="Times New Roman;Times;Serif" w:hAnsi="Times New Roman;Times;Serif"/>
          <w:b/>
          <w:i w:val="false"/>
          <w:caps w:val="false"/>
          <w:smallCaps w:val="false"/>
          <w:sz w:val="20"/>
        </w:rPr>
        <w:t>Qualifying Termination Earnout Methodology</w:t>
      </w:r>
      <w:r>
        <w:rPr>
          <w:rFonts w:ascii="Times New Roman;Times;Serif" w:hAnsi="Times New Roman;Times;Serif"/>
          <w:b w:val="false"/>
          <w:i w:val="false"/>
          <w:caps w:val="false"/>
          <w:smallCaps w:val="false"/>
          <w:sz w:val="20"/>
        </w:rPr>
        <w:t xml:space="preserve">”) and (ii) the rTSR modifier shall be measured by the Compensation Committee (A) as of the termination date if such termination date occurs on or prior to December 31, 2031 (i.e., based on a deemed shortened rTSR Measurement Period ending as of the termination date) or (B) as of the end of the Performance Period if the termination date occurs on January 1, 2032 or later (and in any event prior to the end of the Performance Period) (i.e., based on the rTSR Measurement Period). To the extent any PSUs are determined to have been earned and vested based on the application of the Qualifying Termination Earnout Methodology and the rTSR modifier as described above, the provisions of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below regarding delivery (including, without limitation, the Holding Period) shall apply to the shares of Company common stock deliverable in respect of such earned and vested PSUs; provided, however, that if the termination date occurs on or prior to December 31, 2031, the 80/20 Rule shall not apply. “</w:t>
      </w:r>
      <w:r>
        <w:rPr>
          <w:rFonts w:ascii="Times New Roman;Times;Serif" w:hAnsi="Times New Roman;Times;Serif"/>
          <w:b/>
          <w:i w:val="false"/>
          <w:caps w:val="false"/>
          <w:smallCaps w:val="false"/>
          <w:sz w:val="20"/>
        </w:rPr>
        <w:t>Eligible New Product Candidates</w:t>
      </w:r>
      <w:r>
        <w:rPr>
          <w:rFonts w:ascii="Times New Roman;Times;Serif" w:hAnsi="Times New Roman;Times;Serif"/>
          <w:b w:val="false"/>
          <w:i w:val="false"/>
          <w:caps w:val="false"/>
          <w:smallCaps w:val="false"/>
          <w:sz w:val="20"/>
        </w:rPr>
        <w:t>” shall consist of (a) each product candidate of the Company in Phase 1 (or later) clinical development as of the termination date, (b) each product candidate of the Company for which an Investigational New Drug Application (“</w:t>
      </w:r>
      <w:r>
        <w:rPr>
          <w:rFonts w:ascii="Times New Roman;Times;Serif" w:hAnsi="Times New Roman;Times;Serif"/>
          <w:b/>
          <w:i w:val="false"/>
          <w:caps w:val="false"/>
          <w:smallCaps w:val="false"/>
          <w:sz w:val="20"/>
        </w:rPr>
        <w:t>IND</w:t>
      </w:r>
      <w:r>
        <w:rPr>
          <w:rFonts w:ascii="Times New Roman;Times;Serif" w:hAnsi="Times New Roman;Times;Serif"/>
          <w:b w:val="false"/>
          <w:i w:val="false"/>
          <w:caps w:val="false"/>
          <w:smallCaps w:val="false"/>
          <w:sz w:val="20"/>
        </w:rPr>
        <w:t>”) has been submitted to the FDA prior to the termination date (unless the FDA issues a clinical hold impacting such product candidate within 30 days of the FDA’s receipt of the IND for such product candidate), and (c) each product candidate acquired by the Company through a Purchase pursuant to an agreement that is entered into within 12 months following the termination date (a “</w:t>
      </w:r>
      <w:r>
        <w:rPr>
          <w:rFonts w:ascii="Times New Roman;Times;Serif" w:hAnsi="Times New Roman;Times;Serif"/>
          <w:b/>
          <w:i w:val="false"/>
          <w:caps w:val="false"/>
          <w:smallCaps w:val="false"/>
          <w:sz w:val="20"/>
        </w:rPr>
        <w:t>Qualifying Purchase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Eligible New Products</w:t>
      </w:r>
      <w:r>
        <w:rPr>
          <w:rFonts w:ascii="Times New Roman;Times;Serif" w:hAnsi="Times New Roman;Times;Serif"/>
          <w:b w:val="false"/>
          <w:i w:val="false"/>
          <w:caps w:val="false"/>
          <w:smallCaps w:val="false"/>
          <w:sz w:val="20"/>
        </w:rPr>
        <w:t>” shall consist of New Products resulting from Eligible New Product Candidates or a Qualifying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Death or Disability</w:t>
      </w:r>
      <w:r>
        <w:rPr>
          <w:rFonts w:ascii="Times New Roman;Times;Serif" w:hAnsi="Times New Roman;Times;Serif"/>
          <w:b w:val="false"/>
          <w:i w:val="false"/>
          <w:caps w:val="false"/>
          <w:smallCaps w:val="false"/>
          <w:sz w:val="20"/>
        </w:rPr>
        <w:t xml:space="preserve">. In the case of your death or Disability prior to December 31, 2035, the PSUs shall remain outstanding and may be earned pursuant to the provisions hereof without regard to the continued Service requirement. The provisions of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below regarding delivery (other than, for the avoidance of doubt, the Holding Period) shall apply to the shares of Company common stock deliverable in respect of such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(a) Upon a Change in Control, the rTSR Measurement Period shall be deemed shortened to the date of the Change in Control, and the rTSR modifier shall be measured and determined in the discretion of the Compensation Committee immediately prior to the date of the Change in Control based on the price per share of Company common stock to be paid in the Change in Control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a Change in Control, the PSUs shall be assumed by the successor or acquiring entity (if any) in such Change in Control (or any ultimate parent thereof), which assumption or substitution shall be binding on you and the Company, with appropriate adjustments thereto in accordance with the provisions of the Plan, and shall remain outstanding and subject to the remaining terms and conditions hereof. Accordingly, any PSUs that have not yet been earned as of the date of the Change in Control shall be earned and eligible to vest based on (i) performance with respect to the filing and approval metrics and annual global New Product Revenue metrics set forth in </w:t>
      </w:r>
      <w:r>
        <w:rPr>
          <w:rFonts w:ascii="Times New Roman;Times;Serif" w:hAnsi="Times New Roman;Times;Serif"/>
          <w:b w:val="false"/>
          <w:i w:val="false"/>
          <w:caps w:val="false"/>
          <w:smallCaps w:val="false"/>
          <w:sz w:val="20"/>
          <w:u w:val="single"/>
        </w:rPr>
        <w:t>Sections 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1.C</w:t>
      </w:r>
      <w:r>
        <w:rPr>
          <w:rFonts w:ascii="Times New Roman;Times;Serif" w:hAnsi="Times New Roman;Times;Serif"/>
          <w:b w:val="false"/>
          <w:i w:val="false"/>
          <w:caps w:val="false"/>
          <w:smallCaps w:val="false"/>
          <w:sz w:val="20"/>
        </w:rPr>
        <w:t xml:space="preserve"> above and (ii) your continued Service (including Service with the successor or acquiring entity in the Change in Control) through the applicable Certification Date. Shares earned and vested pursuant to this </w:t>
      </w:r>
      <w:r>
        <w:rPr>
          <w:rFonts w:ascii="Times New Roman;Times;Serif" w:hAnsi="Times New Roman;Times;Serif"/>
          <w:b w:val="false"/>
          <w:i w:val="false"/>
          <w:caps w:val="false"/>
          <w:smallCaps w:val="false"/>
          <w:sz w:val="20"/>
          <w:u w:val="single"/>
        </w:rPr>
        <w:t>paragraph (b)</w:t>
      </w:r>
      <w:r>
        <w:rPr>
          <w:rFonts w:ascii="Times New Roman;Times;Serif" w:hAnsi="Times New Roman;Times;Serif"/>
          <w:b w:val="false"/>
          <w:i w:val="false"/>
          <w:caps w:val="false"/>
          <w:smallCaps w:val="false"/>
          <w:sz w:val="20"/>
        </w:rPr>
        <w:t xml:space="preserve"> and delivered in accordance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below shall not be subject to the 80/20 Rule or the Holding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the foregoing, upon a termination of your Service by the Company or its successor without Cause or by you for Good Reason upon or following the Change in Control and prior to December 31, 2035, the PSUs shall remain outstanding following the termination date and may be earned pursuant to the provisions hereof without regard to the continued Service requirement, except that the determination of any earnout as of a Certification Date following the termination date will be made pursuant to the Qualifying Termination Earnout Methodology and by measuring the rTSR modifier as determined under </w:t>
      </w:r>
      <w:r>
        <w:rPr>
          <w:rFonts w:ascii="Times New Roman;Times;Serif" w:hAnsi="Times New Roman;Times;Serif"/>
          <w:b w:val="false"/>
          <w:i w:val="false"/>
          <w:caps w:val="false"/>
          <w:smallCaps w:val="false"/>
          <w:sz w:val="20"/>
          <w:u w:val="single"/>
        </w:rPr>
        <w:t>paragraph (a)</w:t>
      </w:r>
      <w:r>
        <w:rPr>
          <w:rFonts w:ascii="Times New Roman;Times;Serif" w:hAnsi="Times New Roman;Times;Serif"/>
          <w:b w:val="false"/>
          <w:i w:val="false"/>
          <w:caps w:val="false"/>
          <w:smallCaps w:val="false"/>
          <w:sz w:val="20"/>
        </w:rPr>
        <w:t xml:space="preserve"> above. Shares earned and vested pursuant to this </w:t>
      </w:r>
      <w:r>
        <w:rPr>
          <w:rFonts w:ascii="Times New Roman;Times;Serif" w:hAnsi="Times New Roman;Times;Serif"/>
          <w:b w:val="false"/>
          <w:i w:val="false"/>
          <w:caps w:val="false"/>
          <w:smallCaps w:val="false"/>
          <w:sz w:val="20"/>
          <w:u w:val="single"/>
        </w:rPr>
        <w:t>paragraph (c)</w:t>
      </w:r>
      <w:r>
        <w:rPr>
          <w:rFonts w:ascii="Times New Roman;Times;Serif" w:hAnsi="Times New Roman;Times;Serif"/>
          <w:b w:val="false"/>
          <w:i w:val="false"/>
          <w:caps w:val="false"/>
          <w:smallCaps w:val="false"/>
          <w:sz w:val="20"/>
        </w:rPr>
        <w:t xml:space="preserve"> and delivered in accordance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below shall not be subject to the 80/20 Rule or the Holding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Voluntary Termination/Retirement with Separation from Service</w:t>
      </w:r>
      <w:r>
        <w:rPr>
          <w:rFonts w:ascii="Times New Roman;Times;Serif" w:hAnsi="Times New Roman;Times;Serif"/>
          <w:b w:val="false"/>
          <w:i w:val="false"/>
          <w:caps w:val="false"/>
          <w:smallCaps w:val="false"/>
          <w:sz w:val="20"/>
        </w:rPr>
        <w:t>. Upon your termination of employment with the Company due to your voluntary departure without Good Reason or your retirement, unless your Service with the Company continues, the rTSR modifier shall be measured by the Compensation Committee as of the termination date and shall be applied to any Shares that had been earned and vested prior to the termination date and were held back pursuant to the 80/20 Rule, and any unvested PSUs shall be forfeited. For the avoidance of doubt, the Holding Period shall continue to apply with respect to any Shares that had become earned and vested prior to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215"/>
        <w:gridCol w:w="4910"/>
      </w:tblGrid>
      <w:tr>
        <w:trPr/>
        <w:tc>
          <w:tcPr>
            <w:tcW w:w="215" w:type="dxa"/>
            <w:tcBorders/>
            <w:vAlign w:val="center"/>
          </w:tcPr>
          <w:p>
            <w:pPr>
              <w:pStyle w:val="TableContents"/>
              <w:bidi w:val="0"/>
              <w:spacing w:before="0" w:after="283"/>
              <w:jc w:val="left"/>
              <w:rPr/>
            </w:pPr>
            <w:r>
              <w:rPr/>
              <w:t>2.</w:t>
            </w:r>
          </w:p>
        </w:tc>
        <w:tc>
          <w:tcPr>
            <w:tcW w:w="4910" w:type="dxa"/>
            <w:tcBorders/>
            <w:vAlign w:val="center"/>
          </w:tcPr>
          <w:p>
            <w:pPr>
              <w:pStyle w:val="TableContents"/>
              <w:bidi w:val="0"/>
              <w:spacing w:before="0" w:after="283"/>
              <w:jc w:val="both"/>
              <w:rPr/>
            </w:pPr>
            <w:r>
              <w:rPr>
                <w:u w:val="single"/>
              </w:rPr>
              <w:t>Settlement and Share Delivery; Certain Limitations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60"/>
        <w:gridCol w:w="9871"/>
      </w:tblGrid>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A.</w:t>
            </w:r>
          </w:p>
        </w:tc>
        <w:tc>
          <w:tcPr>
            <w:tcW w:w="9871" w:type="dxa"/>
            <w:tcBorders/>
            <w:vAlign w:val="center"/>
          </w:tcPr>
          <w:p>
            <w:pPr>
              <w:pStyle w:val="TableContents"/>
              <w:bidi w:val="0"/>
              <w:spacing w:before="0" w:after="283"/>
              <w:jc w:val="both"/>
              <w:rPr/>
            </w:pPr>
            <w:r>
              <w:rPr>
                <w:u w:val="single"/>
              </w:rPr>
              <w:t>Years 1-6</w:t>
            </w:r>
            <w:r>
              <w:rPr/>
              <w:t xml:space="preserve">. The settlement of any Activity-Based Shares that are earned and vested with respect to each performance year during the Performance Period pursuant to </w:t>
            </w:r>
            <w:r>
              <w:rPr>
                <w:u w:val="single"/>
              </w:rPr>
              <w:t>Section 1.B</w:t>
            </w:r>
            <w:r>
              <w:rPr/>
              <w:t xml:space="preserve"> above shall be made and the shares underlying such Activity-Based Shares shall first become deliverable, subject to the 80/20 Rule provided in </w:t>
            </w:r>
            <w:r>
              <w:rPr>
                <w:u w:val="single"/>
              </w:rPr>
              <w:t>Section 2.G</w:t>
            </w:r>
            <w:r>
              <w:rPr/>
              <w:t xml:space="preserve"> below, promptly following the Certification Date following the applicable performance year; provided that the cumulative number of Activity-Based Shares that shall be deliverable to you in respect of Years 1-6, after giving effect to the 80/20 Rule provided in </w:t>
            </w:r>
            <w:r>
              <w:rPr>
                <w:u w:val="single"/>
              </w:rPr>
              <w:t>Section 2.G</w:t>
            </w:r>
            <w:r>
              <w:rPr/>
              <w:t xml:space="preserve"> below, is capped at 80,000 Activity-Based Shares. No Revenue Shares shall be eligible to be earned and thus none shall be eligible to be settled in respect of Years 1-6.</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87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B.</w:t>
            </w:r>
          </w:p>
        </w:tc>
        <w:tc>
          <w:tcPr>
            <w:tcW w:w="9871" w:type="dxa"/>
            <w:tcBorders/>
            <w:vAlign w:val="center"/>
          </w:tcPr>
          <w:p>
            <w:pPr>
              <w:pStyle w:val="TableContents"/>
              <w:bidi w:val="0"/>
              <w:spacing w:before="0" w:after="283"/>
              <w:jc w:val="both"/>
              <w:rPr/>
            </w:pPr>
            <w:r>
              <w:rPr>
                <w:u w:val="single"/>
              </w:rPr>
              <w:t>Year 7</w:t>
            </w:r>
            <w:r>
              <w:rPr/>
              <w:t xml:space="preserve">. Revenue Shares that are earned and vested with respect to Year 7 pursuant to </w:t>
            </w:r>
            <w:r>
              <w:rPr>
                <w:u w:val="single"/>
              </w:rPr>
              <w:t>Section 1.C</w:t>
            </w:r>
            <w:r>
              <w:rPr/>
              <w:t xml:space="preserve"> above shall first become deliverable, subject to the 80/20 Rule provided in </w:t>
            </w:r>
            <w:r>
              <w:rPr>
                <w:u w:val="single"/>
              </w:rPr>
              <w:t>Section 2.G</w:t>
            </w:r>
            <w:r>
              <w:rPr/>
              <w:t xml:space="preserve"> below, as determined by the Compensation Committee on the Certification Date for Year 7, and any additional Activity-Based Shares that (i) are earned and vested with respect to performance in Year 7 as determined by the Compensation Committee on the Certification Date for Year 7 or (ii) are Carryover Activity-Based Shares from earlier performance years pursuant to </w:t>
            </w:r>
            <w:r>
              <w:rPr>
                <w:u w:val="single"/>
              </w:rPr>
              <w:t>Section 1.B</w:t>
            </w:r>
            <w:r>
              <w:rPr/>
              <w:t xml:space="preserve"> above shall become deliverable, in each case, subject to the 80/20 Rule provided in </w:t>
            </w:r>
            <w:r>
              <w:rPr>
                <w:u w:val="single"/>
              </w:rPr>
              <w:t>Section 2.G</w:t>
            </w:r>
            <w:r>
              <w:rPr/>
              <w:t xml:space="preserve"> below; provided that the aggregate number of Activity-Based Shares and Revenue Shares combined that shall be deliverable to you in respect of Year 7, after giving effect to the 80/20 Rule provided in </w:t>
            </w:r>
            <w:r>
              <w:rPr>
                <w:u w:val="single"/>
              </w:rPr>
              <w:t>Section 2.G</w:t>
            </w:r>
            <w:r>
              <w:rPr/>
              <w:t xml:space="preserve"> below, is 240,000 (which number shall be calculated inclusive of, and reduced by, any Activity-Based Shares that were delivered in respect of Years 1-6).</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87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C.</w:t>
            </w:r>
          </w:p>
        </w:tc>
        <w:tc>
          <w:tcPr>
            <w:tcW w:w="9871" w:type="dxa"/>
            <w:tcBorders/>
            <w:vAlign w:val="center"/>
          </w:tcPr>
          <w:p>
            <w:pPr>
              <w:pStyle w:val="TableContents"/>
              <w:bidi w:val="0"/>
              <w:spacing w:before="0" w:after="283"/>
              <w:jc w:val="both"/>
              <w:rPr/>
            </w:pPr>
            <w:r>
              <w:rPr>
                <w:u w:val="single"/>
              </w:rPr>
              <w:t>Year 8</w:t>
            </w:r>
            <w:r>
              <w:rPr/>
              <w:t xml:space="preserve">. Revenue Shares that are earned and vested with respect to Year 8 pursuant to </w:t>
            </w:r>
            <w:r>
              <w:rPr>
                <w:u w:val="single"/>
              </w:rPr>
              <w:t>Section 1.C</w:t>
            </w:r>
            <w:r>
              <w:rPr/>
              <w:t xml:space="preserve"> above shall become deliverable, subject to the 80/20 Rule provided in </w:t>
            </w:r>
            <w:r>
              <w:rPr>
                <w:u w:val="single"/>
              </w:rPr>
              <w:t>Section 2.G</w:t>
            </w:r>
            <w:r>
              <w:rPr/>
              <w:t xml:space="preserve"> below, as determined by the Compensation Committee on the Certification Date for Year 8, and any additional Activity-Based Shares that (i) are earned and vested with respect to performance in Year 8 as determined by the Compensation Committee on the Certification Date for Year 8 or (ii) are Carryover Activity-Based Shares from earlier performance years pursuant to </w:t>
            </w:r>
            <w:r>
              <w:rPr>
                <w:u w:val="single"/>
              </w:rPr>
              <w:t>Section 1.B</w:t>
            </w:r>
            <w:r>
              <w:rPr/>
              <w:t xml:space="preserve"> above shall become deliverable, in each case, subject to the 80/20 Rule provided in </w:t>
            </w:r>
            <w:r>
              <w:rPr>
                <w:u w:val="single"/>
              </w:rPr>
              <w:t>Section 2.G</w:t>
            </w:r>
            <w:r>
              <w:rPr/>
              <w:t xml:space="preserve"> below; provided that the aggregate number of Activity-Based Shares and Revenue Shares combined that shall be deliverable to you in respect of Year 8, after giving effect to the 80/20 Rule provided in </w:t>
            </w:r>
            <w:r>
              <w:rPr>
                <w:u w:val="single"/>
              </w:rPr>
              <w:t>Section 2.G</w:t>
            </w:r>
            <w:r>
              <w:rPr/>
              <w:t xml:space="preserve"> below, is 420,000 (which number shall be calculated inclusive of, and reduced by, any Activity-Based Shares and Revenue Shares that were delivered in 2033 in respect of Year 7).</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87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D.</w:t>
            </w:r>
          </w:p>
        </w:tc>
        <w:tc>
          <w:tcPr>
            <w:tcW w:w="9871" w:type="dxa"/>
            <w:tcBorders/>
            <w:vAlign w:val="center"/>
          </w:tcPr>
          <w:p>
            <w:pPr>
              <w:pStyle w:val="TableContents"/>
              <w:bidi w:val="0"/>
              <w:spacing w:before="0" w:after="283"/>
              <w:jc w:val="both"/>
              <w:rPr/>
            </w:pPr>
            <w:r>
              <w:rPr>
                <w:u w:val="single"/>
              </w:rPr>
              <w:t>Year 9</w:t>
            </w:r>
            <w:r>
              <w:rPr/>
              <w:t xml:space="preserve">. Any additional Revenue Shares that are earned and vested with respect to Year 9 pursuant to </w:t>
            </w:r>
            <w:r>
              <w:rPr>
                <w:u w:val="single"/>
              </w:rPr>
              <w:t>Section 1.C</w:t>
            </w:r>
            <w:r>
              <w:rPr/>
              <w:t xml:space="preserve"> above shall become deliverable, subject to the 80/20 Rule provided in </w:t>
            </w:r>
            <w:r>
              <w:rPr>
                <w:u w:val="single"/>
              </w:rPr>
              <w:t>Section 2.G</w:t>
            </w:r>
            <w:r>
              <w:rPr/>
              <w:t xml:space="preserve"> below, as determined by the Compensation Committee on the Certification Date for Year 9, and any additional Activity-Based Shares that (i) are earned and vested with respect to performance in Year 9 as determined by the Compensation Committee on the Certification Date for performance in Year 9 or (ii) are Carryover Activity-Based Shares from earlier performance years pursuant to </w:t>
            </w:r>
            <w:r>
              <w:rPr>
                <w:u w:val="single"/>
              </w:rPr>
              <w:t>Section 1.B</w:t>
            </w:r>
            <w:r>
              <w:rPr/>
              <w:t xml:space="preserve"> above, shall become deliverable, in each case, subject to the 80/20 Rule provided in </w:t>
            </w:r>
            <w:r>
              <w:rPr>
                <w:u w:val="single"/>
              </w:rPr>
              <w:t>Section 2.G</w:t>
            </w:r>
            <w:r>
              <w:rPr/>
              <w:t xml:space="preserve">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60"/>
        <w:gridCol w:w="9871"/>
      </w:tblGrid>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E.</w:t>
            </w:r>
          </w:p>
        </w:tc>
        <w:tc>
          <w:tcPr>
            <w:tcW w:w="9871" w:type="dxa"/>
            <w:tcBorders/>
            <w:vAlign w:val="center"/>
          </w:tcPr>
          <w:p>
            <w:pPr>
              <w:pStyle w:val="TableContents"/>
              <w:bidi w:val="0"/>
              <w:spacing w:before="0" w:after="283"/>
              <w:jc w:val="both"/>
              <w:rPr/>
            </w:pPr>
            <w:r>
              <w:rPr>
                <w:u w:val="single"/>
              </w:rPr>
              <w:t>Year 10</w:t>
            </w:r>
            <w:r>
              <w:rPr/>
              <w:t xml:space="preserve">. Any additional Revenue Shares that are earned and vested with respect to Year 10 pursuant to </w:t>
            </w:r>
            <w:r>
              <w:rPr>
                <w:u w:val="single"/>
              </w:rPr>
              <w:t>Section 1.C</w:t>
            </w:r>
            <w:r>
              <w:rPr/>
              <w:t xml:space="preserve"> above shall become deliverable as determined by Compensation Committee on the Certification Date for Year 10, and any additional Activity-Based Shares that (i) are earned and vested with respect to performance in Year 10 as determined by the Compensation Committee on the Certification Date in Year 10 or (ii) are Carryover Activity-Based Shares from earlier performance years pursuant to </w:t>
            </w:r>
            <w:r>
              <w:rPr>
                <w:u w:val="single"/>
              </w:rPr>
              <w:t>Section 1.B</w:t>
            </w:r>
            <w:r>
              <w:rPr/>
              <w:t xml:space="preserve"> above, shall become deliverable, in each case, subject to the rTSR True-Up provided in </w:t>
            </w:r>
            <w:r>
              <w:rPr>
                <w:u w:val="single"/>
              </w:rPr>
              <w:t>Section 1.D</w:t>
            </w:r>
            <w:r>
              <w:rPr/>
              <w:t xml:space="preserve"> above.</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87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F.</w:t>
            </w:r>
          </w:p>
        </w:tc>
        <w:tc>
          <w:tcPr>
            <w:tcW w:w="9871" w:type="dxa"/>
            <w:tcBorders/>
            <w:vAlign w:val="center"/>
          </w:tcPr>
          <w:p>
            <w:pPr>
              <w:pStyle w:val="TableContents"/>
              <w:bidi w:val="0"/>
              <w:spacing w:before="0" w:after="283"/>
              <w:jc w:val="both"/>
              <w:rPr/>
            </w:pPr>
            <w:r>
              <w:rPr>
                <w:u w:val="single"/>
              </w:rPr>
              <w:t>Taxes on Delivery</w:t>
            </w:r>
            <w:r>
              <w:rPr/>
              <w:t>. For clarity, any Activity-Based Shares and Revenue Shares that become deliverable hereunder shall be settled pursuant to the provisions set forth in Section 6 (“</w:t>
            </w:r>
            <w:r>
              <w:rPr>
                <w:i/>
              </w:rPr>
              <w:t>Delivery; Taxes</w:t>
            </w:r>
            <w:r>
              <w:rPr/>
              <w:t>”) of the Performance Restricted Stock Unit Agreement. You acknowledge and agree that the Company may withhold FICA employment taxes from compensation otherwise payable to you with respect to any amounts that are treated as nonqualified deferred compensation in the year in which the applicable vesting conditions have been satisfied.</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87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G.</w:t>
            </w:r>
          </w:p>
        </w:tc>
        <w:tc>
          <w:tcPr>
            <w:tcW w:w="9871" w:type="dxa"/>
            <w:tcBorders/>
            <w:vAlign w:val="center"/>
          </w:tcPr>
          <w:p>
            <w:pPr>
              <w:pStyle w:val="TableContents"/>
              <w:bidi w:val="0"/>
              <w:spacing w:before="0" w:after="283"/>
              <w:jc w:val="both"/>
              <w:rPr/>
            </w:pPr>
            <w:r>
              <w:rPr>
                <w:u w:val="single"/>
              </w:rPr>
              <w:t>80/20 Rule</w:t>
            </w:r>
            <w:r>
              <w:rPr/>
              <w:t xml:space="preserve">. Subject to </w:t>
            </w:r>
            <w:r>
              <w:rPr>
                <w:u w:val="single"/>
              </w:rPr>
              <w:t>Section 1.H</w:t>
            </w:r>
            <w:r>
              <w:rPr/>
              <w:t xml:space="preserve"> above, with respect to each of Years 1-9, only 80% of the number of PSUs that are earned and vested based on the provisions of </w:t>
            </w:r>
            <w:r>
              <w:rPr>
                <w:u w:val="single"/>
              </w:rPr>
              <w:t>Sections 1.B</w:t>
            </w:r>
            <w:r>
              <w:rPr/>
              <w:t xml:space="preserve"> and </w:t>
            </w:r>
            <w:r>
              <w:rPr>
                <w:u w:val="single"/>
              </w:rPr>
              <w:t>1.C</w:t>
            </w:r>
            <w:r>
              <w:rPr/>
              <w:t xml:space="preserve"> above (taking into account the limitations set forth in </w:t>
            </w:r>
            <w:r>
              <w:rPr>
                <w:u w:val="single"/>
              </w:rPr>
              <w:t>Sections 1.E</w:t>
            </w:r>
            <w:r>
              <w:rPr/>
              <w:t xml:space="preserve"> and </w:t>
            </w:r>
            <w:r>
              <w:rPr>
                <w:u w:val="single"/>
              </w:rPr>
              <w:t>1.F</w:t>
            </w:r>
            <w:r>
              <w:rPr/>
              <w:t xml:space="preserve">) shall be deliverable in the year following the applicable performance year, in accordance with the terms of this </w:t>
            </w:r>
            <w:r>
              <w:rPr>
                <w:u w:val="single"/>
              </w:rPr>
              <w:t>Section 2</w:t>
            </w:r>
            <w:r>
              <w:rPr/>
              <w:t xml:space="preserve">, and twenty percent (20%) of such PSUs shall be held back and shall not be delivered in accordance with the terms of this </w:t>
            </w:r>
            <w:r>
              <w:rPr>
                <w:u w:val="single"/>
              </w:rPr>
              <w:t>Section 2</w:t>
            </w:r>
            <w:r>
              <w:rPr/>
              <w:t xml:space="preserve"> until the Certification Date in respect of Year 10, when achievement of the rTSR modifier is certified by the Compensation Committee as set forth in </w:t>
            </w:r>
            <w:r>
              <w:rPr>
                <w:u w:val="single"/>
              </w:rPr>
              <w:t>Section 1.D</w:t>
            </w:r>
            <w:r>
              <w:rPr/>
              <w:t xml:space="preserve"> above (the “</w:t>
            </w:r>
            <w:r>
              <w:rPr>
                <w:b/>
              </w:rPr>
              <w:t>80/20 Rule</w:t>
            </w:r>
            <w:r>
              <w:rPr/>
              <w:t>”).</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87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871" w:type="dxa"/>
            <w:tcBorders/>
            <w:vAlign w:val="center"/>
          </w:tcPr>
          <w:p>
            <w:pPr>
              <w:pStyle w:val="TableContents"/>
              <w:bidi w:val="0"/>
              <w:spacing w:before="0" w:after="283"/>
              <w:jc w:val="both"/>
              <w:rPr/>
            </w:pPr>
            <w:r>
              <w:rPr>
                <w:rFonts w:ascii="Times New Roman;Times;Serif" w:hAnsi="Times New Roman;Times;Serif"/>
                <w:sz w:val="20"/>
                <w:u w:val="single"/>
              </w:rPr>
              <w:t>Holding Period</w:t>
            </w:r>
            <w:r>
              <w:rPr>
                <w:rFonts w:ascii="Times New Roman;Times;Serif" w:hAnsi="Times New Roman;Times;Serif"/>
                <w:sz w:val="20"/>
              </w:rPr>
              <w:t xml:space="preserve">. Subject to </w:t>
            </w:r>
            <w:r>
              <w:rPr>
                <w:rFonts w:ascii="Times New Roman;Times;Serif" w:hAnsi="Times New Roman;Times;Serif"/>
                <w:sz w:val="20"/>
                <w:u w:val="single"/>
              </w:rPr>
              <w:t>Section 1.H</w:t>
            </w:r>
            <w:r>
              <w:rPr>
                <w:rFonts w:ascii="Times New Roman;Times;Serif" w:hAnsi="Times New Roman;Times;Serif"/>
                <w:sz w:val="20"/>
              </w:rPr>
              <w:t xml:space="preserve"> above, any shares of Company common stock that are deliverable in respect of earned and vested PSUs and settled in accordance with the provisions of this </w:t>
            </w:r>
            <w:r>
              <w:rPr>
                <w:rFonts w:ascii="Times New Roman;Times;Serif" w:hAnsi="Times New Roman;Times;Serif"/>
                <w:sz w:val="20"/>
                <w:u w:val="single"/>
              </w:rPr>
              <w:t>Section 2</w:t>
            </w:r>
            <w:r>
              <w:rPr>
                <w:rFonts w:ascii="Times New Roman;Times;Serif" w:hAnsi="Times New Roman;Times;Serif"/>
                <w:sz w:val="20"/>
              </w:rPr>
              <w:t xml:space="preserve"> shall be subject to a mandatory holding period until the Certification Date for Year 10, during which time such shares of Company common stock shall be non-transferable and non-disposable by you (the </w:t>
            </w:r>
            <w:r>
              <w:rPr/>
              <w:t>“</w:t>
            </w:r>
            <w:r>
              <w:rPr>
                <w:b/>
              </w:rPr>
              <w:t>Holding Period</w:t>
            </w:r>
            <w:r>
              <w:rPr/>
              <w:t xml:space="preserve">”); </w:t>
            </w:r>
            <w:r>
              <w:rPr>
                <w:u w:val="single"/>
              </w:rPr>
              <w:t>provided</w:t>
            </w:r>
            <w:r>
              <w:rPr/>
              <w:t xml:space="preserve">, </w:t>
            </w:r>
            <w:r>
              <w:rPr>
                <w:u w:val="single"/>
              </w:rPr>
              <w:t>however</w:t>
            </w:r>
            <w:r>
              <w:rPr/>
              <w:t>, in the event that there is no Certification Date in respect of Year 10 for any reason the Holding Period shall apply until the date in 2036 on which the Compensation Committee, in the ordinary course, would have certified performance in respect of Year 10, but in no event later than February 15, 2036. During the Holding Period, you shall have all other rights and obligations attributable to the ownership of such shares of Company common stock. Notwithstanding the foregoing, during the Holding Period, a transfer by you for estate planning purposes to a trust or entity established by you for your benefit or the benefit of your Family Member(s) (as defined below) shall be permitted (such permitted transferee, a “</w:t>
            </w:r>
            <w:r>
              <w:rPr>
                <w:b/>
              </w:rPr>
              <w:t>Transferee</w:t>
            </w:r>
            <w:r>
              <w:rPr/>
              <w:t xml:space="preserve">”), </w:t>
            </w:r>
            <w:r>
              <w:rPr>
                <w:u w:val="single"/>
              </w:rPr>
              <w:t>provided</w:t>
            </w:r>
            <w:r>
              <w:rPr/>
              <w:t xml:space="preserve">, </w:t>
            </w:r>
            <w:r>
              <w:rPr>
                <w:u w:val="single"/>
              </w:rPr>
              <w:t>however</w:t>
            </w:r>
            <w:r>
              <w:rPr/>
              <w:t xml:space="preserve">, that in any and all cases the Transferee agrees in writing on a form prescribed by the Company to be bound by all provisions of this Notice (including the Holding Period), the Performance Restricted Stock Unit Agreement, and the Plan (which is incorporated herein by reference). For purposes of this </w:t>
            </w:r>
            <w:r>
              <w:rPr>
                <w:u w:val="single"/>
              </w:rPr>
              <w:t>Section 2.H</w:t>
            </w:r>
            <w:r>
              <w:rPr/>
              <w:t>, the term “</w:t>
            </w:r>
            <w:r>
              <w:rPr>
                <w:b/>
              </w:rPr>
              <w:t>Family Member</w:t>
            </w:r>
            <w:r>
              <w:rPr/>
              <w:t>” shall mean your child, stepchild, parent, stepparent, spouse, sibling, mother-in-law, father-in-law, son-in-law, daughter-in-law, brother-in-law, or sister-in-law. For the avoidance of doubt, any shares of Company common stock withheld pursuant to the provisions set forth in Section 6 (“</w:t>
            </w:r>
            <w:r>
              <w:rPr>
                <w:i/>
              </w:rPr>
              <w:t>Delivery; Taxes</w:t>
            </w:r>
            <w:r>
              <w:rPr/>
              <w:t xml:space="preserve">”) of the Performance Restricted Stock Unit Agreement shall not be deemed to be in contravention of the Holding Period. In addition, notwithstanding the foregoing, to the extent that the Holding Period applies to shares of Company common stock that have been delivered pursuant to this </w:t>
            </w:r>
            <w:r>
              <w:rPr>
                <w:u w:val="single"/>
              </w:rPr>
              <w:t>Section 2</w:t>
            </w:r>
            <w:r>
              <w:rPr/>
              <w:t>, the Holding Period shall end upon your death or Disability or upon a Change in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185"/>
        <w:gridCol w:w="234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345" w:type="dxa"/>
            <w:tcBorders/>
            <w:vAlign w:val="center"/>
          </w:tcPr>
          <w:p>
            <w:pPr>
              <w:pStyle w:val="TableContents"/>
              <w:bidi w:val="0"/>
              <w:spacing w:before="0" w:after="283"/>
              <w:jc w:val="both"/>
              <w:rPr/>
            </w:pPr>
            <w:r>
              <w:rPr>
                <w:u w:val="single"/>
              </w:rPr>
              <w:t>Treatment of Dividends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the Company declares a cash dividend between the Grant Date and the date that shares of Company common stock subject to this PSU Award (if any) are delivered to you pursuant to this Notice, you may earn Dividend Equivalents in cash hereunder in respect of the shares of Company common stock subject to this PSU Award as provided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In respect of any earned and vested PSUs hereunder, the Company shall pay you a single lump sum cash amount equal to the corresponding Dividend Equivalents earned, promptly and in any event within two regular payroll periods as maintained by the Company, following the date that shares of Company common stock subject to this PSU Award are delivered to you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above or on such earlier date in accordance with </w:t>
      </w:r>
      <w:r>
        <w:rPr>
          <w:rFonts w:ascii="Times New Roman;Times;Serif" w:hAnsi="Times New Roman;Times;Serif"/>
          <w:b w:val="false"/>
          <w:i w:val="false"/>
          <w:caps w:val="false"/>
          <w:smallCaps w:val="false"/>
          <w:sz w:val="20"/>
          <w:u w:val="single"/>
        </w:rPr>
        <w:t>Section 1.H</w:t>
      </w:r>
      <w:r>
        <w:rPr>
          <w:rFonts w:ascii="Times New Roman;Times;Serif" w:hAnsi="Times New Roman;Times;Serif"/>
          <w:b w:val="false"/>
          <w:i w:val="false"/>
          <w:caps w:val="false"/>
          <w:smallCaps w:val="false"/>
          <w:sz w:val="20"/>
        </w:rPr>
        <w:t xml:space="preserve"> above. For the avoidance of doubt, no interest shall accrue with respect to any Dividend Equivalent amount that may be earned hereunder. All Dividend Equivalents shall be forfeited to the extent the corresponding portion of the PSUs is forfeited and shall not be paid.</w:t>
      </w:r>
    </w:p>
    <w:p>
      <w:pPr>
        <w:pStyle w:val="TextBody"/>
        <w:bidi w:val="0"/>
        <w:spacing w:before="0" w:after="0"/>
        <w:ind w:left="0" w:right="0" w:hanging="0"/>
        <w:jc w:val="left"/>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215"/>
        <w:gridCol w:w="1145"/>
      </w:tblGrid>
      <w:tr>
        <w:trPr/>
        <w:tc>
          <w:tcPr>
            <w:tcW w:w="215" w:type="dxa"/>
            <w:tcBorders/>
            <w:vAlign w:val="center"/>
          </w:tcPr>
          <w:p>
            <w:pPr>
              <w:pStyle w:val="TableContents"/>
              <w:bidi w:val="0"/>
              <w:spacing w:before="0" w:after="283"/>
              <w:jc w:val="left"/>
              <w:rPr/>
            </w:pPr>
            <w:r>
              <w:rPr/>
              <w:t>4.</w:t>
            </w:r>
          </w:p>
        </w:tc>
        <w:tc>
          <w:tcPr>
            <w:tcW w:w="1145" w:type="dxa"/>
            <w:tcBorders/>
            <w:vAlign w:val="center"/>
          </w:tcPr>
          <w:p>
            <w:pPr>
              <w:pStyle w:val="TableContents"/>
              <w:bidi w:val="0"/>
              <w:spacing w:before="0" w:after="283"/>
              <w:jc w:val="both"/>
              <w:rPr/>
            </w:pPr>
            <w:r>
              <w:rPr>
                <w:u w:val="single"/>
              </w:rPr>
              <w:t>Definitions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Beginning Stock Price</w:t>
      </w:r>
      <w:r>
        <w:rPr>
          <w:rFonts w:ascii="Times New Roman;Times;Serif" w:hAnsi="Times New Roman;Times;Serif"/>
          <w:b w:val="false"/>
          <w:i w:val="false"/>
          <w:caps w:val="false"/>
          <w:smallCaps w:val="false"/>
          <w:sz w:val="20"/>
        </w:rPr>
        <w:t>” shall mean the price of $751.73 per share of Company common stock, reflecting the average Closing Price of a share of Company common stock for the thirty (30) trading days immediately preceding January 1, 2026, after adjusting for the Dividend Value,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shall have the meaning set forth in the Amended and Restated Employment Agreement, dated as of November 14, 2008, by and between you and the Company, as in effect from time to time (the “</w:t>
      </w:r>
      <w:r>
        <w:rPr>
          <w:rFonts w:ascii="Times New Roman;Times;Serif" w:hAnsi="Times New Roman;Times;Serif"/>
          <w:b/>
          <w:i w:val="false"/>
          <w:caps w:val="false"/>
          <w:smallCaps w:val="false"/>
          <w:sz w:val="20"/>
        </w:rPr>
        <w:t>Employment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Certification Date</w:t>
      </w:r>
      <w:r>
        <w:rPr>
          <w:rFonts w:ascii="Times New Roman;Times;Serif" w:hAnsi="Times New Roman;Times;Serif"/>
          <w:b w:val="false"/>
          <w:i w:val="false"/>
          <w:caps w:val="false"/>
          <w:smallCaps w:val="false"/>
          <w:sz w:val="20"/>
        </w:rPr>
        <w:t xml:space="preserve">” shall mean the date as of which the Compensation Committee certifies performance against the applicable vesting criteria set forth in </w:t>
      </w:r>
      <w:r>
        <w:rPr>
          <w:rFonts w:ascii="Times New Roman;Times;Serif" w:hAnsi="Times New Roman;Times;Serif"/>
          <w:b w:val="false"/>
          <w:i w:val="false"/>
          <w:caps w:val="false"/>
          <w:smallCaps w:val="false"/>
          <w:sz w:val="20"/>
          <w:u w:val="single"/>
        </w:rPr>
        <w:t>Section 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1.C</w:t>
      </w:r>
      <w:r>
        <w:rPr>
          <w:rFonts w:ascii="Times New Roman;Times;Serif" w:hAnsi="Times New Roman;Times;Serif"/>
          <w:b w:val="false"/>
          <w:i w:val="false"/>
          <w:caps w:val="false"/>
          <w:smallCaps w:val="false"/>
          <w:sz w:val="20"/>
        </w:rPr>
        <w:t xml:space="preserve">, as applicable, following the completion of each performance year during the Performance Period, which date shall occur (unless otherwise required by operation of </w:t>
      </w:r>
      <w:r>
        <w:rPr>
          <w:rFonts w:ascii="Times New Roman;Times;Serif" w:hAnsi="Times New Roman;Times;Serif"/>
          <w:b w:val="false"/>
          <w:i w:val="false"/>
          <w:caps w:val="false"/>
          <w:smallCaps w:val="false"/>
          <w:sz w:val="20"/>
          <w:u w:val="single"/>
        </w:rPr>
        <w:t>Section 1.H</w:t>
      </w:r>
      <w:r>
        <w:rPr>
          <w:rFonts w:ascii="Times New Roman;Times;Serif" w:hAnsi="Times New Roman;Times;Serif"/>
          <w:b w:val="false"/>
          <w:i w:val="false"/>
          <w:caps w:val="false"/>
          <w:smallCaps w:val="false"/>
          <w:sz w:val="20"/>
        </w:rPr>
        <w:t>) (i) in January of the calendar year following each completed performance year prior to Year 7 and (ii) in February of the calendar year following each of Year 7, Year 8, Year 9 and Year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Price</w:t>
      </w:r>
      <w:r>
        <w:rPr>
          <w:rFonts w:ascii="Times New Roman;Times;Serif" w:hAnsi="Times New Roman;Times;Serif"/>
          <w:b w:val="false"/>
          <w:i w:val="false"/>
          <w:caps w:val="false"/>
          <w:smallCaps w:val="false"/>
          <w:sz w:val="20"/>
        </w:rPr>
        <w:t>” of a share of Company common stock, as of a date of determination, shall mean (1) the closing sales price per share of Company common stock on the national securities exchange or national market system on which such stock is principally traded on such date or, if such date is not a trading day, on the last preceding date on which there was a sale of such stock on such exchange, or (2) if the shares of Company common stock are not then listed on a national securities exchange or national market system, or the value of such shares is not otherwise determinable, such value as determined by the Compensation Committee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Cumulative NBI Return</w:t>
      </w:r>
      <w:r>
        <w:rPr>
          <w:rFonts w:ascii="Times New Roman;Times;Serif" w:hAnsi="Times New Roman;Times;Serif"/>
          <w:b w:val="false"/>
          <w:i w:val="false"/>
          <w:caps w:val="false"/>
          <w:smallCaps w:val="false"/>
          <w:sz w:val="20"/>
        </w:rPr>
        <w:t>” shall mean the cumulative return of the Nasdaq Biotechnology Total Return Index (“</w:t>
      </w:r>
      <w:r>
        <w:rPr>
          <w:rFonts w:ascii="Times New Roman;Times;Serif" w:hAnsi="Times New Roman;Times;Serif"/>
          <w:b/>
          <w:i w:val="false"/>
          <w:caps w:val="false"/>
          <w:smallCaps w:val="false"/>
          <w:sz w:val="20"/>
        </w:rPr>
        <w:t>NBI</w:t>
      </w:r>
      <w:r>
        <w:rPr>
          <w:rFonts w:ascii="Times New Roman;Times;Serif" w:hAnsi="Times New Roman;Times;Serif"/>
          <w:b w:val="false"/>
          <w:i w:val="false"/>
          <w:caps w:val="false"/>
          <w:smallCaps w:val="false"/>
          <w:sz w:val="20"/>
        </w:rPr>
        <w:t>”) over the applicable measurement period, calculated with reference to (i) the average closing price of the NBI measured for the thirty (30) trading days immediately preceding January 1, 2026, and (ii) the average closing price of the NBI, measured for the thirty (30) trading days immediately preceding the applicable determination date,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shall mean a Permanent Disability, provided that such termination also qualifies as a termination of Service on account of a disability which meets the requirements of Section 1.409A-3(i)(4) of the Treasury Regulations, as determined by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Dividend Equivalent</w:t>
      </w:r>
      <w:r>
        <w:rPr>
          <w:rFonts w:ascii="Times New Roman;Times;Serif" w:hAnsi="Times New Roman;Times;Serif"/>
          <w:b w:val="false"/>
          <w:i w:val="false"/>
          <w:caps w:val="false"/>
          <w:smallCaps w:val="false"/>
          <w:sz w:val="20"/>
        </w:rPr>
        <w:t xml:space="preserve">” shall mean the cash equivalent amount of any dividends paid by the Company on a share of Company common stock between the Grant Date and the applicable settlement date (as provided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above) for the shares subject to this PSU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Dividend Value</w:t>
      </w:r>
      <w:r>
        <w:rPr>
          <w:rFonts w:ascii="Times New Roman;Times;Serif" w:hAnsi="Times New Roman;Times;Serif"/>
          <w:b w:val="false"/>
          <w:i w:val="false"/>
          <w:caps w:val="false"/>
          <w:smallCaps w:val="false"/>
          <w:sz w:val="20"/>
        </w:rPr>
        <w:t>” shall mean the value of any dividends paid on a share of Company common stock, or on a share of the common stock or common share of each constituent company of the NBI, as applicable, during the applicable measurement period, with the payment date deemed to have occurred on the ex-dividend date for such dividend and the amount of such dividend deemed reinvested in shares of Company common stock, or in shares of the common stock or common shares of each constituent company of the NBI, as applicable, as of the ex-dividend date (based on the Closing Price of such shares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Employment Agreement</w:t>
      </w:r>
      <w:r>
        <w:rPr>
          <w:rFonts w:ascii="Times New Roman;Times;Serif" w:hAnsi="Times New Roman;Times;Serif"/>
          <w:b w:val="false"/>
          <w:i w:val="false"/>
          <w:caps w:val="false"/>
          <w:smallCaps w:val="false"/>
          <w:sz w:val="20"/>
        </w:rPr>
        <w:t>” is defined within the definition of “Cause”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Ending Stock Price</w:t>
      </w:r>
      <w:r>
        <w:rPr>
          <w:rFonts w:ascii="Times New Roman;Times;Serif" w:hAnsi="Times New Roman;Times;Serif"/>
          <w:b w:val="false"/>
          <w:i w:val="false"/>
          <w:caps w:val="false"/>
          <w:smallCaps w:val="false"/>
          <w:sz w:val="20"/>
        </w:rPr>
        <w:t>” shall mean the average Closing Price of a share of Company common stock for the thirty (30) trading days immediately preceding the applicable determination date, after adjusting for the Dividend Value,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Good Reason</w:t>
      </w:r>
      <w:r>
        <w:rPr>
          <w:rFonts w:ascii="Times New Roman;Times;Serif" w:hAnsi="Times New Roman;Times;Serif"/>
          <w:b w:val="false"/>
          <w:i w:val="false"/>
          <w:caps w:val="false"/>
          <w:smallCaps w:val="false"/>
          <w:sz w:val="20"/>
        </w:rPr>
        <w:t xml:space="preserve">” shall have the meaning (i) set forth in the Employment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such definition shall be deemed, solely for purposes of this Notice, to include (1) solely upon or following a Change in Control, as grounds for Good Reason, that the employment or Service of George D. Yancopoulos, M.D., Ph.D. has been terminated without Cause or for Good Reason upon or following the date of such Change in Control or (2) the non-renewal by the Company of the Employment Agreement; or (ii) at a time when you are no longer employed by the Company because your employment has been terminated without Cause or you have resigned from your employment for a reason specified in clause (i) of this definition of “Good Reason” but your Service continues because you serve as a member of the Board of Directors or a consultant to the Company, shall mean your voluntary resignation or other termination of your service as a member of the Board of Directors or voluntary resignation or termination of your service as a consultant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NBI</w:t>
      </w:r>
      <w:r>
        <w:rPr>
          <w:rFonts w:ascii="Times New Roman;Times;Serif" w:hAnsi="Times New Roman;Times;Serif"/>
          <w:b w:val="false"/>
          <w:i w:val="false"/>
          <w:caps w:val="false"/>
          <w:smallCaps w:val="false"/>
          <w:sz w:val="20"/>
        </w:rPr>
        <w:t>” is defined within the definition of “Cumulative NBI Return”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Product</w:t>
      </w:r>
      <w:r>
        <w:rPr>
          <w:rFonts w:ascii="Times New Roman;Times;Serif" w:hAnsi="Times New Roman;Times;Serif"/>
          <w:b w:val="false"/>
          <w:i w:val="false"/>
          <w:caps w:val="false"/>
          <w:smallCaps w:val="false"/>
          <w:sz w:val="20"/>
        </w:rPr>
        <w:t>” shall mean any product of the Company resulting from (i) any BLA or NDA filed by the Company after January 1, 2026 and approved by the FDA during the period from January 1, 2026 through December 31, 2035 or (ii) a purchase (including by means of merger or acquisition activities) by the Company from a third party or parties completed during the Performance Period (a “</w:t>
      </w:r>
      <w:r>
        <w:rPr>
          <w:rFonts w:ascii="Times New Roman;Times;Serif" w:hAnsi="Times New Roman;Times;Serif"/>
          <w:b/>
          <w:i w:val="false"/>
          <w:caps w:val="false"/>
          <w:smallCaps w:val="false"/>
          <w:sz w:val="20"/>
        </w:rPr>
        <w:t>Purchase</w:t>
      </w:r>
      <w:r>
        <w:rPr>
          <w:rFonts w:ascii="Times New Roman;Times;Serif" w:hAnsi="Times New Roman;Times;Serif"/>
          <w:b w:val="false"/>
          <w:i w:val="false"/>
          <w:caps w:val="false"/>
          <w:smallCaps w:val="false"/>
          <w:sz w:val="20"/>
        </w:rPr>
        <w:t>”). For the avoidance of doubt, (i) Ordspono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(odronextamab) shall be considered a New Product if such product is approved by the FDA, (ii) Lynozyfic</w:t>
      </w:r>
      <w:r>
        <w:rPr>
          <w:rFonts w:ascii="Times New Roman;Times;Serif" w:hAnsi="Times New Roman;Times;Serif"/>
          <w:b w:val="false"/>
          <w:i w:val="false"/>
          <w:caps w:val="false"/>
          <w:smallCaps w:val="false"/>
          <w:position w:val="5"/>
          <w:sz w:val="13"/>
          <w:sz w:val="16"/>
        </w:rPr>
        <w:t>®</w:t>
      </w:r>
      <w:r>
        <w:rPr>
          <w:rFonts w:ascii="Times New Roman;Times;Serif" w:hAnsi="Times New Roman;Times;Serif"/>
          <w:b w:val="false"/>
          <w:i w:val="false"/>
          <w:caps w:val="false"/>
          <w:smallCaps w:val="false"/>
          <w:sz w:val="20"/>
        </w:rPr>
        <w:t xml:space="preserve"> (linvoseltamab) shall be considered a New Product if such product receives FDA approval for earlier lines of treatment in multiple myeloma as compared to the indication approved by the FDA as of the Grant Date or FDA approval of another indication, and (iii) Otarmeni™ (lunsotogene parvec) shall be considered a New Product if such product receives FDA approval in an indication that expands the eligible patient population for the product beyond the eligible patient population for the indication approved by the FDA as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Product Revenue</w:t>
      </w:r>
      <w:r>
        <w:rPr>
          <w:rFonts w:ascii="Times New Roman;Times;Serif" w:hAnsi="Times New Roman;Times;Serif"/>
          <w:b w:val="false"/>
          <w:i w:val="false"/>
          <w:caps w:val="false"/>
          <w:smallCaps w:val="false"/>
          <w:sz w:val="20"/>
        </w:rPr>
        <w:t>” shall mean the sum of (i) the aggregate annual global net product sales of each wholly owned New Product not resulting from a Purchase (and including, for the avoidance of doubt, net product sales of Ordspono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(odronextamab), Lynozyfic</w:t>
      </w:r>
      <w:r>
        <w:rPr>
          <w:rFonts w:ascii="Times New Roman;Times;Serif" w:hAnsi="Times New Roman;Times;Serif"/>
          <w:b w:val="false"/>
          <w:i w:val="false"/>
          <w:caps w:val="false"/>
          <w:smallCaps w:val="false"/>
          <w:position w:val="5"/>
          <w:sz w:val="13"/>
          <w:sz w:val="16"/>
        </w:rPr>
        <w:t>®</w:t>
      </w:r>
      <w:r>
        <w:rPr>
          <w:rFonts w:ascii="Times New Roman;Times;Serif" w:hAnsi="Times New Roman;Times;Serif"/>
          <w:b w:val="false"/>
          <w:i w:val="false"/>
          <w:caps w:val="false"/>
          <w:smallCaps w:val="false"/>
          <w:sz w:val="20"/>
        </w:rPr>
        <w:t xml:space="preserve"> (linvoseltamab) and/or Otarmeni</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(lunsotogene parvec) only to the extent they qualify as a New Product following the Grant Date based on the definition of “New Product” set forth above); (ii) the aggregate incremental annual global net product sales of each wholly owned New Product resulting from a Purchase over its pre-Purchase aggregate annual global net product sales for the most recently completed fiscal period prior to such Purchase; and (iii) for any New Product subject to a collaboration with one or more third parties, the product of (a) the aggregate annual global net product sales of each such collaborated New Product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(b) the Company’s share of profits for such collaborated New Product (provided that, for any such collaborated New Product resulting from a Purchase, clause (ii)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In determining New Product Revenue at any time or from time to time, the Compensation Committee may, in good faith, adjust New Product Revenue to take into account any material differences in wholesaler inventory levels compared to historical trends based on information provided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Performance Period</w:t>
      </w:r>
      <w:r>
        <w:rPr>
          <w:rFonts w:ascii="Times New Roman;Times;Serif" w:hAnsi="Times New Roman;Times;Serif"/>
          <w:b w:val="false"/>
          <w:i w:val="false"/>
          <w:caps w:val="false"/>
          <w:smallCaps w:val="false"/>
          <w:sz w:val="20"/>
        </w:rPr>
        <w:t>” shall mean the period from January 1, 2026 through December 31,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Performance Restricted Stock Unit Agreement</w:t>
      </w:r>
      <w:r>
        <w:rPr>
          <w:rFonts w:ascii="Times New Roman;Times;Serif" w:hAnsi="Times New Roman;Times;Serif"/>
          <w:b w:val="false"/>
          <w:i w:val="false"/>
          <w:caps w:val="false"/>
          <w:smallCaps w:val="false"/>
          <w:sz w:val="20"/>
        </w:rPr>
        <w:t>” shall mean the Regeneron Pharmaceuticals, Inc. Performance Restricted Stock Unit Agreement Pursuant to the Second Amended and Restated Regeneron Pharmaceuticals, Inc. 2014 Long-Term Incentive Plan, as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Permanent Disability</w:t>
      </w:r>
      <w:r>
        <w:rPr>
          <w:rFonts w:ascii="Times New Roman;Times;Serif" w:hAnsi="Times New Roman;Times;Serif"/>
          <w:b w:val="false"/>
          <w:i w:val="false"/>
          <w:caps w:val="false"/>
          <w:smallCaps w:val="false"/>
          <w:sz w:val="20"/>
        </w:rPr>
        <w:t>” means your inability, by reason of any physical or mental impairment, to substantially perform the significant aspects of your regular duties and which inability is reasonably contemplated to continue for at least one (1) year from its incurrence and at least ninety (90) days from the date of such vote. Any question as to the existence, extent, or potentiality of your Permanent Disability shall be determined by a qualified independent physician selected by you (or, if you are unable to make such selection, by an adult member of your immediate family), and reasonably acceptable to the Company. Such physician’s written determination of your Permanent Disability shall, upon delivery to the Company, be final and conclusive for purposes of this PSU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shall mean the Second Amended and Restated Regeneron Pharmaceuticals, Inc. 2014 Long-Term Incentive Plan,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w:t>
      </w:r>
      <w:r>
        <w:rPr>
          <w:rFonts w:ascii="Times New Roman;Times;Serif" w:hAnsi="Times New Roman;Times;Serif"/>
          <w:b w:val="false"/>
          <w:i w:val="false"/>
          <w:caps w:val="false"/>
          <w:smallCaps w:val="false"/>
          <w:sz w:val="20"/>
        </w:rPr>
        <w:t>” is defined within the definition of “New Product”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shall mean, collectively, Activity-Based Shares and Revenue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TSR</w:t>
      </w:r>
      <w:r>
        <w:rPr>
          <w:rFonts w:ascii="Times New Roman;Times;Serif" w:hAnsi="Times New Roman;Times;Serif"/>
          <w:b w:val="false"/>
          <w:i w:val="false"/>
          <w:caps w:val="false"/>
          <w:smallCaps w:val="false"/>
          <w:sz w:val="20"/>
        </w:rPr>
        <w:t>” shall mean the percent return on a share of Company common stock, determined using the following calculation:</w:t>
      </w:r>
    </w:p>
    <w:p>
      <w:pPr>
        <w:pStyle w:val="TextBody"/>
        <w:bidi w:val="0"/>
        <w:spacing w:before="0" w:after="0"/>
        <w:ind w:left="0" w:right="0" w:hanging="0"/>
        <w:jc w:val="left"/>
        <w:rPr>
          <w:caps w:val="false"/>
          <w:smallCaps w:val="false"/>
        </w:rPr>
      </w:pPr>
      <w:r>
        <w:rPr>
          <w:caps w:val="false"/>
          <w:smallCaps w:val="false"/>
        </w:rPr>
        <w:t> </w:t>
      </w:r>
    </w:p>
    <w:tbl>
      <w:tblPr>
        <w:tblW w:w="4120" w:type="dxa"/>
        <w:jc w:val="center"/>
        <w:tblInd w:w="0" w:type="dxa"/>
        <w:tblLayout w:type="fixed"/>
        <w:tblCellMar>
          <w:top w:w="0" w:type="dxa"/>
          <w:left w:w="0" w:type="dxa"/>
          <w:bottom w:w="0" w:type="dxa"/>
          <w:right w:w="0" w:type="dxa"/>
        </w:tblCellMar>
      </w:tblPr>
      <w:tblGrid>
        <w:gridCol w:w="590"/>
        <w:gridCol w:w="3530"/>
      </w:tblGrid>
      <w:tr>
        <w:trPr/>
        <w:tc>
          <w:tcPr>
            <w:tcW w:w="590" w:type="dxa"/>
            <w:vMerge w:val="restart"/>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TSR = </w:t>
            </w:r>
          </w:p>
        </w:tc>
        <w:tc>
          <w:tcPr>
            <w:tcW w:w="3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Ending Stock Price−Beginning Stock Price</w:t>
            </w:r>
          </w:p>
        </w:tc>
      </w:tr>
      <w:tr>
        <w:trPr/>
        <w:tc>
          <w:tcPr>
            <w:tcW w:w="590" w:type="dxa"/>
            <w:vMerge w:val="continue"/>
            <w:tcBorders/>
            <w:vAlign w:val="center"/>
          </w:tcPr>
          <w:p>
            <w:pPr>
              <w:pStyle w:val="Normal"/>
              <w:bidi w:val="0"/>
              <w:jc w:val="left"/>
              <w:rPr/>
            </w:pPr>
            <w:r>
              <w:rPr/>
            </w:r>
          </w:p>
        </w:tc>
        <w:tc>
          <w:tcPr>
            <w:tcW w:w="35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Beginning Stock Price</w:t>
            </w:r>
          </w:p>
        </w:tc>
      </w:tr>
    </w:tbl>
    <w:p>
      <w:pPr>
        <w:pStyle w:val="TextBody"/>
        <w:bidi w:val="0"/>
        <w:spacing w:before="0" w:after="0"/>
        <w:ind w:left="0" w:right="0" w:hanging="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215"/>
        <w:gridCol w:w="1385"/>
      </w:tblGrid>
      <w:tr>
        <w:trPr/>
        <w:tc>
          <w:tcPr>
            <w:tcW w:w="215" w:type="dxa"/>
            <w:tcBorders/>
            <w:vAlign w:val="center"/>
          </w:tcPr>
          <w:p>
            <w:pPr>
              <w:pStyle w:val="TableContents"/>
              <w:bidi w:val="0"/>
              <w:spacing w:before="0" w:after="283"/>
              <w:jc w:val="left"/>
              <w:rPr/>
            </w:pPr>
            <w:r>
              <w:rPr/>
              <w:t>5.</w:t>
            </w:r>
          </w:p>
        </w:tc>
        <w:tc>
          <w:tcPr>
            <w:tcW w:w="1385" w:type="dxa"/>
            <w:tcBorders/>
            <w:vAlign w:val="center"/>
          </w:tcPr>
          <w:p>
            <w:pPr>
              <w:pStyle w:val="TableContents"/>
              <w:bidi w:val="0"/>
              <w:spacing w:before="0" w:after="283"/>
              <w:jc w:val="both"/>
              <w:rPr/>
            </w:pPr>
            <w:r>
              <w:rPr>
                <w:u w:val="single"/>
              </w:rPr>
              <w:t>Special Rules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and notwithstanding any other provision of this Notice, the Performance Restricted Stock Unit Agreement, or the Plan to the contrary, no termination of Service shall be deemed to take place unless you cease both to be employed by and to provide service to the Company (including any successor to the Company) and/or its Subsidiaries as a consultant or as a member of the Board. In addition, to the extent necessary to comply with the requirements of Section 409A of the Code, no termination shall be deemed to occur unless the termination constitutes a “separation from service” for purposes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and the Company agree that these Performance Restricted Stock Units are granted under and governed by the terms and conditions of the Plan and the enclosed Performance Restricted Stock Unit Agreement, both of which are attached and made a part of this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409A Rules</w:t>
      </w:r>
      <w:r>
        <w:rPr>
          <w:rFonts w:ascii="Times New Roman;Times;Serif" w:hAnsi="Times New Roman;Times;Serif"/>
          <w:b w:val="false"/>
          <w:i w:val="false"/>
          <w:caps w:val="false"/>
          <w:smallCaps w:val="false"/>
          <w:sz w:val="20"/>
        </w:rPr>
        <w:t>. The Performance Restricted Stock Units are intended to comply with the requirements of Section 409A of the Code and shall be administered and interpreted in a manner consistent with this intent. If the Company determines that this award is subject to Section 409A of the Code and that it does not comply with or is inconsistent with the applicable requirements, the Company may, in its sole discretion, and without your consent, amend this award to cause it to comply with Section 409A of the Code. Notwithstanding any provision of this Notice to the contrary, in the event that any settlement of the Performance Restricted Stock Units occurs as a result of your termination of employment and the Company determines that you are a “specified employee” (within the meaning of Section 409A of the Code) subject to Section 409A of the Code at the time of your termination of employment, and provided further that such settlement does not otherwise qualify for an applicable exemption from Section 409A of the Code, then no such settlement shall occur until the date that is the earlier to occur of: (i) your death, or (ii) six (6) months and one (1) day following your termination of employment. To the extent necessary to comply with Section 409A of the Code, the terms “retirement,” “terminate,” “termination,” “termination of employment,” “termination of Service,” and variations thereof as used in this Award Agreement are intended to mean a “separation from service” as such term is defined under Section 409A of the Code. Although this award is intended to comply with the requirements of Section 409A of the Code, the Company does not represent or warrant that this award or the payments provided hereunder will comply with Section 409A of the Code or any other provisions of federal, state, local, or non-U.S. law. The Company shall not be liable to you (or any other individual claiming a benefit through you) for any tax, interest, or penalties you may owe as a result of compensation paid under this award, and the Company shall have no obligation to indemnify or otherwise protect you from the obligation to pay any taxes pursuant to Section 409A of the Code. Each payment of shares of Company common stock hereunder shall be considered a separate payment for purposes of Code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REGENERON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RESTRICTED STOCK UNIT AGREEMENT</w:t>
        <w:br/>
        <w:t>PURSUANT TO</w:t>
        <w:br/>
        <w:t>THE SECOND AMENDED AND RESTATED REGENERON PHARMACEUTICALS, INC.</w:t>
        <w:br/>
        <w:t>2014 LONG-TERM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made as of the date on the </w:t>
      </w:r>
      <w:r>
        <w:rPr>
          <w:rFonts w:ascii="Times New Roman;Times;Serif" w:hAnsi="Times New Roman;Times;Serif"/>
          <w:b w:val="false"/>
          <w:i/>
          <w:caps w:val="false"/>
          <w:smallCaps w:val="false"/>
          <w:sz w:val="20"/>
        </w:rPr>
        <w:t xml:space="preserve">Notice of Grant of Performance Restricted Stock Units, </w:t>
      </w:r>
      <w:r>
        <w:rPr>
          <w:rFonts w:ascii="Times New Roman;Times;Serif" w:hAnsi="Times New Roman;Times;Serif"/>
          <w:b w:val="false"/>
          <w:i w:val="false"/>
          <w:caps w:val="false"/>
          <w:smallCaps w:val="false"/>
          <w:sz w:val="20"/>
        </w:rPr>
        <w:t>by and between Regeneron Pharmaceuticals, Inc., a New York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together with its Subsidiaries, the “</w:t>
      </w:r>
      <w:r>
        <w:rPr>
          <w:rFonts w:ascii="Times New Roman;Times;Serif" w:hAnsi="Times New Roman;Times;Serif"/>
          <w:b w:val="false"/>
          <w:i w:val="false"/>
          <w:caps w:val="false"/>
          <w:smallCaps w:val="false"/>
          <w:sz w:val="20"/>
          <w:u w:val="single"/>
        </w:rPr>
        <w:t>Employer</w:t>
      </w:r>
      <w:r>
        <w:rPr>
          <w:rFonts w:ascii="Times New Roman;Times;Serif" w:hAnsi="Times New Roman;Times;Serif"/>
          <w:b w:val="false"/>
          <w:i w:val="false"/>
          <w:caps w:val="false"/>
          <w:smallCaps w:val="false"/>
          <w:sz w:val="20"/>
        </w:rPr>
        <w:t xml:space="preserve">”), and the employee named on the </w:t>
      </w:r>
      <w:r>
        <w:rPr>
          <w:rFonts w:ascii="Times New Roman;Times;Serif" w:hAnsi="Times New Roman;Times;Serif"/>
          <w:b w:val="false"/>
          <w:i/>
          <w:caps w:val="false"/>
          <w:smallCaps w:val="false"/>
          <w:sz w:val="20"/>
        </w:rPr>
        <w:t xml:space="preserve">Notice of Grant of Performance Restricted Stock Units </w:t>
      </w:r>
      <w:r>
        <w:rPr>
          <w:rFonts w:ascii="Times New Roman;Times;Serif" w:hAnsi="Times New Roman;Times;Serif"/>
          <w:b w:val="false"/>
          <w:i w:val="false"/>
          <w:caps w:val="false"/>
          <w:smallCaps w:val="false"/>
          <w:sz w:val="20"/>
        </w:rPr>
        <w:t>(the “</w:t>
      </w:r>
      <w:r>
        <w:rPr>
          <w:rFonts w:ascii="Times New Roman;Times;Serif" w:hAnsi="Times New Roman;Times;Serif"/>
          <w:b w:val="false"/>
          <w:i w:val="false"/>
          <w:caps w:val="false"/>
          <w:smallCaps w:val="false"/>
          <w:sz w:val="20"/>
          <w:u w:val="single"/>
        </w:rPr>
        <w:t>Recipient</w:t>
      </w:r>
      <w:r>
        <w:rPr>
          <w:rFonts w:ascii="Times New Roman;Times;Serif" w:hAnsi="Times New Roman;Times;Serif"/>
          <w:b w:val="false"/>
          <w:i w:val="false"/>
          <w:caps w:val="false"/>
          <w:smallCaps w:val="false"/>
          <w:sz w:val="20"/>
        </w:rPr>
        <w:t xml:space="preserve">”). Any capitalized term used but not defined in this Agreement shall have the meaning given to such term in the </w:t>
      </w:r>
      <w:r>
        <w:rPr>
          <w:rFonts w:ascii="Times New Roman;Times;Serif" w:hAnsi="Times New Roman;Times;Serif"/>
          <w:b w:val="false"/>
          <w:i/>
          <w:caps w:val="false"/>
          <w:smallCaps w:val="false"/>
          <w:sz w:val="20"/>
        </w:rPr>
        <w:t>Notice of Grant of Performance Restricted Stock Units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Recipient is an employee of the Company (or a Subsidiary of the Company) and the Company desires to afford the Recipient the opportunity to acquire or enlarge the Recipient’s stock ownership in the Company so that the Recipient may have a direct proprietary interest in the Company’s success;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Committee administering the Second Amended and Restated Regeneron Pharmaceuticals, Inc. 2014 Long-Term Incentive Plan (as amended from time to time,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xml:space="preserve">”), upon the approval of the non-employee members of the Board of Directors, has granted (as of the effective date of grant specified in the </w:t>
      </w:r>
      <w:r>
        <w:rPr>
          <w:rFonts w:ascii="Times New Roman;Times;Serif" w:hAnsi="Times New Roman;Times;Serif"/>
          <w:b w:val="false"/>
          <w:i/>
          <w:caps w:val="false"/>
          <w:smallCaps w:val="false"/>
          <w:sz w:val="20"/>
        </w:rPr>
        <w:t>Notice of Grant of Performance Restricted Stock Units</w:t>
      </w:r>
      <w:r>
        <w:rPr>
          <w:rFonts w:ascii="Times New Roman;Times;Serif" w:hAnsi="Times New Roman;Times;Serif"/>
          <w:b w:val="false"/>
          <w:i w:val="false"/>
          <w:caps w:val="false"/>
          <w:smallCaps w:val="false"/>
          <w:sz w:val="20"/>
        </w:rPr>
        <w:t xml:space="preserve">) to the Recipient a Performance Restricted Stock Unit (as defined below) with respect to the number of shares of Company Stock as set forth in the </w:t>
      </w:r>
      <w:r>
        <w:rPr>
          <w:rFonts w:ascii="Times New Roman;Times;Serif" w:hAnsi="Times New Roman;Times;Serif"/>
          <w:b w:val="false"/>
          <w:i/>
          <w:caps w:val="false"/>
          <w:smallCaps w:val="false"/>
          <w:sz w:val="20"/>
        </w:rPr>
        <w:t>Notice of Grant of Performance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covenants and agreements herein contained,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Grant of Award</w:t>
      </w:r>
      <w:r>
        <w:rPr>
          <w:rFonts w:ascii="Times New Roman;Times;Serif" w:hAnsi="Times New Roman;Times;Serif"/>
          <w:b w:val="false"/>
          <w:i w:val="false"/>
          <w:caps w:val="false"/>
          <w:smallCaps w:val="false"/>
          <w:sz w:val="20"/>
        </w:rPr>
        <w:t>. Pursuant to Section 9 of the Plan, the Company grants to the Recipient, subject to the terms and conditions of the Plan and subject further to the terms and conditions set forth herein, a restricted stock unit (referred to in the Plan as “Phantom Stock”) (each such unit, a “</w:t>
      </w:r>
      <w:r>
        <w:rPr>
          <w:rFonts w:ascii="Times New Roman;Times;Serif" w:hAnsi="Times New Roman;Times;Serif"/>
          <w:b w:val="false"/>
          <w:i w:val="false"/>
          <w:caps w:val="false"/>
          <w:smallCaps w:val="false"/>
          <w:sz w:val="20"/>
          <w:u w:val="single"/>
        </w:rPr>
        <w:t>Performance Restricted Stock Unit</w:t>
      </w:r>
      <w:r>
        <w:rPr>
          <w:rFonts w:ascii="Times New Roman;Times;Serif" w:hAnsi="Times New Roman;Times;Serif"/>
          <w:b w:val="false"/>
          <w:i w:val="false"/>
          <w:caps w:val="false"/>
          <w:smallCaps w:val="false"/>
          <w:sz w:val="20"/>
        </w:rPr>
        <w:t xml:space="preserve">”) with respect to the number of shares of Company Stock as determined in accordance with the </w:t>
      </w:r>
      <w:r>
        <w:rPr>
          <w:rFonts w:ascii="Times New Roman;Times;Serif" w:hAnsi="Times New Roman;Times;Serif"/>
          <w:b w:val="false"/>
          <w:i/>
          <w:caps w:val="false"/>
          <w:smallCaps w:val="false"/>
          <w:sz w:val="20"/>
        </w:rPr>
        <w:t xml:space="preserve">Notice of Grant of Performance Restricted Stock Units. </w:t>
      </w:r>
      <w:r>
        <w:rPr>
          <w:rFonts w:ascii="Times New Roman;Times;Serif" w:hAnsi="Times New Roman;Times;Serif"/>
          <w:b w:val="false"/>
          <w:i w:val="false"/>
          <w:caps w:val="false"/>
          <w:smallCaps w:val="false"/>
          <w:sz w:val="20"/>
        </w:rPr>
        <w:t>The Recipient’s record of Company Stock ownership shall be recorded in the books of the Company only when and to the extent the Performance Restricted Stock Units vest and the shares of Company Stock are issued. At the Recipient’s request, vested shares that have been issued may be evidenced by stock certificates or book-entry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Vesting; Forfeiture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Performance Restricted Stock Units granted to the Recipient shall vest or be forfeited as provided in the </w:t>
      </w:r>
      <w:r>
        <w:rPr>
          <w:rFonts w:ascii="Times New Roman;Times;Serif" w:hAnsi="Times New Roman;Times;Serif"/>
          <w:b w:val="false"/>
          <w:i/>
          <w:caps w:val="false"/>
          <w:smallCaps w:val="false"/>
          <w:sz w:val="20"/>
        </w:rPr>
        <w:t xml:space="preserve">Notice of Grant of Performance Restricted Stock Units. </w:t>
      </w:r>
      <w:r>
        <w:rPr>
          <w:rFonts w:ascii="Times New Roman;Times;Serif" w:hAnsi="Times New Roman;Times;Serif"/>
          <w:b w:val="false"/>
          <w:i w:val="false"/>
          <w:caps w:val="false"/>
          <w:smallCaps w:val="false"/>
          <w:sz w:val="20"/>
        </w:rPr>
        <w:t xml:space="preserve">The provisions of this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are subject to the provisions set forth in the </w:t>
      </w:r>
      <w:r>
        <w:rPr>
          <w:rFonts w:ascii="Times New Roman;Times;Serif" w:hAnsi="Times New Roman;Times;Serif"/>
          <w:b w:val="false"/>
          <w:i/>
          <w:caps w:val="false"/>
          <w:smallCaps w:val="false"/>
          <w:sz w:val="20"/>
        </w:rPr>
        <w:t xml:space="preserve">Notice of Grant of Performance Restricted Stock Units </w:t>
      </w:r>
      <w:r>
        <w:rPr>
          <w:rFonts w:ascii="Times New Roman;Times;Serif" w:hAnsi="Times New Roman;Times;Serif"/>
          <w:b w:val="false"/>
          <w:i w:val="false"/>
          <w:caps w:val="false"/>
          <w:smallCaps w:val="false"/>
          <w:sz w:val="20"/>
        </w:rPr>
        <w:t xml:space="preserve">and the Recipient acknowledges and agrees that except as specifically set forth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of this Agreement with respect to potential excise tax, the provisions of this Agreement and the </w:t>
      </w:r>
      <w:r>
        <w:rPr>
          <w:rFonts w:ascii="Times New Roman;Times;Serif" w:hAnsi="Times New Roman;Times;Serif"/>
          <w:b w:val="false"/>
          <w:i/>
          <w:caps w:val="false"/>
          <w:smallCaps w:val="false"/>
          <w:sz w:val="20"/>
        </w:rPr>
        <w:t xml:space="preserve">Notice of Grant of Performance Restricted Stock Units </w:t>
      </w:r>
      <w:r>
        <w:rPr>
          <w:rFonts w:ascii="Times New Roman;Times;Serif" w:hAnsi="Times New Roman;Times;Serif"/>
          <w:b w:val="false"/>
          <w:i w:val="false"/>
          <w:caps w:val="false"/>
          <w:smallCaps w:val="false"/>
          <w:sz w:val="20"/>
        </w:rPr>
        <w:t xml:space="preserve">supersede any contradictory provisions contained in any employment agreement, consulting agreement, change in control agreement or plan, or similar agreement or plan in effect between the Employer and the Recipient (or otherwise applicable to the Recipient) on the date of grant specified in the </w:t>
      </w:r>
      <w:r>
        <w:rPr>
          <w:rFonts w:ascii="Times New Roman;Times;Serif" w:hAnsi="Times New Roman;Times;Serif"/>
          <w:b w:val="false"/>
          <w:i/>
          <w:caps w:val="false"/>
          <w:smallCaps w:val="false"/>
          <w:sz w:val="20"/>
        </w:rPr>
        <w:t xml:space="preserve">Notice of Grant of Performance Restricted Stock Units </w:t>
      </w:r>
      <w:r>
        <w:rPr>
          <w:rFonts w:ascii="Times New Roman;Times;Serif" w:hAnsi="Times New Roman;Times;Serif"/>
          <w:b w:val="false"/>
          <w:i w:val="false"/>
          <w:caps w:val="false"/>
          <w:smallCaps w:val="false"/>
          <w:sz w:val="20"/>
        </w:rPr>
        <w:t xml:space="preserve">(without limiting the generality of the foregoing, the Recipient acknowledges and agrees that the provisions of this Agreement and the </w:t>
      </w:r>
      <w:r>
        <w:rPr>
          <w:rFonts w:ascii="Times New Roman;Times;Serif" w:hAnsi="Times New Roman;Times;Serif"/>
          <w:b w:val="false"/>
          <w:i/>
          <w:caps w:val="false"/>
          <w:smallCaps w:val="false"/>
          <w:sz w:val="20"/>
        </w:rPr>
        <w:t xml:space="preserve">Notice of Grant of Performance Restricted Stock Units </w:t>
      </w:r>
      <w:r>
        <w:rPr>
          <w:rFonts w:ascii="Times New Roman;Times;Serif" w:hAnsi="Times New Roman;Times;Serif"/>
          <w:b w:val="false"/>
          <w:i w:val="false"/>
          <w:caps w:val="false"/>
          <w:smallCaps w:val="false"/>
          <w:sz w:val="20"/>
        </w:rPr>
        <w:t>supersede Section 8(f) of the Amended and Restated Employment Agreement, dated as of November 14, 2008, by and between the Recipient and the Company,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otherwise provided in any employment agreement, consulting agreement, change in control agreement or plan, or similar agreement or plan in effect between the Employer and the Recipient (or otherwise applicable to the Recipient) on the date of grant specified in the </w:t>
      </w:r>
      <w:r>
        <w:rPr>
          <w:rFonts w:ascii="Times New Roman;Times;Serif" w:hAnsi="Times New Roman;Times;Serif"/>
          <w:b w:val="false"/>
          <w:i/>
          <w:caps w:val="false"/>
          <w:smallCaps w:val="false"/>
          <w:sz w:val="20"/>
        </w:rPr>
        <w:t xml:space="preserve">Notice of Grant of Performance Restricted Stock Units, </w:t>
      </w:r>
      <w:r>
        <w:rPr>
          <w:rFonts w:ascii="Times New Roman;Times;Serif" w:hAnsi="Times New Roman;Times;Serif"/>
          <w:b w:val="false"/>
          <w:i w:val="false"/>
          <w:caps w:val="false"/>
          <w:smallCaps w:val="false"/>
          <w:sz w:val="20"/>
        </w:rPr>
        <w:t xml:space="preserve">if the application of the Change in Control provisions set forth in the </w:t>
      </w:r>
      <w:r>
        <w:rPr>
          <w:rFonts w:ascii="Times New Roman;Times;Serif" w:hAnsi="Times New Roman;Times;Serif"/>
          <w:b w:val="false"/>
          <w:i/>
          <w:caps w:val="false"/>
          <w:smallCaps w:val="false"/>
          <w:sz w:val="20"/>
        </w:rPr>
        <w:t xml:space="preserve">Notice of Grant of Performance Restricted Stock Units, </w:t>
      </w:r>
      <w:r>
        <w:rPr>
          <w:rFonts w:ascii="Times New Roman;Times;Serif" w:hAnsi="Times New Roman;Times;Serif"/>
          <w:b w:val="false"/>
          <w:i w:val="false"/>
          <w:caps w:val="false"/>
          <w:smallCaps w:val="false"/>
          <w:sz w:val="20"/>
        </w:rPr>
        <w:t>similar provisions in other stock option or equity compensation grants, and other payments and benefits payable to the Recipient upon termination of employment with the Employer or otherwise (collectively, the “</w:t>
      </w:r>
      <w:r>
        <w:rPr>
          <w:rFonts w:ascii="Times New Roman;Times;Serif" w:hAnsi="Times New Roman;Times;Serif"/>
          <w:b w:val="false"/>
          <w:i w:val="false"/>
          <w:caps w:val="false"/>
          <w:smallCaps w:val="false"/>
          <w:sz w:val="20"/>
          <w:u w:val="single"/>
        </w:rPr>
        <w:t>Company Payments</w:t>
      </w:r>
      <w:r>
        <w:rPr>
          <w:rFonts w:ascii="Times New Roman;Times;Serif" w:hAnsi="Times New Roman;Times;Serif"/>
          <w:b w:val="false"/>
          <w:i w:val="false"/>
          <w:caps w:val="false"/>
          <w:smallCaps w:val="false"/>
          <w:sz w:val="20"/>
        </w:rPr>
        <w:t>”) would result in the Recipient being subject to excise tax (the “</w:t>
      </w:r>
      <w:r>
        <w:rPr>
          <w:rFonts w:ascii="Times New Roman;Times;Serif" w:hAnsi="Times New Roman;Times;Serif"/>
          <w:b w:val="false"/>
          <w:i w:val="false"/>
          <w:caps w:val="false"/>
          <w:smallCaps w:val="false"/>
          <w:sz w:val="20"/>
          <w:u w:val="single"/>
        </w:rPr>
        <w:t>Excise Tax</w:t>
      </w:r>
      <w:r>
        <w:rPr>
          <w:rFonts w:ascii="Times New Roman;Times;Serif" w:hAnsi="Times New Roman;Times;Serif"/>
          <w:b w:val="false"/>
          <w:i w:val="false"/>
          <w:caps w:val="false"/>
          <w:smallCaps w:val="false"/>
          <w:sz w:val="20"/>
        </w:rPr>
        <w:t>”) payable under Section 4999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xml:space="preserve">”), the amount of any Company Payments shall be automatically reduced to an amount one dollar less than an amount that would subject the Recipient to the Excise Tax;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reduction shall occur only if the reduced Company Payments received by the Recipient (after taking into account further reductions for applicable federal, state and local income, social security and other taxes) would be greater than the unreduced Company Payments to be received by the Recipient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Recipient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Recipient; (4) any benefits valued as parachute payments; and (5) acceleration of vesting of any equity not covered by (1)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Recipient Acknowledgement</w:t>
      </w:r>
      <w:r>
        <w:rPr>
          <w:rFonts w:ascii="Times New Roman;Times;Serif" w:hAnsi="Times New Roman;Times;Serif"/>
          <w:b w:val="false"/>
          <w:i w:val="false"/>
          <w:caps w:val="false"/>
          <w:smallCaps w:val="false"/>
          <w:sz w:val="20"/>
        </w:rPr>
        <w:t>. The Recipient hereby acknowledges and agrees that it is the mutual intent of the Recipient and the Company that the award of Performance Restricted Stock Units made pursuant to this Agreement shall be in lieu of any equity, equity-based or other long-term incentive award under the Plan or any successor thereto or replacement thereof, in each case for the period commencing on the date hereof and ending on December 31, 2035 and that the Recipient shall have no entitlement for any such awards during that period, whether or not any portion of the award of Performance Restricted Stock Units made pursuant to this Agreement is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Securities Laws Requirements</w:t>
      </w:r>
      <w:r>
        <w:rPr>
          <w:rFonts w:ascii="Times New Roman;Times;Serif" w:hAnsi="Times New Roman;Times;Serif"/>
          <w:b w:val="false"/>
          <w:i w:val="false"/>
          <w:caps w:val="false"/>
          <w:smallCaps w:val="false"/>
          <w:sz w:val="20"/>
        </w:rPr>
        <w:t>. The Company shall not be obligated to transfer any shares of Company Stock to the Recipient, if such transfer, in the opinion of counsel for the Company, would violate the Securities Act (or any other federal or state statutes having similar requirements as may be in effect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Invalid Transfers</w:t>
      </w:r>
      <w:r>
        <w:rPr>
          <w:rFonts w:ascii="Times New Roman;Times;Serif" w:hAnsi="Times New Roman;Times;Serif"/>
          <w:b w:val="false"/>
          <w:i w:val="false"/>
          <w:caps w:val="false"/>
          <w:smallCaps w:val="false"/>
          <w:sz w:val="20"/>
        </w:rPr>
        <w:t>. No purported sale, assignment, mortgage, hypothecation, transfer, pledge, encumbrance, gift, transfer in trust (voting or other) or other disposition of, or creation of a security interest in or lien on, any of the Performance Restricted Stock Units by any holder thereof in violation of the provisions of this Agreement or the Certificate of Incorporation or the By-Laws of the Company shall be valid. The foregoing restrictions are in addition to and not in lieu of any other remedies, legal or equitable, available to enforce said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Delivery; Taxes</w:t>
      </w:r>
      <w:r>
        <w:rPr>
          <w:rFonts w:ascii="Times New Roman;Times;Serif" w:hAnsi="Times New Roman;Times;Serif"/>
          <w:b w:val="false"/>
          <w:i w:val="false"/>
          <w:caps w:val="false"/>
          <w:smallCaps w:val="false"/>
          <w:sz w:val="20"/>
        </w:rPr>
        <w:t>. At the time the Recipient recognizes taxable income in respect of the Performance Restricted Stock Units, an amount equal to the federal, state and/or local taxes the Company determines it is required to withhold under applicable tax laws with respect to the Performance Restricted Stock Units shall be due from the Recipient to the Company. Subject to the rules set forth below with respect to any shares of Company Stock that become deliverable in 2035 or 2036, the Company shall facilitate the Recipient’s withholding by allowing the obligation to be satisfied by surrendering to the Company a portion of the shares of Company Stock otherwise deliverable with respect to the Performance Restricted Stock Units the vesting of which gives rise to the withholding obligation (but only to the extent of the minimum withholding required by law) and delivering the remaining net shares of Company Stock to the Recipient (“</w:t>
      </w:r>
      <w:r>
        <w:rPr>
          <w:rFonts w:ascii="Times New Roman;Times;Serif" w:hAnsi="Times New Roman;Times;Serif"/>
          <w:b w:val="false"/>
          <w:i w:val="false"/>
          <w:caps w:val="false"/>
          <w:smallCaps w:val="false"/>
          <w:sz w:val="20"/>
          <w:u w:val="single"/>
        </w:rPr>
        <w:t>Net Settlement</w:t>
      </w:r>
      <w:r>
        <w:rPr>
          <w:rFonts w:ascii="Times New Roman;Times;Serif" w:hAnsi="Times New Roman;Times;Serif"/>
          <w:b w:val="false"/>
          <w:i w:val="false"/>
          <w:caps w:val="false"/>
          <w:smallCaps w:val="false"/>
          <w:sz w:val="20"/>
        </w:rPr>
        <w:t>”). Shares of Company Stock so surrendered by the Recipient in Net Settlement shall be credited against any such withholding obligation at the Fair Market Value of such shares on the date of such vesting (and the amount equal to the Fair Market Value of such shares shall be remitted by the Company to the appropriate tax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shares of Company Stock that become deliverable in 2035 or 2036, the Company shall facilitate the Recipient’s withholding by allowing the obligation to be satisfied by Net Settlement, provided that if the Committee determines in good faith no later than six (6) months prior to the scheduled vesting date that Net Settlement is not commercially reasonable with respect to all or a portion of the shares of Company Stock (such as in light of the Company’s capital needs, financial condition, or financial covenants or other legal or contractual constraints applicable to the Company), the Company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Provide the Recipient with prompt notice of the Committee’s determination;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 such shares over a reasonable period following certification of performance to facilitate the Recipient’s broker-assisted sales to the market to help the Recipient satisfy tax withholding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selecting the length of the delivery period, the Company shall take into account the availability of the so-called rule of administrative convenience for FICA tax withholding, Recipient’s desire for prompt delivery of the earned shares of Company Stock, the Company’s goal to ensure orderly trading in the shares of Company Stock, and the requirements of Section 409A of the Code. In addition, any sales of Company Stock effected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be structured in compliance with applicable securities laws (such as Rule 144 of the Securities Act and Section 16 of the Exchange Act) and, as much as practicable, pursuant to one or more plans designed to satisfy the requirements of Rule 10b5-1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Recipient understands that the Recipient (and not the Company) shall be responsible for any tax liability that may arise as a result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Rights as a Shareholder</w:t>
      </w:r>
      <w:r>
        <w:rPr>
          <w:rFonts w:ascii="Times New Roman;Times;Serif" w:hAnsi="Times New Roman;Times;Serif"/>
          <w:b w:val="false"/>
          <w:i w:val="false"/>
          <w:caps w:val="false"/>
          <w:smallCaps w:val="false"/>
          <w:sz w:val="20"/>
        </w:rPr>
        <w:t>. The Recipient will not have the rights of a shareholder with respect to shares of Company Stock subject to the Performance Restricted Stock Units until the vesting of the Performance Restricted Stock Units and the delivery of shares of Company Stock with respect to such vesting and the expiration of any applicable deferral period. The Company may, in its sole discretion, determine to deliver any documents related to participation in the Plan or deliverable to the Recipient in the Recipient’s capacity as a shareholder of the Company by electronic means. The Recipient hereby consents to receive any and all such documents by electronic delivery to the extent the Company utilizes such delivery method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Compliance with Law and Regulations</w:t>
      </w:r>
      <w:r>
        <w:rPr>
          <w:rFonts w:ascii="Times New Roman;Times;Serif" w:hAnsi="Times New Roman;Times;Serif"/>
          <w:b w:val="false"/>
          <w:i w:val="false"/>
          <w:caps w:val="false"/>
          <w:smallCaps w:val="false"/>
          <w:sz w:val="20"/>
        </w:rPr>
        <w:t>. This Agreement, the award hereunder and any obligation of the Company hereunder shall be subject to all applicable federal, state and local laws, rules and regulations and to such approvals by any government or regulatory agency as may be required. Except to the extent preempted by any federal law, this Agreement shall be construed and administered in accordance with the laws of the State of New York without reference to its principles of conflicts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Recipient Bound by Plan</w:t>
      </w:r>
      <w:r>
        <w:rPr>
          <w:rFonts w:ascii="Times New Roman;Times;Serif" w:hAnsi="Times New Roman;Times;Serif"/>
          <w:b w:val="false"/>
          <w:i w:val="false"/>
          <w:caps w:val="false"/>
          <w:smallCaps w:val="false"/>
          <w:sz w:val="20"/>
        </w:rPr>
        <w:t>. The Recipient acknowledges receipt of a copy of this Agreement and the Plan and agrees to be bound by all the terms and provisions thereof, which are incorporated herein by reference. To the extent that this Agreement is silent with respect to the terms of the Plan, the provisions of the Plan shall govern and this Agreement shall be deemed to be modified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xml:space="preserve">. Any notice or communication given hereunder shall be in writing and shall be deemed given when delivered in person, or by United States mail, at the following addresses: (i) if to the Company, to: Regeneron Pharmaceuticals, Inc., 777 Old Saw Mill River Road, Tarrytown, NY 10591, Attention: Secretary, and (ii) if to the Recipient, to: the Recipient at Regeneron Pharmaceuticals, Inc., 777 Old Saw Mill River Road, Tarrytown, NY 10591, or, if the Recipient has terminated service with the Company, to the last address for the Recipient indicated in the records of the Company, or such other address as the relevant party shall specify at any time hereafter in accordance with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No Obligation to Continue Employment</w:t>
      </w:r>
      <w:r>
        <w:rPr>
          <w:rFonts w:ascii="Times New Roman;Times;Serif" w:hAnsi="Times New Roman;Times;Serif"/>
          <w:b w:val="false"/>
          <w:i w:val="false"/>
          <w:caps w:val="false"/>
          <w:smallCaps w:val="false"/>
          <w:sz w:val="20"/>
        </w:rPr>
        <w:t>. This Agreement does not guarantee that the Employer will employ or continue the services of the Recipient for any specified time period, nor does it modify in any respect the Recipient’s employment 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Recoupment</w:t>
      </w:r>
      <w:r>
        <w:rPr>
          <w:rFonts w:ascii="Times New Roman;Times;Serif" w:hAnsi="Times New Roman;Times;Serif"/>
          <w:b w:val="false"/>
          <w:i w:val="false"/>
          <w:caps w:val="false"/>
          <w:smallCaps w:val="false"/>
          <w:sz w:val="20"/>
        </w:rPr>
        <w:t>. By entering into this Agreement and accepting the award hereunder, the Recipient agrees to be bound by the terms of the Company’s Policy Regarding Recoupment or Reduction of Incentive Compensation for Compliance Violations and the Company’s Clawback Policy, both as in effect from time to time (or any successor policy or policies thereto adopted by the Company) (collectively, the “</w:t>
      </w:r>
      <w:r>
        <w:rPr>
          <w:rFonts w:ascii="Times New Roman;Times;Serif" w:hAnsi="Times New Roman;Times;Serif"/>
          <w:b w:val="false"/>
          <w:i w:val="false"/>
          <w:caps w:val="false"/>
          <w:smallCaps w:val="false"/>
          <w:sz w:val="20"/>
          <w:u w:val="single"/>
        </w:rPr>
        <w:t>Recoupment Policy</w:t>
      </w:r>
      <w:r>
        <w:rPr>
          <w:rFonts w:ascii="Times New Roman;Times;Serif" w:hAnsi="Times New Roman;Times;Serif"/>
          <w:b w:val="false"/>
          <w:i w:val="false"/>
          <w:caps w:val="false"/>
          <w:smallCaps w:val="false"/>
          <w:sz w:val="20"/>
        </w:rPr>
        <w:t>”), and further acknowledges and agrees that the Recoupment Policy shall apply to the Performance Restricted Stock Units and the shares of Company Stock deliverable pursuant to the Performance Restricted Stock Units granted hereunder (including following the expiration of the Holding Period and otherwise after all restrictions on such shares have 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Recipient acknowledges and agrees to be bound by the terms and conditions of this Agreement and the </w:t>
      </w:r>
      <w:r>
        <w:rPr>
          <w:rFonts w:ascii="Times New Roman;Times;Serif" w:hAnsi="Times New Roman;Times;Serif"/>
          <w:b w:val="false"/>
          <w:i/>
          <w:caps w:val="false"/>
          <w:smallCaps w:val="false"/>
          <w:sz w:val="20"/>
        </w:rPr>
        <w:t>Notice of Grant of Performance Restricted Stock Units</w:t>
      </w:r>
      <w:r>
        <w:rPr>
          <w:rFonts w:ascii="Times New Roman;Times;Serif" w:hAnsi="Times New Roman;Times;Serif"/>
          <w:b w:val="false"/>
          <w:i w:val="false"/>
          <w:caps w:val="false"/>
          <w:smallCaps w:val="false"/>
          <w:sz w:val="20"/>
        </w:rPr>
        <w:t>, which is incorporated herein by reference, as of the Grant Date.</w:t>
      </w:r>
    </w:p>
    <w:p>
      <w:pPr>
        <w:pStyle w:val="TextBody"/>
        <w:bidi w:val="0"/>
        <w:spacing w:before="0" w:after="0"/>
        <w:ind w:left="0" w:right="0" w:hanging="0"/>
        <w:jc w:val="left"/>
        <w:rPr>
          <w:caps w:val="false"/>
          <w:smallCaps w:val="false"/>
        </w:rPr>
      </w:pPr>
      <w:r>
        <w:rPr>
          <w:caps w:val="false"/>
          <w:smallCaps w:val="false"/>
        </w:rPr>
        <w:t> </w:t>
      </w:r>
    </w:p>
    <w:tbl>
      <w:tblPr>
        <w:tblW w:w="3665" w:type="dxa"/>
        <w:jc w:val="left"/>
        <w:tblInd w:w="0" w:type="dxa"/>
        <w:tblLayout w:type="fixed"/>
        <w:tblCellMar>
          <w:top w:w="0" w:type="dxa"/>
          <w:left w:w="0" w:type="dxa"/>
          <w:bottom w:w="0" w:type="dxa"/>
          <w:right w:w="0" w:type="dxa"/>
        </w:tblCellMar>
      </w:tblPr>
      <w:tblGrid>
        <w:gridCol w:w="3590"/>
        <w:gridCol w:w="75"/>
      </w:tblGrid>
      <w:tr>
        <w:trPr/>
        <w:tc>
          <w:tcPr>
            <w:tcW w:w="35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ACKNOWLEDGED AND AGREED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Leonard S. Schleifer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Leonard S. Schleifer, M.D., Ph.D.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 and 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Performance Restricted Stock Unit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6" w:name="tm2626090d1_ex10-2.htm"/>
      <w:bookmarkStart w:id="27" w:name="kstm2626090d1_ex102"/>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left"/>
        <w:rPr>
          <w:caps w:val="false"/>
          <w:smallCaps w:val="false"/>
        </w:rPr>
      </w:pPr>
      <w:r>
        <w:rPr>
          <w:caps w:val="false"/>
          <w:smallCaps w:val="false"/>
        </w:rPr>
        <w:t> </w:t>
      </w:r>
    </w:p>
    <w:tbl>
      <w:tblPr>
        <w:tblW w:w="3860" w:type="dxa"/>
        <w:jc w:val="left"/>
        <w:tblInd w:w="0" w:type="dxa"/>
        <w:tblLayout w:type="fixed"/>
        <w:tblCellMar>
          <w:top w:w="0" w:type="dxa"/>
          <w:left w:w="0" w:type="dxa"/>
          <w:bottom w:w="0" w:type="dxa"/>
          <w:right w:w="0" w:type="dxa"/>
        </w:tblCellMar>
      </w:tblPr>
      <w:tblGrid>
        <w:gridCol w:w="75"/>
        <w:gridCol w:w="37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REGENERON PHARMACEUTICALS,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ID:</w:t>
            </w:r>
            <w:r>
              <w:rPr>
                <w:rFonts w:ascii="Times New Roman;Times;Serif" w:hAnsi="Times New Roman;Times;Serif"/>
                <w:b w:val="false"/>
                <w:i w:val="false"/>
                <w:caps w:val="false"/>
                <w:smallCaps w:val="false"/>
                <w:sz w:val="20"/>
              </w:rPr>
              <w:t xml:space="preserve"> 13-3444607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 Old Saw Mill River Road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Tarrytown, NY 10591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 of Grant of Performance Restricted Stock Units and Performance Restricted Stock Unit Agreement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Notice”)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00" w:type="dxa"/>
          <w:right w:w="0" w:type="dxa"/>
        </w:tblCellMar>
      </w:tblPr>
      <w:tblGrid>
        <w:gridCol w:w="2726"/>
        <w:gridCol w:w="7403"/>
        <w:gridCol w:w="76"/>
      </w:tblGrid>
      <w:tr>
        <w:trPr/>
        <w:tc>
          <w:tcPr>
            <w:tcW w:w="2726" w:type="dxa"/>
            <w:tcBorders>
              <w:top w:val="single" w:sz="8" w:space="0" w:color="000000"/>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D. Yancopoulos, M.D., Ph.D.</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w:t>
            </w:r>
          </w:p>
        </w:tc>
        <w:tc>
          <w:tcPr>
            <w:tcW w:w="7403" w:type="dxa"/>
            <w:tcBorders>
              <w:top w:val="single" w:sz="8" w:space="0" w:color="000000"/>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RSU Number: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Plan: </w:t>
            </w:r>
            <w:r>
              <w:rPr>
                <w:rFonts w:ascii="Times New Roman;Times;Serif" w:hAnsi="Times New Roman;Times;Serif"/>
                <w:b w:val="false"/>
                <w:i w:val="false"/>
                <w:caps w:val="false"/>
                <w:smallCaps w:val="false"/>
                <w:sz w:val="20"/>
              </w:rPr>
              <w:t>Second Amended and Restated Regeneron Pharmaceuticals, Inc. 2014 Long-Term Incentive Plan</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w:t>
            </w:r>
          </w:p>
        </w:tc>
        <w:tc>
          <w:tcPr>
            <w:tcW w:w="76" w:type="dxa"/>
            <w:tcBorders>
              <w:top w:val="single" w:sz="8" w:space="0" w:color="000000"/>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24, 2026 (the “</w:t>
      </w:r>
      <w:r>
        <w:rPr>
          <w:rFonts w:ascii="Times New Roman;Times;Serif" w:hAnsi="Times New Roman;Times;Serif"/>
          <w:b/>
          <w:i w:val="false"/>
          <w:caps w:val="false"/>
          <w:smallCaps w:val="false"/>
          <w:sz w:val="20"/>
        </w:rPr>
        <w:t>Grant Date</w:t>
      </w:r>
      <w:r>
        <w:rPr>
          <w:rFonts w:ascii="Times New Roman;Times;Serif" w:hAnsi="Times New Roman;Times;Serif"/>
          <w:b w:val="false"/>
          <w:i w:val="false"/>
          <w:caps w:val="false"/>
          <w:smallCaps w:val="false"/>
          <w:sz w:val="20"/>
        </w:rPr>
        <w:t>”), you have been granted a one-time, front-loaded award of Performance Restricted Stock Units (collectively, the “</w:t>
      </w:r>
      <w:r>
        <w:rPr>
          <w:rFonts w:ascii="Times New Roman;Times;Serif" w:hAnsi="Times New Roman;Times;Serif"/>
          <w:b/>
          <w:i w:val="false"/>
          <w:caps w:val="false"/>
          <w:smallCaps w:val="false"/>
          <w:sz w:val="20"/>
        </w:rPr>
        <w:t>PSUs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Performance Restricted Stock Units</w:t>
      </w:r>
      <w:r>
        <w:rPr>
          <w:rFonts w:ascii="Times New Roman;Times;Serif" w:hAnsi="Times New Roman;Times;Serif"/>
          <w:b w:val="false"/>
          <w:i w:val="false"/>
          <w:caps w:val="false"/>
          <w:smallCaps w:val="false"/>
          <w:sz w:val="20"/>
        </w:rPr>
        <w:t>”) representing the opportunity to earn up to 2,900,000 shares of REGENERON PHARMACEUTICALS,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common stock. Please refer to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below for definitions of certain terms used in this Notice. Any capitalized term used but not defined in this Notice shall have the meaning given to such term in the Plan.</w:t>
      </w:r>
    </w:p>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215"/>
        <w:gridCol w:w="3335"/>
      </w:tblGrid>
      <w:tr>
        <w:trPr/>
        <w:tc>
          <w:tcPr>
            <w:tcW w:w="215" w:type="dxa"/>
            <w:tcBorders/>
            <w:vAlign w:val="center"/>
          </w:tcPr>
          <w:p>
            <w:pPr>
              <w:pStyle w:val="TableContents"/>
              <w:bidi w:val="0"/>
              <w:spacing w:before="0" w:after="283"/>
              <w:jc w:val="left"/>
              <w:rPr/>
            </w:pPr>
            <w:r>
              <w:rPr/>
              <w:t>1.</w:t>
            </w:r>
          </w:p>
        </w:tc>
        <w:tc>
          <w:tcPr>
            <w:tcW w:w="3335" w:type="dxa"/>
            <w:tcBorders/>
            <w:vAlign w:val="center"/>
          </w:tcPr>
          <w:p>
            <w:pPr>
              <w:pStyle w:val="TableContents"/>
              <w:bidi w:val="0"/>
              <w:spacing w:before="0" w:after="283"/>
              <w:jc w:val="both"/>
              <w:rPr/>
            </w:pPr>
            <w:r>
              <w:rPr>
                <w:u w:val="single"/>
              </w:rPr>
              <w:t>Vesting Conditions; Certain Rules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3"/>
        <w:gridCol w:w="2369"/>
        <w:gridCol w:w="7153"/>
      </w:tblGrid>
      <w:tr>
        <w:trPr/>
        <w:tc>
          <w:tcPr>
            <w:tcW w:w="683" w:type="dxa"/>
            <w:tcBorders/>
            <w:vAlign w:val="center"/>
          </w:tcPr>
          <w:p>
            <w:pPr>
              <w:pStyle w:val="TableContents"/>
              <w:bidi w:val="0"/>
              <w:spacing w:before="0" w:after="283"/>
              <w:jc w:val="left"/>
              <w:rPr/>
            </w:pPr>
            <w:r>
              <w:rPr/>
              <w:t> </w:t>
            </w:r>
          </w:p>
        </w:tc>
        <w:tc>
          <w:tcPr>
            <w:tcW w:w="2369" w:type="dxa"/>
            <w:tcBorders/>
            <w:vAlign w:val="center"/>
          </w:tcPr>
          <w:p>
            <w:pPr>
              <w:pStyle w:val="TableContents"/>
              <w:bidi w:val="0"/>
              <w:spacing w:before="0" w:after="283"/>
              <w:jc w:val="left"/>
              <w:rPr/>
            </w:pPr>
            <w:r>
              <w:rPr/>
              <w:t>A.</w:t>
            </w:r>
          </w:p>
        </w:tc>
        <w:tc>
          <w:tcPr>
            <w:tcW w:w="7153" w:type="dxa"/>
            <w:tcBorders/>
            <w:vAlign w:val="center"/>
          </w:tcPr>
          <w:p>
            <w:pPr>
              <w:pStyle w:val="TableContents"/>
              <w:bidi w:val="0"/>
              <w:spacing w:before="0" w:after="283"/>
              <w:jc w:val="both"/>
              <w:rPr>
                <w:u w:val="single"/>
              </w:rPr>
            </w:pPr>
            <w:r>
              <w:rPr>
                <w:u w:val="single"/>
              </w:rPr>
              <w:t>General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PSUs granted under this Notice shall be subject to the rules set forth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and shall be earned and eligible to vest on the basis of the performance criteria in respect of (i) the filing of new molecular entity Biologics License Applications (“</w:t>
      </w:r>
      <w:r>
        <w:rPr>
          <w:rFonts w:ascii="Times New Roman;Times;Serif" w:hAnsi="Times New Roman;Times;Serif"/>
          <w:b/>
          <w:i w:val="false"/>
          <w:caps w:val="false"/>
          <w:smallCaps w:val="false"/>
          <w:sz w:val="20"/>
        </w:rPr>
        <w:t>BLAs</w:t>
      </w:r>
      <w:r>
        <w:rPr>
          <w:rFonts w:ascii="Times New Roman;Times;Serif" w:hAnsi="Times New Roman;Times;Serif"/>
          <w:b w:val="false"/>
          <w:i w:val="false"/>
          <w:caps w:val="false"/>
          <w:smallCaps w:val="false"/>
          <w:sz w:val="20"/>
        </w:rPr>
        <w:t>”) and New Drug Applications (“</w:t>
      </w:r>
      <w:r>
        <w:rPr>
          <w:rFonts w:ascii="Times New Roman;Times;Serif" w:hAnsi="Times New Roman;Times;Serif"/>
          <w:b/>
          <w:i w:val="false"/>
          <w:caps w:val="false"/>
          <w:smallCaps w:val="false"/>
          <w:sz w:val="20"/>
        </w:rPr>
        <w:t>NDAs</w:t>
      </w:r>
      <w:r>
        <w:rPr>
          <w:rFonts w:ascii="Times New Roman;Times;Serif" w:hAnsi="Times New Roman;Times;Serif"/>
          <w:b w:val="false"/>
          <w:i w:val="false"/>
          <w:caps w:val="false"/>
          <w:smallCaps w:val="false"/>
          <w:sz w:val="20"/>
        </w:rPr>
        <w:t>”) with the U.S. Food and Drug Administration (the “</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xml:space="preserve">”) (such PSUs earned and eligible to vest pursuant to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Filing Shares</w:t>
      </w:r>
      <w:r>
        <w:rPr>
          <w:rFonts w:ascii="Times New Roman;Times;Serif" w:hAnsi="Times New Roman;Times;Serif"/>
          <w:b w:val="false"/>
          <w:i w:val="false"/>
          <w:caps w:val="false"/>
          <w:smallCaps w:val="false"/>
          <w:sz w:val="20"/>
        </w:rPr>
        <w:t>”), (ii) the approval by the FDA of BLAs and NDAs and supplemental BLAs (“</w:t>
      </w:r>
      <w:r>
        <w:rPr>
          <w:rFonts w:ascii="Times New Roman;Times;Serif" w:hAnsi="Times New Roman;Times;Serif"/>
          <w:b/>
          <w:i w:val="false"/>
          <w:caps w:val="false"/>
          <w:smallCaps w:val="false"/>
          <w:sz w:val="20"/>
        </w:rPr>
        <w:t>sBLAs</w:t>
      </w:r>
      <w:r>
        <w:rPr>
          <w:rFonts w:ascii="Times New Roman;Times;Serif" w:hAnsi="Times New Roman;Times;Serif"/>
          <w:b w:val="false"/>
          <w:i w:val="false"/>
          <w:caps w:val="false"/>
          <w:smallCaps w:val="false"/>
          <w:sz w:val="20"/>
        </w:rPr>
        <w:t>”) and supplemental NDAs (“</w:t>
      </w:r>
      <w:r>
        <w:rPr>
          <w:rFonts w:ascii="Times New Roman;Times;Serif" w:hAnsi="Times New Roman;Times;Serif"/>
          <w:b/>
          <w:i w:val="false"/>
          <w:caps w:val="false"/>
          <w:smallCaps w:val="false"/>
          <w:sz w:val="20"/>
        </w:rPr>
        <w:t>sNDAs</w:t>
      </w:r>
      <w:r>
        <w:rPr>
          <w:rFonts w:ascii="Times New Roman;Times;Serif" w:hAnsi="Times New Roman;Times;Serif"/>
          <w:b w:val="false"/>
          <w:i w:val="false"/>
          <w:caps w:val="false"/>
          <w:smallCaps w:val="false"/>
          <w:sz w:val="20"/>
        </w:rPr>
        <w:t xml:space="preserve">”) (such PSUs earned and eligible to vest pursuant to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Approval Shares</w:t>
      </w:r>
      <w:r>
        <w:rPr>
          <w:rFonts w:ascii="Times New Roman;Times;Serif" w:hAnsi="Times New Roman;Times;Serif"/>
          <w:b w:val="false"/>
          <w:i w:val="false"/>
          <w:caps w:val="false"/>
          <w:smallCaps w:val="false"/>
          <w:sz w:val="20"/>
        </w:rPr>
        <w:t>,” and, together with the Filing Shares, collectively, the “</w:t>
      </w:r>
      <w:r>
        <w:rPr>
          <w:rFonts w:ascii="Times New Roman;Times;Serif" w:hAnsi="Times New Roman;Times;Serif"/>
          <w:b/>
          <w:i w:val="false"/>
          <w:caps w:val="false"/>
          <w:smallCaps w:val="false"/>
          <w:sz w:val="20"/>
        </w:rPr>
        <w:t>Activity-Based Shares</w:t>
      </w:r>
      <w:r>
        <w:rPr>
          <w:rFonts w:ascii="Times New Roman;Times;Serif" w:hAnsi="Times New Roman;Times;Serif"/>
          <w:b w:val="false"/>
          <w:i w:val="false"/>
          <w:caps w:val="false"/>
          <w:smallCaps w:val="false"/>
          <w:sz w:val="20"/>
        </w:rPr>
        <w:t xml:space="preserve">”), and (iii) the achievement of annual global New Product Revenue hurdles (as defined below) (such PSUs earned and eligible to vest pursuant to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Revenue Shares</w:t>
      </w:r>
      <w:r>
        <w:rPr>
          <w:rFonts w:ascii="Times New Roman;Times;Serif" w:hAnsi="Times New Roman;Times;Serif"/>
          <w:b w:val="false"/>
          <w:i w:val="false"/>
          <w:caps w:val="false"/>
          <w:smallCaps w:val="false"/>
          <w:sz w:val="20"/>
        </w:rPr>
        <w:t>”), in each case determined as provided below and subject to the application of the relative TSR (“</w:t>
      </w:r>
      <w:r>
        <w:rPr>
          <w:rFonts w:ascii="Times New Roman;Times;Serif" w:hAnsi="Times New Roman;Times;Serif"/>
          <w:b/>
          <w:i w:val="false"/>
          <w:caps w:val="false"/>
          <w:smallCaps w:val="false"/>
          <w:sz w:val="20"/>
        </w:rPr>
        <w:t>rTSR</w:t>
      </w:r>
      <w:r>
        <w:rPr>
          <w:rFonts w:ascii="Times New Roman;Times;Serif" w:hAnsi="Times New Roman;Times;Serif"/>
          <w:b w:val="false"/>
          <w:i w:val="false"/>
          <w:caps w:val="false"/>
          <w:smallCaps w:val="false"/>
          <w:sz w:val="20"/>
        </w:rPr>
        <w:t xml:space="preserve">”) modifier (as set forth in </w:t>
      </w:r>
      <w:r>
        <w:rPr>
          <w:rFonts w:ascii="Times New Roman;Times;Serif" w:hAnsi="Times New Roman;Times;Serif"/>
          <w:b w:val="false"/>
          <w:i w:val="false"/>
          <w:caps w:val="false"/>
          <w:smallCaps w:val="false"/>
          <w:sz w:val="20"/>
          <w:u w:val="single"/>
        </w:rPr>
        <w:t>Section 1.D</w:t>
      </w:r>
      <w:r>
        <w:rPr>
          <w:rFonts w:ascii="Times New Roman;Times;Serif" w:hAnsi="Times New Roman;Times;Serif"/>
          <w:b w:val="false"/>
          <w:i w:val="false"/>
          <w:caps w:val="false"/>
          <w:smallCaps w:val="false"/>
          <w:sz w:val="20"/>
        </w:rPr>
        <w:t xml:space="preserve"> below), the Activity-Based Share Limitations (as set forth in </w:t>
      </w:r>
      <w:r>
        <w:rPr>
          <w:rFonts w:ascii="Times New Roman;Times;Serif" w:hAnsi="Times New Roman;Times;Serif"/>
          <w:b w:val="false"/>
          <w:i w:val="false"/>
          <w:caps w:val="false"/>
          <w:smallCaps w:val="false"/>
          <w:sz w:val="20"/>
          <w:u w:val="single"/>
        </w:rPr>
        <w:t>Section 1.E</w:t>
      </w:r>
      <w:r>
        <w:rPr>
          <w:rFonts w:ascii="Times New Roman;Times;Serif" w:hAnsi="Times New Roman;Times;Serif"/>
          <w:b w:val="false"/>
          <w:i w:val="false"/>
          <w:caps w:val="false"/>
          <w:smallCaps w:val="false"/>
          <w:sz w:val="20"/>
        </w:rPr>
        <w:t xml:space="preserve"> below), and the other limitations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the PSUs shall be earned and eligible to vest (i) with respect to the Activity-Based Shares, following December 31 of each year during the Performance Period (as defined below) (collectively, “</w:t>
      </w:r>
      <w:r>
        <w:rPr>
          <w:rFonts w:ascii="Times New Roman;Times;Serif" w:hAnsi="Times New Roman;Times;Serif"/>
          <w:b/>
          <w:i w:val="false"/>
          <w:caps w:val="false"/>
          <w:smallCaps w:val="false"/>
          <w:sz w:val="20"/>
        </w:rPr>
        <w:t>Years 1-10</w:t>
      </w:r>
      <w:r>
        <w:rPr>
          <w:rFonts w:ascii="Times New Roman;Times;Serif" w:hAnsi="Times New Roman;Times;Serif"/>
          <w:b w:val="false"/>
          <w:i w:val="false"/>
          <w:caps w:val="false"/>
          <w:smallCaps w:val="false"/>
          <w:sz w:val="20"/>
        </w:rPr>
        <w:t>”) based on the filings with and approvals by the FDA that occurred during the applicable year, subject to and upon annual certification by the Compensation Committee (the “</w:t>
      </w:r>
      <w:r>
        <w:rPr>
          <w:rFonts w:ascii="Times New Roman;Times;Serif" w:hAnsi="Times New Roman;Times;Serif"/>
          <w:b/>
          <w:i w:val="false"/>
          <w:caps w:val="false"/>
          <w:smallCaps w:val="false"/>
          <w:sz w:val="20"/>
        </w:rPr>
        <w:t>Compensation Committee</w:t>
      </w:r>
      <w:r>
        <w:rPr>
          <w:rFonts w:ascii="Times New Roman;Times;Serif" w:hAnsi="Times New Roman;Times;Serif"/>
          <w:b w:val="false"/>
          <w:i w:val="false"/>
          <w:caps w:val="false"/>
          <w:smallCaps w:val="false"/>
          <w:sz w:val="20"/>
        </w:rPr>
        <w:t>”) of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of such filings and approvals in January of the following calendar year (as further provided in </w:t>
      </w:r>
      <w:r>
        <w:rPr>
          <w:rFonts w:ascii="Times New Roman;Times;Serif" w:hAnsi="Times New Roman;Times;Serif"/>
          <w:b w:val="false"/>
          <w:i w:val="false"/>
          <w:caps w:val="false"/>
          <w:smallCaps w:val="false"/>
          <w:sz w:val="20"/>
          <w:u w:val="single"/>
        </w:rPr>
        <w:t>Section 1.B</w:t>
      </w:r>
      <w:r>
        <w:rPr>
          <w:rFonts w:ascii="Times New Roman;Times;Serif" w:hAnsi="Times New Roman;Times;Serif"/>
          <w:b w:val="false"/>
          <w:i w:val="false"/>
          <w:caps w:val="false"/>
          <w:smallCaps w:val="false"/>
          <w:sz w:val="20"/>
        </w:rPr>
        <w:t xml:space="preserve"> below), and (ii) with respect to the Revenue Shares, following each of December 31, 2032 (the fiscal year ended on such date, “</w:t>
      </w:r>
      <w:r>
        <w:rPr>
          <w:rFonts w:ascii="Times New Roman;Times;Serif" w:hAnsi="Times New Roman;Times;Serif"/>
          <w:b/>
          <w:i w:val="false"/>
          <w:caps w:val="false"/>
          <w:smallCaps w:val="false"/>
          <w:sz w:val="20"/>
        </w:rPr>
        <w:t>Year 7</w:t>
      </w:r>
      <w:r>
        <w:rPr>
          <w:rFonts w:ascii="Times New Roman;Times;Serif" w:hAnsi="Times New Roman;Times;Serif"/>
          <w:b w:val="false"/>
          <w:i w:val="false"/>
          <w:caps w:val="false"/>
          <w:smallCaps w:val="false"/>
          <w:sz w:val="20"/>
        </w:rPr>
        <w:t>”), December 31, 2033 (the fiscal year ended on such date, “</w:t>
      </w:r>
      <w:r>
        <w:rPr>
          <w:rFonts w:ascii="Times New Roman;Times;Serif" w:hAnsi="Times New Roman;Times;Serif"/>
          <w:b/>
          <w:i w:val="false"/>
          <w:caps w:val="false"/>
          <w:smallCaps w:val="false"/>
          <w:sz w:val="20"/>
        </w:rPr>
        <w:t>Year 8</w:t>
      </w:r>
      <w:r>
        <w:rPr>
          <w:rFonts w:ascii="Times New Roman;Times;Serif" w:hAnsi="Times New Roman;Times;Serif"/>
          <w:b w:val="false"/>
          <w:i w:val="false"/>
          <w:caps w:val="false"/>
          <w:smallCaps w:val="false"/>
          <w:sz w:val="20"/>
        </w:rPr>
        <w:t>”), December 31, 2034 (the fiscal year ended on such date, “</w:t>
      </w:r>
      <w:r>
        <w:rPr>
          <w:rFonts w:ascii="Times New Roman;Times;Serif" w:hAnsi="Times New Roman;Times;Serif"/>
          <w:b/>
          <w:i w:val="false"/>
          <w:caps w:val="false"/>
          <w:smallCaps w:val="false"/>
          <w:sz w:val="20"/>
        </w:rPr>
        <w:t>Year 9</w:t>
      </w:r>
      <w:r>
        <w:rPr>
          <w:rFonts w:ascii="Times New Roman;Times;Serif" w:hAnsi="Times New Roman;Times;Serif"/>
          <w:b w:val="false"/>
          <w:i w:val="false"/>
          <w:caps w:val="false"/>
          <w:smallCaps w:val="false"/>
          <w:sz w:val="20"/>
        </w:rPr>
        <w:t>”), and December 31, 2035 (the fiscal year ended on such date, “</w:t>
      </w:r>
      <w:r>
        <w:rPr>
          <w:rFonts w:ascii="Times New Roman;Times;Serif" w:hAnsi="Times New Roman;Times;Serif"/>
          <w:b/>
          <w:i w:val="false"/>
          <w:caps w:val="false"/>
          <w:smallCaps w:val="false"/>
          <w:sz w:val="20"/>
        </w:rPr>
        <w:t>Year 10</w:t>
      </w:r>
      <w:r>
        <w:rPr>
          <w:rFonts w:ascii="Times New Roman;Times;Serif" w:hAnsi="Times New Roman;Times;Serif"/>
          <w:b w:val="false"/>
          <w:i w:val="false"/>
          <w:caps w:val="false"/>
          <w:smallCaps w:val="false"/>
          <w:sz w:val="20"/>
        </w:rPr>
        <w:t xml:space="preserve">”), based on the annual global New Product Revenue hurdles achieved during the applicable year, subject to and upon certification by the Compensation Committee of the attainment of the applicable annual global New Product Revenue hurdles following the release of the Company’s audited annual financial statements for the applicable year (as further provided in </w:t>
      </w:r>
      <w:r>
        <w:rPr>
          <w:rFonts w:ascii="Times New Roman;Times;Serif" w:hAnsi="Times New Roman;Times;Serif"/>
          <w:b w:val="false"/>
          <w:i w:val="false"/>
          <w:caps w:val="false"/>
          <w:smallCaps w:val="false"/>
          <w:sz w:val="20"/>
          <w:u w:val="single"/>
        </w:rPr>
        <w:t>Section 1.C</w:t>
      </w:r>
      <w:r>
        <w:rPr>
          <w:rFonts w:ascii="Times New Roman;Times;Serif" w:hAnsi="Times New Roman;Times;Serif"/>
          <w:b w:val="false"/>
          <w:i w:val="false"/>
          <w:caps w:val="false"/>
          <w:smallCaps w:val="false"/>
          <w:sz w:val="20"/>
        </w:rPr>
        <w:t xml:space="preserve"> below), and subject in each case to your continuous employment with the Company or your continued service as a member of the Board or a consultant to the Company, including any successor thereto (such employment or service as a member of the Board or as a consultant to the Company is referred to herein as “</w:t>
      </w:r>
      <w:r>
        <w:rPr>
          <w:rFonts w:ascii="Times New Roman;Times;Serif" w:hAnsi="Times New Roman;Times;Serif"/>
          <w:b/>
          <w:i w:val="false"/>
          <w:caps w:val="false"/>
          <w:smallCaps w:val="false"/>
          <w:sz w:val="20"/>
        </w:rPr>
        <w:t>Service</w:t>
      </w:r>
      <w:r>
        <w:rPr>
          <w:rFonts w:ascii="Times New Roman;Times;Serif" w:hAnsi="Times New Roman;Times;Serif"/>
          <w:b w:val="false"/>
          <w:i w:val="false"/>
          <w:caps w:val="false"/>
          <w:smallCaps w:val="false"/>
          <w:sz w:val="20"/>
        </w:rPr>
        <w:t>”) through the applicable Certification Date (as defined below) and subject to all limitations and other calculations as set forth herein. While you are employed as Chief Scientific Officer of the Company (“</w:t>
      </w:r>
      <w:r>
        <w:rPr>
          <w:rFonts w:ascii="Times New Roman;Times;Serif" w:hAnsi="Times New Roman;Times;Serif"/>
          <w:b/>
          <w:i w:val="false"/>
          <w:caps w:val="false"/>
          <w:smallCaps w:val="false"/>
          <w:sz w:val="20"/>
        </w:rPr>
        <w:t>CSO</w:t>
      </w:r>
      <w:r>
        <w:rPr>
          <w:rFonts w:ascii="Times New Roman;Times;Serif" w:hAnsi="Times New Roman;Times;Serif"/>
          <w:b w:val="false"/>
          <w:i w:val="false"/>
          <w:caps w:val="false"/>
          <w:smallCaps w:val="false"/>
          <w:sz w:val="20"/>
        </w:rPr>
        <w:t>”), the Company shall nominate you to serve as a member of the Board (“</w:t>
      </w:r>
      <w:r>
        <w:rPr>
          <w:rFonts w:ascii="Times New Roman;Times;Serif" w:hAnsi="Times New Roman;Times;Serif"/>
          <w:b/>
          <w:i w:val="false"/>
          <w:caps w:val="false"/>
          <w:smallCaps w:val="false"/>
          <w:sz w:val="20"/>
        </w:rPr>
        <w:t>Board Nomination Right</w:t>
      </w:r>
      <w:r>
        <w:rPr>
          <w:rFonts w:ascii="Times New Roman;Times;Serif" w:hAnsi="Times New Roman;Times;Serif"/>
          <w:b w:val="false"/>
          <w:i w:val="false"/>
          <w:caps w:val="false"/>
          <w:smallCaps w:val="false"/>
          <w:sz w:val="20"/>
        </w:rPr>
        <w:t>”); provided that, for the avoidance of doubt, upon your termination as CSO for any reason, your Board Nomination Right shall terminate and have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to entering into the Performance Restricted Stock Unit Agreement (as defined below) and this Notice, you agree to participate in good faith in the Board’s continued development of the Company’s CSO succession plan, with such succession plan to be in place by the fifth (5th) anniversary of the Grant Date or such later date as may be determined by the Board. Subject to your participation in good faith in the efforts to develop such succession plan as set forth above, the failure to finalize a succession plan within such time frame shall not impact your rights and entitlements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that the PSUs that are eligible to vest during the Performance Period have not vested prior to the Certification Date in respect of Year 10 either (1) pursuant to the activity-based criteria set forth in </w:t>
      </w:r>
      <w:r>
        <w:rPr>
          <w:rFonts w:ascii="Times New Roman;Times;Serif" w:hAnsi="Times New Roman;Times;Serif"/>
          <w:b w:val="false"/>
          <w:i w:val="false"/>
          <w:caps w:val="false"/>
          <w:smallCaps w:val="false"/>
          <w:sz w:val="20"/>
          <w:u w:val="single"/>
        </w:rPr>
        <w:t>Section 1.B</w:t>
      </w:r>
      <w:r>
        <w:rPr>
          <w:rFonts w:ascii="Times New Roman;Times;Serif" w:hAnsi="Times New Roman;Times;Serif"/>
          <w:b w:val="false"/>
          <w:i w:val="false"/>
          <w:caps w:val="false"/>
          <w:smallCaps w:val="false"/>
          <w:sz w:val="20"/>
        </w:rPr>
        <w:t xml:space="preserve"> below, (2) pursuant to the annual global New Product Revenue criteria set forth in </w:t>
      </w:r>
      <w:r>
        <w:rPr>
          <w:rFonts w:ascii="Times New Roman;Times;Serif" w:hAnsi="Times New Roman;Times;Serif"/>
          <w:b w:val="false"/>
          <w:i w:val="false"/>
          <w:caps w:val="false"/>
          <w:smallCaps w:val="false"/>
          <w:sz w:val="20"/>
          <w:u w:val="single"/>
        </w:rPr>
        <w:t>Section 1.C</w:t>
      </w:r>
      <w:r>
        <w:rPr>
          <w:rFonts w:ascii="Times New Roman;Times;Serif" w:hAnsi="Times New Roman;Times;Serif"/>
          <w:b w:val="false"/>
          <w:i w:val="false"/>
          <w:caps w:val="false"/>
          <w:smallCaps w:val="false"/>
          <w:sz w:val="20"/>
        </w:rPr>
        <w:t xml:space="preserve"> below, or (3) pursuant to the criteria set forth in </w:t>
      </w:r>
      <w:r>
        <w:rPr>
          <w:rFonts w:ascii="Times New Roman;Times;Serif" w:hAnsi="Times New Roman;Times;Serif"/>
          <w:b w:val="false"/>
          <w:i w:val="false"/>
          <w:caps w:val="false"/>
          <w:smallCaps w:val="false"/>
          <w:sz w:val="20"/>
          <w:u w:val="single"/>
        </w:rPr>
        <w:t>Section 1.F</w:t>
      </w:r>
      <w:r>
        <w:rPr>
          <w:rFonts w:ascii="Times New Roman;Times;Serif" w:hAnsi="Times New Roman;Times;Serif"/>
          <w:b w:val="false"/>
          <w:i w:val="false"/>
          <w:caps w:val="false"/>
          <w:smallCaps w:val="false"/>
          <w:sz w:val="20"/>
        </w:rPr>
        <w:t xml:space="preserve"> below, such unvested PSUs shall be forfeited on such Certification Date, subject to earlier vesting or termination pursuant to the application of the Special Vesting Rules Upon Certain Terminations and Change in Control set forth in </w:t>
      </w:r>
      <w:r>
        <w:rPr>
          <w:rFonts w:ascii="Times New Roman;Times;Serif" w:hAnsi="Times New Roman;Times;Serif"/>
          <w:b w:val="false"/>
          <w:i w:val="false"/>
          <w:caps w:val="false"/>
          <w:smallCaps w:val="false"/>
          <w:sz w:val="20"/>
          <w:u w:val="single"/>
        </w:rPr>
        <w:t>Section 1.H</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Rules regarding the timing of delivery of shares of Company common stock in connection with the vesting of the PSUs are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below. In addition, subject to </w:t>
      </w:r>
      <w:r>
        <w:rPr>
          <w:rFonts w:ascii="Times New Roman;Times;Serif" w:hAnsi="Times New Roman;Times;Serif"/>
          <w:b w:val="false"/>
          <w:i w:val="false"/>
          <w:caps w:val="false"/>
          <w:smallCaps w:val="false"/>
          <w:sz w:val="20"/>
          <w:u w:val="single"/>
        </w:rPr>
        <w:t>Section 1.H</w:t>
      </w:r>
      <w:r>
        <w:rPr>
          <w:rFonts w:ascii="Times New Roman;Times;Serif" w:hAnsi="Times New Roman;Times;Serif"/>
          <w:b w:val="false"/>
          <w:i w:val="false"/>
          <w:caps w:val="false"/>
          <w:smallCaps w:val="false"/>
          <w:sz w:val="20"/>
        </w:rPr>
        <w:t xml:space="preserve"> below, any and all Activity-Based Shares and Revenue Shares that are earned and settled based on performance during the Performance Period shall be subject to the Holding Period (as defined below) through the Certification Date in respect of Year 10, as described in </w:t>
      </w:r>
      <w:r>
        <w:rPr>
          <w:rFonts w:ascii="Times New Roman;Times;Serif" w:hAnsi="Times New Roman;Times;Serif"/>
          <w:b w:val="false"/>
          <w:i w:val="false"/>
          <w:caps w:val="false"/>
          <w:smallCaps w:val="false"/>
          <w:sz w:val="20"/>
          <w:u w:val="single"/>
        </w:rPr>
        <w:t>Section 2.H</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recognition of the one-time, front-loaded nature of this PSU Award, you acknowledge and agree that no additional equity or equity-based awards under the Plan or any successor thereto or replacement thereof shall be granted to you at any time on or prior to December 31,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provisions of this Notice, the maximum aggregate number of shares of Company common stock that may be earned by you pursuant to this PSU Award shall not exceed 2,900,000 shares, which limit shall be applied after giving effect to the rTSR modifier, the Activity-Based Share Limitations, and all other calculations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9"/>
        <w:gridCol w:w="1012"/>
        <w:gridCol w:w="8884"/>
      </w:tblGrid>
      <w:tr>
        <w:trPr/>
        <w:tc>
          <w:tcPr>
            <w:tcW w:w="309"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283"/>
              <w:jc w:val="both"/>
              <w:rPr>
                <w:u w:val="single"/>
              </w:rPr>
            </w:pPr>
            <w:r>
              <w:rPr>
                <w:u w:val="single"/>
              </w:rPr>
              <w:t>Activity-Based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Activity-Based Shares, if any, earned and vested in respect of this PSU Award shall be determined as the sum of the Filing Shares and the Approval Shares described in this </w:t>
      </w:r>
      <w:r>
        <w:rPr>
          <w:rFonts w:ascii="Times New Roman;Times;Serif" w:hAnsi="Times New Roman;Times;Serif"/>
          <w:b w:val="false"/>
          <w:i w:val="false"/>
          <w:caps w:val="false"/>
          <w:smallCaps w:val="false"/>
          <w:sz w:val="20"/>
          <w:u w:val="single"/>
        </w:rPr>
        <w:t>Section 1.B</w:t>
      </w:r>
      <w:r>
        <w:rPr>
          <w:rFonts w:ascii="Times New Roman;Times;Serif" w:hAnsi="Times New Roman;Times;Serif"/>
          <w:b w:val="false"/>
          <w:i w:val="false"/>
          <w:caps w:val="false"/>
          <w:smallCaps w:val="false"/>
          <w:sz w:val="20"/>
        </w:rPr>
        <w:t xml:space="preserve">, subject in each case to the application of the rTSR modifier and the Activity-Based Share Limitations set forth in </w:t>
      </w:r>
      <w:r>
        <w:rPr>
          <w:rFonts w:ascii="Times New Roman;Times;Serif" w:hAnsi="Times New Roman;Times;Serif"/>
          <w:b w:val="false"/>
          <w:i w:val="false"/>
          <w:caps w:val="false"/>
          <w:smallCaps w:val="false"/>
          <w:sz w:val="20"/>
          <w:u w:val="single"/>
        </w:rPr>
        <w:t>Sections 1.D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1.E</w:t>
      </w:r>
      <w:r>
        <w:rPr>
          <w:rFonts w:ascii="Times New Roman;Times;Serif" w:hAnsi="Times New Roman;Times;Serif"/>
          <w:b w:val="false"/>
          <w:i w:val="false"/>
          <w:caps w:val="false"/>
          <w:smallCaps w:val="false"/>
          <w:sz w:val="20"/>
        </w:rPr>
        <w:t xml:space="preserve"> below, respectively. Additional limitations on the delivery of any such earned and vested Activity-Based Shares apply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Filing Shares.</w:t>
      </w:r>
      <w:r>
        <w:rPr>
          <w:rFonts w:ascii="Times New Roman;Times;Serif" w:hAnsi="Times New Roman;Times;Serif"/>
          <w:b w:val="false"/>
          <w:i w:val="false"/>
          <w:caps w:val="false"/>
          <w:smallCaps w:val="false"/>
          <w:sz w:val="20"/>
        </w:rPr>
        <w:t xml:space="preserve"> 10,000 PSUs shall be earned (subject to the special adjustment rule in </w:t>
      </w:r>
      <w:r>
        <w:rPr>
          <w:rFonts w:ascii="Times New Roman;Times;Serif" w:hAnsi="Times New Roman;Times;Serif"/>
          <w:b w:val="false"/>
          <w:i w:val="false"/>
          <w:caps w:val="false"/>
          <w:smallCaps w:val="false"/>
          <w:sz w:val="20"/>
          <w:u w:val="single"/>
        </w:rPr>
        <w:t>Section 1.G</w:t>
      </w:r>
      <w:r>
        <w:rPr>
          <w:rFonts w:ascii="Times New Roman;Times;Serif" w:hAnsi="Times New Roman;Times;Serif"/>
          <w:b w:val="false"/>
          <w:i w:val="false"/>
          <w:caps w:val="false"/>
          <w:smallCaps w:val="false"/>
          <w:sz w:val="20"/>
        </w:rPr>
        <w:t xml:space="preserve"> below) for each new BLA or NDA filed with the FDA during the period from January 1, 2026 through December 31, 2034 (each, a “</w:t>
      </w:r>
      <w:r>
        <w:rPr>
          <w:rFonts w:ascii="Times New Roman;Times;Serif" w:hAnsi="Times New Roman;Times;Serif"/>
          <w:b/>
          <w:i w:val="false"/>
          <w:caps w:val="false"/>
          <w:smallCaps w:val="false"/>
          <w:sz w:val="20"/>
        </w:rPr>
        <w:t>New Entity Filing</w:t>
      </w:r>
      <w:r>
        <w:rPr>
          <w:rFonts w:ascii="Times New Roman;Times;Serif" w:hAnsi="Times New Roman;Times;Serif"/>
          <w:b w:val="false"/>
          <w:i w:val="false"/>
          <w:caps w:val="false"/>
          <w:smallCaps w:val="false"/>
          <w:sz w:val="20"/>
        </w:rPr>
        <w:t>”). For the avoidance of doubt, and notwithstanding the foregoing, New Entity Filings shall include (i) filings in respect of assets acquired by the Company through a Purchase (as defined below) and (ii) the BLAs/NDAs filed by the Company between January 1, 2026 and the Grant Date in respect of the following: garetosmab and cemdisiran. In addition, and for the avoidance of doubt, Otarmeni™ (lunsotogene parvec) shall not be counted as a New Entity Filing hereunder. No Filing Shares shall be earned in respect of the filing (as opposed to approval) of any sBLAs or sNDAs.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Approval Shares.</w:t>
      </w:r>
      <w:r>
        <w:rPr>
          <w:rFonts w:ascii="Times New Roman;Times;Serif" w:hAnsi="Times New Roman;Times;Serif"/>
          <w:b w:val="false"/>
          <w:i w:val="false"/>
          <w:caps w:val="false"/>
          <w:smallCaps w:val="false"/>
          <w:sz w:val="20"/>
        </w:rPr>
        <w:t xml:space="preserve"> 15,000 PSUs shall be earned (subject to the special adjustment rule in </w:t>
      </w:r>
      <w:r>
        <w:rPr>
          <w:rFonts w:ascii="Times New Roman;Times;Serif" w:hAnsi="Times New Roman;Times;Serif"/>
          <w:b w:val="false"/>
          <w:i w:val="false"/>
          <w:caps w:val="false"/>
          <w:smallCaps w:val="false"/>
          <w:sz w:val="20"/>
          <w:u w:val="single"/>
        </w:rPr>
        <w:t>Section 1.G</w:t>
      </w:r>
      <w:r>
        <w:rPr>
          <w:rFonts w:ascii="Times New Roman;Times;Serif" w:hAnsi="Times New Roman;Times;Serif"/>
          <w:b w:val="false"/>
          <w:i w:val="false"/>
          <w:caps w:val="false"/>
          <w:smallCaps w:val="false"/>
          <w:sz w:val="20"/>
        </w:rPr>
        <w:t xml:space="preserve"> below) upon each FDA approval of any New Entity Filing during the Performance Period. In addition, you shall earn 12,500 PSUs upon each FDA approval of any sBLA or sNDA filed and approved during the Performance Period, in each case excluding any sBLA or sNDA (i) for a product approved by the FDA as of the Grant Date or (ii) that does not expand the eligible patient population for the applicable product (including, without limitation, an sBLA or sNDA relating to manufacturing and quality changes, safety labeling changes, new formulation or dosage form, pediatric supplements unless they extend the approved indication to a population not previously covered by the approved labeling and such population represents a significant commercial opportunity, or post-marketing commitments or study results that do not change the approved indication and patient eligibility criteria) (each, an “</w:t>
      </w:r>
      <w:r>
        <w:rPr>
          <w:rFonts w:ascii="Times New Roman;Times;Serif" w:hAnsi="Times New Roman;Times;Serif"/>
          <w:b/>
          <w:i w:val="false"/>
          <w:caps w:val="false"/>
          <w:smallCaps w:val="false"/>
          <w:sz w:val="20"/>
        </w:rPr>
        <w:t>Eligible Supplemental Filing</w:t>
      </w:r>
      <w:r>
        <w:rPr>
          <w:rFonts w:ascii="Times New Roman;Times;Serif" w:hAnsi="Times New Roman;Times;Serif"/>
          <w:b w:val="false"/>
          <w:i w:val="false"/>
          <w:caps w:val="false"/>
          <w:smallCaps w:val="false"/>
          <w:sz w:val="20"/>
        </w:rPr>
        <w:t>”). For the avoidance of doubt, if Otarmeni™ (lunsotogene parvec) receives approval for a broader FDA indication as compared to the indication that was approved prior to the Grant Date, such broader approval shall be counted as an approval of an Eligible Supplemental Filing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above-referenced Activity-Based Shares shall be earned and vest as of the Certification Date following each performance year during the Performance Period, based on the annual certification by the Compensation Committee of such filings and approvals and your continuous Service through such applicable Certification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Activity-Based Shares that are earned and vest in respect of a performance year in accordance with the criteria set forth above shall be subject to the 80/20 Rule (as defined below) in connection with the settlement of such earned and vested Activity-Based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Activity-Based Shares that would have been earned for Years 1-9 if not for the applicable earning caps and limitations that apply in such years (“</w:t>
      </w:r>
      <w:r>
        <w:rPr>
          <w:rFonts w:ascii="Times New Roman;Times;Serif" w:hAnsi="Times New Roman;Times;Serif"/>
          <w:b/>
          <w:i w:val="false"/>
          <w:caps w:val="false"/>
          <w:smallCaps w:val="false"/>
          <w:sz w:val="20"/>
        </w:rPr>
        <w:t>Carryover Activity-Based Shares</w:t>
      </w:r>
      <w:r>
        <w:rPr>
          <w:rFonts w:ascii="Times New Roman;Times;Serif" w:hAnsi="Times New Roman;Times;Serif"/>
          <w:b w:val="false"/>
          <w:i w:val="false"/>
          <w:caps w:val="false"/>
          <w:smallCaps w:val="false"/>
          <w:sz w:val="20"/>
        </w:rPr>
        <w:t>”) shall be eligible to be earned and vest for Years 7-10 so long as the applicable earnings caps and limitations and the resulting calculations allow for such earnout and vesting (including, without limitation, the Activity-Based Share Limitations and the aggregate caps on the combined number of Activity-Based Shares and Revenue Shares that apply in Year 7 and Year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266"/>
        <w:gridCol w:w="9858"/>
      </w:tblGrid>
      <w:tr>
        <w:trPr/>
        <w:tc>
          <w:tcPr>
            <w:tcW w:w="81"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C.</w:t>
            </w:r>
          </w:p>
        </w:tc>
        <w:tc>
          <w:tcPr>
            <w:tcW w:w="9858" w:type="dxa"/>
            <w:tcBorders/>
            <w:vAlign w:val="center"/>
          </w:tcPr>
          <w:p>
            <w:pPr>
              <w:pStyle w:val="TableContents"/>
              <w:bidi w:val="0"/>
              <w:spacing w:before="0" w:after="283"/>
              <w:jc w:val="both"/>
              <w:rPr>
                <w:u w:val="single"/>
              </w:rPr>
            </w:pPr>
            <w:r>
              <w:rPr>
                <w:u w:val="single"/>
              </w:rPr>
              <w:t>Revenue Shares; Combined Earnout Limits with Activity-Based Shares Prior to Years 9 and 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Revenue Shares, if any, earned and vested in respect of this PSU Award shall be determined based on the Company’s annual global New Product Revenue for Year 7, Year 8, Year 9, and Year 10, in each case as derived from the Company’s audited annual financial statements and in accordance with the following schedule (and subject to the limitations set forth below), subject in each case to the application of the rTSR modifier set forth in </w:t>
      </w:r>
      <w:r>
        <w:rPr>
          <w:rFonts w:ascii="Times New Roman;Times;Serif" w:hAnsi="Times New Roman;Times;Serif"/>
          <w:b w:val="false"/>
          <w:i w:val="false"/>
          <w:caps w:val="false"/>
          <w:smallCaps w:val="false"/>
          <w:sz w:val="20"/>
          <w:u w:val="single"/>
        </w:rPr>
        <w:t>Section 1.D</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tbl>
      <w:tblPr>
        <w:tblW w:w="5334" w:type="dxa"/>
        <w:jc w:val="left"/>
        <w:tblInd w:w="0" w:type="dxa"/>
        <w:tblLayout w:type="fixed"/>
        <w:tblCellMar>
          <w:top w:w="0" w:type="dxa"/>
          <w:left w:w="0" w:type="dxa"/>
          <w:bottom w:w="0" w:type="dxa"/>
          <w:right w:w="0" w:type="dxa"/>
        </w:tblCellMar>
      </w:tblPr>
      <w:tblGrid>
        <w:gridCol w:w="3170"/>
        <w:gridCol w:w="60"/>
        <w:gridCol w:w="134"/>
        <w:gridCol w:w="1895"/>
        <w:gridCol w:w="75"/>
      </w:tblGrid>
      <w:tr>
        <w:trPr/>
        <w:tc>
          <w:tcPr>
            <w:tcW w:w="3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Global New Product Revenue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2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Shares Earned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$10 billion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billion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billion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billion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provided that, notwithstanding the schedule set forth above, (i) the cumulative maximum number of Revenue Shares when combined with Activity-Based Shares that may be earned and vested for Year 7 shall be 300,000 (which number of Revenue Shares combined with Activity-Based Shares for Year 7 shall be calculated inclusive of, and reduced by, any Activity-Based Shares that were earned and vested for performance years prior to Year 7) and (ii) the cumulative maximum number of Revenue Shares when combined with Activity-Based Shares that may be earned and vested for Year 8 shall be 525,000 (which number of Revenue Shares combined with Activity-Based Shares for Year 8 shall be calculated inclusive of, and reduced by, any Shares (as defined below) that were earned and vested for Year 7). For the avoidance of doubt, there are no additional maximum caps (other than those set forth in the schedule above and in </w:t>
      </w:r>
      <w:r>
        <w:rPr>
          <w:rFonts w:ascii="Times New Roman;Times;Serif" w:hAnsi="Times New Roman;Times;Serif"/>
          <w:b w:val="false"/>
          <w:i w:val="false"/>
          <w:caps w:val="false"/>
          <w:smallCaps w:val="false"/>
          <w:sz w:val="20"/>
          <w:u w:val="single"/>
        </w:rPr>
        <w:t>Section 1.F</w:t>
      </w:r>
      <w:r>
        <w:rPr>
          <w:rFonts w:ascii="Times New Roman;Times;Serif" w:hAnsi="Times New Roman;Times;Serif"/>
          <w:b w:val="false"/>
          <w:i w:val="false"/>
          <w:caps w:val="false"/>
          <w:smallCaps w:val="false"/>
          <w:sz w:val="20"/>
        </w:rPr>
        <w:t xml:space="preserve"> below) on the number of Revenue Shares that may be earned and vested for Year 9 or Year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Additional Rules and Limitations on Revenue Shares Earned. </w:t>
      </w:r>
      <w:r>
        <w:rPr>
          <w:rFonts w:ascii="Times New Roman;Times;Serif" w:hAnsi="Times New Roman;Times;Serif"/>
          <w:b w:val="false"/>
          <w:i w:val="false"/>
          <w:caps w:val="false"/>
          <w:smallCaps w:val="false"/>
          <w:sz w:val="20"/>
        </w:rPr>
        <w:t>Any Revenue Shares that are earned and vested in respect of a fiscal year in accordance with the schedule set forth above shall be subject to the 80/20 Rule in connection with the settlement of such earned and vested Revenue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amount of annual global New Product Revenue for Year 7 has been certified, subsequent determinations of annual global New Product Revenue for any later fiscal year will only entitle you to an incremental amount of Revenue Shares (if any), which shall equal to the number of Revenue Shares that would be earned and vested in respect of such later fiscal year in accordance with the schedule set forth above, less the number of Revenue Shares that became earned and vested in respect of any prior fiscal year (for the avoidance of doubt, taking into account the cumulative maximum number of Revenue Shares when combined with Activity-Based Shares that may be earned and vested for Year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no Revenue Shares shall be earned for any annual global New Product Revenue that is below $10 billion as certified as of each applicable Certification Date, and the Company shall apply linear interpolation to determine the number of Revenue Shares earned for any annual global New Product Revenue falling between each of the performance hurdles above $10 billion and the corresponding Revenue Share levels set forth in the schedule above. Except as provided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1.F</w:t>
      </w:r>
      <w:r>
        <w:rPr>
          <w:rFonts w:ascii="Times New Roman;Times;Serif" w:hAnsi="Times New Roman;Times;Serif"/>
          <w:b w:val="false"/>
          <w:i w:val="false"/>
          <w:caps w:val="false"/>
          <w:smallCaps w:val="false"/>
          <w:sz w:val="20"/>
        </w:rPr>
        <w:t xml:space="preserve"> below, no additional shares shall be earned for any annual global New Product Revenue that is above $30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above-referenced Revenue Shares shall be earned and become vested on each Certification Date following December 31, 2032, December 31, 2033, December 31, 2034, or December 31, 2035, as applicable, based on certification by the Compensation Committee of the attainment of the applicable annual global New Product Revenue hurdles following the release of the Company’s audited annual financial statements for the applicable year and your continuous Service through the applicable Certification Date (but in any event no later than the end of the Performance Period).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9"/>
        <w:gridCol w:w="1491"/>
        <w:gridCol w:w="8285"/>
      </w:tblGrid>
      <w:tr>
        <w:trPr/>
        <w:tc>
          <w:tcPr>
            <w:tcW w:w="429" w:type="dxa"/>
            <w:tcBorders/>
            <w:vAlign w:val="center"/>
          </w:tcPr>
          <w:p>
            <w:pPr>
              <w:pStyle w:val="TableContents"/>
              <w:bidi w:val="0"/>
              <w:spacing w:before="0" w:after="283"/>
              <w:jc w:val="left"/>
              <w:rPr/>
            </w:pPr>
            <w:r>
              <w:rPr/>
              <w:t> </w:t>
            </w:r>
          </w:p>
        </w:tc>
        <w:tc>
          <w:tcPr>
            <w:tcW w:w="1491" w:type="dxa"/>
            <w:tcBorders/>
            <w:vAlign w:val="center"/>
          </w:tcPr>
          <w:p>
            <w:pPr>
              <w:pStyle w:val="TableContents"/>
              <w:bidi w:val="0"/>
              <w:spacing w:before="0" w:after="283"/>
              <w:jc w:val="left"/>
              <w:rPr/>
            </w:pPr>
            <w:r>
              <w:rPr/>
              <w:t>D.</w:t>
            </w:r>
          </w:p>
        </w:tc>
        <w:tc>
          <w:tcPr>
            <w:tcW w:w="8285" w:type="dxa"/>
            <w:tcBorders/>
            <w:vAlign w:val="center"/>
          </w:tcPr>
          <w:p>
            <w:pPr>
              <w:pStyle w:val="TableContents"/>
              <w:bidi w:val="0"/>
              <w:spacing w:before="0" w:after="283"/>
              <w:jc w:val="both"/>
              <w:rPr>
                <w:u w:val="single"/>
              </w:rPr>
            </w:pPr>
            <w:r>
              <w:rPr>
                <w:u w:val="single"/>
              </w:rPr>
              <w:t>rTSR Modifier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number of PSUs earned and vested pursuant to </w:t>
      </w:r>
      <w:r>
        <w:rPr>
          <w:rFonts w:ascii="Times New Roman;Times;Serif" w:hAnsi="Times New Roman;Times;Serif"/>
          <w:b w:val="false"/>
          <w:i w:val="false"/>
          <w:caps w:val="false"/>
          <w:smallCaps w:val="false"/>
          <w:sz w:val="20"/>
          <w:u w:val="single"/>
        </w:rPr>
        <w:t>Sections 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1.C</w:t>
      </w:r>
      <w:r>
        <w:rPr>
          <w:rFonts w:ascii="Times New Roman;Times;Serif" w:hAnsi="Times New Roman;Times;Serif"/>
          <w:b w:val="false"/>
          <w:i w:val="false"/>
          <w:caps w:val="false"/>
          <w:smallCaps w:val="false"/>
          <w:sz w:val="20"/>
        </w:rPr>
        <w:t xml:space="preserve"> above shall be adjusted upward or downward by application of the rTSR modifier determined by comparing (i) the Company’s cumulative TSR for the period from January 1, 2026 through December 31, 2035 (as may be modified by operation of </w:t>
      </w:r>
      <w:r>
        <w:rPr>
          <w:rFonts w:ascii="Times New Roman;Times;Serif" w:hAnsi="Times New Roman;Times;Serif"/>
          <w:b w:val="false"/>
          <w:i w:val="false"/>
          <w:caps w:val="false"/>
          <w:smallCaps w:val="false"/>
          <w:sz w:val="20"/>
          <w:u w:val="single"/>
        </w:rPr>
        <w:t>Section 1.H</w:t>
      </w:r>
      <w:r>
        <w:rPr>
          <w:rFonts w:ascii="Times New Roman;Times;Serif" w:hAnsi="Times New Roman;Times;Serif"/>
          <w:b w:val="false"/>
          <w:i w:val="false"/>
          <w:caps w:val="false"/>
          <w:smallCaps w:val="false"/>
          <w:sz w:val="20"/>
        </w:rPr>
        <w:t xml:space="preserve"> below) (the “</w:t>
      </w:r>
      <w:r>
        <w:rPr>
          <w:rFonts w:ascii="Times New Roman;Times;Serif" w:hAnsi="Times New Roman;Times;Serif"/>
          <w:b/>
          <w:i w:val="false"/>
          <w:caps w:val="false"/>
          <w:smallCaps w:val="false"/>
          <w:sz w:val="20"/>
        </w:rPr>
        <w:t>rTSR Measurement Period</w:t>
      </w:r>
      <w:r>
        <w:rPr>
          <w:rFonts w:ascii="Times New Roman;Times;Serif" w:hAnsi="Times New Roman;Times;Serif"/>
          <w:b w:val="false"/>
          <w:i w:val="false"/>
          <w:caps w:val="false"/>
          <w:smallCaps w:val="false"/>
          <w:sz w:val="20"/>
        </w:rPr>
        <w:t xml:space="preserve">”) relative to (ii) the Cumulative NBI Return (as defined below) over the rTSR Measurement Period. If the Company’s TSR is </w:t>
      </w:r>
      <w:r>
        <w:rPr>
          <w:rFonts w:ascii="Times New Roman;Times;Serif" w:hAnsi="Times New Roman;Times;Serif"/>
          <w:b w:val="false"/>
          <w:i/>
          <w:caps w:val="false"/>
          <w:smallCaps w:val="false"/>
          <w:sz w:val="20"/>
        </w:rPr>
        <w:t>less than</w:t>
      </w:r>
      <w:r>
        <w:rPr>
          <w:rFonts w:ascii="Times New Roman;Times;Serif" w:hAnsi="Times New Roman;Times;Serif"/>
          <w:b w:val="false"/>
          <w:i w:val="false"/>
          <w:caps w:val="false"/>
          <w:smallCaps w:val="false"/>
          <w:sz w:val="20"/>
        </w:rPr>
        <w:t xml:space="preserve"> the Cumulative NBI Return by twenty-five percentage points (25pp) or more, the aggregate shares earned pursuant to this PSU Award shall be decreased by twenty percent (20%); if the Company’s TSR is </w:t>
      </w:r>
      <w:r>
        <w:rPr>
          <w:rFonts w:ascii="Times New Roman;Times;Serif" w:hAnsi="Times New Roman;Times;Serif"/>
          <w:b w:val="false"/>
          <w:i/>
          <w:caps w:val="false"/>
          <w:smallCaps w:val="false"/>
          <w:sz w:val="20"/>
        </w:rPr>
        <w:t>greater than</w:t>
      </w:r>
      <w:r>
        <w:rPr>
          <w:rFonts w:ascii="Times New Roman;Times;Serif" w:hAnsi="Times New Roman;Times;Serif"/>
          <w:b w:val="false"/>
          <w:i w:val="false"/>
          <w:caps w:val="false"/>
          <w:smallCaps w:val="false"/>
          <w:sz w:val="20"/>
        </w:rPr>
        <w:t xml:space="preserve"> the Cumulative NBI Return by twenty-five percentage points (25pp) or more, the aggregate shares earned pursuant to this PSU Award shall be increased by twenty percent (20%). The Company shall apply linear interpolation to determine the rTSR modifier where the Company’s TSR falls between negative twenty-five percentage points (25pp) and positive twenty-five percentage points (25pp) relative to the Cumulative NBI Return. Notwithstanding the foregoing or any other provision of this Notice, the rTSR modifier shall not operate to increase the number of shares earned pursuant to this PSU Award if the Company’s TSR over the rTSR Measurement Period is negative. Except as otherwise set forth in </w:t>
      </w:r>
      <w:r>
        <w:rPr>
          <w:rFonts w:ascii="Times New Roman;Times;Serif" w:hAnsi="Times New Roman;Times;Serif"/>
          <w:b w:val="false"/>
          <w:i w:val="false"/>
          <w:caps w:val="false"/>
          <w:smallCaps w:val="false"/>
          <w:sz w:val="20"/>
          <w:u w:val="single"/>
        </w:rPr>
        <w:t>Section 1.H</w:t>
      </w:r>
      <w:r>
        <w:rPr>
          <w:rFonts w:ascii="Times New Roman;Times;Serif" w:hAnsi="Times New Roman;Times;Serif"/>
          <w:b w:val="false"/>
          <w:i w:val="false"/>
          <w:caps w:val="false"/>
          <w:smallCaps w:val="false"/>
          <w:sz w:val="20"/>
        </w:rPr>
        <w:t xml:space="preserve"> below, the rTSR modifier shall be applied by the Compensation Committee on the Certification Date in respect of Year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calculate the final, aggregate number of PSUs earned and vested pursuant to </w:t>
      </w:r>
      <w:r>
        <w:rPr>
          <w:rFonts w:ascii="Times New Roman;Times;Serif" w:hAnsi="Times New Roman;Times;Serif"/>
          <w:b w:val="false"/>
          <w:i w:val="false"/>
          <w:caps w:val="false"/>
          <w:smallCaps w:val="false"/>
          <w:sz w:val="20"/>
          <w:u w:val="single"/>
        </w:rPr>
        <w:t>Sections 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1.C</w:t>
      </w:r>
      <w:r>
        <w:rPr>
          <w:rFonts w:ascii="Times New Roman;Times;Serif" w:hAnsi="Times New Roman;Times;Serif"/>
          <w:b w:val="false"/>
          <w:i w:val="false"/>
          <w:caps w:val="false"/>
          <w:smallCaps w:val="false"/>
          <w:sz w:val="20"/>
        </w:rPr>
        <w:t xml:space="preserve"> above, the rTSR modifier shall be applied to the entire number of PSUs that would otherwise be earned and vested at the end of the Performance Period (or which have previously vested and settled pursuant to the application of </w:t>
      </w:r>
      <w:r>
        <w:rPr>
          <w:rFonts w:ascii="Times New Roman;Times;Serif" w:hAnsi="Times New Roman;Times;Serif"/>
          <w:b w:val="false"/>
          <w:i w:val="false"/>
          <w:caps w:val="false"/>
          <w:smallCaps w:val="false"/>
          <w:sz w:val="20"/>
          <w:u w:val="single"/>
        </w:rPr>
        <w:t>Section 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1.C</w:t>
      </w:r>
      <w:r>
        <w:rPr>
          <w:rFonts w:ascii="Times New Roman;Times;Serif" w:hAnsi="Times New Roman;Times;Serif"/>
          <w:b w:val="false"/>
          <w:i w:val="false"/>
          <w:caps w:val="false"/>
          <w:smallCaps w:val="false"/>
          <w:sz w:val="20"/>
        </w:rPr>
        <w:t xml:space="preserve"> and taking into account the 80/20 Rule), and any reduction or increase in the number of earned PSUs resulting from the application of the rTSR modifier (and any previously earned PSUs to which the 80/20 Rule was applied) shall be trued up based on the achievement of the rTSR modifier (the “</w:t>
      </w:r>
      <w:r>
        <w:rPr>
          <w:rFonts w:ascii="Times New Roman;Times;Serif" w:hAnsi="Times New Roman;Times;Serif"/>
          <w:b/>
          <w:i w:val="false"/>
          <w:caps w:val="false"/>
          <w:smallCaps w:val="false"/>
          <w:sz w:val="20"/>
        </w:rPr>
        <w:t>rTSR True Up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9"/>
        <w:gridCol w:w="672"/>
        <w:gridCol w:w="9314"/>
      </w:tblGrid>
      <w:tr>
        <w:trPr/>
        <w:tc>
          <w:tcPr>
            <w:tcW w:w="219"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E.</w:t>
            </w:r>
          </w:p>
        </w:tc>
        <w:tc>
          <w:tcPr>
            <w:tcW w:w="9314" w:type="dxa"/>
            <w:tcBorders/>
            <w:vAlign w:val="center"/>
          </w:tcPr>
          <w:p>
            <w:pPr>
              <w:pStyle w:val="TableContents"/>
              <w:bidi w:val="0"/>
              <w:spacing w:before="0" w:after="283"/>
              <w:jc w:val="both"/>
              <w:rPr>
                <w:u w:val="single"/>
              </w:rPr>
            </w:pPr>
            <w:r>
              <w:rPr>
                <w:u w:val="single"/>
              </w:rPr>
              <w:t>Activity-Based Share Limitations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Years 1-6 and, in certain circumstances after Year 7, Year 8, Year 9, and in respect of Year 10, after application of the rTSR modifier described in </w:t>
      </w:r>
      <w:r>
        <w:rPr>
          <w:rFonts w:ascii="Times New Roman;Times;Serif" w:hAnsi="Times New Roman;Times;Serif"/>
          <w:b w:val="false"/>
          <w:i w:val="false"/>
          <w:caps w:val="false"/>
          <w:smallCaps w:val="false"/>
          <w:sz w:val="20"/>
          <w:u w:val="single"/>
        </w:rPr>
        <w:t>Section 1.D</w:t>
      </w:r>
      <w:r>
        <w:rPr>
          <w:rFonts w:ascii="Times New Roman;Times;Serif" w:hAnsi="Times New Roman;Times;Serif"/>
          <w:b w:val="false"/>
          <w:i w:val="false"/>
          <w:caps w:val="false"/>
          <w:smallCaps w:val="false"/>
          <w:sz w:val="20"/>
        </w:rPr>
        <w:t xml:space="preserve"> above, the number of Activity-Based Shares otherwise earned shall also be subject to the following limitations (the “</w:t>
      </w:r>
      <w:r>
        <w:rPr>
          <w:rFonts w:ascii="Times New Roman;Times;Serif" w:hAnsi="Times New Roman;Times;Serif"/>
          <w:b/>
          <w:i w:val="false"/>
          <w:caps w:val="false"/>
          <w:smallCaps w:val="false"/>
          <w:sz w:val="20"/>
        </w:rPr>
        <w:t>Activity-Based Share Limitations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Proportion of Aggregate Earned Activity-Based Shares Allocable to You in Years 1-6 or in any Performance Year in Which the Company’s Annual Global New Product Revenue for Year 7, Year 8, Year 9, or Year 10 is less than $10 billion</w:t>
      </w:r>
      <w:r>
        <w:rPr>
          <w:rFonts w:ascii="Times New Roman;Times;Serif" w:hAnsi="Times New Roman;Times;Serif"/>
          <w:b w:val="false"/>
          <w:i w:val="false"/>
          <w:caps w:val="false"/>
          <w:smallCaps w:val="false"/>
          <w:sz w:val="20"/>
        </w:rPr>
        <w:t xml:space="preserve">. During Years 1-6 and in Years 7-10 if the Company’s annual global New Product Revenue for any such performance year is less than $10 billion, across both this PSU Award and the PSU Award granted to Leonard S. Schleifer, M.D., Ph.D., seventy-five percent (75%) of the aggregate Activity-Based Shares that are earned in accordance with </w:t>
      </w:r>
      <w:r>
        <w:rPr>
          <w:rFonts w:ascii="Times New Roman;Times;Serif" w:hAnsi="Times New Roman;Times;Serif"/>
          <w:b w:val="false"/>
          <w:i w:val="false"/>
          <w:caps w:val="false"/>
          <w:smallCaps w:val="false"/>
          <w:sz w:val="20"/>
          <w:u w:val="single"/>
        </w:rPr>
        <w:t>Section 1.B</w:t>
      </w:r>
      <w:r>
        <w:rPr>
          <w:rFonts w:ascii="Times New Roman;Times;Serif" w:hAnsi="Times New Roman;Times;Serif"/>
          <w:b w:val="false"/>
          <w:i w:val="false"/>
          <w:caps w:val="false"/>
          <w:smallCaps w:val="false"/>
          <w:sz w:val="20"/>
        </w:rPr>
        <w:t xml:space="preserve"> above for the applicable performance year shall be allocated to you subject to a cumulative cap of 300,000 Activity-Based Shares that may be earned by you as of the end of any such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Activity-Based Shares Also Limited if the Company’s Annual Global New Product Revenue for Year 7, Year 8, Year 9, or Year 10 is Equal to or Greater than $10 Billion</w:t>
      </w:r>
      <w:r>
        <w:rPr>
          <w:rFonts w:ascii="Times New Roman;Times;Serif" w:hAnsi="Times New Roman;Times;Serif"/>
          <w:b w:val="false"/>
          <w:i w:val="false"/>
          <w:caps w:val="false"/>
          <w:smallCaps w:val="false"/>
          <w:sz w:val="20"/>
        </w:rPr>
        <w:t xml:space="preserve">. If the Company’s annual global New Product Revenue for Year 7, Year 8, Year 9, or Year 10 is </w:t>
      </w:r>
      <w:r>
        <w:rPr>
          <w:rFonts w:ascii="Times New Roman;Times;Serif" w:hAnsi="Times New Roman;Times;Serif"/>
          <w:b w:val="false"/>
          <w:i/>
          <w:caps w:val="false"/>
          <w:smallCaps w:val="false"/>
          <w:sz w:val="20"/>
        </w:rPr>
        <w:t>equal to or greater than</w:t>
      </w:r>
      <w:r>
        <w:rPr>
          <w:rFonts w:ascii="Times New Roman;Times;Serif" w:hAnsi="Times New Roman;Times;Serif"/>
          <w:b w:val="false"/>
          <w:i w:val="false"/>
          <w:caps w:val="false"/>
          <w:smallCaps w:val="false"/>
          <w:sz w:val="20"/>
        </w:rPr>
        <w:t xml:space="preserve"> $10 billion such that Revenue Shares are earned, the aggregate Activity-Based Shares and Revenue Shares earned in accordance with </w:t>
      </w:r>
      <w:r>
        <w:rPr>
          <w:rFonts w:ascii="Times New Roman;Times;Serif" w:hAnsi="Times New Roman;Times;Serif"/>
          <w:b w:val="false"/>
          <w:i w:val="false"/>
          <w:caps w:val="false"/>
          <w:smallCaps w:val="false"/>
          <w:sz w:val="20"/>
          <w:u w:val="single"/>
        </w:rPr>
        <w:t>Sections 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1.C</w:t>
      </w:r>
      <w:r>
        <w:rPr>
          <w:rFonts w:ascii="Times New Roman;Times;Serif" w:hAnsi="Times New Roman;Times;Serif"/>
          <w:b w:val="false"/>
          <w:i w:val="false"/>
          <w:caps w:val="false"/>
          <w:smallCaps w:val="false"/>
          <w:sz w:val="20"/>
        </w:rPr>
        <w:t xml:space="preserve"> above, respectively, across both this PSU Award and the PSU Award granted to Leonard S. Schleifer, M.D., Ph.D. shall be limited such that the Activity-Based Shares shall not comprise more than, and shall be capped at, thirty percent (30%) of the aggregate number of Shares earned for the applicable performance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calculations and percentages set forth in this </w:t>
      </w:r>
      <w:r>
        <w:rPr>
          <w:rFonts w:ascii="Times New Roman;Times;Serif" w:hAnsi="Times New Roman;Times;Serif"/>
          <w:b w:val="false"/>
          <w:i w:val="false"/>
          <w:caps w:val="false"/>
          <w:smallCaps w:val="false"/>
          <w:sz w:val="20"/>
          <w:u w:val="single"/>
        </w:rPr>
        <w:t>Section 1.E</w:t>
      </w:r>
      <w:r>
        <w:rPr>
          <w:rFonts w:ascii="Times New Roman;Times;Serif" w:hAnsi="Times New Roman;Times;Serif"/>
          <w:b w:val="false"/>
          <w:i w:val="false"/>
          <w:caps w:val="false"/>
          <w:smallCaps w:val="false"/>
          <w:sz w:val="20"/>
        </w:rPr>
        <w:t xml:space="preserve"> shall be applied regardless of whether the PSU Award granted to Leonard S. Schleifer, M.D., Ph.D. remains in effect and outstanding or whether such executive remains in Service.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0"/>
        <w:gridCol w:w="805"/>
        <w:gridCol w:w="9120"/>
      </w:tblGrid>
      <w:tr>
        <w:trPr/>
        <w:tc>
          <w:tcPr>
            <w:tcW w:w="28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F.</w:t>
            </w:r>
          </w:p>
        </w:tc>
        <w:tc>
          <w:tcPr>
            <w:tcW w:w="9120" w:type="dxa"/>
            <w:tcBorders/>
            <w:vAlign w:val="center"/>
          </w:tcPr>
          <w:p>
            <w:pPr>
              <w:pStyle w:val="TableContents"/>
              <w:bidi w:val="0"/>
              <w:spacing w:before="0" w:after="283"/>
              <w:jc w:val="both"/>
              <w:rPr>
                <w:u w:val="single"/>
              </w:rPr>
            </w:pPr>
            <w:r>
              <w:rPr>
                <w:u w:val="single"/>
              </w:rPr>
              <w:t>Maximum Shares Earned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 event shall the total number of shares earned pursuant to this PSU Award exceed the maximum of 2,900,000 PSUs set forth in </w:t>
      </w:r>
      <w:r>
        <w:rPr>
          <w:rFonts w:ascii="Times New Roman;Times;Serif" w:hAnsi="Times New Roman;Times;Serif"/>
          <w:b w:val="false"/>
          <w:i w:val="false"/>
          <w:caps w:val="false"/>
          <w:smallCaps w:val="false"/>
          <w:sz w:val="20"/>
          <w:u w:val="single"/>
        </w:rPr>
        <w:t>Section 1.A</w:t>
      </w:r>
      <w:r>
        <w:rPr>
          <w:rFonts w:ascii="Times New Roman;Times;Serif" w:hAnsi="Times New Roman;Times;Serif"/>
          <w:b w:val="false"/>
          <w:i w:val="false"/>
          <w:caps w:val="false"/>
          <w:smallCaps w:val="false"/>
          <w:sz w:val="20"/>
        </w:rPr>
        <w:t xml:space="preserve"> above, which maximum shall be deemed earned upon the achievement of either (i) any combination of Activity-Based Shares and Revenue Shares determined in accordance with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that equals or exceeds such maximum after giving effect to the rTSR modifier at the end of the Performance Period and after giving effect to the Activity-Based Share Limitations, or (ii) the higher of the Company’s annual global New Product Revenue for Year 9 or Year 10 exceeding $40 billion while the Company’s absolute TSR over the rTSR Measurement Period is positive and exceeds the Cumulative NBI Return over the rTSR Measurement Period.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530"/>
        <w:gridCol w:w="9523"/>
      </w:tblGrid>
      <w:tr>
        <w:trPr/>
        <w:tc>
          <w:tcPr>
            <w:tcW w:w="15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G.</w:t>
            </w:r>
          </w:p>
        </w:tc>
        <w:tc>
          <w:tcPr>
            <w:tcW w:w="9523" w:type="dxa"/>
            <w:tcBorders/>
            <w:vAlign w:val="center"/>
          </w:tcPr>
          <w:p>
            <w:pPr>
              <w:pStyle w:val="TableContents"/>
              <w:bidi w:val="0"/>
              <w:spacing w:before="0" w:after="283"/>
              <w:jc w:val="both"/>
              <w:rPr>
                <w:u w:val="single"/>
              </w:rPr>
            </w:pPr>
            <w:r>
              <w:rPr>
                <w:u w:val="single"/>
              </w:rPr>
              <w:t>Special Adjustment Rule Commencing in Year 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Commencing in Year 7, if the Company’s annual global New Product Revenue for such performance year or subsequent performance year is </w:t>
      </w:r>
      <w:r>
        <w:rPr>
          <w:rFonts w:ascii="Times New Roman;Times;Serif" w:hAnsi="Times New Roman;Times;Serif"/>
          <w:b w:val="false"/>
          <w:i/>
          <w:caps w:val="false"/>
          <w:smallCaps w:val="false"/>
          <w:sz w:val="20"/>
        </w:rPr>
        <w:t>equal to or greater than</w:t>
      </w:r>
      <w:r>
        <w:rPr>
          <w:rFonts w:ascii="Times New Roman;Times;Serif" w:hAnsi="Times New Roman;Times;Serif"/>
          <w:b w:val="false"/>
          <w:i w:val="false"/>
          <w:caps w:val="false"/>
          <w:smallCaps w:val="false"/>
          <w:sz w:val="20"/>
        </w:rPr>
        <w:t xml:space="preserve"> $10 billion such that Revenue Shares are earned, any Activity-Based Shares and Revenue Shares that would otherwise be earned and vested in respect of the applicable year in accordance with the provisions of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(taking in account the Activity-Based Share Limitations and the other limitations set forth herein) shall be increased by 100,000 Shares (but not more than 100,000 Shares in total shall be subject to this special adjustment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362"/>
        <w:gridCol w:w="9739"/>
      </w:tblGrid>
      <w:tr>
        <w:trPr/>
        <w:tc>
          <w:tcPr>
            <w:tcW w:w="104"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H.</w:t>
            </w:r>
          </w:p>
        </w:tc>
        <w:tc>
          <w:tcPr>
            <w:tcW w:w="9739" w:type="dxa"/>
            <w:tcBorders/>
            <w:vAlign w:val="center"/>
          </w:tcPr>
          <w:p>
            <w:pPr>
              <w:pStyle w:val="TableContents"/>
              <w:bidi w:val="0"/>
              <w:spacing w:before="0" w:after="283"/>
              <w:jc w:val="both"/>
              <w:rPr>
                <w:u w:val="single"/>
              </w:rPr>
            </w:pPr>
            <w:r>
              <w:rPr>
                <w:u w:val="single"/>
              </w:rPr>
              <w:t>Special Vesting Rules Upon Certain Terminations and Change in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specifically set forth in this </w:t>
      </w:r>
      <w:r>
        <w:rPr>
          <w:rFonts w:ascii="Times New Roman;Times;Serif" w:hAnsi="Times New Roman;Times;Serif"/>
          <w:b w:val="false"/>
          <w:i w:val="false"/>
          <w:caps w:val="false"/>
          <w:smallCaps w:val="false"/>
          <w:sz w:val="20"/>
          <w:u w:val="single"/>
        </w:rPr>
        <w:t>Section 1.H</w:t>
      </w:r>
      <w:r>
        <w:rPr>
          <w:rFonts w:ascii="Times New Roman;Times;Serif" w:hAnsi="Times New Roman;Times;Serif"/>
          <w:b w:val="false"/>
          <w:i w:val="false"/>
          <w:caps w:val="false"/>
          <w:smallCaps w:val="false"/>
          <w:sz w:val="20"/>
        </w:rPr>
        <w:t xml:space="preserve">, any unvested PSUs shall be forfeited in their entirety in the event that your Service ceases prior to the end of the Performance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with respect to any Activity-Based Shares that have been earned based on the annual certification of the Compensation Committee, you shall be deemed to have met the continuous Service requirement with respect to such PSUs if you are in Service as of the applicable Certification Date and (ii) with respect to any Revenue Shares that have been earned based on the certification by the Compensation Committee of the attainment of the applicable annual global New Product Revenue hurdles following the release of the Company’s audited annual financial statements for Year 7, Year 8, Year 9, or Year 10, as applicable, you shall be deemed to have met the continuous Service requirement with respect to such PSUs if you are in Service as of the applicable Certification Date (or the end of the Performance Period, as applicable). You specifically acknowledge and agree that the provisions set forth herein with respect to your termination of Service supersede any provisions of any other agreement between you and the Company or any Affiliate, including any agreement that provides a different treatment for equity awards due to death or retirement. The following special rules shall apply to the PSUs, notwithstanding the provisions of </w:t>
      </w:r>
      <w:r>
        <w:rPr>
          <w:rFonts w:ascii="Times New Roman;Times;Serif" w:hAnsi="Times New Roman;Times;Serif"/>
          <w:b w:val="false"/>
          <w:i w:val="false"/>
          <w:caps w:val="false"/>
          <w:smallCaps w:val="false"/>
          <w:sz w:val="20"/>
          <w:u w:val="single"/>
        </w:rPr>
        <w:t>Sections 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1.C</w:t>
      </w:r>
      <w:r>
        <w:rPr>
          <w:rFonts w:ascii="Times New Roman;Times;Serif" w:hAnsi="Times New Roman;Times;Serif"/>
          <w:b w:val="false"/>
          <w:i w:val="false"/>
          <w:caps w:val="false"/>
          <w:smallCaps w:val="false"/>
          <w:sz w:val="20"/>
        </w:rPr>
        <w:t xml:space="preserv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Without Cause or for Good Reason</w:t>
      </w:r>
      <w:r>
        <w:rPr>
          <w:rFonts w:ascii="Times New Roman;Times;Serif" w:hAnsi="Times New Roman;Times;Serif"/>
          <w:b w:val="false"/>
          <w:i w:val="false"/>
          <w:caps w:val="false"/>
          <w:smallCaps w:val="false"/>
          <w:sz w:val="20"/>
        </w:rPr>
        <w:t>. If your Service is terminated without Cause (as defined below) or you resign from your Service for a Good Reason (as defined below) prior to December 31, 2035 and prior to the date of a Change in Control, the PSUs shall remain outstanding and may be earned pursuant to the provisions hereof without regard to the continued Service requirement, except that (i) the determination of any earnout as of a Certification Date following the termination date will be based solely on New Products in existence as of the termination date as well as Eligible New Products and Eligible New Product Candidates, each as defined below (the “</w:t>
      </w:r>
      <w:r>
        <w:rPr>
          <w:rFonts w:ascii="Times New Roman;Times;Serif" w:hAnsi="Times New Roman;Times;Serif"/>
          <w:b/>
          <w:i w:val="false"/>
          <w:caps w:val="false"/>
          <w:smallCaps w:val="false"/>
          <w:sz w:val="20"/>
        </w:rPr>
        <w:t>Qualifying Termination Earnout Methodology</w:t>
      </w:r>
      <w:r>
        <w:rPr>
          <w:rFonts w:ascii="Times New Roman;Times;Serif" w:hAnsi="Times New Roman;Times;Serif"/>
          <w:b w:val="false"/>
          <w:i w:val="false"/>
          <w:caps w:val="false"/>
          <w:smallCaps w:val="false"/>
          <w:sz w:val="20"/>
        </w:rPr>
        <w:t xml:space="preserve">”) and (ii) the rTSR modifier shall be measured by the Compensation Committee (A) as of the termination date if such termination date occurs on or prior to December 31, 2031 (i.e., based on a deemed shortened rTSR Measurement Period ending as of the termination date) or (B) as of the end of the Performance Period if the termination date occurs on January 1, 2032 or later (and in any event prior to the end of the Performance Period) (i.e., based on the rTSR Measurement Period). To the extent any PSUs are determined to have been earned and vested based on the application of the Qualifying Termination Earnout Methodology and the rTSR modifier as described above, the provisions of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below regarding delivery (including, without limitation, the Holding Period) shall apply to the shares of Company common stock deliverable in respect of such earned and vested PSUs; provided, however, that if the termination date occurs on or prior to December 31, 2031, the 80/20 Rule shall not apply. “</w:t>
      </w:r>
      <w:r>
        <w:rPr>
          <w:rFonts w:ascii="Times New Roman;Times;Serif" w:hAnsi="Times New Roman;Times;Serif"/>
          <w:b/>
          <w:i w:val="false"/>
          <w:caps w:val="false"/>
          <w:smallCaps w:val="false"/>
          <w:sz w:val="20"/>
        </w:rPr>
        <w:t>Eligible New Product Candidates</w:t>
      </w:r>
      <w:r>
        <w:rPr>
          <w:rFonts w:ascii="Times New Roman;Times;Serif" w:hAnsi="Times New Roman;Times;Serif"/>
          <w:b w:val="false"/>
          <w:i w:val="false"/>
          <w:caps w:val="false"/>
          <w:smallCaps w:val="false"/>
          <w:sz w:val="20"/>
        </w:rPr>
        <w:t>” shall consist of (a) each product candidate of the Company in Phase 1 (or later) clinical development as of the termination date, (b) each product candidate of the Company for which an Investigational New Drug Application (“</w:t>
      </w:r>
      <w:r>
        <w:rPr>
          <w:rFonts w:ascii="Times New Roman;Times;Serif" w:hAnsi="Times New Roman;Times;Serif"/>
          <w:b/>
          <w:i w:val="false"/>
          <w:caps w:val="false"/>
          <w:smallCaps w:val="false"/>
          <w:sz w:val="20"/>
        </w:rPr>
        <w:t>IND</w:t>
      </w:r>
      <w:r>
        <w:rPr>
          <w:rFonts w:ascii="Times New Roman;Times;Serif" w:hAnsi="Times New Roman;Times;Serif"/>
          <w:b w:val="false"/>
          <w:i w:val="false"/>
          <w:caps w:val="false"/>
          <w:smallCaps w:val="false"/>
          <w:sz w:val="20"/>
        </w:rPr>
        <w:t>”) has been submitted to the FDA prior to the termination date (unless the FDA issues a clinical hold impacting such product candidate within 30 days of the FDA’s receipt of the IND for such product candidate), and (c) each product candidate acquired by the Company through a Purchase pursuant to an agreement that is entered into within 12 months following the termination date (a “</w:t>
      </w:r>
      <w:r>
        <w:rPr>
          <w:rFonts w:ascii="Times New Roman;Times;Serif" w:hAnsi="Times New Roman;Times;Serif"/>
          <w:b/>
          <w:i w:val="false"/>
          <w:caps w:val="false"/>
          <w:smallCaps w:val="false"/>
          <w:sz w:val="20"/>
        </w:rPr>
        <w:t>Qualifying Purchase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Eligible New Products</w:t>
      </w:r>
      <w:r>
        <w:rPr>
          <w:rFonts w:ascii="Times New Roman;Times;Serif" w:hAnsi="Times New Roman;Times;Serif"/>
          <w:b w:val="false"/>
          <w:i w:val="false"/>
          <w:caps w:val="false"/>
          <w:smallCaps w:val="false"/>
          <w:sz w:val="20"/>
        </w:rPr>
        <w:t>” shall consist of New Products resulting from Eligible New Product Candidates or a Qualifying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Death or Disability</w:t>
      </w:r>
      <w:r>
        <w:rPr>
          <w:rFonts w:ascii="Times New Roman;Times;Serif" w:hAnsi="Times New Roman;Times;Serif"/>
          <w:b w:val="false"/>
          <w:i w:val="false"/>
          <w:caps w:val="false"/>
          <w:smallCaps w:val="false"/>
          <w:sz w:val="20"/>
        </w:rPr>
        <w:t xml:space="preserve">. In the case of your death or Disability prior to December 31, 2035, the PSUs shall remain outstanding and may be earned pursuant to the provisions hereof without regard to the continued Service requirement. The provisions of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below regarding delivery (other than, for the avoidance of doubt, the Holding Period) shall apply to the shares of Company common stock deliverable in respect of such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(a) Upon a Change in Control, the rTSR Measurement Period shall be deemed shortened to the date of the Change in Control, and the rTSR modifier shall be measured and determined in the discretion of the Compensation Committee immediately prior to the date of the Change in Control based on the price per share of Company common stock to be paid in the Change in Control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a Change in Control, the PSUs shall be assumed by the successor or acquiring entity (if any) in such Change in Control (or any ultimate parent thereof), which assumption or substitution shall be binding on you and the Company, with appropriate adjustments thereto in accordance with the provisions of the Plan, and shall remain outstanding and subject to the remaining terms and conditions hereof. Accordingly, any PSUs that have not yet been earned as of the date of the Change in Control shall be earned and eligible to vest based on (i) performance with respect to the filing and approval metrics and annual global New Product Revenue metrics set forth in </w:t>
      </w:r>
      <w:r>
        <w:rPr>
          <w:rFonts w:ascii="Times New Roman;Times;Serif" w:hAnsi="Times New Roman;Times;Serif"/>
          <w:b w:val="false"/>
          <w:i w:val="false"/>
          <w:caps w:val="false"/>
          <w:smallCaps w:val="false"/>
          <w:sz w:val="20"/>
          <w:u w:val="single"/>
        </w:rPr>
        <w:t>Sections 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1.C</w:t>
      </w:r>
      <w:r>
        <w:rPr>
          <w:rFonts w:ascii="Times New Roman;Times;Serif" w:hAnsi="Times New Roman;Times;Serif"/>
          <w:b w:val="false"/>
          <w:i w:val="false"/>
          <w:caps w:val="false"/>
          <w:smallCaps w:val="false"/>
          <w:sz w:val="20"/>
        </w:rPr>
        <w:t xml:space="preserve"> above and (ii) your continued Service (including Service with the successor or acquiring entity in the Change in Control) through the applicable Certification Date. Shares earned and vested pursuant to this </w:t>
      </w:r>
      <w:r>
        <w:rPr>
          <w:rFonts w:ascii="Times New Roman;Times;Serif" w:hAnsi="Times New Roman;Times;Serif"/>
          <w:b w:val="false"/>
          <w:i w:val="false"/>
          <w:caps w:val="false"/>
          <w:smallCaps w:val="false"/>
          <w:sz w:val="20"/>
          <w:u w:val="single"/>
        </w:rPr>
        <w:t>paragraph (b)</w:t>
      </w:r>
      <w:r>
        <w:rPr>
          <w:rFonts w:ascii="Times New Roman;Times;Serif" w:hAnsi="Times New Roman;Times;Serif"/>
          <w:b w:val="false"/>
          <w:i w:val="false"/>
          <w:caps w:val="false"/>
          <w:smallCaps w:val="false"/>
          <w:sz w:val="20"/>
        </w:rPr>
        <w:t xml:space="preserve"> and delivered in accordance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below shall not be subject to the 80/20 Rule or the Holding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the foregoing, upon a termination of your Service by the Company or its successor without Cause or by you for Good Reason upon or following the Change in Control and prior to December 31, 2035, the PSUs shall remain outstanding following the termination date and may be earned pursuant to the provisions hereof without regard to the continued Service requirement, except that the determination of any earnout as of a Certification Date following the termination date will be made pursuant to the Qualifying Termination Earnout Methodology and by measuring the rTSR modifier as determined under </w:t>
      </w:r>
      <w:r>
        <w:rPr>
          <w:rFonts w:ascii="Times New Roman;Times;Serif" w:hAnsi="Times New Roman;Times;Serif"/>
          <w:b w:val="false"/>
          <w:i w:val="false"/>
          <w:caps w:val="false"/>
          <w:smallCaps w:val="false"/>
          <w:sz w:val="20"/>
          <w:u w:val="single"/>
        </w:rPr>
        <w:t>paragraph (a)</w:t>
      </w:r>
      <w:r>
        <w:rPr>
          <w:rFonts w:ascii="Times New Roman;Times;Serif" w:hAnsi="Times New Roman;Times;Serif"/>
          <w:b w:val="false"/>
          <w:i w:val="false"/>
          <w:caps w:val="false"/>
          <w:smallCaps w:val="false"/>
          <w:sz w:val="20"/>
        </w:rPr>
        <w:t xml:space="preserve"> above. Shares earned and vested pursuant to this </w:t>
      </w:r>
      <w:r>
        <w:rPr>
          <w:rFonts w:ascii="Times New Roman;Times;Serif" w:hAnsi="Times New Roman;Times;Serif"/>
          <w:b w:val="false"/>
          <w:i w:val="false"/>
          <w:caps w:val="false"/>
          <w:smallCaps w:val="false"/>
          <w:sz w:val="20"/>
          <w:u w:val="single"/>
        </w:rPr>
        <w:t>paragraph (c)</w:t>
      </w:r>
      <w:r>
        <w:rPr>
          <w:rFonts w:ascii="Times New Roman;Times;Serif" w:hAnsi="Times New Roman;Times;Serif"/>
          <w:b w:val="false"/>
          <w:i w:val="false"/>
          <w:caps w:val="false"/>
          <w:smallCaps w:val="false"/>
          <w:sz w:val="20"/>
        </w:rPr>
        <w:t xml:space="preserve"> and delivered in accordance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below shall not be subject to the 80/20 Rule or the Holding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Voluntary Termination/Retirement with Separation from Service</w:t>
      </w:r>
      <w:r>
        <w:rPr>
          <w:rFonts w:ascii="Times New Roman;Times;Serif" w:hAnsi="Times New Roman;Times;Serif"/>
          <w:b w:val="false"/>
          <w:i w:val="false"/>
          <w:caps w:val="false"/>
          <w:smallCaps w:val="false"/>
          <w:sz w:val="20"/>
        </w:rPr>
        <w:t>. Upon your termination of employment with the Company due to your voluntary departure without Good Reason or your retirement, unless your Service with the Company continues, the rTSR modifier shall be measured by the Compensation Committee as of the termination date and shall be applied to any Shares that had been earned and vested prior to the termination date and were held back pursuant to the 80/20 Rule, and any unvested PSUs shall be forfeited. For the avoidance of doubt, the Holding Period shall continue to apply with respect to any Shares that had become earned and vested prior to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215"/>
        <w:gridCol w:w="4910"/>
      </w:tblGrid>
      <w:tr>
        <w:trPr/>
        <w:tc>
          <w:tcPr>
            <w:tcW w:w="215" w:type="dxa"/>
            <w:tcBorders/>
            <w:vAlign w:val="center"/>
          </w:tcPr>
          <w:p>
            <w:pPr>
              <w:pStyle w:val="TableContents"/>
              <w:bidi w:val="0"/>
              <w:spacing w:before="0" w:after="283"/>
              <w:jc w:val="left"/>
              <w:rPr/>
            </w:pPr>
            <w:r>
              <w:rPr/>
              <w:t>2.</w:t>
            </w:r>
          </w:p>
        </w:tc>
        <w:tc>
          <w:tcPr>
            <w:tcW w:w="4910" w:type="dxa"/>
            <w:tcBorders/>
            <w:vAlign w:val="center"/>
          </w:tcPr>
          <w:p>
            <w:pPr>
              <w:pStyle w:val="TableContents"/>
              <w:bidi w:val="0"/>
              <w:spacing w:before="0" w:after="283"/>
              <w:jc w:val="both"/>
              <w:rPr/>
            </w:pPr>
            <w:r>
              <w:rPr>
                <w:u w:val="single"/>
              </w:rPr>
              <w:t>Settlement and Share Delivery; Certain Limitations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60"/>
        <w:gridCol w:w="9871"/>
      </w:tblGrid>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A.</w:t>
            </w:r>
          </w:p>
        </w:tc>
        <w:tc>
          <w:tcPr>
            <w:tcW w:w="9871" w:type="dxa"/>
            <w:tcBorders/>
            <w:vAlign w:val="center"/>
          </w:tcPr>
          <w:p>
            <w:pPr>
              <w:pStyle w:val="TableContents"/>
              <w:bidi w:val="0"/>
              <w:spacing w:before="0" w:after="283"/>
              <w:jc w:val="both"/>
              <w:rPr/>
            </w:pPr>
            <w:r>
              <w:rPr>
                <w:u w:val="single"/>
              </w:rPr>
              <w:t>Years 1-6</w:t>
            </w:r>
            <w:r>
              <w:rPr/>
              <w:t xml:space="preserve">. The settlement of any Activity-Based Shares that are earned and vested with respect to each performance year during the Performance Period pursuant to </w:t>
            </w:r>
            <w:r>
              <w:rPr>
                <w:u w:val="single"/>
              </w:rPr>
              <w:t>Section 1.B</w:t>
            </w:r>
            <w:r>
              <w:rPr/>
              <w:t xml:space="preserve"> above shall be made and the shares underlying such Activity-Based Shares shall first become deliverable, subject to the 80/20 Rule provided in </w:t>
            </w:r>
            <w:r>
              <w:rPr>
                <w:u w:val="single"/>
              </w:rPr>
              <w:t>Section 2.G</w:t>
            </w:r>
            <w:r>
              <w:rPr/>
              <w:t xml:space="preserve"> below, promptly following the Certification Date following the applicable performance year; provided that the cumulative number of Activity-Based Shares that shall be deliverable to you in respect of Years 1-6, after giving effect to the 80/20 Rule provided in </w:t>
            </w:r>
            <w:r>
              <w:rPr>
                <w:u w:val="single"/>
              </w:rPr>
              <w:t>Section 2.G</w:t>
            </w:r>
            <w:r>
              <w:rPr/>
              <w:t xml:space="preserve"> below, is capped at 240,000 Activity-Based Shares. No Revenue Shares shall be eligible to be earned and thus none shall be eligible to be settled in respect of Years 1-6.</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87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B.</w:t>
            </w:r>
          </w:p>
        </w:tc>
        <w:tc>
          <w:tcPr>
            <w:tcW w:w="9871" w:type="dxa"/>
            <w:tcBorders/>
            <w:vAlign w:val="center"/>
          </w:tcPr>
          <w:p>
            <w:pPr>
              <w:pStyle w:val="TableContents"/>
              <w:bidi w:val="0"/>
              <w:spacing w:before="0" w:after="283"/>
              <w:jc w:val="both"/>
              <w:rPr/>
            </w:pPr>
            <w:r>
              <w:rPr>
                <w:u w:val="single"/>
              </w:rPr>
              <w:t>Year 7</w:t>
            </w:r>
            <w:r>
              <w:rPr/>
              <w:t xml:space="preserve">. Revenue Shares that are earned and vested with respect to Year 7 pursuant to </w:t>
            </w:r>
            <w:r>
              <w:rPr>
                <w:u w:val="single"/>
              </w:rPr>
              <w:t>Section 1.C</w:t>
            </w:r>
            <w:r>
              <w:rPr/>
              <w:t xml:space="preserve"> above shall first become deliverable, subject to the 80/20 Rule provided in </w:t>
            </w:r>
            <w:r>
              <w:rPr>
                <w:u w:val="single"/>
              </w:rPr>
              <w:t>Section 2.G</w:t>
            </w:r>
            <w:r>
              <w:rPr/>
              <w:t xml:space="preserve"> below, as determined by the Compensation Committee on the Certification Date for Year 7, and any additional Activity-Based Shares that (i) are earned and vested with respect to performance in Year 7 as determined by the Compensation Committee on the Certification Date for Year 7 or (ii) are Carryover Activity-Based Shares from earlier performance years pursuant to </w:t>
            </w:r>
            <w:r>
              <w:rPr>
                <w:u w:val="single"/>
              </w:rPr>
              <w:t>Section 1.B</w:t>
            </w:r>
            <w:r>
              <w:rPr/>
              <w:t xml:space="preserve"> above shall become deliverable, in each case, subject to the 80/20 Rule provided in </w:t>
            </w:r>
            <w:r>
              <w:rPr>
                <w:u w:val="single"/>
              </w:rPr>
              <w:t>Section 2.G</w:t>
            </w:r>
            <w:r>
              <w:rPr/>
              <w:t xml:space="preserve"> below; provided that the aggregate number of Activity-Based Shares and Revenue Shares combined that shall be deliverable to you in respect of Year 7, after giving effect to the 80/20 Rule provided in </w:t>
            </w:r>
            <w:r>
              <w:rPr>
                <w:u w:val="single"/>
              </w:rPr>
              <w:t>Section 2.G</w:t>
            </w:r>
            <w:r>
              <w:rPr/>
              <w:t xml:space="preserve"> below, is 240,000 (which number shall be calculated inclusive of, and reduced by, any Activity-Based Shares that were delivered in respect of Years 1-6).</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87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C.</w:t>
            </w:r>
          </w:p>
        </w:tc>
        <w:tc>
          <w:tcPr>
            <w:tcW w:w="9871" w:type="dxa"/>
            <w:tcBorders/>
            <w:vAlign w:val="center"/>
          </w:tcPr>
          <w:p>
            <w:pPr>
              <w:pStyle w:val="TableContents"/>
              <w:bidi w:val="0"/>
              <w:spacing w:before="0" w:after="283"/>
              <w:jc w:val="both"/>
              <w:rPr/>
            </w:pPr>
            <w:r>
              <w:rPr>
                <w:u w:val="single"/>
              </w:rPr>
              <w:t>Year 8</w:t>
            </w:r>
            <w:r>
              <w:rPr/>
              <w:t xml:space="preserve">. Revenue Shares that are earned and vested with respect to Year 8 pursuant to </w:t>
            </w:r>
            <w:r>
              <w:rPr>
                <w:u w:val="single"/>
              </w:rPr>
              <w:t>Section 1.C</w:t>
            </w:r>
            <w:r>
              <w:rPr/>
              <w:t xml:space="preserve"> above shall become deliverable, subject to the 80/20 Rule provided in </w:t>
            </w:r>
            <w:r>
              <w:rPr>
                <w:u w:val="single"/>
              </w:rPr>
              <w:t>Section 2.G</w:t>
            </w:r>
            <w:r>
              <w:rPr/>
              <w:t xml:space="preserve"> below, as determined by the Compensation Committee on the Certification Date for Year 8, and any additional Activity-Based Shares that (i) are earned and vested with respect to performance in Year 8 as determined by the Compensation Committee on the Certification Date for Year 8 or (ii) are Carryover Activity-Based Shares from earlier performance years pursuant to </w:t>
            </w:r>
            <w:r>
              <w:rPr>
                <w:u w:val="single"/>
              </w:rPr>
              <w:t>Section 1.B</w:t>
            </w:r>
            <w:r>
              <w:rPr/>
              <w:t xml:space="preserve"> above shall become deliverable, in each case, subject to the 80/20 Rule provided in </w:t>
            </w:r>
            <w:r>
              <w:rPr>
                <w:u w:val="single"/>
              </w:rPr>
              <w:t>Section 2.G</w:t>
            </w:r>
            <w:r>
              <w:rPr/>
              <w:t xml:space="preserve"> below; provided that the aggregate number of Activity-Based Shares and Revenue Shares combined that shall be deliverable to you in respect of Year 8, after giving effect to the 80/20 Rule provided in </w:t>
            </w:r>
            <w:r>
              <w:rPr>
                <w:u w:val="single"/>
              </w:rPr>
              <w:t>Section 2.G</w:t>
            </w:r>
            <w:r>
              <w:rPr/>
              <w:t xml:space="preserve"> below, is 420,000 (which number shall be calculated inclusive of, and reduced by, any Activity-Based Shares and Revenue Shares that were delivered in 2033 in respect of Year 7).</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87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D.</w:t>
            </w:r>
          </w:p>
        </w:tc>
        <w:tc>
          <w:tcPr>
            <w:tcW w:w="9871" w:type="dxa"/>
            <w:tcBorders/>
            <w:vAlign w:val="center"/>
          </w:tcPr>
          <w:p>
            <w:pPr>
              <w:pStyle w:val="TableContents"/>
              <w:bidi w:val="0"/>
              <w:spacing w:before="0" w:after="283"/>
              <w:jc w:val="both"/>
              <w:rPr/>
            </w:pPr>
            <w:r>
              <w:rPr>
                <w:u w:val="single"/>
              </w:rPr>
              <w:t>Year 9</w:t>
            </w:r>
            <w:r>
              <w:rPr/>
              <w:t xml:space="preserve">. Any additional Revenue Shares that are earned and vested with respect to Year 9 pursuant to </w:t>
            </w:r>
            <w:r>
              <w:rPr>
                <w:u w:val="single"/>
              </w:rPr>
              <w:t>Section 1.C</w:t>
            </w:r>
            <w:r>
              <w:rPr/>
              <w:t xml:space="preserve"> above shall become deliverable, subject to the 80/20 Rule provided in </w:t>
            </w:r>
            <w:r>
              <w:rPr>
                <w:u w:val="single"/>
              </w:rPr>
              <w:t>Section 2.G</w:t>
            </w:r>
            <w:r>
              <w:rPr/>
              <w:t xml:space="preserve"> below, as determined by the Compensation Committee on the Certification Date for Year 9, and any additional Activity-Based Shares that (i) are earned and vested with respect to performance in Year 9 as determined by the Compensation Committee on the Certification Date for performance in Year 9 or (ii) are Carryover Activity-Based Shares from earlier performance years pursuant to </w:t>
            </w:r>
            <w:r>
              <w:rPr>
                <w:u w:val="single"/>
              </w:rPr>
              <w:t>Section 1.B</w:t>
            </w:r>
            <w:r>
              <w:rPr/>
              <w:t xml:space="preserve"> above, shall become deliverable, in each case, subject to the 80/20 Rule provided in </w:t>
            </w:r>
            <w:r>
              <w:rPr>
                <w:u w:val="single"/>
              </w:rPr>
              <w:t>Section 2.G</w:t>
            </w:r>
            <w:r>
              <w:rPr/>
              <w:t xml:space="preserve">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60"/>
        <w:gridCol w:w="9871"/>
      </w:tblGrid>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E.</w:t>
            </w:r>
          </w:p>
        </w:tc>
        <w:tc>
          <w:tcPr>
            <w:tcW w:w="9871" w:type="dxa"/>
            <w:tcBorders/>
            <w:vAlign w:val="center"/>
          </w:tcPr>
          <w:p>
            <w:pPr>
              <w:pStyle w:val="TableContents"/>
              <w:bidi w:val="0"/>
              <w:spacing w:before="0" w:after="283"/>
              <w:jc w:val="both"/>
              <w:rPr/>
            </w:pPr>
            <w:r>
              <w:rPr>
                <w:u w:val="single"/>
              </w:rPr>
              <w:t>Year 10</w:t>
            </w:r>
            <w:r>
              <w:rPr/>
              <w:t xml:space="preserve">. Any additional Revenue Shares that are earned and vested with respect to Year 10 pursuant to </w:t>
            </w:r>
            <w:r>
              <w:rPr>
                <w:u w:val="single"/>
              </w:rPr>
              <w:t>Section 1.C</w:t>
            </w:r>
            <w:r>
              <w:rPr/>
              <w:t xml:space="preserve"> above shall become deliverable as determined by Compensation Committee on the Certification Date for Year 10, and any additional Activity-Based Shares that (i) are earned and vested with respect to performance in Year 10 as determined by the Compensation Committee on the Certification Date in Year 10 or (ii) are Carryover Activity-Based Shares from earlier performance years pursuant to </w:t>
            </w:r>
            <w:r>
              <w:rPr>
                <w:u w:val="single"/>
              </w:rPr>
              <w:t>Section 1.B</w:t>
            </w:r>
            <w:r>
              <w:rPr/>
              <w:t xml:space="preserve"> above, shall become deliverable, in each case, subject to the rTSR True-Up provided in </w:t>
            </w:r>
            <w:r>
              <w:rPr>
                <w:u w:val="single"/>
              </w:rPr>
              <w:t>Section 1.D</w:t>
            </w:r>
            <w:r>
              <w:rPr/>
              <w:t xml:space="preserve"> above.</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87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F.</w:t>
            </w:r>
          </w:p>
        </w:tc>
        <w:tc>
          <w:tcPr>
            <w:tcW w:w="9871" w:type="dxa"/>
            <w:tcBorders/>
            <w:vAlign w:val="center"/>
          </w:tcPr>
          <w:p>
            <w:pPr>
              <w:pStyle w:val="TableContents"/>
              <w:bidi w:val="0"/>
              <w:spacing w:before="0" w:after="283"/>
              <w:jc w:val="both"/>
              <w:rPr/>
            </w:pPr>
            <w:r>
              <w:rPr>
                <w:u w:val="single"/>
              </w:rPr>
              <w:t>Taxes on Delivery</w:t>
            </w:r>
            <w:r>
              <w:rPr/>
              <w:t>. For clarity, any Activity-Based Shares and Revenue Shares that become deliverable hereunder shall be settled pursuant to the provisions set forth in Section 6 (“</w:t>
            </w:r>
            <w:r>
              <w:rPr>
                <w:i/>
              </w:rPr>
              <w:t>Delivery; Taxes</w:t>
            </w:r>
            <w:r>
              <w:rPr/>
              <w:t>”) of the Performance Restricted Stock Unit Agreement. You acknowledge and agree that the Company may withhold FICA employment taxes from compensation otherwise payable to you with respect to any amounts that are treated as nonqualified deferred compensation in the year in which the applicable vesting conditions have been satisfied.</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87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G.</w:t>
            </w:r>
          </w:p>
        </w:tc>
        <w:tc>
          <w:tcPr>
            <w:tcW w:w="9871" w:type="dxa"/>
            <w:tcBorders/>
            <w:vAlign w:val="center"/>
          </w:tcPr>
          <w:p>
            <w:pPr>
              <w:pStyle w:val="TableContents"/>
              <w:bidi w:val="0"/>
              <w:spacing w:before="0" w:after="283"/>
              <w:jc w:val="both"/>
              <w:rPr/>
            </w:pPr>
            <w:r>
              <w:rPr>
                <w:u w:val="single"/>
              </w:rPr>
              <w:t>80/20 Rule</w:t>
            </w:r>
            <w:r>
              <w:rPr/>
              <w:t xml:space="preserve">. Subject to </w:t>
            </w:r>
            <w:r>
              <w:rPr>
                <w:u w:val="single"/>
              </w:rPr>
              <w:t>Section 1.H</w:t>
            </w:r>
            <w:r>
              <w:rPr/>
              <w:t xml:space="preserve"> above, with respect to each of Years 1-9, only 80% of the number of PSUs that are earned and vested based on the provisions of </w:t>
            </w:r>
            <w:r>
              <w:rPr>
                <w:u w:val="single"/>
              </w:rPr>
              <w:t>Sections 1.B</w:t>
            </w:r>
            <w:r>
              <w:rPr/>
              <w:t xml:space="preserve"> and </w:t>
            </w:r>
            <w:r>
              <w:rPr>
                <w:u w:val="single"/>
              </w:rPr>
              <w:t>1.C</w:t>
            </w:r>
            <w:r>
              <w:rPr/>
              <w:t xml:space="preserve"> above (taking into account the limitations set forth in </w:t>
            </w:r>
            <w:r>
              <w:rPr>
                <w:u w:val="single"/>
              </w:rPr>
              <w:t>Sections 1.E</w:t>
            </w:r>
            <w:r>
              <w:rPr/>
              <w:t xml:space="preserve"> and </w:t>
            </w:r>
            <w:r>
              <w:rPr>
                <w:u w:val="single"/>
              </w:rPr>
              <w:t>1.F</w:t>
            </w:r>
            <w:r>
              <w:rPr/>
              <w:t xml:space="preserve">) shall be deliverable in the year following the applicable performance year, in accordance with the terms of this </w:t>
            </w:r>
            <w:r>
              <w:rPr>
                <w:u w:val="single"/>
              </w:rPr>
              <w:t>Section 2</w:t>
            </w:r>
            <w:r>
              <w:rPr/>
              <w:t xml:space="preserve">, and twenty percent (20%) of such PSUs shall be held back and shall not be delivered in accordance with the terms of this </w:t>
            </w:r>
            <w:r>
              <w:rPr>
                <w:u w:val="single"/>
              </w:rPr>
              <w:t>Section 2</w:t>
            </w:r>
            <w:r>
              <w:rPr/>
              <w:t xml:space="preserve"> until the Certification Date in respect of Year 10, when achievement of the rTSR modifier is certified by the Compensation Committee as set forth in </w:t>
            </w:r>
            <w:r>
              <w:rPr>
                <w:u w:val="single"/>
              </w:rPr>
              <w:t>Section 1.D</w:t>
            </w:r>
            <w:r>
              <w:rPr/>
              <w:t xml:space="preserve"> above (the “</w:t>
            </w:r>
            <w:r>
              <w:rPr>
                <w:b/>
              </w:rPr>
              <w:t>80/20 Rule</w:t>
            </w:r>
            <w:r>
              <w:rPr/>
              <w:t>”).</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87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871" w:type="dxa"/>
            <w:tcBorders/>
            <w:vAlign w:val="center"/>
          </w:tcPr>
          <w:p>
            <w:pPr>
              <w:pStyle w:val="TableContents"/>
              <w:bidi w:val="0"/>
              <w:spacing w:before="0" w:after="283"/>
              <w:jc w:val="both"/>
              <w:rPr/>
            </w:pPr>
            <w:r>
              <w:rPr>
                <w:rFonts w:ascii="Times New Roman;Times;Serif" w:hAnsi="Times New Roman;Times;Serif"/>
                <w:sz w:val="20"/>
                <w:u w:val="single"/>
              </w:rPr>
              <w:t>Holding Period</w:t>
            </w:r>
            <w:r>
              <w:rPr>
                <w:rFonts w:ascii="Times New Roman;Times;Serif" w:hAnsi="Times New Roman;Times;Serif"/>
                <w:sz w:val="20"/>
              </w:rPr>
              <w:t xml:space="preserve">. Subject to </w:t>
            </w:r>
            <w:r>
              <w:rPr>
                <w:rFonts w:ascii="Times New Roman;Times;Serif" w:hAnsi="Times New Roman;Times;Serif"/>
                <w:sz w:val="20"/>
                <w:u w:val="single"/>
              </w:rPr>
              <w:t>Section 1.H</w:t>
            </w:r>
            <w:r>
              <w:rPr>
                <w:rFonts w:ascii="Times New Roman;Times;Serif" w:hAnsi="Times New Roman;Times;Serif"/>
                <w:sz w:val="20"/>
              </w:rPr>
              <w:t xml:space="preserve"> above, any shares of Company common stock that are deliverable in respect of earned and vested PSUs and settled in accordance with the provisions of this </w:t>
            </w:r>
            <w:r>
              <w:rPr>
                <w:rFonts w:ascii="Times New Roman;Times;Serif" w:hAnsi="Times New Roman;Times;Serif"/>
                <w:sz w:val="20"/>
                <w:u w:val="single"/>
              </w:rPr>
              <w:t>Section 2</w:t>
            </w:r>
            <w:r>
              <w:rPr>
                <w:rFonts w:ascii="Times New Roman;Times;Serif" w:hAnsi="Times New Roman;Times;Serif"/>
                <w:sz w:val="20"/>
              </w:rPr>
              <w:t xml:space="preserve"> shall be subject to a mandatory holding period until the Certification Date for Year 10, during which time such shares of Company common stock shall be non-transferable and non-disposable by you (the </w:t>
            </w:r>
            <w:r>
              <w:rPr/>
              <w:t>“</w:t>
            </w:r>
            <w:r>
              <w:rPr>
                <w:b/>
              </w:rPr>
              <w:t>Holding Period</w:t>
            </w:r>
            <w:r>
              <w:rPr/>
              <w:t xml:space="preserve">”); </w:t>
            </w:r>
            <w:r>
              <w:rPr>
                <w:u w:val="single"/>
              </w:rPr>
              <w:t>provided</w:t>
            </w:r>
            <w:r>
              <w:rPr/>
              <w:t xml:space="preserve">, </w:t>
            </w:r>
            <w:r>
              <w:rPr>
                <w:u w:val="single"/>
              </w:rPr>
              <w:t>however</w:t>
            </w:r>
            <w:r>
              <w:rPr/>
              <w:t>, in the event that there is no Certification Date in respect of Year 10 for any reason the Holding Period shall apply until the date in 2036 on which the Compensation Committee, in the ordinary course, would have certified performance in respect of Year 10, but in no event later than February 15, 2036. During the Holding Period, you shall have all other rights and obligations attributable to the ownership of such shares of Company common stock. Notwithstanding the foregoing, during the Holding Period, a transfer by you for estate planning purposes to a trust or entity established by you for your benefit or the benefit of your Family Member(s) (as defined below) shall be permitted (such permitted transferee, a “</w:t>
            </w:r>
            <w:r>
              <w:rPr>
                <w:b/>
              </w:rPr>
              <w:t>Transferee</w:t>
            </w:r>
            <w:r>
              <w:rPr/>
              <w:t xml:space="preserve">”), </w:t>
            </w:r>
            <w:r>
              <w:rPr>
                <w:u w:val="single"/>
              </w:rPr>
              <w:t>provided</w:t>
            </w:r>
            <w:r>
              <w:rPr/>
              <w:t xml:space="preserve">, </w:t>
            </w:r>
            <w:r>
              <w:rPr>
                <w:u w:val="single"/>
              </w:rPr>
              <w:t>however</w:t>
            </w:r>
            <w:r>
              <w:rPr/>
              <w:t xml:space="preserve">, that in any and all cases the Transferee agrees in writing on a form prescribed by the Company to be bound by all provisions of this Notice (including the Holding Period), the Performance Restricted Stock Unit Agreement, and the Plan (which is incorporated herein by reference). For purposes of this </w:t>
            </w:r>
            <w:r>
              <w:rPr>
                <w:u w:val="single"/>
              </w:rPr>
              <w:t>Section 2.H</w:t>
            </w:r>
            <w:r>
              <w:rPr/>
              <w:t>, the term “</w:t>
            </w:r>
            <w:r>
              <w:rPr>
                <w:b/>
              </w:rPr>
              <w:t>Family Member</w:t>
            </w:r>
            <w:r>
              <w:rPr/>
              <w:t>” shall mean your child, stepchild, parent, stepparent, spouse, sibling, mother-in-law, father-in-law, son-in-law, daughter-in-law, brother-in-law, or sister-in-law. For the avoidance of doubt, any shares of Company common stock withheld pursuant to the provisions set forth in Section 6 (“</w:t>
            </w:r>
            <w:r>
              <w:rPr>
                <w:i/>
              </w:rPr>
              <w:t>Delivery; Taxes</w:t>
            </w:r>
            <w:r>
              <w:rPr/>
              <w:t xml:space="preserve">”) of the Performance Restricted Stock Unit Agreement shall not be deemed to be in contravention of the Holding Period. In addition, notwithstanding the foregoing, to the extent that the Holding Period applies to shares of Company common stock that have been delivered pursuant to this </w:t>
            </w:r>
            <w:r>
              <w:rPr>
                <w:u w:val="single"/>
              </w:rPr>
              <w:t>Section 2</w:t>
            </w:r>
            <w:r>
              <w:rPr/>
              <w:t>, the Holding Period shall end upon your death or Disability or upon a Change in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185"/>
        <w:gridCol w:w="234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345" w:type="dxa"/>
            <w:tcBorders/>
            <w:vAlign w:val="center"/>
          </w:tcPr>
          <w:p>
            <w:pPr>
              <w:pStyle w:val="TableContents"/>
              <w:bidi w:val="0"/>
              <w:spacing w:before="0" w:after="283"/>
              <w:jc w:val="both"/>
              <w:rPr/>
            </w:pPr>
            <w:r>
              <w:rPr>
                <w:u w:val="single"/>
              </w:rPr>
              <w:t>Treatment of Dividends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the Company declares a cash dividend between the Grant Date and the date that shares of Company common stock subject to this PSU Award (if any) are delivered to you pursuant to this Notice, you may earn Dividend Equivalents in cash hereunder in respect of the shares of Company common stock subject to this PSU Award as provided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In respect of any earned and vested PSUs hereunder, the Company shall pay you a single lump sum cash amount equal to the corresponding Dividend Equivalents earned, promptly and in any event within two regular payroll periods as maintained by the Company, following the date that shares of Company common stock subject to this PSU Award are delivered to you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above or on such earlier date in accordance with </w:t>
      </w:r>
      <w:r>
        <w:rPr>
          <w:rFonts w:ascii="Times New Roman;Times;Serif" w:hAnsi="Times New Roman;Times;Serif"/>
          <w:b w:val="false"/>
          <w:i w:val="false"/>
          <w:caps w:val="false"/>
          <w:smallCaps w:val="false"/>
          <w:sz w:val="20"/>
          <w:u w:val="single"/>
        </w:rPr>
        <w:t>Section 1.H</w:t>
      </w:r>
      <w:r>
        <w:rPr>
          <w:rFonts w:ascii="Times New Roman;Times;Serif" w:hAnsi="Times New Roman;Times;Serif"/>
          <w:b w:val="false"/>
          <w:i w:val="false"/>
          <w:caps w:val="false"/>
          <w:smallCaps w:val="false"/>
          <w:sz w:val="20"/>
        </w:rPr>
        <w:t xml:space="preserve"> above. For the avoidance of doubt, no interest shall accrue with respect to any Dividend Equivalent amount that may be earned hereunder. All Dividend Equivalents shall be forfeited to the extent the corresponding portion of the PSUs is forfeited and shall not be paid.</w:t>
      </w:r>
    </w:p>
    <w:p>
      <w:pPr>
        <w:pStyle w:val="TextBody"/>
        <w:bidi w:val="0"/>
        <w:spacing w:before="0" w:after="0"/>
        <w:ind w:left="0" w:right="0" w:hanging="0"/>
        <w:jc w:val="left"/>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215"/>
        <w:gridCol w:w="1145"/>
      </w:tblGrid>
      <w:tr>
        <w:trPr/>
        <w:tc>
          <w:tcPr>
            <w:tcW w:w="215" w:type="dxa"/>
            <w:tcBorders/>
            <w:vAlign w:val="center"/>
          </w:tcPr>
          <w:p>
            <w:pPr>
              <w:pStyle w:val="TableContents"/>
              <w:bidi w:val="0"/>
              <w:spacing w:before="0" w:after="283"/>
              <w:jc w:val="left"/>
              <w:rPr/>
            </w:pPr>
            <w:r>
              <w:rPr/>
              <w:t>4.</w:t>
            </w:r>
          </w:p>
        </w:tc>
        <w:tc>
          <w:tcPr>
            <w:tcW w:w="1145" w:type="dxa"/>
            <w:tcBorders/>
            <w:vAlign w:val="center"/>
          </w:tcPr>
          <w:p>
            <w:pPr>
              <w:pStyle w:val="TableContents"/>
              <w:bidi w:val="0"/>
              <w:spacing w:before="0" w:after="283"/>
              <w:jc w:val="both"/>
              <w:rPr/>
            </w:pPr>
            <w:r>
              <w:rPr>
                <w:u w:val="single"/>
              </w:rPr>
              <w:t>Definitions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Beginning Stock Price</w:t>
      </w:r>
      <w:r>
        <w:rPr>
          <w:rFonts w:ascii="Times New Roman;Times;Serif" w:hAnsi="Times New Roman;Times;Serif"/>
          <w:b w:val="false"/>
          <w:i w:val="false"/>
          <w:caps w:val="false"/>
          <w:smallCaps w:val="false"/>
          <w:sz w:val="20"/>
        </w:rPr>
        <w:t>” shall mean the price of $751.73 per share of Company common stock, reflecting the average Closing Price of a share of Company common stock for the thirty (30) trading days immediately preceding January 1, 2026, after adjusting for the Dividend Value,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shall have the meaning set forth in the Amended and Restated Employment Agreement, dated as of November 14, 2008, by and between Leonard S. Schleifer, M.D., Ph.D. and the Company, as in effect from time to time (the “</w:t>
      </w:r>
      <w:r>
        <w:rPr>
          <w:rFonts w:ascii="Times New Roman;Times;Serif" w:hAnsi="Times New Roman;Times;Serif"/>
          <w:b/>
          <w:i w:val="false"/>
          <w:caps w:val="false"/>
          <w:smallCaps w:val="false"/>
          <w:sz w:val="20"/>
        </w:rPr>
        <w:t>Employment Agreement</w:t>
      </w:r>
      <w:r>
        <w:rPr>
          <w:rFonts w:ascii="Times New Roman;Times;Serif" w:hAnsi="Times New Roman;Times;Serif"/>
          <w:b w:val="false"/>
          <w:i w:val="false"/>
          <w:caps w:val="false"/>
          <w:smallCaps w:val="false"/>
          <w:sz w:val="20"/>
        </w:rPr>
        <w:t>”), as applicable, as if such definition applied to you instead of Leonard S. Schleifer, M.D., Ph.D. with “Chief Scientific Officer” substituted for “Chief Executive Officer,” and except that clause (i) of such definition shall be deemed to refer to applicable restrictive covenant agreements and not to paragraphs 11 or 12 of the Employment Agreement. For the avoidance of doubt, nothing contained herein or in the definition of “Good Reason” below shall be construed to mean that you are a party to the Employment Agreement or shall have the benefits or burdens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Certification Date</w:t>
      </w:r>
      <w:r>
        <w:rPr>
          <w:rFonts w:ascii="Times New Roman;Times;Serif" w:hAnsi="Times New Roman;Times;Serif"/>
          <w:b w:val="false"/>
          <w:i w:val="false"/>
          <w:caps w:val="false"/>
          <w:smallCaps w:val="false"/>
          <w:sz w:val="20"/>
        </w:rPr>
        <w:t xml:space="preserve">” shall mean the date as of which the Compensation Committee certifies performance against the applicable vesting criteria set forth in </w:t>
      </w:r>
      <w:r>
        <w:rPr>
          <w:rFonts w:ascii="Times New Roman;Times;Serif" w:hAnsi="Times New Roman;Times;Serif"/>
          <w:b w:val="false"/>
          <w:i w:val="false"/>
          <w:caps w:val="false"/>
          <w:smallCaps w:val="false"/>
          <w:sz w:val="20"/>
          <w:u w:val="single"/>
        </w:rPr>
        <w:t>Section 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1.C</w:t>
      </w:r>
      <w:r>
        <w:rPr>
          <w:rFonts w:ascii="Times New Roman;Times;Serif" w:hAnsi="Times New Roman;Times;Serif"/>
          <w:b w:val="false"/>
          <w:i w:val="false"/>
          <w:caps w:val="false"/>
          <w:smallCaps w:val="false"/>
          <w:sz w:val="20"/>
        </w:rPr>
        <w:t xml:space="preserve">, as applicable, following the completion of each performance year during the Performance Period, which date shall occur (unless otherwise required by operation of </w:t>
      </w:r>
      <w:r>
        <w:rPr>
          <w:rFonts w:ascii="Times New Roman;Times;Serif" w:hAnsi="Times New Roman;Times;Serif"/>
          <w:b w:val="false"/>
          <w:i w:val="false"/>
          <w:caps w:val="false"/>
          <w:smallCaps w:val="false"/>
          <w:sz w:val="20"/>
          <w:u w:val="single"/>
        </w:rPr>
        <w:t>Section 1.H</w:t>
      </w:r>
      <w:r>
        <w:rPr>
          <w:rFonts w:ascii="Times New Roman;Times;Serif" w:hAnsi="Times New Roman;Times;Serif"/>
          <w:b w:val="false"/>
          <w:i w:val="false"/>
          <w:caps w:val="false"/>
          <w:smallCaps w:val="false"/>
          <w:sz w:val="20"/>
        </w:rPr>
        <w:t>) (i) in January of the calendar year following each completed performance year prior to Year 7 and (ii) in February of the calendar year following each of Year 7, Year 8, Year 9 and Year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Price</w:t>
      </w:r>
      <w:r>
        <w:rPr>
          <w:rFonts w:ascii="Times New Roman;Times;Serif" w:hAnsi="Times New Roman;Times;Serif"/>
          <w:b w:val="false"/>
          <w:i w:val="false"/>
          <w:caps w:val="false"/>
          <w:smallCaps w:val="false"/>
          <w:sz w:val="20"/>
        </w:rPr>
        <w:t>” of a share of Company common stock, as of a date of determination, shall mean (1) the closing sales price per share of Company common stock on the national securities exchange or national market system on which such stock is principally traded on such date or, if such date is not a trading day, on the last preceding date on which there was a sale of such stock on such exchange, or (2) if the shares of Company common stock are not then listed on a national securities exchange or national market system, or the value of such shares is not otherwise determinable, such value as determined by the Compensation Committee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Cumulative NBI Return</w:t>
      </w:r>
      <w:r>
        <w:rPr>
          <w:rFonts w:ascii="Times New Roman;Times;Serif" w:hAnsi="Times New Roman;Times;Serif"/>
          <w:b w:val="false"/>
          <w:i w:val="false"/>
          <w:caps w:val="false"/>
          <w:smallCaps w:val="false"/>
          <w:sz w:val="20"/>
        </w:rPr>
        <w:t>” shall mean the cumulative return of the Nasdaq Biotechnology Total Return Index (“</w:t>
      </w:r>
      <w:r>
        <w:rPr>
          <w:rFonts w:ascii="Times New Roman;Times;Serif" w:hAnsi="Times New Roman;Times;Serif"/>
          <w:b/>
          <w:i w:val="false"/>
          <w:caps w:val="false"/>
          <w:smallCaps w:val="false"/>
          <w:sz w:val="20"/>
        </w:rPr>
        <w:t>NBI</w:t>
      </w:r>
      <w:r>
        <w:rPr>
          <w:rFonts w:ascii="Times New Roman;Times;Serif" w:hAnsi="Times New Roman;Times;Serif"/>
          <w:b w:val="false"/>
          <w:i w:val="false"/>
          <w:caps w:val="false"/>
          <w:smallCaps w:val="false"/>
          <w:sz w:val="20"/>
        </w:rPr>
        <w:t>”) over the applicable measurement period, calculated with reference to (i) the average closing price of the NBI measured for the thirty (30) trading days immediately preceding January 1, 2026, and (ii) the average closing price of the NBI, measured for the thirty (30) trading days immediately preceding the applicable determination date,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shall mean a Permanent Disability, provided that such termination also qualifies as a termination of Service on account of a disability which meets the requirements of Section 1.409A-3(i)(4) of the Treasury Regulations, as determined by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Dividend Equivalent</w:t>
      </w:r>
      <w:r>
        <w:rPr>
          <w:rFonts w:ascii="Times New Roman;Times;Serif" w:hAnsi="Times New Roman;Times;Serif"/>
          <w:b w:val="false"/>
          <w:i w:val="false"/>
          <w:caps w:val="false"/>
          <w:smallCaps w:val="false"/>
          <w:sz w:val="20"/>
        </w:rPr>
        <w:t xml:space="preserve">” shall mean the cash equivalent amount of any dividends paid by the Company on a share of Company common stock between the Grant Date and the applicable settlement date (as provided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above) for the shares subject to this PSU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Dividend Value</w:t>
      </w:r>
      <w:r>
        <w:rPr>
          <w:rFonts w:ascii="Times New Roman;Times;Serif" w:hAnsi="Times New Roman;Times;Serif"/>
          <w:b w:val="false"/>
          <w:i w:val="false"/>
          <w:caps w:val="false"/>
          <w:smallCaps w:val="false"/>
          <w:sz w:val="20"/>
        </w:rPr>
        <w:t>” shall mean the value of any dividends paid on a share of Company common stock, or on a share of the common stock or common share of each constituent company of the NBI, as applicable, during the applicable measurement period, with the payment date deemed to have occurred on the ex-dividend date for such dividend and the amount of such dividend deemed reinvested in shares of Company common stock, or in shares of the common stock or common shares of each constituent company of the NBI, as applicable, as of the ex-dividend date (based on the Closing Price of such shares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Employment Agreement</w:t>
      </w:r>
      <w:r>
        <w:rPr>
          <w:rFonts w:ascii="Times New Roman;Times;Serif" w:hAnsi="Times New Roman;Times;Serif"/>
          <w:b w:val="false"/>
          <w:i w:val="false"/>
          <w:caps w:val="false"/>
          <w:smallCaps w:val="false"/>
          <w:sz w:val="20"/>
        </w:rPr>
        <w:t>” is defined within the definition of “Cause”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Ending Stock Price</w:t>
      </w:r>
      <w:r>
        <w:rPr>
          <w:rFonts w:ascii="Times New Roman;Times;Serif" w:hAnsi="Times New Roman;Times;Serif"/>
          <w:b w:val="false"/>
          <w:i w:val="false"/>
          <w:caps w:val="false"/>
          <w:smallCaps w:val="false"/>
          <w:sz w:val="20"/>
        </w:rPr>
        <w:t>” shall mean the average Closing Price of a share of Company common stock for the thirty (30) trading days immediately preceding the applicable determination date, after adjusting for the Dividend Value,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Good Reason</w:t>
      </w:r>
      <w:r>
        <w:rPr>
          <w:rFonts w:ascii="Times New Roman;Times;Serif" w:hAnsi="Times New Roman;Times;Serif"/>
          <w:b w:val="false"/>
          <w:i w:val="false"/>
          <w:caps w:val="false"/>
          <w:smallCaps w:val="false"/>
          <w:sz w:val="20"/>
        </w:rPr>
        <w:t xml:space="preserve">” shall have the meaning (i) set forth in the Employment Agreement, as applicable, as if such definition applied to you instead of Leonard S. Schleifer, M.D., Ph.D. with “Chief Scientific Officer” substituted for “Chief Executive Officer,” and except that (A) clause (iii) thereof shall be deemed to refer to the failure of the Company to pay any material amount due to you from the Company within ten (10) days after the later of its due date or your written demand for payment of such amount, and (B) clause (iv) thereof shall be deemed to refer to a material breach by the Company of any provision of a written agreement with you (if any) which is not cured within thirty (30) days after your giving of written notice of such breach to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such definition shall be deemed, solely for purposes of this Notice, to include as grounds for Good Reason that the employment of Leonard S. Schleifer, M.D., Ph.D. with the Company under the Employment Agreement has ended due to Dr. Schleifer’s Involuntary Termination (as defined in the Employment Agreement); or (ii) at a time when you are no longer employed by the Company because your employment has been terminated without Cause or you have resigned from your employment for a reason specified in clause (i) of this definition of “Good Reason” but your Service continues because you serve as a member of the Board of Directors or a consultant to the Company, shall mean your voluntary resignation or other termination of your service as a member of the Board of Directors or voluntary resignation or termination of your service as a consultant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NBI</w:t>
      </w:r>
      <w:r>
        <w:rPr>
          <w:rFonts w:ascii="Times New Roman;Times;Serif" w:hAnsi="Times New Roman;Times;Serif"/>
          <w:b w:val="false"/>
          <w:i w:val="false"/>
          <w:caps w:val="false"/>
          <w:smallCaps w:val="false"/>
          <w:sz w:val="20"/>
        </w:rPr>
        <w:t>” is defined within the definition of “Cumulative NBI Return”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Product</w:t>
      </w:r>
      <w:r>
        <w:rPr>
          <w:rFonts w:ascii="Times New Roman;Times;Serif" w:hAnsi="Times New Roman;Times;Serif"/>
          <w:b w:val="false"/>
          <w:i w:val="false"/>
          <w:caps w:val="false"/>
          <w:smallCaps w:val="false"/>
          <w:sz w:val="20"/>
        </w:rPr>
        <w:t>” shall mean any product of the Company resulting from (i) any BLA or NDA filed by the Company after January 1, 2026 and approved by the FDA during the period from January 1, 2026 through December 31, 2035 or (ii) a purchase (including by means of merger or acquisition activities) by the Company from a third party or parties completed during the Performance Period (a “</w:t>
      </w:r>
      <w:r>
        <w:rPr>
          <w:rFonts w:ascii="Times New Roman;Times;Serif" w:hAnsi="Times New Roman;Times;Serif"/>
          <w:b/>
          <w:i w:val="false"/>
          <w:caps w:val="false"/>
          <w:smallCaps w:val="false"/>
          <w:sz w:val="20"/>
        </w:rPr>
        <w:t>Purchase</w:t>
      </w:r>
      <w:r>
        <w:rPr>
          <w:rFonts w:ascii="Times New Roman;Times;Serif" w:hAnsi="Times New Roman;Times;Serif"/>
          <w:b w:val="false"/>
          <w:i w:val="false"/>
          <w:caps w:val="false"/>
          <w:smallCaps w:val="false"/>
          <w:sz w:val="20"/>
        </w:rPr>
        <w:t>”). For the avoidance of doubt, (i) Ordspono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(odronextamab) shall be considered a New Product if such product is approved by the FDA, (ii) Lynozyfic</w:t>
      </w:r>
      <w:r>
        <w:rPr>
          <w:rFonts w:ascii="Times New Roman;Times;Serif" w:hAnsi="Times New Roman;Times;Serif"/>
          <w:b w:val="false"/>
          <w:i w:val="false"/>
          <w:caps w:val="false"/>
          <w:smallCaps w:val="false"/>
          <w:position w:val="5"/>
          <w:sz w:val="13"/>
          <w:sz w:val="16"/>
        </w:rPr>
        <w:t>®</w:t>
      </w:r>
      <w:r>
        <w:rPr>
          <w:rFonts w:ascii="Times New Roman;Times;Serif" w:hAnsi="Times New Roman;Times;Serif"/>
          <w:b w:val="false"/>
          <w:i w:val="false"/>
          <w:caps w:val="false"/>
          <w:smallCaps w:val="false"/>
          <w:sz w:val="20"/>
        </w:rPr>
        <w:t xml:space="preserve"> (linvoseltamab) shall be considered a New Product if such product receives FDA approval for earlier lines of treatment in multiple myeloma as compared to the indication approved by the FDA as of the Grant Date or FDA approval of another indication, and (iii) Otarmeni™ (lunsotogene parvec) shall be considered a New Product if such product receives FDA approval in an indication that expands the eligible patient population for the product beyond the eligible patient population for the indication approved by the FDA as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Product Revenue</w:t>
      </w:r>
      <w:r>
        <w:rPr>
          <w:rFonts w:ascii="Times New Roman;Times;Serif" w:hAnsi="Times New Roman;Times;Serif"/>
          <w:b w:val="false"/>
          <w:i w:val="false"/>
          <w:caps w:val="false"/>
          <w:smallCaps w:val="false"/>
          <w:sz w:val="20"/>
        </w:rPr>
        <w:t>” shall mean the sum of (i) the aggregate annual global net product sales of each wholly owned New Product not resulting from a Purchase (and including, for the avoidance of doubt, net product sales of Ordspono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(odronextamab), Lynozyfic</w:t>
      </w:r>
      <w:r>
        <w:rPr>
          <w:rFonts w:ascii="Times New Roman;Times;Serif" w:hAnsi="Times New Roman;Times;Serif"/>
          <w:b w:val="false"/>
          <w:i w:val="false"/>
          <w:caps w:val="false"/>
          <w:smallCaps w:val="false"/>
          <w:position w:val="5"/>
          <w:sz w:val="13"/>
          <w:sz w:val="16"/>
        </w:rPr>
        <w:t>®</w:t>
      </w:r>
      <w:r>
        <w:rPr>
          <w:rFonts w:ascii="Times New Roman;Times;Serif" w:hAnsi="Times New Roman;Times;Serif"/>
          <w:b w:val="false"/>
          <w:i w:val="false"/>
          <w:caps w:val="false"/>
          <w:smallCaps w:val="false"/>
          <w:sz w:val="20"/>
        </w:rPr>
        <w:t xml:space="preserve"> (linvoseltamab) and/or Otarmeni</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(lunsotogene parvec) only to the extent they qualify as a New Product following the Grant Date based on the definition of “New Product” set forth above); (ii) the aggregate incremental annual global net product sales of each wholly owned New Product resulting from a Purchase over its pre-Purchase aggregate annual global net product sales for the most recently completed fiscal period prior to such Purchase; and (iii) for any New Product subject to a collaboration with one or more third parties, the product of (a) the aggregate annual global net product sales of each such collaborated New Product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(b) the Company’s share of profits for such collaborated New Product (provided that, for any such collaborated New Product resulting from a Purchase, clause (ii)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In determining New Product Revenue at any time or from time to time, the Compensation Committee may, in good faith, adjust New Product Revenue to take into account any material differences in wholesaler inventory levels compared to historical trends based on information provided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Performance Period</w:t>
      </w:r>
      <w:r>
        <w:rPr>
          <w:rFonts w:ascii="Times New Roman;Times;Serif" w:hAnsi="Times New Roman;Times;Serif"/>
          <w:b w:val="false"/>
          <w:i w:val="false"/>
          <w:caps w:val="false"/>
          <w:smallCaps w:val="false"/>
          <w:sz w:val="20"/>
        </w:rPr>
        <w:t>” shall mean the period from January 1, 2026 through December 31,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Performance Restricted Stock Unit Agreement</w:t>
      </w:r>
      <w:r>
        <w:rPr>
          <w:rFonts w:ascii="Times New Roman;Times;Serif" w:hAnsi="Times New Roman;Times;Serif"/>
          <w:b w:val="false"/>
          <w:i w:val="false"/>
          <w:caps w:val="false"/>
          <w:smallCaps w:val="false"/>
          <w:sz w:val="20"/>
        </w:rPr>
        <w:t>” shall mean the Regeneron Pharmaceuticals, Inc. Performance Restricted Stock Unit Agreement Pursuant to the Second Amended and Restated Regeneron Pharmaceuticals, Inc. 2014 Long-Term Incentive Plan, as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Permanent Disability</w:t>
      </w:r>
      <w:r>
        <w:rPr>
          <w:rFonts w:ascii="Times New Roman;Times;Serif" w:hAnsi="Times New Roman;Times;Serif"/>
          <w:b w:val="false"/>
          <w:i w:val="false"/>
          <w:caps w:val="false"/>
          <w:smallCaps w:val="false"/>
          <w:sz w:val="20"/>
        </w:rPr>
        <w:t>” means your inability, by reason of any physical or mental impairment, to substantially perform the significant aspects of your regular duties and which inability is reasonably contemplated to continue for at least one (1) year from its incurrence and at least ninety (90) days from the date of such vote. Any question as to the existence, extent, or potentiality of your Permanent Disability shall be determined by a qualified independent physician selected by you (or, if you are unable to make such selection, by an adult member of your immediate family), and reasonably acceptable to the Company. Such physician’s written determination of your Permanent Disability shall, upon delivery to the Company, be final and conclusive for purposes of this PSU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shall mean the Second Amended and Restated Regeneron Pharmaceuticals, Inc. 2014 Long-Term Incentive Plan,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w:t>
      </w:r>
      <w:r>
        <w:rPr>
          <w:rFonts w:ascii="Times New Roman;Times;Serif" w:hAnsi="Times New Roman;Times;Serif"/>
          <w:b w:val="false"/>
          <w:i w:val="false"/>
          <w:caps w:val="false"/>
          <w:smallCaps w:val="false"/>
          <w:sz w:val="20"/>
        </w:rPr>
        <w:t>” is defined within the definition of “New Product”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shall mean, collectively, Activity-Based Shares and Revenue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TSR</w:t>
      </w:r>
      <w:r>
        <w:rPr>
          <w:rFonts w:ascii="Times New Roman;Times;Serif" w:hAnsi="Times New Roman;Times;Serif"/>
          <w:b w:val="false"/>
          <w:i w:val="false"/>
          <w:caps w:val="false"/>
          <w:smallCaps w:val="false"/>
          <w:sz w:val="20"/>
        </w:rPr>
        <w:t>” shall mean the percent return on a share of Company common stock, determined using the following calculation:</w:t>
      </w:r>
    </w:p>
    <w:p>
      <w:pPr>
        <w:pStyle w:val="TextBody"/>
        <w:bidi w:val="0"/>
        <w:spacing w:before="0" w:after="0"/>
        <w:ind w:left="0" w:right="0" w:hanging="0"/>
        <w:jc w:val="left"/>
        <w:rPr>
          <w:caps w:val="false"/>
          <w:smallCaps w:val="false"/>
        </w:rPr>
      </w:pPr>
      <w:r>
        <w:rPr>
          <w:caps w:val="false"/>
          <w:smallCaps w:val="false"/>
        </w:rPr>
        <w:t> </w:t>
      </w:r>
    </w:p>
    <w:tbl>
      <w:tblPr>
        <w:tblW w:w="4120" w:type="dxa"/>
        <w:jc w:val="center"/>
        <w:tblInd w:w="0" w:type="dxa"/>
        <w:tblLayout w:type="fixed"/>
        <w:tblCellMar>
          <w:top w:w="0" w:type="dxa"/>
          <w:left w:w="0" w:type="dxa"/>
          <w:bottom w:w="0" w:type="dxa"/>
          <w:right w:w="0" w:type="dxa"/>
        </w:tblCellMar>
      </w:tblPr>
      <w:tblGrid>
        <w:gridCol w:w="590"/>
        <w:gridCol w:w="3530"/>
      </w:tblGrid>
      <w:tr>
        <w:trPr/>
        <w:tc>
          <w:tcPr>
            <w:tcW w:w="590" w:type="dxa"/>
            <w:vMerge w:val="restart"/>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TSR = </w:t>
            </w:r>
          </w:p>
        </w:tc>
        <w:tc>
          <w:tcPr>
            <w:tcW w:w="3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Ending Stock Price−Beginning Stock Price</w:t>
            </w:r>
          </w:p>
        </w:tc>
      </w:tr>
      <w:tr>
        <w:trPr/>
        <w:tc>
          <w:tcPr>
            <w:tcW w:w="590" w:type="dxa"/>
            <w:vMerge w:val="continue"/>
            <w:tcBorders/>
            <w:vAlign w:val="center"/>
          </w:tcPr>
          <w:p>
            <w:pPr>
              <w:pStyle w:val="Normal"/>
              <w:bidi w:val="0"/>
              <w:jc w:val="left"/>
              <w:rPr/>
            </w:pPr>
            <w:r>
              <w:rPr/>
            </w:r>
          </w:p>
        </w:tc>
        <w:tc>
          <w:tcPr>
            <w:tcW w:w="35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Beginning Stock Price</w:t>
            </w:r>
          </w:p>
        </w:tc>
      </w:tr>
    </w:tbl>
    <w:p>
      <w:pPr>
        <w:pStyle w:val="TextBody"/>
        <w:bidi w:val="0"/>
        <w:spacing w:before="0" w:after="0"/>
        <w:ind w:left="0" w:right="0" w:hanging="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215"/>
        <w:gridCol w:w="1385"/>
      </w:tblGrid>
      <w:tr>
        <w:trPr/>
        <w:tc>
          <w:tcPr>
            <w:tcW w:w="215" w:type="dxa"/>
            <w:tcBorders/>
            <w:vAlign w:val="center"/>
          </w:tcPr>
          <w:p>
            <w:pPr>
              <w:pStyle w:val="TableContents"/>
              <w:bidi w:val="0"/>
              <w:spacing w:before="0" w:after="283"/>
              <w:jc w:val="left"/>
              <w:rPr/>
            </w:pPr>
            <w:r>
              <w:rPr/>
              <w:t>5.</w:t>
            </w:r>
          </w:p>
        </w:tc>
        <w:tc>
          <w:tcPr>
            <w:tcW w:w="1385" w:type="dxa"/>
            <w:tcBorders/>
            <w:vAlign w:val="center"/>
          </w:tcPr>
          <w:p>
            <w:pPr>
              <w:pStyle w:val="TableContents"/>
              <w:bidi w:val="0"/>
              <w:spacing w:before="0" w:after="283"/>
              <w:jc w:val="both"/>
              <w:rPr/>
            </w:pPr>
            <w:r>
              <w:rPr>
                <w:u w:val="single"/>
              </w:rPr>
              <w:t>Special Rules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and notwithstanding any other provision of this Notice, the Performance Restricted Stock Unit Agreement, or the Plan to the contrary, no termination of Service shall be deemed to take place unless you cease both to be employed by and to provide service to the Company (including any successor to the Company) and/or its Subsidiaries as a consultant or as a member of the Board. In addition, to the extent necessary to comply with the requirements of Section 409A of the Code, no termination shall be deemed to occur unless the termination constitutes a “separation from service” for purposes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and the Company agree that these Performance Restricted Stock Units are granted under and governed by the terms and conditions of the Plan and the enclosed Performance Restricted Stock Unit Agreement, both of which are attached and made a part of this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409A Rules</w:t>
      </w:r>
      <w:r>
        <w:rPr>
          <w:rFonts w:ascii="Times New Roman;Times;Serif" w:hAnsi="Times New Roman;Times;Serif"/>
          <w:b w:val="false"/>
          <w:i w:val="false"/>
          <w:caps w:val="false"/>
          <w:smallCaps w:val="false"/>
          <w:sz w:val="20"/>
        </w:rPr>
        <w:t>. The Performance Restricted Stock Units are intended to comply with the requirements of Section 409A of the Code and shall be administered and interpreted in a manner consistent with this intent. If the Company determines that this award is subject to Section 409A of the Code and that it does not comply with or is inconsistent with the applicable requirements, the Company may, in its sole discretion, and without your consent, amend this award to cause it to comply with Section 409A of the Code. Notwithstanding any provision of this Notice to the contrary, in the event that any settlement of the Performance Restricted Stock Units occurs as a result of your termination of employment and the Company determines that you are a “specified employee” (within the meaning of Section 409A of the Code) subject to Section 409A of the Code at the time of your termination of employment, and provided further that such settlement does not otherwise qualify for an applicable exemption from Section 409A of the Code, then no such settlement shall occur until the date that is the earlier to occur of: (i) your death, or (ii) six (6) months and one (1) day following your termination of employment. To the extent necessary to comply with Section 409A of the Code, the terms “retirement,” “terminate,” “termination,” “termination of employment,” “termination of Service,” and variations thereof as used in this Award Agreement are intended to mean a “separation from service” as such term is defined under Section 409A of the Code. Although this award is intended to comply with the requirements of Section 409A of the Code, the Company does not represent or warrant that this award or the payments provided hereunder will comply with Section 409A of the Code or any other provisions of federal, state, local, or non-U.S. law. The Company shall not be liable to you (or any other individual claiming a benefit through you) for any tax, interest, or penalties you may owe as a result of compensation paid under this award, and the Company shall have no obligation to indemnify or otherwise protect you from the obligation to pay any taxes pursuant to Section 409A of the Code. Each payment of shares of Company common stock hereunder shall be considered a separate payment for purposes of Code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REGENERON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RESTRICTED STOCK UNIT AGREEMENT</w:t>
        <w:br/>
        <w:t>PURSUANT TO</w:t>
        <w:br/>
        <w:t>THE SECOND AMENDED AND RESTATED REGENERON PHARMACEUTICALS, INC.</w:t>
        <w:br/>
        <w:t>2014 LONG-TERM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made as of the date on the </w:t>
      </w:r>
      <w:r>
        <w:rPr>
          <w:rFonts w:ascii="Times New Roman;Times;Serif" w:hAnsi="Times New Roman;Times;Serif"/>
          <w:b w:val="false"/>
          <w:i/>
          <w:caps w:val="false"/>
          <w:smallCaps w:val="false"/>
          <w:sz w:val="20"/>
        </w:rPr>
        <w:t xml:space="preserve">Notice of Grant of Performance Restricted Stock Units, </w:t>
      </w:r>
      <w:r>
        <w:rPr>
          <w:rFonts w:ascii="Times New Roman;Times;Serif" w:hAnsi="Times New Roman;Times;Serif"/>
          <w:b w:val="false"/>
          <w:i w:val="false"/>
          <w:caps w:val="false"/>
          <w:smallCaps w:val="false"/>
          <w:sz w:val="20"/>
        </w:rPr>
        <w:t>by and between Regeneron Pharmaceuticals, Inc., a New York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together with its Subsidiaries, the “</w:t>
      </w:r>
      <w:r>
        <w:rPr>
          <w:rFonts w:ascii="Times New Roman;Times;Serif" w:hAnsi="Times New Roman;Times;Serif"/>
          <w:b w:val="false"/>
          <w:i w:val="false"/>
          <w:caps w:val="false"/>
          <w:smallCaps w:val="false"/>
          <w:sz w:val="20"/>
          <w:u w:val="single"/>
        </w:rPr>
        <w:t>Employer</w:t>
      </w:r>
      <w:r>
        <w:rPr>
          <w:rFonts w:ascii="Times New Roman;Times;Serif" w:hAnsi="Times New Roman;Times;Serif"/>
          <w:b w:val="false"/>
          <w:i w:val="false"/>
          <w:caps w:val="false"/>
          <w:smallCaps w:val="false"/>
          <w:sz w:val="20"/>
        </w:rPr>
        <w:t xml:space="preserve">”), and the employee named on the </w:t>
      </w:r>
      <w:r>
        <w:rPr>
          <w:rFonts w:ascii="Times New Roman;Times;Serif" w:hAnsi="Times New Roman;Times;Serif"/>
          <w:b w:val="false"/>
          <w:i/>
          <w:caps w:val="false"/>
          <w:smallCaps w:val="false"/>
          <w:sz w:val="20"/>
        </w:rPr>
        <w:t xml:space="preserve">Notice of Grant of Performance Restricted Stock Units </w:t>
      </w:r>
      <w:r>
        <w:rPr>
          <w:rFonts w:ascii="Times New Roman;Times;Serif" w:hAnsi="Times New Roman;Times;Serif"/>
          <w:b w:val="false"/>
          <w:i w:val="false"/>
          <w:caps w:val="false"/>
          <w:smallCaps w:val="false"/>
          <w:sz w:val="20"/>
        </w:rPr>
        <w:t>(the “</w:t>
      </w:r>
      <w:r>
        <w:rPr>
          <w:rFonts w:ascii="Times New Roman;Times;Serif" w:hAnsi="Times New Roman;Times;Serif"/>
          <w:b w:val="false"/>
          <w:i w:val="false"/>
          <w:caps w:val="false"/>
          <w:smallCaps w:val="false"/>
          <w:sz w:val="20"/>
          <w:u w:val="single"/>
        </w:rPr>
        <w:t>Recipient</w:t>
      </w:r>
      <w:r>
        <w:rPr>
          <w:rFonts w:ascii="Times New Roman;Times;Serif" w:hAnsi="Times New Roman;Times;Serif"/>
          <w:b w:val="false"/>
          <w:i w:val="false"/>
          <w:caps w:val="false"/>
          <w:smallCaps w:val="false"/>
          <w:sz w:val="20"/>
        </w:rPr>
        <w:t xml:space="preserve">”). Any capitalized term used but not defined in this Agreement shall have the meaning given to such term in the </w:t>
      </w:r>
      <w:r>
        <w:rPr>
          <w:rFonts w:ascii="Times New Roman;Times;Serif" w:hAnsi="Times New Roman;Times;Serif"/>
          <w:b w:val="false"/>
          <w:i/>
          <w:caps w:val="false"/>
          <w:smallCaps w:val="false"/>
          <w:sz w:val="20"/>
        </w:rPr>
        <w:t>Notice of Grant of Performance Restricted Stock Units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Recipient is an employee of the Company (or a Subsidiary of the Company) and the Company desires to afford the Recipient the opportunity to acquire or enlarge the Recipient’s stock ownership in the Company so that the Recipient may have a direct proprietary interest in the Company’s success;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Committee administering the Second Amended and Restated Regeneron Pharmaceuticals, Inc. 2014 Long-Term Incentive Plan (as amended from time to time,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xml:space="preserve">”), upon the approval of the non-employee members of the Board of Directors, has granted (as of the effective date of grant specified in the </w:t>
      </w:r>
      <w:r>
        <w:rPr>
          <w:rFonts w:ascii="Times New Roman;Times;Serif" w:hAnsi="Times New Roman;Times;Serif"/>
          <w:b w:val="false"/>
          <w:i/>
          <w:caps w:val="false"/>
          <w:smallCaps w:val="false"/>
          <w:sz w:val="20"/>
        </w:rPr>
        <w:t>Notice of Grant of Performance Restricted Stock Units</w:t>
      </w:r>
      <w:r>
        <w:rPr>
          <w:rFonts w:ascii="Times New Roman;Times;Serif" w:hAnsi="Times New Roman;Times;Serif"/>
          <w:b w:val="false"/>
          <w:i w:val="false"/>
          <w:caps w:val="false"/>
          <w:smallCaps w:val="false"/>
          <w:sz w:val="20"/>
        </w:rPr>
        <w:t xml:space="preserve">) to the Recipient a Performance Restricted Stock Unit (as defined below) with respect to the number of shares of Company Stock as set forth in the </w:t>
      </w:r>
      <w:r>
        <w:rPr>
          <w:rFonts w:ascii="Times New Roman;Times;Serif" w:hAnsi="Times New Roman;Times;Serif"/>
          <w:b w:val="false"/>
          <w:i/>
          <w:caps w:val="false"/>
          <w:smallCaps w:val="false"/>
          <w:sz w:val="20"/>
        </w:rPr>
        <w:t>Notice of Grant of Performance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covenants and agreements herein contained,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Grant of Award</w:t>
      </w:r>
      <w:r>
        <w:rPr>
          <w:rFonts w:ascii="Times New Roman;Times;Serif" w:hAnsi="Times New Roman;Times;Serif"/>
          <w:b w:val="false"/>
          <w:i w:val="false"/>
          <w:caps w:val="false"/>
          <w:smallCaps w:val="false"/>
          <w:sz w:val="20"/>
        </w:rPr>
        <w:t>. Pursuant to Section 9 of the Plan, the Company grants to the Recipient, subject to the terms and conditions of the Plan and subject further to the terms and conditions set forth herein, a restricted stock unit (referred to in the Plan as “Phantom Stock”) (each such unit, a “</w:t>
      </w:r>
      <w:r>
        <w:rPr>
          <w:rFonts w:ascii="Times New Roman;Times;Serif" w:hAnsi="Times New Roman;Times;Serif"/>
          <w:b w:val="false"/>
          <w:i w:val="false"/>
          <w:caps w:val="false"/>
          <w:smallCaps w:val="false"/>
          <w:sz w:val="20"/>
          <w:u w:val="single"/>
        </w:rPr>
        <w:t>Performance Restricted Stock Unit</w:t>
      </w:r>
      <w:r>
        <w:rPr>
          <w:rFonts w:ascii="Times New Roman;Times;Serif" w:hAnsi="Times New Roman;Times;Serif"/>
          <w:b w:val="false"/>
          <w:i w:val="false"/>
          <w:caps w:val="false"/>
          <w:smallCaps w:val="false"/>
          <w:sz w:val="20"/>
        </w:rPr>
        <w:t xml:space="preserve">”) with respect to the number of shares of Company Stock as determined in accordance with the </w:t>
      </w:r>
      <w:r>
        <w:rPr>
          <w:rFonts w:ascii="Times New Roman;Times;Serif" w:hAnsi="Times New Roman;Times;Serif"/>
          <w:b w:val="false"/>
          <w:i/>
          <w:caps w:val="false"/>
          <w:smallCaps w:val="false"/>
          <w:sz w:val="20"/>
        </w:rPr>
        <w:t xml:space="preserve">Notice of Grant of Performance Restricted Stock Units. </w:t>
      </w:r>
      <w:r>
        <w:rPr>
          <w:rFonts w:ascii="Times New Roman;Times;Serif" w:hAnsi="Times New Roman;Times;Serif"/>
          <w:b w:val="false"/>
          <w:i w:val="false"/>
          <w:caps w:val="false"/>
          <w:smallCaps w:val="false"/>
          <w:sz w:val="20"/>
        </w:rPr>
        <w:t>The Recipient’s record of Company Stock ownership shall be recorded in the books of the Company only when and to the extent the Performance Restricted Stock Units vest and the shares of Company Stock are issued. At the Recipient’s request, vested shares that have been issued may be evidenced by stock certificates or book-entry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Vesting; Forfeiture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Performance Restricted Stock Units granted to the Recipient shall vest or be forfeited as provided in the </w:t>
      </w:r>
      <w:r>
        <w:rPr>
          <w:rFonts w:ascii="Times New Roman;Times;Serif" w:hAnsi="Times New Roman;Times;Serif"/>
          <w:b w:val="false"/>
          <w:i/>
          <w:caps w:val="false"/>
          <w:smallCaps w:val="false"/>
          <w:sz w:val="20"/>
        </w:rPr>
        <w:t xml:space="preserve">Notice of Grant of Performance Restricted Stock Units. </w:t>
      </w:r>
      <w:r>
        <w:rPr>
          <w:rFonts w:ascii="Times New Roman;Times;Serif" w:hAnsi="Times New Roman;Times;Serif"/>
          <w:b w:val="false"/>
          <w:i w:val="false"/>
          <w:caps w:val="false"/>
          <w:smallCaps w:val="false"/>
          <w:sz w:val="20"/>
        </w:rPr>
        <w:t xml:space="preserve">The provisions of this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are subject to the provisions set forth in the </w:t>
      </w:r>
      <w:r>
        <w:rPr>
          <w:rFonts w:ascii="Times New Roman;Times;Serif" w:hAnsi="Times New Roman;Times;Serif"/>
          <w:b w:val="false"/>
          <w:i/>
          <w:caps w:val="false"/>
          <w:smallCaps w:val="false"/>
          <w:sz w:val="20"/>
        </w:rPr>
        <w:t xml:space="preserve">Notice of Grant of Performance Restricted Stock Units </w:t>
      </w:r>
      <w:r>
        <w:rPr>
          <w:rFonts w:ascii="Times New Roman;Times;Serif" w:hAnsi="Times New Roman;Times;Serif"/>
          <w:b w:val="false"/>
          <w:i w:val="false"/>
          <w:caps w:val="false"/>
          <w:smallCaps w:val="false"/>
          <w:sz w:val="20"/>
        </w:rPr>
        <w:t xml:space="preserve">and the Recipient acknowledges and agrees that except as specifically set forth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of this Agreement with respect to potential excise tax, the provisions of this Agreement and the </w:t>
      </w:r>
      <w:r>
        <w:rPr>
          <w:rFonts w:ascii="Times New Roman;Times;Serif" w:hAnsi="Times New Roman;Times;Serif"/>
          <w:b w:val="false"/>
          <w:i/>
          <w:caps w:val="false"/>
          <w:smallCaps w:val="false"/>
          <w:sz w:val="20"/>
        </w:rPr>
        <w:t xml:space="preserve">Notice of Grant of Performance Restricted Stock Units </w:t>
      </w:r>
      <w:r>
        <w:rPr>
          <w:rFonts w:ascii="Times New Roman;Times;Serif" w:hAnsi="Times New Roman;Times;Serif"/>
          <w:b w:val="false"/>
          <w:i w:val="false"/>
          <w:caps w:val="false"/>
          <w:smallCaps w:val="false"/>
          <w:sz w:val="20"/>
        </w:rPr>
        <w:t xml:space="preserve">supersede any contradictory provisions contained in any employment agreement, consulting agreement, change in control agreement or plan, or similar agreement or plan in effect between the Employer and the Recipient (or otherwise applicable to the Recipient) on the date of grant specified in the </w:t>
      </w:r>
      <w:r>
        <w:rPr>
          <w:rFonts w:ascii="Times New Roman;Times;Serif" w:hAnsi="Times New Roman;Times;Serif"/>
          <w:b w:val="false"/>
          <w:i/>
          <w:caps w:val="false"/>
          <w:smallCaps w:val="false"/>
          <w:sz w:val="20"/>
        </w:rPr>
        <w:t>Notice of Grant of Performance Restricted Stock Units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otherwise provided in any employment agreement, consulting agreement, change in control agreement or plan, or similar agreement or plan in effect between the Employer and the Recipient (or otherwise applicable to the Recipient) on the date of grant specified in the </w:t>
      </w:r>
      <w:r>
        <w:rPr>
          <w:rFonts w:ascii="Times New Roman;Times;Serif" w:hAnsi="Times New Roman;Times;Serif"/>
          <w:b w:val="false"/>
          <w:i/>
          <w:caps w:val="false"/>
          <w:smallCaps w:val="false"/>
          <w:sz w:val="20"/>
        </w:rPr>
        <w:t xml:space="preserve">Notice of Grant of Performance Restricted Stock Units, </w:t>
      </w:r>
      <w:r>
        <w:rPr>
          <w:rFonts w:ascii="Times New Roman;Times;Serif" w:hAnsi="Times New Roman;Times;Serif"/>
          <w:b w:val="false"/>
          <w:i w:val="false"/>
          <w:caps w:val="false"/>
          <w:smallCaps w:val="false"/>
          <w:sz w:val="20"/>
        </w:rPr>
        <w:t xml:space="preserve">if the application of the Change in Control provisions set forth in the </w:t>
      </w:r>
      <w:r>
        <w:rPr>
          <w:rFonts w:ascii="Times New Roman;Times;Serif" w:hAnsi="Times New Roman;Times;Serif"/>
          <w:b w:val="false"/>
          <w:i/>
          <w:caps w:val="false"/>
          <w:smallCaps w:val="false"/>
          <w:sz w:val="20"/>
        </w:rPr>
        <w:t xml:space="preserve">Notice of Grant of Performance Restricted Stock Units, </w:t>
      </w:r>
      <w:r>
        <w:rPr>
          <w:rFonts w:ascii="Times New Roman;Times;Serif" w:hAnsi="Times New Roman;Times;Serif"/>
          <w:b w:val="false"/>
          <w:i w:val="false"/>
          <w:caps w:val="false"/>
          <w:smallCaps w:val="false"/>
          <w:sz w:val="20"/>
        </w:rPr>
        <w:t>similar provisions in other stock option or equity compensation grants, and other payments and benefits payable to the Recipient upon termination of employment with the Employer or otherwise (collectively, the “</w:t>
      </w:r>
      <w:r>
        <w:rPr>
          <w:rFonts w:ascii="Times New Roman;Times;Serif" w:hAnsi="Times New Roman;Times;Serif"/>
          <w:b w:val="false"/>
          <w:i w:val="false"/>
          <w:caps w:val="false"/>
          <w:smallCaps w:val="false"/>
          <w:sz w:val="20"/>
          <w:u w:val="single"/>
        </w:rPr>
        <w:t>Company Payments</w:t>
      </w:r>
      <w:r>
        <w:rPr>
          <w:rFonts w:ascii="Times New Roman;Times;Serif" w:hAnsi="Times New Roman;Times;Serif"/>
          <w:b w:val="false"/>
          <w:i w:val="false"/>
          <w:caps w:val="false"/>
          <w:smallCaps w:val="false"/>
          <w:sz w:val="20"/>
        </w:rPr>
        <w:t>”) would result in the Recipient being subject to excise tax (the “</w:t>
      </w:r>
      <w:r>
        <w:rPr>
          <w:rFonts w:ascii="Times New Roman;Times;Serif" w:hAnsi="Times New Roman;Times;Serif"/>
          <w:b w:val="false"/>
          <w:i w:val="false"/>
          <w:caps w:val="false"/>
          <w:smallCaps w:val="false"/>
          <w:sz w:val="20"/>
          <w:u w:val="single"/>
        </w:rPr>
        <w:t>Excise Tax</w:t>
      </w:r>
      <w:r>
        <w:rPr>
          <w:rFonts w:ascii="Times New Roman;Times;Serif" w:hAnsi="Times New Roman;Times;Serif"/>
          <w:b w:val="false"/>
          <w:i w:val="false"/>
          <w:caps w:val="false"/>
          <w:smallCaps w:val="false"/>
          <w:sz w:val="20"/>
        </w:rPr>
        <w:t>”) payable under Section 4999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xml:space="preserve">”), the amount of any Company Payments shall be automatically reduced to an amount one dollar less than an amount that would subject the Recipient to the Excise Tax;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reduction shall occur only if the reduced Company Payments received by the Recipient (after taking into account further reductions for applicable federal, state and local income, social security and other taxes) would be greater than the unreduced Company Payments to be received by the Recipient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Recipient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Recipient; (4) any benefits valued as parachute payments; and (5) acceleration of vesting of any equity not covered by (1)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Recipient Acknowledgement</w:t>
      </w:r>
      <w:r>
        <w:rPr>
          <w:rFonts w:ascii="Times New Roman;Times;Serif" w:hAnsi="Times New Roman;Times;Serif"/>
          <w:b w:val="false"/>
          <w:i w:val="false"/>
          <w:caps w:val="false"/>
          <w:smallCaps w:val="false"/>
          <w:sz w:val="20"/>
        </w:rPr>
        <w:t>. The Recipient hereby acknowledges and agrees that it is the mutual intent of the Recipient and the Company that the award of Performance Restricted Stock Units made pursuant to this Agreement shall be in lieu of any equity, equity-based or other long-term incentive award under the Plan or any successor thereto or replacement thereof, in each case for the period commencing on the date hereof and ending on December 31, 2035 and that the Recipient shall have no entitlement for any such awards during that period, whether or not any portion of the award of Performance Restricted Stock Units made pursuant to this Agreement is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Securities Laws Requirements</w:t>
      </w:r>
      <w:r>
        <w:rPr>
          <w:rFonts w:ascii="Times New Roman;Times;Serif" w:hAnsi="Times New Roman;Times;Serif"/>
          <w:b w:val="false"/>
          <w:i w:val="false"/>
          <w:caps w:val="false"/>
          <w:smallCaps w:val="false"/>
          <w:sz w:val="20"/>
        </w:rPr>
        <w:t>. The Company shall not be obligated to transfer any shares of Company Stock to the Recipient, if such transfer, in the opinion of counsel for the Company, would violate the Securities Act (or any other federal or state statutes having similar requirements as may be in effect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Invalid Transfers</w:t>
      </w:r>
      <w:r>
        <w:rPr>
          <w:rFonts w:ascii="Times New Roman;Times;Serif" w:hAnsi="Times New Roman;Times;Serif"/>
          <w:b w:val="false"/>
          <w:i w:val="false"/>
          <w:caps w:val="false"/>
          <w:smallCaps w:val="false"/>
          <w:sz w:val="20"/>
        </w:rPr>
        <w:t>. No purported sale, assignment, mortgage, hypothecation, transfer, pledge, encumbrance, gift, transfer in trust (voting or other) or other disposition of, or creation of a security interest in or lien on, any of the Performance Restricted Stock Units by any holder thereof in violation of the provisions of this Agreement or the Certificate of Incorporation or the By-Laws of the Company shall be valid. The foregoing restrictions are in addition to and not in lieu of any other remedies, legal or equitable, available to enforce said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Delivery; Taxes</w:t>
      </w:r>
      <w:r>
        <w:rPr>
          <w:rFonts w:ascii="Times New Roman;Times;Serif" w:hAnsi="Times New Roman;Times;Serif"/>
          <w:b w:val="false"/>
          <w:i w:val="false"/>
          <w:caps w:val="false"/>
          <w:smallCaps w:val="false"/>
          <w:sz w:val="20"/>
        </w:rPr>
        <w:t>. At the time the Recipient recognizes taxable income in respect of the Performance Restricted Stock Units, an amount equal to the federal, state and/or local taxes the Company determines it is required to withhold under applicable tax laws with respect to the Performance Restricted Stock Units shall be due from the Recipient to the Company. Subject to the rules set forth below with respect to any shares of Company Stock that become deliverable in 2035 or 2036, the Company shall facilitate the Recipient’s withholding by allowing the obligation to be satisfied by surrendering to the Company a portion of the shares of Company Stock otherwise deliverable with respect to the Performance Restricted Stock Units the vesting of which gives rise to the withholding obligation (but only to the extent of the minimum withholding required by law) and delivering the remaining net shares of Company Stock to the Recipient (“</w:t>
      </w:r>
      <w:r>
        <w:rPr>
          <w:rFonts w:ascii="Times New Roman;Times;Serif" w:hAnsi="Times New Roman;Times;Serif"/>
          <w:b w:val="false"/>
          <w:i w:val="false"/>
          <w:caps w:val="false"/>
          <w:smallCaps w:val="false"/>
          <w:sz w:val="20"/>
          <w:u w:val="single"/>
        </w:rPr>
        <w:t>Net Settlement</w:t>
      </w:r>
      <w:r>
        <w:rPr>
          <w:rFonts w:ascii="Times New Roman;Times;Serif" w:hAnsi="Times New Roman;Times;Serif"/>
          <w:b w:val="false"/>
          <w:i w:val="false"/>
          <w:caps w:val="false"/>
          <w:smallCaps w:val="false"/>
          <w:sz w:val="20"/>
        </w:rPr>
        <w:t>”). Shares of Company Stock so surrendered by the Recipient in Net Settlement shall be credited against any such withholding obligation at the Fair Market Value of such shares on the date of such vesting (and the amount equal to the Fair Market Value of such shares shall be remitted by the Company to the appropriate tax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shares of Company Stock that become deliverable in 2035 or 2036, the Company shall facilitate the Recipient’s withholding by allowing the obligation to be satisfied by Net Settlement, provided that if the Committee determines in good faith no later than six (6) months prior to the scheduled vesting date that Net Settlement is not commercially reasonable with respect to all or a portion of the shares of Company Stock (such as in light of the Company’s capital needs, financial condition, or financial covenants or other legal or contractual constraints applicable to the Company), the Company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Provide the Recipient with prompt notice of the Committee’s determination;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 such shares over a reasonable period following certification of performance to facilitate the Recipient’s broker-assisted sales to the market to help the Recipient satisfy tax withholding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selecting the length of the delivery period, the Company shall take into account the availability of the so-called rule of administrative convenience for FICA tax withholding, Recipient’s desire for prompt delivery of the earned shares of Company Stock, the Company’s goal to ensure orderly trading in the shares of Company Stock, and the requirements of Section 409A of the Code. In addition, any sales of Company Stock effected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be structured in compliance with applicable securities laws (such as Rule 144 of the Securities Act and Section 16 of the Exchange Act) and, as much as practicable, pursuant to one or more plans designed to satisfy the requirements of Rule 10b5-1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Recipient understands that the Recipient (and not the Company) shall be responsible for any tax liability that may arise as a result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Rights as a Shareholder</w:t>
      </w:r>
      <w:r>
        <w:rPr>
          <w:rFonts w:ascii="Times New Roman;Times;Serif" w:hAnsi="Times New Roman;Times;Serif"/>
          <w:b w:val="false"/>
          <w:i w:val="false"/>
          <w:caps w:val="false"/>
          <w:smallCaps w:val="false"/>
          <w:sz w:val="20"/>
        </w:rPr>
        <w:t>. The Recipient will not have the rights of a shareholder with respect to shares of Company Stock subject to the Performance Restricted Stock Units until the vesting of the Performance Restricted Stock Units and the delivery of shares of Company Stock with respect to such vesting and the expiration of any applicable deferral period. The Company may, in its sole discretion, determine to deliver any documents related to participation in the Plan or deliverable to the Recipient in the Recipient’s capacity as a shareholder of the Company by electronic means. The Recipient hereby consents to receive any and all such documents by electronic delivery to the extent the Company utilizes such delivery method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Compliance with Law and Regulations</w:t>
      </w:r>
      <w:r>
        <w:rPr>
          <w:rFonts w:ascii="Times New Roman;Times;Serif" w:hAnsi="Times New Roman;Times;Serif"/>
          <w:b w:val="false"/>
          <w:i w:val="false"/>
          <w:caps w:val="false"/>
          <w:smallCaps w:val="false"/>
          <w:sz w:val="20"/>
        </w:rPr>
        <w:t>. This Agreement, the award hereunder and any obligation of the Company hereunder shall be subject to all applicable federal, state and local laws, rules and regulations and to such approvals by any government or regulatory agency as may be required. Except to the extent preempted by any federal law, this Agreement shall be construed and administered in accordance with the laws of the State of New York without reference to its principles of conflicts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Recipient Bound by Plan</w:t>
      </w:r>
      <w:r>
        <w:rPr>
          <w:rFonts w:ascii="Times New Roman;Times;Serif" w:hAnsi="Times New Roman;Times;Serif"/>
          <w:b w:val="false"/>
          <w:i w:val="false"/>
          <w:caps w:val="false"/>
          <w:smallCaps w:val="false"/>
          <w:sz w:val="20"/>
        </w:rPr>
        <w:t>. The Recipient acknowledges receipt of a copy of this Agreement and the Plan and agrees to be bound by all the terms and provisions thereof, which are incorporated herein by reference. To the extent that this Agreement is silent with respect to the terms of the Plan, the provisions of the Plan shall govern and this Agreement shall be deemed to be modified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xml:space="preserve">. Any notice or communication given hereunder shall be in writing and shall be deemed given when delivered in person, or by United States mail, at the following addresses: (i) if to the Company, to: Regeneron Pharmaceuticals, Inc., 777 Old Saw Mill River Road, Tarrytown, NY 10591, Attention: Secretary, and (ii) if to the Recipient, to: the Recipient at Regeneron Pharmaceuticals, Inc., 777 Old Saw Mill River Road, Tarrytown, NY 10591, or, if the Recipient has terminated service with the Company, to the last address for the Recipient indicated in the records of the Company, or such other address as the relevant party shall specify at any time hereafter in accordance with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No Obligation to Continue Employment</w:t>
      </w:r>
      <w:r>
        <w:rPr>
          <w:rFonts w:ascii="Times New Roman;Times;Serif" w:hAnsi="Times New Roman;Times;Serif"/>
          <w:b w:val="false"/>
          <w:i w:val="false"/>
          <w:caps w:val="false"/>
          <w:smallCaps w:val="false"/>
          <w:sz w:val="20"/>
        </w:rPr>
        <w:t>. This Agreement does not guarantee that the Employer will employ or continue the services of the Recipient for any specified time period, nor does it modify in any respect the Recipient’s employment 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Recoupment</w:t>
      </w:r>
      <w:r>
        <w:rPr>
          <w:rFonts w:ascii="Times New Roman;Times;Serif" w:hAnsi="Times New Roman;Times;Serif"/>
          <w:b w:val="false"/>
          <w:i w:val="false"/>
          <w:caps w:val="false"/>
          <w:smallCaps w:val="false"/>
          <w:sz w:val="20"/>
        </w:rPr>
        <w:t>. By entering into this Agreement and accepting the award hereunder, the Recipient agrees to be bound by the terms of the Company’s Policy Regarding Recoupment or Reduction of Incentive Compensation for Compliance Violations and the Company’s Clawback Policy, both as in effect from time to time (or any successor policy or policies thereto adopted by the Company) (collectively, the “</w:t>
      </w:r>
      <w:r>
        <w:rPr>
          <w:rFonts w:ascii="Times New Roman;Times;Serif" w:hAnsi="Times New Roman;Times;Serif"/>
          <w:b w:val="false"/>
          <w:i w:val="false"/>
          <w:caps w:val="false"/>
          <w:smallCaps w:val="false"/>
          <w:sz w:val="20"/>
          <w:u w:val="single"/>
        </w:rPr>
        <w:t>Recoupment Policy</w:t>
      </w:r>
      <w:r>
        <w:rPr>
          <w:rFonts w:ascii="Times New Roman;Times;Serif" w:hAnsi="Times New Roman;Times;Serif"/>
          <w:b w:val="false"/>
          <w:i w:val="false"/>
          <w:caps w:val="false"/>
          <w:smallCaps w:val="false"/>
          <w:sz w:val="20"/>
        </w:rPr>
        <w:t>”), and further acknowledges and agrees that the Recoupment Policy shall apply to the Performance Restricted Stock Units and the shares of Company Stock deliverable pursuant to the Performance Restricted Stock Units granted hereunder (including following the expiration of the Holding Period and otherwise after all restrictions on such shares have 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Recipient acknowledges and agrees to be bound by the terms and conditions of this Agreement and the </w:t>
      </w:r>
      <w:r>
        <w:rPr>
          <w:rFonts w:ascii="Times New Roman;Times;Serif" w:hAnsi="Times New Roman;Times;Serif"/>
          <w:b w:val="false"/>
          <w:i/>
          <w:caps w:val="false"/>
          <w:smallCaps w:val="false"/>
          <w:sz w:val="20"/>
        </w:rPr>
        <w:t>Notice of Grant of Performance Restricted Stock Units</w:t>
      </w:r>
      <w:r>
        <w:rPr>
          <w:rFonts w:ascii="Times New Roman;Times;Serif" w:hAnsi="Times New Roman;Times;Serif"/>
          <w:b w:val="false"/>
          <w:i w:val="false"/>
          <w:caps w:val="false"/>
          <w:smallCaps w:val="false"/>
          <w:sz w:val="20"/>
        </w:rPr>
        <w:t>, which is incorporated herein by reference, as of the Grant Date.</w:t>
      </w:r>
    </w:p>
    <w:p>
      <w:pPr>
        <w:pStyle w:val="TextBody"/>
        <w:bidi w:val="0"/>
        <w:spacing w:before="0" w:after="0"/>
        <w:ind w:left="0" w:right="0" w:hanging="0"/>
        <w:jc w:val="left"/>
        <w:rPr>
          <w:caps w:val="false"/>
          <w:smallCaps w:val="false"/>
        </w:rPr>
      </w:pPr>
      <w:r>
        <w:rPr>
          <w:caps w:val="false"/>
          <w:smallCaps w:val="false"/>
        </w:rPr>
        <w:t> </w:t>
      </w:r>
    </w:p>
    <w:tbl>
      <w:tblPr>
        <w:tblW w:w="3635" w:type="dxa"/>
        <w:jc w:val="left"/>
        <w:tblInd w:w="0" w:type="dxa"/>
        <w:tblLayout w:type="fixed"/>
        <w:tblCellMar>
          <w:top w:w="0" w:type="dxa"/>
          <w:left w:w="0" w:type="dxa"/>
          <w:bottom w:w="0" w:type="dxa"/>
          <w:right w:w="0" w:type="dxa"/>
        </w:tblCellMar>
      </w:tblPr>
      <w:tblGrid>
        <w:gridCol w:w="3560"/>
        <w:gridCol w:w="75"/>
      </w:tblGrid>
      <w:tr>
        <w:trPr/>
        <w:tc>
          <w:tcPr>
            <w:tcW w:w="35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ACKNOWLEDGED AND AGREED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George D. Yancopoulos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George D. Yancopoulos, M.D., Ph.D.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 and Chief Scientific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Performance Restricted Stock Unit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24460</Words>
  <Characters>127870</Characters>
  <CharactersWithSpaces>153017</CharactersWithSpaces>
  <Paragraphs>1100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