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and Exchange Act of 1934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June 8, 2007</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u w:val="single" w:color="auto"/>
          <w:color w:val="auto"/>
        </w:rPr>
        <w:t>REGENERON PHARMACEUTICALS,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5"/>
              </w:rPr>
              <w:t>New York</w:t>
            </w:r>
          </w:p>
        </w:tc>
        <w:tc>
          <w:tcPr>
            <w:tcW w:w="3900" w:type="dxa"/>
            <w:vAlign w:val="bottom"/>
            <w:gridSpan w:val="2"/>
          </w:tcPr>
          <w:p>
            <w:pPr>
              <w:jc w:val="right"/>
              <w:ind w:right="1290"/>
              <w:spacing w:after="0"/>
              <w:rPr>
                <w:sz w:val="20"/>
                <w:szCs w:val="20"/>
                <w:color w:val="auto"/>
              </w:rPr>
            </w:pPr>
            <w:r>
              <w:rPr>
                <w:rFonts w:ascii="Arial" w:cs="Arial" w:eastAsia="Arial" w:hAnsi="Arial"/>
                <w:sz w:val="18"/>
                <w:szCs w:val="18"/>
                <w:b w:val="1"/>
                <w:bCs w:val="1"/>
                <w:color w:val="auto"/>
              </w:rPr>
              <w:t>000-19034</w:t>
            </w:r>
          </w:p>
        </w:tc>
        <w:tc>
          <w:tcPr>
            <w:tcW w:w="3940" w:type="dxa"/>
            <w:vAlign w:val="bottom"/>
            <w:gridSpan w:val="2"/>
          </w:tcPr>
          <w:p>
            <w:pPr>
              <w:jc w:val="right"/>
              <w:ind w:right="1310"/>
              <w:spacing w:after="0"/>
              <w:rPr>
                <w:sz w:val="20"/>
                <w:szCs w:val="20"/>
                <w:color w:val="auto"/>
              </w:rPr>
            </w:pPr>
            <w:r>
              <w:rPr>
                <w:rFonts w:ascii="Arial" w:cs="Arial" w:eastAsia="Arial" w:hAnsi="Arial"/>
                <w:sz w:val="18"/>
                <w:szCs w:val="18"/>
                <w:b w:val="1"/>
                <w:bCs w:val="1"/>
                <w:color w:val="auto"/>
              </w:rPr>
              <w:t>133444607</w:t>
            </w:r>
          </w:p>
        </w:tc>
      </w:tr>
      <w:tr>
        <w:trPr>
          <w:trHeight w:val="205"/>
        </w:trPr>
        <w:tc>
          <w:tcPr>
            <w:tcW w:w="358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color w:val="auto"/>
                <w:w w:val="93"/>
              </w:rPr>
              <w:t>(State or other jurisdiction of</w:t>
            </w:r>
          </w:p>
        </w:tc>
        <w:tc>
          <w:tcPr>
            <w:tcW w:w="340" w:type="dxa"/>
            <w:vAlign w:val="bottom"/>
          </w:tcPr>
          <w:p>
            <w:pPr>
              <w:spacing w:after="0"/>
              <w:rPr>
                <w:sz w:val="17"/>
                <w:szCs w:val="17"/>
                <w:color w:val="auto"/>
              </w:rPr>
            </w:pPr>
          </w:p>
        </w:tc>
        <w:tc>
          <w:tcPr>
            <w:tcW w:w="356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color w:val="auto"/>
                <w:w w:val="93"/>
              </w:rPr>
              <w:t>(Commission File Number)</w:t>
            </w:r>
          </w:p>
        </w:tc>
        <w:tc>
          <w:tcPr>
            <w:tcW w:w="34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3580" w:type="dxa"/>
            <w:vAlign w:val="bottom"/>
          </w:tcPr>
          <w:p>
            <w:pPr>
              <w:jc w:val="center"/>
              <w:spacing w:after="0"/>
              <w:rPr>
                <w:sz w:val="20"/>
                <w:szCs w:val="20"/>
                <w:color w:val="auto"/>
              </w:rPr>
            </w:pPr>
            <w:r>
              <w:rPr>
                <w:rFonts w:ascii="Arial" w:cs="Arial" w:eastAsia="Arial" w:hAnsi="Arial"/>
                <w:sz w:val="18"/>
                <w:szCs w:val="18"/>
                <w:color w:val="auto"/>
                <w:w w:val="92"/>
              </w:rPr>
              <w:t>incorporation)</w:t>
            </w:r>
          </w:p>
        </w:tc>
        <w:tc>
          <w:tcPr>
            <w:tcW w:w="34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3"/>
              </w:rPr>
              <w:t>Identification Number)</w:t>
            </w:r>
          </w:p>
        </w:tc>
      </w:tr>
      <w:tr>
        <w:trPr>
          <w:trHeight w:val="432"/>
        </w:trPr>
        <w:tc>
          <w:tcPr>
            <w:tcW w:w="7480" w:type="dxa"/>
            <w:vAlign w:val="bottom"/>
            <w:tcBorders>
              <w:bottom w:val="single" w:sz="8" w:color="auto"/>
            </w:tcBorders>
            <w:gridSpan w:val="3"/>
          </w:tcPr>
          <w:p>
            <w:pPr>
              <w:jc w:val="center"/>
              <w:ind w:left="270"/>
              <w:spacing w:after="0"/>
              <w:rPr>
                <w:sz w:val="20"/>
                <w:szCs w:val="20"/>
                <w:color w:val="auto"/>
              </w:rPr>
            </w:pPr>
            <w:r>
              <w:rPr>
                <w:rFonts w:ascii="Arial" w:cs="Arial" w:eastAsia="Arial" w:hAnsi="Arial"/>
                <w:sz w:val="18"/>
                <w:szCs w:val="18"/>
                <w:b w:val="1"/>
                <w:bCs w:val="1"/>
                <w:color w:val="auto"/>
                <w:w w:val="93"/>
              </w:rPr>
              <w:t>777 Old Saw Mill River Road, Tarrytown, New York</w:t>
            </w:r>
          </w:p>
        </w:tc>
        <w:tc>
          <w:tcPr>
            <w:tcW w:w="3940" w:type="dxa"/>
            <w:vAlign w:val="bottom"/>
            <w:tcBorders>
              <w:bottom w:val="single" w:sz="8" w:color="auto"/>
            </w:tcBorders>
            <w:gridSpan w:val="2"/>
          </w:tcPr>
          <w:p>
            <w:pPr>
              <w:jc w:val="right"/>
              <w:ind w:right="1270"/>
              <w:spacing w:after="0"/>
              <w:rPr>
                <w:sz w:val="20"/>
                <w:szCs w:val="20"/>
                <w:color w:val="auto"/>
              </w:rPr>
            </w:pPr>
            <w:r>
              <w:rPr>
                <w:rFonts w:ascii="Arial" w:cs="Arial" w:eastAsia="Arial" w:hAnsi="Arial"/>
                <w:sz w:val="18"/>
                <w:szCs w:val="18"/>
                <w:b w:val="1"/>
                <w:bCs w:val="1"/>
                <w:color w:val="auto"/>
              </w:rPr>
              <w:t>10591-6707</w:t>
            </w:r>
          </w:p>
        </w:tc>
      </w:tr>
      <w:tr>
        <w:trPr>
          <w:trHeight w:val="228"/>
        </w:trPr>
        <w:tc>
          <w:tcPr>
            <w:tcW w:w="7480" w:type="dxa"/>
            <w:vAlign w:val="bottom"/>
            <w:gridSpan w:val="3"/>
          </w:tcPr>
          <w:p>
            <w:pPr>
              <w:jc w:val="center"/>
              <w:ind w:left="25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4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4"/>
              </w:rPr>
              <w:t>(Zip Code)</w:t>
            </w:r>
          </w:p>
        </w:tc>
      </w:tr>
    </w:tbl>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(914) 347-7000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-130810</wp:posOffset>
            </wp:positionV>
            <wp:extent cx="24269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96" w:lineRule="exact"/>
        <w:rPr>
          <w:sz w:val="20"/>
          <w:szCs w:val="20"/>
          <w:color w:val="auto"/>
        </w:rPr>
      </w:pPr>
    </w:p>
    <w:p>
      <w:pPr>
        <w:ind w:left="240"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registrant under any of the following provisions:</w:t>
      </w:r>
    </w:p>
    <w:p>
      <w:pPr>
        <w:spacing w:after="0" w:line="62" w:lineRule="exact"/>
        <w:rPr>
          <w:sz w:val="20"/>
          <w:szCs w:val="20"/>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ind w:left="240" w:right="40"/>
        <w:spacing w:after="0" w:line="264" w:lineRule="auto"/>
        <w:rPr>
          <w:sz w:val="20"/>
          <w:szCs w:val="20"/>
          <w:color w:val="auto"/>
        </w:rPr>
      </w:pPr>
      <w:r>
        <w:rPr>
          <w:rFonts w:ascii="Arial" w:cs="Arial" w:eastAsia="Arial" w:hAnsi="Arial"/>
          <w:sz w:val="18"/>
          <w:szCs w:val="18"/>
          <w:color w:val="auto"/>
        </w:rPr>
        <w:t>On June 8, 2007, Regeneron’s President and Chief Executive Officer, Dr. Leonard Schleifer, is scheduled to present a brief report on Regeneron’s business at the company’s Annual Meeting of Shareholders to be held at the Westchester Marriott Hotel, 670 White Plains Road, Tarrytown, New York. The overheads for this presentation are furnished as Exhibit 99(a) to this Form 8-K.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 Exhibits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99(a) Overheads for presentation at Regeneron’s Annual Meeting of Shareholders to be held on June 8, 2007.</w:t>
      </w:r>
    </w:p>
    <w:p>
      <w:pPr>
        <w:spacing w:after="0" w:line="117" w:lineRule="exact"/>
        <w:rPr>
          <w:sz w:val="20"/>
          <w:szCs w:val="20"/>
          <w:color w:val="auto"/>
        </w:rPr>
      </w:pPr>
    </w:p>
    <w:p>
      <w:pPr>
        <w:ind w:right="600" w:firstLine="225"/>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p>
        </w:tc>
        <w:tc>
          <w:tcPr>
            <w:tcW w:w="6340" w:type="dxa"/>
            <w:vAlign w:val="bottom"/>
            <w:gridSpan w:val="2"/>
          </w:tcPr>
          <w:p>
            <w:pPr>
              <w:ind w:left="1960"/>
              <w:spacing w:after="0"/>
              <w:rPr>
                <w:sz w:val="20"/>
                <w:szCs w:val="20"/>
                <w:color w:val="auto"/>
              </w:rPr>
            </w:pPr>
            <w:r>
              <w:rPr>
                <w:rFonts w:ascii="Arial" w:cs="Arial" w:eastAsia="Arial" w:hAnsi="Arial"/>
                <w:sz w:val="18"/>
                <w:szCs w:val="18"/>
                <w:color w:val="auto"/>
              </w:rPr>
              <w:t>REGENERON PHARMACEUTICALS, INC.</w:t>
            </w:r>
          </w:p>
        </w:tc>
        <w:tc>
          <w:tcPr>
            <w:tcW w:w="1680" w:type="dxa"/>
            <w:vAlign w:val="bottom"/>
          </w:tcPr>
          <w:p>
            <w:pPr>
              <w:spacing w:after="0"/>
              <w:rPr>
                <w:sz w:val="20"/>
                <w:szCs w:val="20"/>
                <w:color w:val="auto"/>
              </w:rPr>
            </w:pPr>
          </w:p>
        </w:tc>
      </w:tr>
      <w:tr>
        <w:trPr>
          <w:trHeight w:val="432"/>
        </w:trPr>
        <w:tc>
          <w:tcPr>
            <w:tcW w:w="3400" w:type="dxa"/>
            <w:vAlign w:val="bottom"/>
          </w:tcPr>
          <w:p>
            <w:pPr>
              <w:spacing w:after="0"/>
              <w:rPr>
                <w:sz w:val="20"/>
                <w:szCs w:val="20"/>
                <w:color w:val="auto"/>
              </w:rPr>
            </w:pPr>
            <w:r>
              <w:rPr>
                <w:rFonts w:ascii="Arial" w:cs="Arial" w:eastAsia="Arial" w:hAnsi="Arial"/>
                <w:sz w:val="18"/>
                <w:szCs w:val="18"/>
                <w:color w:val="auto"/>
              </w:rPr>
              <w:t>Dated: June 8, 2007</w:t>
            </w:r>
          </w:p>
        </w:tc>
        <w:tc>
          <w:tcPr>
            <w:tcW w:w="6340" w:type="dxa"/>
            <w:vAlign w:val="bottom"/>
            <w:gridSpan w:val="2"/>
          </w:tcPr>
          <w:p>
            <w:pPr>
              <w:ind w:left="1960"/>
              <w:spacing w:after="0"/>
              <w:rPr>
                <w:sz w:val="20"/>
                <w:szCs w:val="20"/>
                <w:color w:val="auto"/>
              </w:rPr>
            </w:pPr>
            <w:r>
              <w:rPr>
                <w:rFonts w:ascii="Arial" w:cs="Arial" w:eastAsia="Arial" w:hAnsi="Arial"/>
                <w:sz w:val="18"/>
                <w:szCs w:val="18"/>
                <w:color w:val="auto"/>
              </w:rPr>
              <w:t>By: /s/ Stuart Kolinski</w:t>
            </w:r>
          </w:p>
        </w:tc>
        <w:tc>
          <w:tcPr>
            <w:tcW w:w="1680" w:type="dxa"/>
            <w:vAlign w:val="bottom"/>
          </w:tcPr>
          <w:p>
            <w:pPr>
              <w:spacing w:after="0"/>
              <w:rPr>
                <w:sz w:val="24"/>
                <w:szCs w:val="24"/>
                <w:color w:val="auto"/>
              </w:rPr>
            </w:pPr>
          </w:p>
        </w:tc>
      </w:tr>
      <w:tr>
        <w:trPr>
          <w:trHeight w:val="195"/>
        </w:trPr>
        <w:tc>
          <w:tcPr>
            <w:tcW w:w="34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Stuart Kolinski</w:t>
            </w:r>
          </w:p>
        </w:tc>
        <w:tc>
          <w:tcPr>
            <w:tcW w:w="1680" w:type="dxa"/>
            <w:vAlign w:val="bottom"/>
          </w:tcPr>
          <w:p>
            <w:pPr>
              <w:spacing w:after="0"/>
              <w:rPr>
                <w:sz w:val="16"/>
                <w:szCs w:val="16"/>
                <w:color w:val="auto"/>
              </w:rPr>
            </w:pPr>
          </w:p>
        </w:tc>
      </w:tr>
      <w:tr>
        <w:trPr>
          <w:trHeight w:val="230"/>
        </w:trPr>
        <w:tc>
          <w:tcPr>
            <w:tcW w:w="34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Vice President and General Counsel</w:t>
            </w:r>
          </w:p>
        </w:tc>
        <w:tc>
          <w:tcPr>
            <w:tcW w:w="1680" w:type="dxa"/>
            <w:vAlign w:val="bottom"/>
          </w:tcPr>
          <w:p>
            <w:pPr>
              <w:spacing w:after="0"/>
              <w:rPr>
                <w:sz w:val="20"/>
                <w:szCs w:val="20"/>
                <w:color w:val="auto"/>
              </w:rPr>
            </w:pPr>
          </w:p>
        </w:tc>
      </w:tr>
      <w:tr>
        <w:trPr>
          <w:trHeight w:val="405"/>
        </w:trPr>
        <w:tc>
          <w:tcPr>
            <w:tcW w:w="3400" w:type="dxa"/>
            <w:vAlign w:val="bottom"/>
          </w:tcPr>
          <w:p>
            <w:pPr>
              <w:spacing w:after="0"/>
              <w:rPr>
                <w:sz w:val="24"/>
                <w:szCs w:val="24"/>
                <w:color w:val="auto"/>
              </w:rPr>
            </w:pPr>
          </w:p>
        </w:tc>
        <w:tc>
          <w:tcPr>
            <w:tcW w:w="6340" w:type="dxa"/>
            <w:vAlign w:val="bottom"/>
            <w:gridSpan w:val="2"/>
          </w:tcPr>
          <w:p>
            <w:pPr>
              <w:jc w:val="right"/>
              <w:ind w:right="3890"/>
              <w:spacing w:after="0"/>
              <w:rPr>
                <w:sz w:val="20"/>
                <w:szCs w:val="20"/>
                <w:color w:val="auto"/>
              </w:rPr>
            </w:pPr>
            <w:r>
              <w:rPr>
                <w:rFonts w:ascii="Arial" w:cs="Arial" w:eastAsia="Arial" w:hAnsi="Arial"/>
                <w:sz w:val="18"/>
                <w:szCs w:val="18"/>
                <w:color w:val="auto"/>
              </w:rPr>
              <w:t>2</w:t>
            </w:r>
          </w:p>
        </w:tc>
        <w:tc>
          <w:tcPr>
            <w:tcW w:w="1680" w:type="dxa"/>
            <w:vAlign w:val="bottom"/>
          </w:tcPr>
          <w:p>
            <w:pPr>
              <w:spacing w:after="0"/>
              <w:rPr>
                <w:sz w:val="24"/>
                <w:szCs w:val="24"/>
                <w:color w:val="auto"/>
              </w:rPr>
            </w:pPr>
          </w:p>
        </w:tc>
      </w:tr>
      <w:tr>
        <w:trPr>
          <w:trHeight w:val="226"/>
        </w:trPr>
        <w:tc>
          <w:tcPr>
            <w:tcW w:w="3400" w:type="dxa"/>
            <w:vAlign w:val="bottom"/>
            <w:tcBorders>
              <w:bottom w:val="single" w:sz="8" w:color="808080"/>
            </w:tcBorders>
          </w:tcPr>
          <w:p>
            <w:pPr>
              <w:spacing w:after="0"/>
              <w:rPr>
                <w:sz w:val="19"/>
                <w:szCs w:val="19"/>
                <w:color w:val="auto"/>
              </w:rPr>
            </w:pPr>
          </w:p>
        </w:tc>
        <w:tc>
          <w:tcPr>
            <w:tcW w:w="2300" w:type="dxa"/>
            <w:vAlign w:val="bottom"/>
            <w:tcBorders>
              <w:bottom w:val="single" w:sz="8" w:color="808080"/>
            </w:tcBorders>
          </w:tcPr>
          <w:p>
            <w:pPr>
              <w:spacing w:after="0"/>
              <w:rPr>
                <w:sz w:val="19"/>
                <w:szCs w:val="19"/>
                <w:color w:val="auto"/>
              </w:rPr>
            </w:pPr>
          </w:p>
        </w:tc>
        <w:tc>
          <w:tcPr>
            <w:tcW w:w="404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 w:name="page4"/>
    <w:bookmarkEnd w:id="3"/>
    <w:p>
      <w:pPr>
        <w:spacing w:after="0" w:line="32"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6"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99(a)</w:t>
      </w:r>
      <w:r>
        <w:rPr>
          <w:sz w:val="20"/>
          <w:szCs w:val="20"/>
          <w:color w:val="auto"/>
        </w:rPr>
        <w:tab/>
      </w:r>
      <w:r>
        <w:rPr>
          <w:rFonts w:ascii="Arial" w:cs="Arial" w:eastAsia="Arial" w:hAnsi="Arial"/>
          <w:sz w:val="16"/>
          <w:szCs w:val="16"/>
          <w:color w:val="auto"/>
        </w:rPr>
        <w:t>Overheads for presentation at Regeneron’s Annual Meeting of Shareholders to be held on June 8, 2007.</w:t>
      </w:r>
    </w:p>
    <w:p>
      <w:pPr>
        <w:spacing w:after="0" w:line="2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144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99(a)</w:t>
      </w:r>
    </w:p>
    <w:p>
      <w:pPr>
        <w:spacing w:after="0" w:line="20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31" w:right="23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603250</wp:posOffset>
            </wp:positionV>
            <wp:extent cx="6174740" cy="46310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2019-12-11T21:21:32Z</dcterms:created>
  <dcterms:modified xsi:type="dcterms:W3CDTF">2019-12-11T21:21:32Z</dcterms:modified>
</cp:coreProperties>
</file>