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2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29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Van Plew Daniel P</w:t>
              </w:r>
            </w:hyperlink>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9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9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00"/>
              <w:spacing w:after="0"/>
              <w:rPr>
                <w:sz w:val="20"/>
                <w:szCs w:val="20"/>
                <w:color w:val="auto"/>
              </w:rPr>
            </w:pPr>
            <w:r>
              <w:rPr>
                <w:rFonts w:ascii="Arial" w:cs="Arial" w:eastAsia="Arial" w:hAnsi="Arial"/>
                <w:sz w:val="17"/>
                <w:szCs w:val="17"/>
                <w:color w:val="0000FF"/>
              </w:rPr>
              <w:t>SVP &amp; General Mgr Industrial O</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12/13/2013</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0"/>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1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12/13/2013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52,500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12/14/2020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52,500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84,236</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270.43</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12/13/2013</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50,000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12/13/2023</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14, 2010, the reporting person was granted an option to purchase 52,500 shares of Common Stock. The option vests, partially or in full, on December 31, 2013, based on the extent to which the company satisfies certain performance criteria during the period ending December 31, 2013. The performance criteria have been met and the option will vest as to all 52,500 shares on December 31, 2013.</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/s/**Daniel P. Van Plew</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2019-12-18T09:28:52Z</dcterms:created>
  <dcterms:modified xsi:type="dcterms:W3CDTF">2019-12-18T09:28:52Z</dcterms:modified>
</cp:coreProperties>
</file>