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14, 2023 (June 9, 2023)</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REGENERON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or other jurisdiction of incorporation)</w:t>
      </w:r>
    </w:p>
    <w:p>
      <w:pPr>
        <w:spacing w:after="0" w:line="139"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000-19034</w:t>
            </w:r>
          </w:p>
        </w:tc>
        <w:tc>
          <w:tcPr>
            <w:tcW w:w="2880" w:type="dxa"/>
            <w:vAlign w:val="bottom"/>
          </w:tcPr>
          <w:p>
            <w:pPr>
              <w:jc w:val="center"/>
              <w:ind w:left="139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89"/>
              </w:rPr>
              <w:t>(Commission</w:t>
            </w:r>
          </w:p>
        </w:tc>
        <w:tc>
          <w:tcPr>
            <w:tcW w:w="2880" w:type="dxa"/>
            <w:vAlign w:val="bottom"/>
          </w:tcPr>
          <w:p>
            <w:pPr>
              <w:jc w:val="center"/>
              <w:ind w:left="14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2"/>
              </w:rPr>
              <w:t>File Number)</w:t>
            </w:r>
          </w:p>
        </w:tc>
        <w:tc>
          <w:tcPr>
            <w:tcW w:w="2880" w:type="dxa"/>
            <w:vAlign w:val="bottom"/>
          </w:tcPr>
          <w:p>
            <w:pPr>
              <w:jc w:val="center"/>
              <w:ind w:left="13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880" w:type="dxa"/>
            <w:vAlign w:val="bottom"/>
          </w:tcPr>
          <w:p>
            <w:pPr>
              <w:jc w:val="center"/>
              <w:ind w:left="1390"/>
              <w:spacing w:after="0"/>
              <w:rPr>
                <w:sz w:val="20"/>
                <w:szCs w:val="20"/>
                <w:color w:val="auto"/>
              </w:rPr>
            </w:pPr>
            <w:r>
              <w:rPr>
                <w:rFonts w:ascii="Arial" w:cs="Arial" w:eastAsia="Arial" w:hAnsi="Arial"/>
                <w:sz w:val="18"/>
                <w:szCs w:val="18"/>
                <w:b w:val="1"/>
                <w:bCs w:val="1"/>
                <w:color w:val="auto"/>
                <w:w w:val="91"/>
              </w:rPr>
              <w:t>10591-6707</w:t>
            </w:r>
          </w:p>
        </w:tc>
      </w:tr>
      <w:tr>
        <w:trPr>
          <w:trHeight w:val="234"/>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80" w:type="dxa"/>
            <w:vAlign w:val="bottom"/>
          </w:tcPr>
          <w:p>
            <w:pPr>
              <w:jc w:val="center"/>
              <w:ind w:left="13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REGN</w:t>
            </w:r>
          </w:p>
        </w:tc>
        <w:tc>
          <w:tcPr>
            <w:tcW w:w="4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June 9, 2023,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based upon the recommendation of the Corporate Governance and Compliance Committee of the Board, approved an amendment (the “</w:t>
      </w:r>
      <w:r>
        <w:rPr>
          <w:rFonts w:ascii="Arial" w:cs="Arial" w:eastAsia="Arial" w:hAnsi="Arial"/>
          <w:sz w:val="18"/>
          <w:szCs w:val="18"/>
          <w:u w:val="single" w:color="auto"/>
          <w:color w:val="auto"/>
        </w:rPr>
        <w:t>Amendment</w:t>
      </w:r>
      <w:r>
        <w:rPr>
          <w:rFonts w:ascii="Arial" w:cs="Arial" w:eastAsia="Arial" w:hAnsi="Arial"/>
          <w:sz w:val="18"/>
          <w:szCs w:val="18"/>
          <w:color w:val="auto"/>
        </w:rPr>
        <w:t>”) to Regeneron’s Amended and Restated By-Laws required in connection with the implementation of the previously adopted Board leadership succession plan, as disclosed in the Company’s Current Report on Form 8-K filed April 17, 2023 and the Company’s definitive proxy statement on Schedule 14A (under “Board Governance—Board Leadership Structure—Expected Future Board Leadership Structure”) filed April 21, 2023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The Amendment provides that the Board from time to time may elect two persons to serve as Co-Chairs of the Board and that, if there are Co-Chairs, either Co-Chair may exercise the full powers and authorities of the office.</w:t>
      </w:r>
    </w:p>
    <w:p>
      <w:pPr>
        <w:spacing w:after="0" w:line="19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foregoing summary of the Amendment is qualified in its entirety by the full text of the Amendment, which is attached as Exhibit 3.2 hereto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2023 Annual Meeting of Shareholders of the Company held on June 9, 2023, Regeneron’s shareholders voted on the matters set forth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nominees for Class II directors were elected to serve until the 2026 Annual Meeting of Shareholders and until their successors are duly elected and qualified based upon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Nominee</w:t>
            </w:r>
          </w:p>
        </w:tc>
        <w:tc>
          <w:tcPr>
            <w:tcW w:w="120" w:type="dxa"/>
            <w:vAlign w:val="bottom"/>
          </w:tcPr>
          <w:p>
            <w:pPr>
              <w:spacing w:after="0"/>
              <w:rPr>
                <w:sz w:val="20"/>
                <w:szCs w:val="20"/>
                <w:color w:val="auto"/>
              </w:rPr>
            </w:pP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auto"/>
              </w:rPr>
              <w:t>For</w:t>
            </w: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Against</w:t>
            </w:r>
          </w:p>
        </w:tc>
        <w:tc>
          <w:tcPr>
            <w:tcW w:w="200" w:type="dxa"/>
            <w:vAlign w:val="bottom"/>
          </w:tcPr>
          <w:p>
            <w:pPr>
              <w:spacing w:after="0"/>
              <w:rPr>
                <w:sz w:val="20"/>
                <w:szCs w:val="20"/>
                <w:color w:val="auto"/>
              </w:rPr>
            </w:pPr>
          </w:p>
        </w:tc>
        <w:tc>
          <w:tcPr>
            <w:tcW w:w="1920" w:type="dxa"/>
            <w:vAlign w:val="bottom"/>
            <w:gridSpan w:val="2"/>
          </w:tcPr>
          <w:p>
            <w:pPr>
              <w:ind w:left="560"/>
              <w:spacing w:after="0"/>
              <w:rPr>
                <w:sz w:val="20"/>
                <w:szCs w:val="20"/>
                <w:color w:val="auto"/>
              </w:rPr>
            </w:pPr>
            <w:r>
              <w:rPr>
                <w:rFonts w:ascii="Arial" w:cs="Arial" w:eastAsia="Arial" w:hAnsi="Arial"/>
                <w:sz w:val="18"/>
                <w:szCs w:val="18"/>
                <w:b w:val="1"/>
                <w:bCs w:val="1"/>
                <w:color w:val="auto"/>
              </w:rPr>
              <w:t>Abstain</w:t>
            </w: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L. Goldstein, M.D.</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78,930,855</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33,390,357</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196,082</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4,209,777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Christine A. Poon</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84,515,116</w:t>
            </w:r>
          </w:p>
        </w:tc>
        <w:tc>
          <w:tcPr>
            <w:tcW w:w="1700" w:type="dxa"/>
            <w:vAlign w:val="bottom"/>
          </w:tcPr>
          <w:p>
            <w:pPr>
              <w:jc w:val="right"/>
              <w:spacing w:after="0"/>
              <w:rPr>
                <w:sz w:val="20"/>
                <w:szCs w:val="20"/>
                <w:color w:val="auto"/>
              </w:rPr>
            </w:pPr>
            <w:r>
              <w:rPr>
                <w:rFonts w:ascii="Arial" w:cs="Arial" w:eastAsia="Arial" w:hAnsi="Arial"/>
                <w:sz w:val="18"/>
                <w:szCs w:val="18"/>
                <w:color w:val="auto"/>
              </w:rPr>
              <w:t>27,751,062</w:t>
            </w:r>
          </w:p>
        </w:tc>
        <w:tc>
          <w:tcPr>
            <w:tcW w:w="2120" w:type="dxa"/>
            <w:vAlign w:val="bottom"/>
            <w:gridSpan w:val="3"/>
          </w:tcPr>
          <w:p>
            <w:pPr>
              <w:jc w:val="right"/>
              <w:ind w:right="220"/>
              <w:spacing w:after="0"/>
              <w:rPr>
                <w:sz w:val="20"/>
                <w:szCs w:val="20"/>
                <w:color w:val="auto"/>
              </w:rPr>
            </w:pPr>
            <w:r>
              <w:rPr>
                <w:rFonts w:ascii="Arial" w:cs="Arial" w:eastAsia="Arial" w:hAnsi="Arial"/>
                <w:sz w:val="18"/>
                <w:szCs w:val="18"/>
                <w:color w:val="auto"/>
              </w:rPr>
              <w:t>251,116</w:t>
            </w:r>
          </w:p>
        </w:tc>
        <w:tc>
          <w:tcPr>
            <w:tcW w:w="1700" w:type="dxa"/>
            <w:vAlign w:val="bottom"/>
          </w:tcPr>
          <w:p>
            <w:pPr>
              <w:jc w:val="right"/>
              <w:spacing w:after="0"/>
              <w:rPr>
                <w:sz w:val="20"/>
                <w:szCs w:val="20"/>
                <w:color w:val="auto"/>
              </w:rPr>
            </w:pPr>
            <w:r>
              <w:rPr>
                <w:rFonts w:ascii="Arial" w:cs="Arial" w:eastAsia="Arial" w:hAnsi="Arial"/>
                <w:sz w:val="18"/>
                <w:szCs w:val="18"/>
                <w:color w:val="auto"/>
              </w:rPr>
              <w:t>4,209,777</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Craig B. Thompson, M.D.</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111,784,253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644,879</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88,162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4,209,777</w:t>
            </w:r>
          </w:p>
        </w:tc>
        <w:tc>
          <w:tcPr>
            <w:tcW w:w="100" w:type="dxa"/>
            <w:vAlign w:val="bottom"/>
            <w:shd w:val="clear" w:color="auto" w:fill="CCEEFF"/>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Huda Y. Zoghbi, M.D.</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108,341,947</w:t>
            </w:r>
          </w:p>
        </w:tc>
        <w:tc>
          <w:tcPr>
            <w:tcW w:w="1700" w:type="dxa"/>
            <w:vAlign w:val="bottom"/>
          </w:tcPr>
          <w:p>
            <w:pPr>
              <w:jc w:val="right"/>
              <w:spacing w:after="0"/>
              <w:rPr>
                <w:sz w:val="20"/>
                <w:szCs w:val="20"/>
                <w:color w:val="auto"/>
              </w:rPr>
            </w:pPr>
            <w:r>
              <w:rPr>
                <w:rFonts w:ascii="Arial" w:cs="Arial" w:eastAsia="Arial" w:hAnsi="Arial"/>
                <w:sz w:val="18"/>
                <w:szCs w:val="18"/>
                <w:color w:val="auto"/>
              </w:rPr>
              <w:t>4,126,763</w:t>
            </w:r>
          </w:p>
        </w:tc>
        <w:tc>
          <w:tcPr>
            <w:tcW w:w="2120" w:type="dxa"/>
            <w:vAlign w:val="bottom"/>
            <w:gridSpan w:val="3"/>
          </w:tcPr>
          <w:p>
            <w:pPr>
              <w:jc w:val="right"/>
              <w:ind w:right="220"/>
              <w:spacing w:after="0"/>
              <w:rPr>
                <w:sz w:val="20"/>
                <w:szCs w:val="20"/>
                <w:color w:val="auto"/>
              </w:rPr>
            </w:pPr>
            <w:r>
              <w:rPr>
                <w:rFonts w:ascii="Arial" w:cs="Arial" w:eastAsia="Arial" w:hAnsi="Arial"/>
                <w:sz w:val="18"/>
                <w:szCs w:val="18"/>
                <w:color w:val="auto"/>
              </w:rPr>
              <w:t>48,584</w:t>
            </w:r>
          </w:p>
        </w:tc>
        <w:tc>
          <w:tcPr>
            <w:tcW w:w="1700" w:type="dxa"/>
            <w:vAlign w:val="bottom"/>
          </w:tcPr>
          <w:p>
            <w:pPr>
              <w:jc w:val="right"/>
              <w:spacing w:after="0"/>
              <w:rPr>
                <w:sz w:val="20"/>
                <w:szCs w:val="20"/>
                <w:color w:val="auto"/>
              </w:rPr>
            </w:pPr>
            <w:r>
              <w:rPr>
                <w:rFonts w:ascii="Arial" w:cs="Arial" w:eastAsia="Arial" w:hAnsi="Arial"/>
                <w:sz w:val="18"/>
                <w:szCs w:val="18"/>
                <w:color w:val="auto"/>
              </w:rPr>
              <w:t>4,209,777</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229"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2023, was approved based upon the following votes:</w:t>
      </w:r>
    </w:p>
    <w:p>
      <w:pPr>
        <w:spacing w:after="0" w:line="18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112,392,480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Against:</w:t>
            </w:r>
          </w:p>
        </w:tc>
        <w:tc>
          <w:tcPr>
            <w:tcW w:w="4120" w:type="dxa"/>
            <w:vAlign w:val="bottom"/>
          </w:tcPr>
          <w:p>
            <w:pPr>
              <w:jc w:val="right"/>
              <w:spacing w:after="0"/>
              <w:rPr>
                <w:sz w:val="20"/>
                <w:szCs w:val="20"/>
                <w:color w:val="auto"/>
              </w:rPr>
            </w:pPr>
            <w:r>
              <w:rPr>
                <w:rFonts w:ascii="Arial" w:cs="Arial" w:eastAsia="Arial" w:hAnsi="Arial"/>
                <w:sz w:val="18"/>
                <w:szCs w:val="18"/>
                <w:color w:val="auto"/>
              </w:rPr>
              <w:t>4,290,618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Advisory Vote on Executive Compensation</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resolution to approve, on an advisory basis, the compensation of the Company’s named executive officers as disclosed in the Proxy Statement was approved based on the following votes: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97,786,842</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Against:</w:t>
            </w:r>
          </w:p>
        </w:tc>
        <w:tc>
          <w:tcPr>
            <w:tcW w:w="3700" w:type="dxa"/>
            <w:vAlign w:val="bottom"/>
          </w:tcPr>
          <w:p>
            <w:pPr>
              <w:jc w:val="right"/>
              <w:spacing w:after="0"/>
              <w:rPr>
                <w:sz w:val="20"/>
                <w:szCs w:val="20"/>
                <w:color w:val="auto"/>
              </w:rPr>
            </w:pPr>
            <w:r>
              <w:rPr>
                <w:rFonts w:ascii="Arial" w:cs="Arial" w:eastAsia="Arial" w:hAnsi="Arial"/>
                <w:sz w:val="18"/>
                <w:szCs w:val="18"/>
                <w:color w:val="auto"/>
              </w:rPr>
              <w:t>14,490,406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240,046</w:t>
            </w: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Broker Non-Votes:</w:t>
            </w:r>
          </w:p>
        </w:tc>
        <w:tc>
          <w:tcPr>
            <w:tcW w:w="3700" w:type="dxa"/>
            <w:vAlign w:val="bottom"/>
          </w:tcPr>
          <w:p>
            <w:pPr>
              <w:jc w:val="right"/>
              <w:spacing w:after="0"/>
              <w:rPr>
                <w:sz w:val="20"/>
                <w:szCs w:val="20"/>
                <w:color w:val="auto"/>
              </w:rPr>
            </w:pPr>
            <w:r>
              <w:rPr>
                <w:rFonts w:ascii="Arial" w:cs="Arial" w:eastAsia="Arial" w:hAnsi="Arial"/>
                <w:sz w:val="18"/>
                <w:szCs w:val="18"/>
                <w:color w:val="auto"/>
              </w:rPr>
              <w:t>4,209,777</w:t>
            </w:r>
          </w:p>
        </w:tc>
        <w:tc>
          <w:tcPr>
            <w:tcW w:w="1680" w:type="dxa"/>
            <w:vAlign w:val="bottom"/>
          </w:tcPr>
          <w:p>
            <w:pPr>
              <w:spacing w:after="0"/>
              <w:rPr>
                <w:sz w:val="20"/>
                <w:szCs w:val="20"/>
                <w:color w:val="auto"/>
              </w:rPr>
            </w:pPr>
          </w:p>
        </w:tc>
      </w:tr>
      <w:tr>
        <w:trPr>
          <w:trHeight w:val="661"/>
        </w:trPr>
        <w:tc>
          <w:tcPr>
            <w:tcW w:w="17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Proposal 4 – Advisory Vote on Frequency of Future Advisory Votes on Executive Compensation</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One year was selected by a majority of the votes cast on the advisory proposal on the frequency of future advisory votes on executive compensation based upon the following votes:</w:t>
      </w:r>
    </w:p>
    <w:p>
      <w:pPr>
        <w:spacing w:after="0" w:line="200" w:lineRule="exact"/>
        <w:rPr>
          <w:sz w:val="20"/>
          <w:szCs w:val="20"/>
          <w:color w:val="auto"/>
        </w:rPr>
      </w:pP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One Year:</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111,204,155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Two Years:</w:t>
            </w:r>
          </w:p>
        </w:tc>
        <w:tc>
          <w:tcPr>
            <w:tcW w:w="3740" w:type="dxa"/>
            <w:vAlign w:val="bottom"/>
          </w:tcPr>
          <w:p>
            <w:pPr>
              <w:jc w:val="right"/>
              <w:spacing w:after="0"/>
              <w:rPr>
                <w:sz w:val="20"/>
                <w:szCs w:val="20"/>
                <w:color w:val="auto"/>
              </w:rPr>
            </w:pPr>
            <w:r>
              <w:rPr>
                <w:rFonts w:ascii="Arial" w:cs="Arial" w:eastAsia="Arial" w:hAnsi="Arial"/>
                <w:sz w:val="18"/>
                <w:szCs w:val="18"/>
                <w:color w:val="auto"/>
              </w:rPr>
              <w:t>56,571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Three Years:</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1,192,972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Abstain:</w:t>
            </w:r>
          </w:p>
        </w:tc>
        <w:tc>
          <w:tcPr>
            <w:tcW w:w="3740" w:type="dxa"/>
            <w:vAlign w:val="bottom"/>
          </w:tcPr>
          <w:p>
            <w:pPr>
              <w:jc w:val="right"/>
              <w:spacing w:after="0"/>
              <w:rPr>
                <w:sz w:val="20"/>
                <w:szCs w:val="20"/>
                <w:color w:val="auto"/>
              </w:rPr>
            </w:pPr>
            <w:r>
              <w:rPr>
                <w:rFonts w:ascii="Arial" w:cs="Arial" w:eastAsia="Arial" w:hAnsi="Arial"/>
                <w:sz w:val="18"/>
                <w:szCs w:val="18"/>
                <w:color w:val="auto"/>
              </w:rPr>
              <w:t>63,596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Broker Non-Votes:</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4,209,777</w:t>
            </w:r>
          </w:p>
        </w:tc>
      </w:tr>
    </w:tbl>
    <w:p>
      <w:pPr>
        <w:spacing w:after="0" w:line="19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Proposal 5 – Non-binding Shareholder Proposal Requesting Report on a Process by which Access to Medicine is Considered in Matters Related to Protecting Intellectual Property</w:t>
      </w:r>
    </w:p>
    <w:p>
      <w:pPr>
        <w:spacing w:after="0" w:line="16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non-binding shareholder proposal requesting report on a process by which access to medicine is considered in matters related to protecting intellectual property was not approved based upon the following votes:</w:t>
      </w:r>
    </w:p>
    <w:p>
      <w:pPr>
        <w:spacing w:after="0" w:line="18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10,554,422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Against:</w:t>
            </w:r>
          </w:p>
        </w:tc>
        <w:tc>
          <w:tcPr>
            <w:tcW w:w="3740" w:type="dxa"/>
            <w:vAlign w:val="bottom"/>
          </w:tcPr>
          <w:p>
            <w:pPr>
              <w:jc w:val="right"/>
              <w:spacing w:after="0"/>
              <w:rPr>
                <w:sz w:val="20"/>
                <w:szCs w:val="20"/>
                <w:color w:val="auto"/>
              </w:rPr>
            </w:pPr>
            <w:r>
              <w:rPr>
                <w:rFonts w:ascii="Arial" w:cs="Arial" w:eastAsia="Arial" w:hAnsi="Arial"/>
                <w:sz w:val="18"/>
                <w:szCs w:val="18"/>
                <w:color w:val="auto"/>
              </w:rPr>
              <w:t>101,359,081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603,791</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Broker Non-Votes:</w:t>
            </w:r>
          </w:p>
        </w:tc>
        <w:tc>
          <w:tcPr>
            <w:tcW w:w="3740" w:type="dxa"/>
            <w:vAlign w:val="bottom"/>
          </w:tcPr>
          <w:p>
            <w:pPr>
              <w:jc w:val="right"/>
              <w:spacing w:after="0"/>
              <w:rPr>
                <w:sz w:val="20"/>
                <w:szCs w:val="20"/>
                <w:color w:val="auto"/>
              </w:rPr>
            </w:pPr>
            <w:r>
              <w:rPr>
                <w:rFonts w:ascii="Arial" w:cs="Arial" w:eastAsia="Arial" w:hAnsi="Arial"/>
                <w:sz w:val="18"/>
                <w:szCs w:val="18"/>
                <w:color w:val="auto"/>
              </w:rPr>
              <w:t>4,209,777</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gridSpan w:val="4"/>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9"/>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tcBorders>
              <w:bottom w:val="single" w:sz="8" w:color="auto"/>
            </w:tcBorders>
            <w:gridSpan w:val="2"/>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Amendment to the Amended and Restated By-Laws effective June 9, 2023.</w:t>
            </w:r>
          </w:p>
        </w:tc>
        <w:tc>
          <w:tcPr>
            <w:tcW w:w="4140" w:type="dxa"/>
            <w:vAlign w:val="bottom"/>
          </w:tcPr>
          <w:p>
            <w:pPr>
              <w:spacing w:after="0"/>
              <w:rPr>
                <w:sz w:val="24"/>
                <w:szCs w:val="24"/>
                <w:color w:val="auto"/>
              </w:rPr>
            </w:pPr>
          </w:p>
        </w:tc>
      </w:tr>
      <w:tr>
        <w:trPr>
          <w:trHeight w:val="453"/>
        </w:trPr>
        <w:tc>
          <w:tcPr>
            <w:tcW w:w="1100" w:type="dxa"/>
            <w:vAlign w:val="bottom"/>
            <w:gridSpan w:val="2"/>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TO THE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REGENERON PHARMACEUTICALS,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Amended and Restated By-Laws of Regeneron Pharmaceuticals, Inc., as amended through December 16, 2016 and currently in effect (the “</w:t>
      </w:r>
      <w:r>
        <w:rPr>
          <w:rFonts w:ascii="Arial" w:cs="Arial" w:eastAsia="Arial" w:hAnsi="Arial"/>
          <w:sz w:val="18"/>
          <w:szCs w:val="18"/>
          <w:u w:val="single" w:color="auto"/>
          <w:color w:val="auto"/>
        </w:rPr>
        <w:t>By-Laws</w:t>
      </w:r>
      <w:r>
        <w:rPr>
          <w:rFonts w:ascii="Arial" w:cs="Arial" w:eastAsia="Arial" w:hAnsi="Arial"/>
          <w:sz w:val="18"/>
          <w:szCs w:val="18"/>
          <w:color w:val="auto"/>
        </w:rPr>
        <w:t>”), hereby amends the By-Laws as follows:</w:t>
      </w:r>
    </w:p>
    <w:p>
      <w:pPr>
        <w:spacing w:after="0" w:line="170"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7 of Article II of the By-Laws is hereby amended and restated in its entirety as follows: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from time to time may elect a Chairman of the Board. The Chairman of the Board, if one is elected, shall preside at all meetings of the Board of Directors and of the shareholders, and he shall have and perform such other duties as from time to time may be assigned to him by the Board of Directors. The Board of Directors from time to time may also elect two persons to serve as Co-Chairs of the Board (each, a “Co-Chair”). Any reference to the Chairman in these By-Laws shall be deemed to mean, if there are Co-Chairs, either Co-Chair, each of whom may exercise the full powers and authorities of the office.</w:t>
      </w:r>
    </w:p>
    <w:p>
      <w:pPr>
        <w:spacing w:after="0" w:line="188"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Amendment is effective as of June 9, 2023.</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amended by this Amendment, the By-Laws shall remain in full force and effect.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Joseph J. LaRosa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6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606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4580" w:type="dxa"/>
            <w:vAlign w:val="bottom"/>
          </w:tcPr>
          <w:p>
            <w:pPr>
              <w:ind w:left="80"/>
              <w:spacing w:after="0"/>
              <w:rPr>
                <w:sz w:val="20"/>
                <w:szCs w:val="20"/>
                <w:color w:val="auto"/>
              </w:rPr>
            </w:pPr>
            <w:r>
              <w:rPr>
                <w:rFonts w:ascii="Arial" w:cs="Arial" w:eastAsia="Arial" w:hAnsi="Arial"/>
                <w:sz w:val="18"/>
                <w:szCs w:val="18"/>
                <w:color w:val="auto"/>
                <w:w w:val="97"/>
              </w:rPr>
              <w:t>Executive Vice President, General Counsel and Secretary</w:t>
            </w:r>
          </w:p>
        </w:tc>
      </w:tr>
      <w:tr>
        <w:trPr>
          <w:trHeight w:val="702"/>
        </w:trPr>
        <w:tc>
          <w:tcPr>
            <w:tcW w:w="6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2023-06-14T15:12:43Z</dcterms:created>
  <dcterms:modified xsi:type="dcterms:W3CDTF">2023-06-14T15:12:43Z</dcterms:modified>
</cp:coreProperties>
</file>