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#75886F107</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1,630,487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12,205,245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12,205,245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12.140%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12,205,245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12,205,245</w:t>
      </w:r>
    </w:p>
    <w:p>
      <w:pPr>
        <w:spacing w:after="0" w:line="237" w:lineRule="auto"/>
        <w:rPr>
          <w:sz w:val="20"/>
          <w:szCs w:val="20"/>
          <w:color w:val="auto"/>
        </w:rPr>
      </w:pPr>
      <w:r>
        <w:rPr>
          <w:rFonts w:ascii="Courier New" w:cs="Courier New" w:eastAsia="Courier New" w:hAnsi="Courier New"/>
          <w:sz w:val="18"/>
          <w:szCs w:val="18"/>
          <w:color w:val="auto"/>
        </w:rPr>
        <w:t>Item 11: 12.140%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12,205,245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12.140%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1,630,487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12,205,245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REGENERON PHARMACEUTICALS INC. No one other person's interest in the COMMON STOCK of REGENERON PHARMACEUTICALS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9,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03"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June 9, 2020, agree and consent to the joint filing on their behalf of this Schedule 13G in connection with their beneficial ownership of the COMMON STOCK of REGENERON PHARMACEUTICALS INC at May 29,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2020-06-10T09:15:12Z</dcterms:created>
  <dcterms:modified xsi:type="dcterms:W3CDTF">2020-06-10T09:15:12Z</dcterms:modified>
</cp:coreProperties>
</file>