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895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8959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BROWN MICHAEL S</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gridSpan w:val="8"/>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REGENERON PHARMACEUTICALS,</w:t>
              </w:r>
            </w:hyperlink>
          </w:p>
        </w:tc>
        <w:tc>
          <w:tcPr>
            <w:tcW w:w="28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7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gridSpan w:val="3"/>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600" w:type="dxa"/>
            <w:vAlign w:val="bottom"/>
            <w:gridSpan w:val="7"/>
          </w:tcPr>
          <w:p>
            <w:pPr>
              <w:ind w:left="240"/>
              <w:spacing w:after="0"/>
              <w:rPr>
                <w:sz w:val="20"/>
                <w:szCs w:val="20"/>
                <w:color w:val="auto"/>
              </w:rPr>
            </w:pPr>
            <w:r>
              <w:rPr>
                <w:rFonts w:ascii="Times New Roman" w:cs="Times New Roman" w:eastAsia="Times New Roman" w:hAnsi="Times New Roman"/>
                <w:sz w:val="17"/>
                <w:szCs w:val="17"/>
                <w:color w:val="0000FF"/>
              </w:rPr>
              <w:t>01/06/2023</w:t>
            </w: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480" w:type="dxa"/>
            <w:vAlign w:val="bottom"/>
            <w:gridSpan w:val="8"/>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5"/>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60" w:type="dxa"/>
            <w:vAlign w:val="bottom"/>
            <w:tcBorders>
              <w:top w:val="single" w:sz="8" w:color="2C2C2C"/>
            </w:tcBorders>
            <w:gridSpan w:val="18"/>
          </w:tcPr>
          <w:p>
            <w:pPr>
              <w:jc w:val="center"/>
              <w:ind w:left="116"/>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5"/>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jc w:val="center"/>
              <w:ind w:right="20"/>
              <w:spacing w:after="0" w:line="130"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ind w:left="720"/>
              <w:spacing w:after="0"/>
              <w:rPr>
                <w:sz w:val="20"/>
                <w:szCs w:val="20"/>
                <w:color w:val="auto"/>
              </w:rPr>
            </w:pPr>
            <w:r>
              <w:rPr>
                <w:rFonts w:ascii="Times New Roman" w:cs="Times New Roman" w:eastAsia="Times New Roman" w:hAnsi="Times New Roman"/>
                <w:sz w:val="17"/>
                <w:szCs w:val="17"/>
                <w:color w:val="0000FF"/>
              </w:rPr>
              <w:t>01/06/2023</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3,070</w:t>
            </w:r>
          </w:p>
        </w:tc>
        <w:tc>
          <w:tcPr>
            <w:tcW w:w="6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520.01</w:t>
            </w: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4,317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ind w:left="720"/>
              <w:spacing w:after="0"/>
              <w:rPr>
                <w:sz w:val="20"/>
                <w:szCs w:val="20"/>
                <w:color w:val="auto"/>
              </w:rPr>
            </w:pPr>
            <w:r>
              <w:rPr>
                <w:rFonts w:ascii="Times New Roman" w:cs="Times New Roman" w:eastAsia="Times New Roman" w:hAnsi="Times New Roman"/>
                <w:sz w:val="17"/>
                <w:szCs w:val="17"/>
                <w:color w:val="0000FF"/>
              </w:rPr>
              <w:t>01/06/2023</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3,070</w:t>
            </w:r>
          </w:p>
        </w:tc>
        <w:tc>
          <w:tcPr>
            <w:tcW w:w="6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747.14</w:t>
            </w:r>
            <w:r>
              <w:rPr>
                <w:rFonts w:ascii="Times New Roman" w:cs="Times New Roman" w:eastAsia="Times New Roman" w:hAnsi="Times New Roman"/>
                <w:sz w:val="21"/>
                <w:szCs w:val="21"/>
                <w:color w:val="008000"/>
                <w:w w:val="90"/>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1,247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5,000</w:t>
            </w:r>
          </w:p>
        </w:tc>
        <w:tc>
          <w:tcPr>
            <w:tcW w:w="280" w:type="dxa"/>
            <w:vAlign w:val="bottom"/>
          </w:tcPr>
          <w:p>
            <w:pPr>
              <w:spacing w:after="0"/>
              <w:rPr>
                <w:sz w:val="21"/>
                <w:szCs w:val="21"/>
                <w:color w:val="auto"/>
              </w:rPr>
            </w:pPr>
          </w:p>
        </w:tc>
        <w:tc>
          <w:tcPr>
            <w:tcW w:w="680" w:type="dxa"/>
            <w:vAlign w:val="bottom"/>
            <w:vMerge w:val="restart"/>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SLAT</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6,662</w:t>
            </w:r>
          </w:p>
        </w:tc>
        <w:tc>
          <w:tcPr>
            <w:tcW w:w="280" w:type="dxa"/>
            <w:vAlign w:val="bottom"/>
          </w:tcPr>
          <w:p>
            <w:pPr>
              <w:spacing w:after="0"/>
              <w:rPr>
                <w:sz w:val="22"/>
                <w:szCs w:val="22"/>
                <w:color w:val="auto"/>
              </w:rPr>
            </w:pPr>
          </w:p>
        </w:tc>
        <w:tc>
          <w:tcPr>
            <w:tcW w:w="68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60" w:type="dxa"/>
            <w:vAlign w:val="bottom"/>
            <w:tcBorders>
              <w:top w:val="single" w:sz="8" w:color="2C2C2C"/>
            </w:tcBorders>
            <w:gridSpan w:val="18"/>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8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520.01</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01/06/2023</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3,070</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01/04/2026</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3,070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6,142</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Disposition/acquisition made pursuant to a plan intended to comply with Rule 10b5-1(c).</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3,070 shares of Company stock on January 6, 2023 at prices ranging from $747.00 to $747.50. Upon request by the Commission staff, the Company, or a security holder of the Company, the reporting person will provide full information regarding the number of shares sold by the reporting person on January 6, 2023 at each separate price.</w:t>
      </w:r>
    </w:p>
    <w:p>
      <w:pPr>
        <w:spacing w:after="0" w:line="16"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becomes exercisable in three equal annual installments, commencing one year after the date of grant.</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/s/**Michael S. Brown</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01/10/2023</w:t>
            </w:r>
          </w:p>
        </w:tc>
      </w:tr>
      <w:tr>
        <w:trPr>
          <w:trHeight w:val="20"/>
        </w:trPr>
        <w:tc>
          <w:tcPr>
            <w:tcW w:w="1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2023-01-10T15:05:53Z</dcterms:created>
  <dcterms:modified xsi:type="dcterms:W3CDTF">2023-01-10T15:05:53Z</dcterms:modified>
</cp:coreProperties>
</file>