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91440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90"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54" w:lineRule="exact"/>
        <w:rPr>
          <w:sz w:val="24"/>
          <w:szCs w:val="24"/>
          <w:color w:val="auto"/>
        </w:rPr>
      </w:pPr>
    </w:p>
    <w:p>
      <w:pPr>
        <w:ind w:left="260" w:right="2240" w:hanging="225"/>
        <w:spacing w:after="0" w:line="364" w:lineRule="auto"/>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 xml:space="preserve">QUARTERLY REPORT PURSUANT TO SECTION 13 OR 15(d) OF THE SECURITIES EXCHANGE ACT OF 1934 For the quarterly period ended </w:t>
      </w:r>
      <w:r>
        <w:rPr>
          <w:rFonts w:ascii="Arial" w:cs="Arial" w:eastAsia="Arial" w:hAnsi="Arial"/>
          <w:sz w:val="17"/>
          <w:szCs w:val="17"/>
          <w:b w:val="1"/>
          <w:bCs w:val="1"/>
          <w:u w:val="single" w:color="auto"/>
          <w:color w:val="auto"/>
        </w:rPr>
        <w:t>June 30, 2018</w:t>
      </w:r>
    </w:p>
    <w:p>
      <w:pPr>
        <w:spacing w:after="0" w:line="204" w:lineRule="exact"/>
        <w:rPr>
          <w:sz w:val="24"/>
          <w:szCs w:val="24"/>
          <w:color w:val="auto"/>
        </w:rPr>
      </w:pPr>
    </w:p>
    <w:p>
      <w:pPr>
        <w:ind w:left="260" w:right="2240" w:hanging="225"/>
        <w:spacing w:after="0" w:line="364" w:lineRule="auto"/>
        <w:tabs>
          <w:tab w:leader="none" w:pos="26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0-19034</w:t>
      </w:r>
    </w:p>
    <w:p>
      <w:pPr>
        <w:spacing w:after="0" w:line="302"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8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2"/>
              </w:rPr>
              <w:t>New York</w:t>
            </w:r>
          </w:p>
        </w:tc>
        <w:tc>
          <w:tcPr>
            <w:tcW w:w="5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1"/>
              </w:rPr>
              <w:t>13-3444607</w:t>
            </w:r>
          </w:p>
        </w:tc>
        <w:tc>
          <w:tcPr>
            <w:tcW w:w="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5120" w:type="dxa"/>
            <w:vAlign w:val="bottom"/>
            <w:gridSpan w:val="5"/>
          </w:tcPr>
          <w:p>
            <w:pPr>
              <w:jc w:val="center"/>
              <w:ind w:left="458"/>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120" w:type="dxa"/>
            <w:vAlign w:val="bottom"/>
          </w:tcPr>
          <w:p>
            <w:pPr>
              <w:spacing w:after="0"/>
              <w:rPr>
                <w:sz w:val="24"/>
                <w:szCs w:val="24"/>
                <w:color w:val="auto"/>
              </w:rPr>
            </w:pPr>
          </w:p>
        </w:tc>
        <w:tc>
          <w:tcPr>
            <w:tcW w:w="4400" w:type="dxa"/>
            <w:vAlign w:val="bottom"/>
            <w:gridSpan w:val="3"/>
          </w:tcPr>
          <w:p>
            <w:pPr>
              <w:jc w:val="center"/>
              <w:ind w:left="210"/>
              <w:spacing w:after="0"/>
              <w:rPr>
                <w:sz w:val="20"/>
                <w:szCs w:val="20"/>
                <w:color w:val="auto"/>
              </w:rPr>
            </w:pPr>
            <w:r>
              <w:rPr>
                <w:rFonts w:ascii="Arial" w:cs="Arial" w:eastAsia="Arial" w:hAnsi="Arial"/>
                <w:sz w:val="18"/>
                <w:szCs w:val="18"/>
                <w:i w:val="1"/>
                <w:iCs w:val="1"/>
                <w:color w:val="auto"/>
                <w:w w:val="93"/>
              </w:rPr>
              <w:t>(I.R.S. Employer Identification No.)</w:t>
            </w:r>
          </w:p>
        </w:tc>
        <w:tc>
          <w:tcPr>
            <w:tcW w:w="520" w:type="dxa"/>
            <w:vAlign w:val="bottom"/>
          </w:tcPr>
          <w:p>
            <w:pPr>
              <w:spacing w:after="0"/>
              <w:rPr>
                <w:sz w:val="24"/>
                <w:szCs w:val="24"/>
                <w:color w:val="auto"/>
              </w:rPr>
            </w:pPr>
          </w:p>
        </w:tc>
      </w:tr>
      <w:tr>
        <w:trPr>
          <w:trHeight w:val="351"/>
        </w:trPr>
        <w:tc>
          <w:tcPr>
            <w:tcW w:w="800" w:type="dxa"/>
            <w:vAlign w:val="bottom"/>
          </w:tcPr>
          <w:p>
            <w:pPr>
              <w:spacing w:after="0"/>
              <w:rPr>
                <w:sz w:val="24"/>
                <w:szCs w:val="24"/>
                <w:color w:val="auto"/>
              </w:rPr>
            </w:pPr>
          </w:p>
        </w:tc>
        <w:tc>
          <w:tcPr>
            <w:tcW w:w="43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5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1"/>
              </w:rPr>
              <w:t>10591-6707</w:t>
            </w:r>
          </w:p>
        </w:tc>
        <w:tc>
          <w:tcPr>
            <w:tcW w:w="520" w:type="dxa"/>
            <w:vAlign w:val="bottom"/>
          </w:tcPr>
          <w:p>
            <w:pPr>
              <w:spacing w:after="0"/>
              <w:rPr>
                <w:sz w:val="24"/>
                <w:szCs w:val="24"/>
                <w:color w:val="auto"/>
              </w:rPr>
            </w:pPr>
          </w:p>
        </w:tc>
      </w:tr>
      <w:tr>
        <w:trPr>
          <w:trHeight w:val="291"/>
        </w:trPr>
        <w:tc>
          <w:tcPr>
            <w:tcW w:w="800" w:type="dxa"/>
            <w:vAlign w:val="bottom"/>
          </w:tcPr>
          <w:p>
            <w:pPr>
              <w:spacing w:after="0"/>
              <w:rPr>
                <w:sz w:val="24"/>
                <w:szCs w:val="24"/>
                <w:color w:val="auto"/>
              </w:rPr>
            </w:pPr>
          </w:p>
        </w:tc>
        <w:tc>
          <w:tcPr>
            <w:tcW w:w="40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9"/>
              </w:rPr>
              <w:t>(914) 847-7000</w:t>
            </w:r>
          </w:p>
        </w:tc>
        <w:tc>
          <w:tcPr>
            <w:tcW w:w="1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6"/>
          </w:tcPr>
          <w:p>
            <w:pPr>
              <w:jc w:val="center"/>
              <w:ind w:right="2437"/>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520" w:type="dxa"/>
            <w:vAlign w:val="bottom"/>
          </w:tcPr>
          <w:p>
            <w:pPr>
              <w:spacing w:after="0"/>
              <w:rPr>
                <w:sz w:val="20"/>
                <w:szCs w:val="20"/>
                <w:color w:val="auto"/>
              </w:rPr>
            </w:pPr>
          </w:p>
        </w:tc>
      </w:tr>
      <w:tr>
        <w:trPr>
          <w:trHeight w:val="571"/>
        </w:trPr>
        <w:tc>
          <w:tcPr>
            <w:tcW w:w="10640" w:type="dxa"/>
            <w:vAlign w:val="bottom"/>
            <w:gridSpan w:val="9"/>
          </w:tcPr>
          <w:p>
            <w:pPr>
              <w:spacing w:after="0"/>
              <w:rPr>
                <w:sz w:val="20"/>
                <w:szCs w:val="20"/>
                <w:color w:val="auto"/>
              </w:rPr>
            </w:pPr>
            <w:r>
              <w:rPr>
                <w:rFonts w:ascii="Arial" w:cs="Arial" w:eastAsia="Arial" w:hAnsi="Arial"/>
                <w:sz w:val="16"/>
                <w:szCs w:val="16"/>
                <w:color w:val="auto"/>
                <w:w w:val="99"/>
              </w:rPr>
              <w:t>Indicate by check mark whether the registrant (1) has filed all reports required to be filed by Section 13 or 15(d) of the Securities Exchange Act of 1934</w:t>
            </w:r>
          </w:p>
        </w:tc>
        <w:tc>
          <w:tcPr>
            <w:tcW w:w="520" w:type="dxa"/>
            <w:vAlign w:val="bottom"/>
          </w:tcPr>
          <w:p>
            <w:pPr>
              <w:spacing w:after="0"/>
              <w:rPr>
                <w:sz w:val="24"/>
                <w:szCs w:val="24"/>
                <w:color w:val="auto"/>
              </w:rPr>
            </w:pPr>
          </w:p>
        </w:tc>
      </w:tr>
      <w:tr>
        <w:trPr>
          <w:trHeight w:val="173"/>
        </w:trPr>
        <w:tc>
          <w:tcPr>
            <w:tcW w:w="10640" w:type="dxa"/>
            <w:vAlign w:val="bottom"/>
            <w:gridSpan w:val="9"/>
          </w:tcPr>
          <w:p>
            <w:pPr>
              <w:spacing w:after="0" w:line="173" w:lineRule="exact"/>
              <w:rPr>
                <w:sz w:val="20"/>
                <w:szCs w:val="20"/>
                <w:color w:val="auto"/>
              </w:rPr>
            </w:pPr>
            <w:r>
              <w:rPr>
                <w:rFonts w:ascii="Arial" w:cs="Arial" w:eastAsia="Arial" w:hAnsi="Arial"/>
                <w:sz w:val="16"/>
                <w:szCs w:val="16"/>
                <w:color w:val="auto"/>
              </w:rPr>
              <w:t>during the preceding 12 months (or for such shorter period that the registrant was required to file such reports), and (2) has been subject to such filing</w:t>
            </w:r>
          </w:p>
        </w:tc>
        <w:tc>
          <w:tcPr>
            <w:tcW w:w="520" w:type="dxa"/>
            <w:vAlign w:val="bottom"/>
          </w:tcPr>
          <w:p>
            <w:pPr>
              <w:spacing w:after="0"/>
              <w:rPr>
                <w:sz w:val="15"/>
                <w:szCs w:val="15"/>
                <w:color w:val="auto"/>
              </w:rPr>
            </w:pPr>
          </w:p>
        </w:tc>
      </w:tr>
      <w:tr>
        <w:trPr>
          <w:trHeight w:val="254"/>
        </w:trPr>
        <w:tc>
          <w:tcPr>
            <w:tcW w:w="5120" w:type="dxa"/>
            <w:vAlign w:val="bottom"/>
            <w:gridSpan w:val="5"/>
          </w:tcPr>
          <w:p>
            <w:pPr>
              <w:spacing w:after="0"/>
              <w:rPr>
                <w:sz w:val="20"/>
                <w:szCs w:val="20"/>
                <w:color w:val="auto"/>
              </w:rPr>
            </w:pPr>
            <w:r>
              <w:rPr>
                <w:rFonts w:ascii="Arial" w:cs="Arial" w:eastAsia="Arial" w:hAnsi="Arial"/>
                <w:sz w:val="16"/>
                <w:szCs w:val="16"/>
                <w:color w:val="auto"/>
              </w:rPr>
              <w:t>requirements for the past 90 days.</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80"/>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356"/>
        </w:trPr>
        <w:tc>
          <w:tcPr>
            <w:tcW w:w="1064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w:t>
            </w:r>
          </w:p>
        </w:tc>
        <w:tc>
          <w:tcPr>
            <w:tcW w:w="520" w:type="dxa"/>
            <w:vAlign w:val="bottom"/>
          </w:tcPr>
          <w:p>
            <w:pPr>
              <w:spacing w:after="0"/>
              <w:rPr>
                <w:sz w:val="24"/>
                <w:szCs w:val="24"/>
                <w:color w:val="auto"/>
              </w:rPr>
            </w:pPr>
          </w:p>
        </w:tc>
      </w:tr>
      <w:tr>
        <w:trPr>
          <w:trHeight w:val="173"/>
        </w:trPr>
        <w:tc>
          <w:tcPr>
            <w:tcW w:w="10640" w:type="dxa"/>
            <w:vAlign w:val="bottom"/>
            <w:gridSpan w:val="9"/>
          </w:tcPr>
          <w:p>
            <w:pPr>
              <w:spacing w:after="0" w:line="173" w:lineRule="exact"/>
              <w:rPr>
                <w:sz w:val="20"/>
                <w:szCs w:val="20"/>
                <w:color w:val="auto"/>
              </w:rPr>
            </w:pPr>
            <w:r>
              <w:rPr>
                <w:rFonts w:ascii="Arial" w:cs="Arial" w:eastAsia="Arial" w:hAnsi="Arial"/>
                <w:sz w:val="16"/>
                <w:szCs w:val="16"/>
                <w:color w:val="auto"/>
              </w:rPr>
              <w:t>required to be submitted and posted pursuant to Rule 405 of Regulation S-T (§232.405 of this chapter) during the preceding 12 months (or for such</w:t>
            </w:r>
          </w:p>
        </w:tc>
        <w:tc>
          <w:tcPr>
            <w:tcW w:w="520" w:type="dxa"/>
            <w:vAlign w:val="bottom"/>
          </w:tcPr>
          <w:p>
            <w:pPr>
              <w:spacing w:after="0"/>
              <w:rPr>
                <w:sz w:val="15"/>
                <w:szCs w:val="15"/>
                <w:color w:val="auto"/>
              </w:rPr>
            </w:pPr>
          </w:p>
        </w:tc>
      </w:tr>
      <w:tr>
        <w:trPr>
          <w:trHeight w:val="254"/>
        </w:trPr>
        <w:tc>
          <w:tcPr>
            <w:tcW w:w="5120" w:type="dxa"/>
            <w:vAlign w:val="bottom"/>
            <w:gridSpan w:val="5"/>
          </w:tcPr>
          <w:p>
            <w:pPr>
              <w:spacing w:after="0"/>
              <w:rPr>
                <w:sz w:val="20"/>
                <w:szCs w:val="20"/>
                <w:color w:val="auto"/>
              </w:rPr>
            </w:pPr>
            <w:r>
              <w:rPr>
                <w:rFonts w:ascii="Arial" w:cs="Arial" w:eastAsia="Arial" w:hAnsi="Arial"/>
                <w:sz w:val="16"/>
                <w:szCs w:val="16"/>
                <w:color w:val="auto"/>
                <w:w w:val="94"/>
              </w:rPr>
              <w:t>shorter period that the registrant was required to submit and post such files).</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80"/>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bl>
    <w:p>
      <w:pPr>
        <w:spacing w:after="0" w:line="167" w:lineRule="exact"/>
        <w:rPr>
          <w:sz w:val="24"/>
          <w:szCs w:val="24"/>
          <w:color w:val="auto"/>
        </w:rPr>
      </w:pPr>
    </w:p>
    <w:p>
      <w:pPr>
        <w:ind w:left="40"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Large accelerated</w:t>
            </w:r>
          </w:p>
        </w:tc>
        <w:tc>
          <w:tcPr>
            <w:tcW w:w="1680" w:type="dxa"/>
            <w:vAlign w:val="bottom"/>
            <w:vMerge w:val="restart"/>
          </w:tcPr>
          <w:p>
            <w:pPr>
              <w:ind w:left="1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000" w:type="dxa"/>
            <w:vAlign w:val="bottom"/>
            <w:vMerge w:val="restart"/>
          </w:tcPr>
          <w:p>
            <w:pPr>
              <w:jc w:val="right"/>
              <w:ind w:right="79"/>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300" w:type="dxa"/>
            <w:vAlign w:val="bottom"/>
            <w:vMerge w:val="restart"/>
          </w:tcPr>
          <w:p>
            <w:pPr>
              <w:ind w:left="1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12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54"/>
        </w:trPr>
        <w:tc>
          <w:tcPr>
            <w:tcW w:w="1500" w:type="dxa"/>
            <w:vAlign w:val="bottom"/>
          </w:tcPr>
          <w:p>
            <w:pPr>
              <w:ind w:left="880"/>
              <w:spacing w:after="0" w:line="184"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6"/>
                <w:szCs w:val="16"/>
                <w:color w:val="auto"/>
              </w:rPr>
              <w:t>☒</w:t>
            </w:r>
          </w:p>
        </w:tc>
        <w:tc>
          <w:tcPr>
            <w:tcW w:w="1680" w:type="dxa"/>
            <w:vAlign w:val="bottom"/>
            <w:vMerge w:val="continue"/>
          </w:tcPr>
          <w:p>
            <w:pPr>
              <w:spacing w:after="0"/>
              <w:rPr>
                <w:sz w:val="22"/>
                <w:szCs w:val="22"/>
                <w:color w:val="auto"/>
              </w:rPr>
            </w:pPr>
          </w:p>
        </w:tc>
        <w:tc>
          <w:tcPr>
            <w:tcW w:w="20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(Do not check if a</w:t>
            </w:r>
          </w:p>
        </w:tc>
        <w:tc>
          <w:tcPr>
            <w:tcW w:w="2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smaller reporting</w:t>
            </w:r>
          </w:p>
        </w:tc>
        <w:tc>
          <w:tcPr>
            <w:tcW w:w="2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company)</w:t>
            </w:r>
          </w:p>
        </w:tc>
        <w:tc>
          <w:tcPr>
            <w:tcW w:w="2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sectPr>
          <w:pgSz w:w="11900" w:h="16838" w:orient="portrait"/>
          <w:cols w:equalWidth="0" w:num="1">
            <w:col w:w="11200"/>
          </w:cols>
          <w:pgMar w:left="240" w:top="472" w:right="459" w:bottom="1440" w:gutter="0" w:footer="0" w:header="0"/>
        </w:sect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7" w:lineRule="exact"/>
        <w:rPr>
          <w:sz w:val="24"/>
          <w:szCs w:val="24"/>
          <w:color w:val="auto"/>
        </w:rPr>
      </w:pPr>
    </w:p>
    <w:p>
      <w:pPr>
        <w:sectPr>
          <w:pgSz w:w="11900" w:h="16838" w:orient="portrait"/>
          <w:cols w:equalWidth="0" w:num="2">
            <w:col w:w="10180" w:space="200"/>
            <w:col w:w="820"/>
          </w:cols>
          <w:pgMar w:left="240" w:top="472" w:right="4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18" w:lineRule="exact"/>
        <w:rPr>
          <w:sz w:val="24"/>
          <w:szCs w:val="24"/>
          <w:color w:val="auto"/>
        </w:rPr>
      </w:pPr>
    </w:p>
    <w:p>
      <w:pPr>
        <w:sectPr>
          <w:pgSz w:w="11900" w:h="16838" w:orient="portrait"/>
          <w:cols w:equalWidth="0" w:num="3">
            <w:col w:w="9420" w:space="720"/>
            <w:col w:w="380" w:space="320"/>
            <w:col w:w="360"/>
          </w:cols>
          <w:pgMar w:left="240" w:top="472" w:right="459" w:bottom="1440" w:gutter="0" w:footer="0" w:header="0"/>
          <w:type w:val="continuous"/>
        </w:sect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20, 2018:</w:t>
      </w:r>
    </w:p>
    <w:p>
      <w:pPr>
        <w:spacing w:after="0" w:line="181" w:lineRule="exact"/>
        <w:rPr>
          <w:sz w:val="24"/>
          <w:szCs w:val="24"/>
          <w:color w:val="auto"/>
        </w:rPr>
      </w:pPr>
    </w:p>
    <w:tbl>
      <w:tblPr>
        <w:tblLayout w:type="fixed"/>
        <w:tblInd w:w="2260" w:type="dxa"/>
        <w:tblCellMar>
          <w:top w:w="0" w:type="dxa"/>
          <w:left w:w="0" w:type="dxa"/>
          <w:bottom w:w="0" w:type="dxa"/>
          <w:right w:w="0" w:type="dxa"/>
        </w:tblCellMar>
      </w:tblPr>
      <w:tr>
        <w:trPr>
          <w:trHeight w:val="206"/>
        </w:trPr>
        <w:tc>
          <w:tcPr>
            <w:tcW w:w="366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Class of Common Stock</w:t>
            </w:r>
          </w:p>
        </w:tc>
        <w:tc>
          <w:tcPr>
            <w:tcW w:w="3240" w:type="dxa"/>
            <w:vAlign w:val="bottom"/>
          </w:tcPr>
          <w:p>
            <w:pPr>
              <w:ind w:left="1040"/>
              <w:spacing w:after="0"/>
              <w:rPr>
                <w:sz w:val="20"/>
                <w:szCs w:val="20"/>
                <w:color w:val="auto"/>
              </w:rPr>
            </w:pPr>
            <w:r>
              <w:rPr>
                <w:rFonts w:ascii="Arial" w:cs="Arial" w:eastAsia="Arial" w:hAnsi="Arial"/>
                <w:sz w:val="16"/>
                <w:szCs w:val="16"/>
                <w:color w:val="auto"/>
              </w:rPr>
              <w:t>Number of Shares</w:t>
            </w:r>
          </w:p>
        </w:tc>
      </w:tr>
      <w:tr>
        <w:trPr>
          <w:trHeight w:val="33"/>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7"/>
        </w:trPr>
        <w:tc>
          <w:tcPr>
            <w:tcW w:w="36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Class A Stock, $.001 par value</w:t>
            </w:r>
          </w:p>
        </w:tc>
        <w:tc>
          <w:tcPr>
            <w:tcW w:w="3240" w:type="dxa"/>
            <w:vAlign w:val="bottom"/>
          </w:tcPr>
          <w:p>
            <w:pPr>
              <w:jc w:val="right"/>
              <w:ind w:right="1219"/>
              <w:spacing w:after="0"/>
              <w:rPr>
                <w:sz w:val="20"/>
                <w:szCs w:val="20"/>
                <w:color w:val="auto"/>
              </w:rPr>
            </w:pPr>
            <w:r>
              <w:rPr>
                <w:rFonts w:ascii="Arial" w:cs="Arial" w:eastAsia="Arial" w:hAnsi="Arial"/>
                <w:sz w:val="16"/>
                <w:szCs w:val="16"/>
                <w:color w:val="auto"/>
              </w:rPr>
              <w:t>1,911,354</w:t>
            </w:r>
          </w:p>
        </w:tc>
      </w:tr>
      <w:tr>
        <w:trPr>
          <w:trHeight w:val="270"/>
        </w:trPr>
        <w:tc>
          <w:tcPr>
            <w:tcW w:w="366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Common Stock, $.001 par value</w:t>
            </w:r>
          </w:p>
        </w:tc>
        <w:tc>
          <w:tcPr>
            <w:tcW w:w="3240" w:type="dxa"/>
            <w:vAlign w:val="bottom"/>
          </w:tcPr>
          <w:p>
            <w:pPr>
              <w:jc w:val="right"/>
              <w:ind w:right="1139"/>
              <w:spacing w:after="0"/>
              <w:rPr>
                <w:sz w:val="20"/>
                <w:szCs w:val="20"/>
                <w:color w:val="auto"/>
              </w:rPr>
            </w:pPr>
            <w:r>
              <w:rPr>
                <w:rFonts w:ascii="Arial" w:cs="Arial" w:eastAsia="Arial" w:hAnsi="Arial"/>
                <w:sz w:val="16"/>
                <w:szCs w:val="16"/>
                <w:color w:val="auto"/>
              </w:rPr>
              <w:t>106,144,994</w:t>
            </w:r>
          </w:p>
        </w:tc>
      </w:tr>
    </w:tbl>
    <w:p>
      <w:pPr>
        <w:sectPr>
          <w:pgSz w:w="11900" w:h="16838" w:orient="portrait"/>
          <w:cols w:equalWidth="0" w:num="1">
            <w:col w:w="11200"/>
          </w:cols>
          <w:pgMar w:left="240" w:top="472"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50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gridSpan w:val="4"/>
            <w:shd w:val="clear" w:color="auto" w:fill="CCEEFF"/>
          </w:tcPr>
          <w:p>
            <w:pPr>
              <w:jc w:val="center"/>
              <w:ind w:left="39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w:t>
              </w:r>
            </w:hyperlink>
          </w:p>
        </w:tc>
        <w:tc>
          <w:tcPr>
            <w:tcW w:w="640" w:type="dxa"/>
            <w:vAlign w:val="bottom"/>
            <w:gridSpan w:val="4"/>
            <w:shd w:val="clear" w:color="auto" w:fill="CCEEFF"/>
          </w:tcPr>
          <w:p>
            <w:pPr>
              <w:jc w:val="center"/>
              <w:ind w:left="39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500" w:type="dxa"/>
            <w:vAlign w:val="bottom"/>
            <w:gridSpan w:val="18"/>
            <w:shd w:val="clear" w:color="auto" w:fill="CCEEFF"/>
          </w:tcPr>
          <w:p>
            <w:pPr>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for the Three</w:t>
              </w:r>
            </w:hyperlink>
          </w:p>
        </w:tc>
        <w:tc>
          <w:tcPr>
            <w:tcW w:w="640" w:type="dxa"/>
            <w:vAlign w:val="bottom"/>
            <w:gridSpan w:val="4"/>
            <w:shd w:val="clear" w:color="auto" w:fill="CCEEFF"/>
          </w:tcPr>
          <w:p>
            <w:pPr>
              <w:jc w:val="center"/>
              <w:ind w:left="39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67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Six Months Ended June 30, 2018 and 2017</w:t>
              </w:r>
            </w:hyperlink>
          </w:p>
        </w:tc>
        <w:tc>
          <w:tcPr>
            <w:tcW w:w="8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2018</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666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2017</w:t>
              </w:r>
            </w:hyperlink>
          </w:p>
        </w:tc>
        <w:tc>
          <w:tcPr>
            <w:tcW w:w="840" w:type="dxa"/>
            <w:vAlign w:val="bottom"/>
            <w:tcBorders>
              <w:top w:val="single" w:sz="8" w:color="CCEEFF"/>
            </w:tcBorders>
            <w:gridSpan w:val="2"/>
            <w:shd w:val="clear" w:color="auto" w:fill="CCEEFF"/>
          </w:tcPr>
          <w:p>
            <w:pPr>
              <w:spacing w:after="0"/>
              <w:rPr>
                <w:sz w:val="21"/>
                <w:szCs w:val="21"/>
                <w:color w:val="auto"/>
              </w:rPr>
            </w:pPr>
          </w:p>
        </w:tc>
        <w:tc>
          <w:tcPr>
            <w:tcW w:w="640" w:type="dxa"/>
            <w:vAlign w:val="bottom"/>
            <w:tcBorders>
              <w:top w:val="single" w:sz="8" w:color="CCEEFF"/>
            </w:tcBorders>
            <w:gridSpan w:val="4"/>
            <w:shd w:val="clear" w:color="auto" w:fill="CCEEFF"/>
          </w:tcPr>
          <w:p>
            <w:pPr>
              <w:jc w:val="center"/>
              <w:ind w:left="39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40" w:type="dxa"/>
            <w:vAlign w:val="bottom"/>
            <w:gridSpan w:val="4"/>
            <w:shd w:val="clear" w:color="auto" w:fill="CCEEFF"/>
          </w:tcPr>
          <w:p>
            <w:pPr>
              <w:jc w:val="center"/>
              <w:ind w:left="39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750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2.</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6.</w:t>
              </w:r>
            </w:hyperlink>
          </w:p>
        </w:tc>
        <w:tc>
          <w:tcPr>
            <w:tcW w:w="7500" w:type="dxa"/>
            <w:vAlign w:val="bottom"/>
            <w:gridSpan w:val="18"/>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8720" w:type="dxa"/>
            <w:vAlign w:val="bottom"/>
            <w:gridSpan w:val="22"/>
            <w:shd w:val="clear" w:color="auto" w:fill="CCEEFF"/>
          </w:tcPr>
          <w:p>
            <w:pPr>
              <w:spacing w:after="0" w:line="202"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SIGNATURE PAGE</w:t>
              </w:r>
            </w:hyperlink>
          </w:p>
        </w:tc>
        <w:tc>
          <w:tcPr>
            <w:tcW w:w="640" w:type="dxa"/>
            <w:vAlign w:val="bottom"/>
            <w:gridSpan w:val="4"/>
            <w:shd w:val="clear" w:color="auto" w:fill="CCEEFF"/>
          </w:tcPr>
          <w:p>
            <w:pPr>
              <w:jc w:val="center"/>
              <w:ind w:left="37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"Regeneron</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40"/>
          </w:cols>
          <w:pgMar w:left="280" w:top="364"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596,847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243,238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193,684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242,014</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928,553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726,138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224,972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4,814,917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4,335,030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2,044,703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1,486,494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2,358,605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545,077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506,291</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77,866</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9,951,980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r>
      <w:tr>
        <w:trPr>
          <w:trHeight w:val="67"/>
        </w:trPr>
        <w:tc>
          <w:tcPr>
            <w:tcW w:w="8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171,906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178,183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637,162</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177,746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142,392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1,135,483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Capital and facility lease obligations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705,903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703,453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249,263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152,073</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2,765,554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2,620,208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1,911,354 in 2018 and 2017</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- 109,929,629 in 2018 and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109,477,222 in 2017</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3,712,599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3,512,833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3,885,469 shares in 2018 and 3,763,868 shares in 2017</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(316,240)</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7,186,426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6,144,078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9,951,980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516"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516"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gridSpan w:val="7"/>
          </w:tcPr>
          <w:p>
            <w:pPr>
              <w:jc w:val="center"/>
              <w:ind w:right="56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1,984,291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1,782,378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237,753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222,128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427,243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432,495</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262,863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510,791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404,294</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111,024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197,182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169,940</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1,608,022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1,470,116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3,119,507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2,789,107</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529,289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509,975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1,027,875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1,017,410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364,884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603,754</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105,193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103,386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101,366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83,703</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985,834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919,804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1,930,088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1,808,253</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622,188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550,312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1,189,419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980,854</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(22,715)</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656,074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1,241,472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958,139</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(212,080)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(321,464)</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551,412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1,029,392</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636,675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107,800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107,724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105,804</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115,607</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551,412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1,029,392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636,675</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gain (loss) on marketable securities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15,160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555,394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395,976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1,023,733</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651,863</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2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00" w:type="dxa"/>
            <w:vAlign w:val="bottom"/>
          </w:tcPr>
          <w:p>
            <w:pPr>
              <w:jc w:val="center"/>
              <w:ind w:left="19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00" w:type="dxa"/>
            <w:vAlign w:val="bottom"/>
          </w:tcPr>
          <w:p>
            <w:pPr>
              <w:jc w:val="center"/>
              <w:ind w:left="19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1,029,392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636,675</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73,241</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255,047</w:t>
            </w: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37,631</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r>
      <w:tr>
        <w:trPr>
          <w:trHeight w:val="243"/>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(232,927)</w:t>
            </w:r>
          </w:p>
        </w:tc>
      </w:tr>
      <w:tr>
        <w:trPr>
          <w:trHeight w:val="243"/>
        </w:trPr>
        <w:tc>
          <w:tcPr>
            <w:tcW w:w="826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(151,544)</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(77,168)</w:t>
            </w:r>
          </w:p>
        </w:tc>
      </w:tr>
      <w:tr>
        <w:trPr>
          <w:trHeight w:val="243"/>
        </w:trPr>
        <w:tc>
          <w:tcPr>
            <w:tcW w:w="8260" w:type="dxa"/>
            <w:vAlign w:val="bottom"/>
            <w:gridSpan w:val="2"/>
          </w:tcPr>
          <w:p>
            <w:pPr>
              <w:ind w:left="500"/>
              <w:spacing w:after="0"/>
              <w:rPr>
                <w:sz w:val="20"/>
                <w:szCs w:val="20"/>
                <w:color w:val="auto"/>
              </w:rPr>
            </w:pPr>
            <w:r>
              <w:rPr>
                <w:rFonts w:ascii="Arial" w:cs="Arial" w:eastAsia="Arial" w:hAnsi="Arial"/>
                <w:sz w:val="18"/>
                <w:szCs w:val="18"/>
                <w:color w:val="auto"/>
              </w:rPr>
              <w:t>Decrease in 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(10,655)</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(147,232)</w:t>
            </w:r>
          </w:p>
        </w:tc>
      </w:tr>
      <w:tr>
        <w:trPr>
          <w:trHeight w:val="237"/>
        </w:trPr>
        <w:tc>
          <w:tcPr>
            <w:tcW w:w="82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(311,344)</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1,013,308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325,331</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(1,181,205)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(477,408)</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272,166</w:t>
            </w: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(191,392)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(105,310)</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(310,552)</w:t>
            </w:r>
          </w:p>
        </w:tc>
      </w:tr>
      <w:tr>
        <w:trPr>
          <w:trHeight w:val="277"/>
        </w:trPr>
        <w:tc>
          <w:tcPr>
            <w:tcW w:w="11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57,000</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r>
      <w:tr>
        <w:trPr>
          <w:trHeight w:val="243"/>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188,693</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(31,437)</w:t>
            </w:r>
          </w:p>
        </w:tc>
      </w:tr>
      <w:tr>
        <w:trPr>
          <w:trHeight w:val="237"/>
        </w:trPr>
        <w:tc>
          <w:tcPr>
            <w:tcW w:w="8260" w:type="dxa"/>
            <w:vAlign w:val="bottom"/>
            <w:gridSpan w:val="2"/>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194,331</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209,110</w:t>
            </w:r>
          </w:p>
        </w:tc>
      </w:tr>
      <w:tr>
        <w:trPr>
          <w:trHeight w:val="27"/>
        </w:trPr>
        <w:tc>
          <w:tcPr>
            <w:tcW w:w="11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825,233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547,703</w:t>
            </w:r>
          </w:p>
        </w:tc>
      </w:tr>
      <w:tr>
        <w:trPr>
          <w:trHeight w:val="27"/>
        </w:trPr>
        <w:tc>
          <w:tcPr>
            <w:tcW w:w="11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930,376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756,813</w:t>
            </w:r>
          </w:p>
        </w:tc>
      </w:tr>
      <w:tr>
        <w:trPr>
          <w:trHeight w:val="20"/>
        </w:trPr>
        <w:tc>
          <w:tcPr>
            <w:tcW w:w="1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69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18" w:right="3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 are not necessarily indicative of the results for the full year. The December 31, 2017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2017.</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 xml:space="preserve">We adopted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January 1, 2018. The Company adopted the standard using the modified retrospective method, and thus recognized a cumulative-effect adjustment to reduce Retained earnings and increase Deferred revenue on January 1, 2018 by $143.4 million, net of tax. Prior period amounts have not been adjusted in connection with the adoption of this standard.</w:t>
      </w:r>
    </w:p>
    <w:p>
      <w:pPr>
        <w:spacing w:after="0" w:line="20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new standard did not have an impact on the recognition of revenue from product sales (see Note 2). However, the new standard has resulted in certain changes to the timing of revenue recognition related to our collaboration agreements (see Note 3). As a result of adopting ASC 606, non-refundable upfront payments, which were previously recognized ratably over the performance period, and substantive development milestones, which were previously recognized in the period when the milestone was achieved, will be recognized over the remaining performance period based on the Company's progress towards satisfying its identified performance obligation.</w:t>
      </w:r>
    </w:p>
    <w:p>
      <w:pPr>
        <w:spacing w:after="0" w:line="24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tables summarize the impacts of adopting ASC 606 on the Company's condensed consolidated financial statements as of and for the three and six months ended June 30, 2018 compared with the guidance that was in effect before the change.</w:t>
      </w: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2018</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16"/>
                <w:szCs w:val="16"/>
                <w:color w:val="auto"/>
              </w:rPr>
            </w:pPr>
          </w:p>
        </w:tc>
        <w:tc>
          <w:tcPr>
            <w:tcW w:w="13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16"/>
                <w:szCs w:val="16"/>
                <w:color w:val="auto"/>
              </w:rPr>
            </w:pPr>
          </w:p>
        </w:tc>
        <w:tc>
          <w:tcPr>
            <w:tcW w:w="14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6"/>
                <w:szCs w:val="16"/>
                <w:color w:val="auto"/>
              </w:rPr>
            </w:pPr>
          </w:p>
        </w:tc>
        <w:tc>
          <w:tcPr>
            <w:tcW w:w="11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528,784</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9,951,980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9,935,687</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669,196</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Deferred revenue from Sanofi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308,179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(82,983)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225,196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 other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130,577</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1,331,190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(134,315)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1,196,875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from Sanofi (noncurrent)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345,711</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Deferred revenue - other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199,401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228,135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2,666,644</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3,839,179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82,617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3,921,796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7,269,043</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9,951,980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9,935,687</w:t>
            </w:r>
          </w:p>
        </w:tc>
      </w:tr>
      <w:tr>
        <w:trPr>
          <w:trHeight w:val="70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Six Months Ended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Without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Without</w:t>
            </w: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Consolidated Statement of</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9"/>
              </w:rPr>
              <w:t>Adoption of</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1"/>
              </w:rPr>
              <w:t>Adoption of</w:t>
            </w:r>
          </w:p>
        </w:tc>
      </w:tr>
      <w:tr>
        <w:trPr>
          <w:trHeight w:val="196"/>
        </w:trPr>
        <w:tc>
          <w:tcPr>
            <w:tcW w:w="20" w:type="dxa"/>
            <w:vAlign w:val="bottom"/>
          </w:tcPr>
          <w:p>
            <w:pPr>
              <w:spacing w:after="0"/>
              <w:rPr>
                <w:sz w:val="17"/>
                <w:szCs w:val="17"/>
                <w:color w:val="auto"/>
              </w:rPr>
            </w:pPr>
          </w:p>
        </w:tc>
        <w:tc>
          <w:tcPr>
            <w:tcW w:w="20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Operations Data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280"/>
              <w:spacing w:after="0" w:line="196" w:lineRule="exact"/>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17"/>
                <w:szCs w:val="17"/>
                <w:color w:val="auto"/>
              </w:rPr>
            </w:pPr>
          </w:p>
        </w:tc>
        <w:tc>
          <w:tcPr>
            <w:tcW w:w="1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17"/>
                <w:szCs w:val="17"/>
                <w:color w:val="auto"/>
              </w:rPr>
            </w:pPr>
          </w:p>
        </w:tc>
        <w:tc>
          <w:tcPr>
            <w:tcW w:w="13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7"/>
                <w:szCs w:val="17"/>
                <w:color w:val="auto"/>
              </w:rPr>
            </w:pPr>
          </w:p>
        </w:tc>
        <w:tc>
          <w:tcPr>
            <w:tcW w:w="108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w w:val="93"/>
              </w:rPr>
              <w:t>ASC 606</w:t>
            </w: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409,912</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111,024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81,145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197,182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(47,189)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149,993</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1,608,022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3,054,987</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622,188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(38,803)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583,385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1,189,419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1,124,899</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656,074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1,176,952</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(104,662)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(212,080)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(208,378)</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551,412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514,523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1,029,392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968,574</w:t>
            </w:r>
          </w:p>
        </w:tc>
      </w:tr>
      <w:tr>
        <w:trPr>
          <w:trHeight w:val="27"/>
        </w:trPr>
        <w:tc>
          <w:tcPr>
            <w:tcW w:w="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The Company also adopted Accounting Standards Update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 of January 1, 2018</w:t>
      </w:r>
      <w:r>
        <w:rPr>
          <w:rFonts w:ascii="Arial" w:cs="Arial" w:eastAsia="Arial" w:hAnsi="Arial"/>
          <w:sz w:val="16"/>
          <w:szCs w:val="16"/>
          <w:i w:val="1"/>
          <w:iCs w:val="1"/>
          <w:color w:val="auto"/>
        </w:rPr>
        <w:t>.</w:t>
      </w:r>
      <w:r>
        <w:rPr>
          <w:rFonts w:ascii="Arial" w:cs="Arial" w:eastAsia="Arial" w:hAnsi="Arial"/>
          <w:sz w:val="16"/>
          <w:szCs w:val="16"/>
          <w:color w:val="auto"/>
        </w:rPr>
        <w:t xml:space="preserve"> The amendments require companies to measure equity investments at fair value with changes in fair value recognized in net income. We have elected the measurement alternative for equity investments we hold that do not have readily determinable fair values. Therefore, we will measure such investments at cost minus impairment, if any, and adjust for observable price changes in orderly transactions for identical or similar investments of the same issuer. Upon adoption, the Company recognized a cumulative-effect adjustment, related to unrealized gains on equity securities, to reduce Accumulated other comprehensive income and increase Retained earnings on January 1, 2018 by $6.6 million. See Note 5 and Note 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86"/>
        </w:trPr>
        <w:tc>
          <w:tcPr>
            <w:tcW w:w="516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30"/>
        </w:trPr>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spacing w:after="0"/>
              <w:rPr>
                <w:sz w:val="17"/>
                <w:szCs w:val="17"/>
                <w:color w:val="auto"/>
              </w:rPr>
            </w:pPr>
          </w:p>
        </w:tc>
        <w:tc>
          <w:tcPr>
            <w:tcW w:w="3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36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64"/>
        </w:trPr>
        <w:tc>
          <w:tcPr>
            <w:tcW w:w="1360" w:type="dxa"/>
            <w:vAlign w:val="bottom"/>
            <w:tcBorders>
              <w:right w:val="single" w:sz="8" w:color="CCEEFF"/>
            </w:tcBorders>
          </w:tcPr>
          <w:p>
            <w:pPr>
              <w:spacing w:after="0"/>
              <w:rPr>
                <w:sz w:val="22"/>
                <w:szCs w:val="22"/>
                <w:color w:val="auto"/>
              </w:rPr>
            </w:pPr>
          </w:p>
        </w:tc>
        <w:tc>
          <w:tcPr>
            <w:tcW w:w="380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919,466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1,773,853</w:t>
            </w:r>
          </w:p>
        </w:tc>
      </w:tr>
      <w:tr>
        <w:trPr>
          <w:trHeight w:val="270"/>
        </w:trPr>
        <w:tc>
          <w:tcPr>
            <w:tcW w:w="1360" w:type="dxa"/>
            <w:vAlign w:val="bottom"/>
          </w:tcPr>
          <w:p>
            <w:pPr>
              <w:spacing w:after="0"/>
              <w:rPr>
                <w:sz w:val="23"/>
                <w:szCs w:val="23"/>
                <w:color w:val="auto"/>
              </w:rPr>
            </w:pPr>
          </w:p>
        </w:tc>
        <w:tc>
          <w:tcPr>
            <w:tcW w:w="380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8,525</w:t>
            </w:r>
          </w:p>
        </w:tc>
      </w:tr>
      <w:tr>
        <w:trPr>
          <w:trHeight w:val="269"/>
        </w:trPr>
        <w:tc>
          <w:tcPr>
            <w:tcW w:w="1360" w:type="dxa"/>
            <w:vAlign w:val="bottom"/>
            <w:tcBorders>
              <w:right w:val="single" w:sz="8" w:color="CCEEFF"/>
            </w:tcBorders>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1,984,291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1,782,378</w:t>
            </w:r>
          </w:p>
        </w:tc>
      </w:tr>
      <w:tr>
        <w:trPr>
          <w:trHeight w:val="20"/>
        </w:trPr>
        <w:tc>
          <w:tcPr>
            <w:tcW w:w="136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and six months ended June 30, 2018 and 2017. Sales to each of these customers as a percentage of the Company's total gross product revenue are as follows: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140" w:type="dxa"/>
            <w:vAlign w:val="bottom"/>
            <w:gridSpan w:val="4"/>
          </w:tcPr>
          <w:p>
            <w:pPr>
              <w:ind w:left="440"/>
              <w:spacing w:after="0"/>
              <w:rPr>
                <w:sz w:val="20"/>
                <w:szCs w:val="20"/>
                <w:color w:val="auto"/>
              </w:rPr>
            </w:pPr>
            <w:r>
              <w:rPr>
                <w:rFonts w:ascii="Arial" w:cs="Arial" w:eastAsia="Arial" w:hAnsi="Arial"/>
                <w:sz w:val="18"/>
                <w:szCs w:val="18"/>
                <w:b w:val="1"/>
                <w:bCs w:val="1"/>
                <w:color w:val="auto"/>
                <w:w w:val="94"/>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80" w:type="dxa"/>
            <w:vAlign w:val="bottom"/>
            <w:gridSpan w:val="2"/>
          </w:tcPr>
          <w:p>
            <w:pPr>
              <w:ind w:left="4480"/>
              <w:spacing w:after="0"/>
              <w:rPr>
                <w:sz w:val="20"/>
                <w:szCs w:val="20"/>
                <w:color w:val="auto"/>
              </w:rPr>
            </w:pPr>
            <w:r>
              <w:rPr>
                <w:rFonts w:ascii="Arial" w:cs="Arial" w:eastAsia="Arial" w:hAnsi="Arial"/>
                <w:sz w:val="18"/>
                <w:szCs w:val="18"/>
                <w:b w:val="1"/>
                <w:bCs w:val="1"/>
                <w:color w:val="auto"/>
                <w:w w:val="94"/>
              </w:rPr>
              <w:t>2018</w:t>
            </w:r>
          </w:p>
        </w:tc>
        <w:tc>
          <w:tcPr>
            <w:tcW w:w="1300" w:type="dxa"/>
            <w:vAlign w:val="bottom"/>
            <w:gridSpan w:val="3"/>
          </w:tcPr>
          <w:p>
            <w:pPr>
              <w:ind w:left="920"/>
              <w:spacing w:after="0"/>
              <w:rPr>
                <w:sz w:val="20"/>
                <w:szCs w:val="20"/>
                <w:color w:val="auto"/>
              </w:rPr>
            </w:pPr>
            <w:r>
              <w:rPr>
                <w:rFonts w:ascii="Arial" w:cs="Arial" w:eastAsia="Arial" w:hAnsi="Arial"/>
                <w:sz w:val="18"/>
                <w:szCs w:val="18"/>
                <w:b w:val="1"/>
                <w:bCs w:val="1"/>
                <w:color w:val="auto"/>
                <w:w w:val="89"/>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Besse Medical, a subsidiary of AmerisourceBergen</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4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56%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4"/>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ind w:left="40"/>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21"/>
                <w:szCs w:val="21"/>
                <w:color w:val="auto"/>
              </w:rPr>
            </w:pPr>
          </w:p>
        </w:tc>
        <w:tc>
          <w:tcPr>
            <w:tcW w:w="1240" w:type="dxa"/>
            <w:vAlign w:val="bottom"/>
          </w:tcPr>
          <w:p>
            <w:pPr>
              <w:ind w:left="880"/>
              <w:spacing w:after="0"/>
              <w:rPr>
                <w:sz w:val="20"/>
                <w:szCs w:val="20"/>
                <w:color w:val="auto"/>
              </w:rPr>
            </w:pPr>
            <w:r>
              <w:rPr>
                <w:rFonts w:ascii="Arial" w:cs="Arial" w:eastAsia="Arial" w:hAnsi="Arial"/>
                <w:sz w:val="18"/>
                <w:szCs w:val="18"/>
                <w:color w:val="auto"/>
                <w:w w:val="94"/>
              </w:rPr>
              <w:t>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Curascript SD Specialty Distribution, a subsidiary of</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Express Scripts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Sales to Curascript SD Specialty Distribution represented less than 10% of total gross product revenue during the period.</w:t>
      </w:r>
    </w:p>
    <w:p>
      <w:pPr>
        <w:spacing w:after="0" w:line="200" w:lineRule="exact"/>
        <w:rPr>
          <w:sz w:val="20"/>
          <w:szCs w:val="20"/>
          <w:color w:val="auto"/>
        </w:rPr>
      </w:pPr>
    </w:p>
    <w:p>
      <w:pPr>
        <w:spacing w:after="0" w:line="24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by our distributors and specialty pharmacies. The Company's written contracts with its customers stipulate product is shipped freight on board destination (FOB destination).</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19"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amount of revenue we recognize varies due to rebates, chargebacks, and discounts provided under governmental and other programs, distribution-related fees, and other sales-related deductions. We estimate the amount of variable consideration that we will be entitled to, in order to determine the transaction price, based upon contracts with customers and government agencies, statutorily-defined discounts applicable to government-funded programs, historical experience, estimated payer mix, and other relevant factors.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these sales-related deductions during the six months ended June 30, 2018 and 2017.</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85,302</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219,723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(214,071)</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36,430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16,781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90,954</w:t>
            </w:r>
          </w:p>
        </w:tc>
      </w:tr>
      <w:tr>
        <w:trPr>
          <w:trHeight w:val="311"/>
        </w:trPr>
        <w:tc>
          <w:tcPr>
            <w:tcW w:w="3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45,851</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188,858</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(179,681)</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55,028</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Accruals for chargebacks and discounts are recorded as a direct reduction to accounts receivable. Accruals for rebates, distribution-related fees, and other sales-related deductions are recorded within accrued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have entered into various agreements related to our activities to research, develop, manufacture, and commercialize product candidates and utilize our technology platforms. The Company earns collaboration revenue in connection with collaboration agreements to utilize our technology platforms and develop and/or commercialize product candidates. As described in Note 1, during the first quarter of 2018, we adopted ASC 606.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 Depending on the terms of the arrangement, we may defer the recognition of all or a portion of the consideration received because the performance obligations are satisfied over time.</w:t>
      </w:r>
    </w:p>
    <w:p>
      <w:pPr>
        <w:spacing w:after="0" w:line="219" w:lineRule="exact"/>
        <w:rPr>
          <w:sz w:val="20"/>
          <w:szCs w:val="20"/>
          <w:color w:val="auto"/>
        </w:rPr>
      </w:pPr>
    </w:p>
    <w:p>
      <w:pPr>
        <w:jc w:val="both"/>
        <w:ind w:right="20" w:firstLine="230"/>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performance obligation.</w:t>
      </w:r>
    </w:p>
    <w:p>
      <w:pPr>
        <w:spacing w:after="0" w:line="20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terms of these agreements typically include consideration to be provided to the Company in the form of non-refundable up-front payments, development milestones, payments for development activities, as well as payments for commercialization activities, sales milestones, and sharing of profits or losses arising from the commercialization of products.</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We review our estimate of the transaction price each period, and make revisions to such estimates as necessary.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Company's collaboration agreements, product sales and cost of sales for products which are currently approved are recorded by the Company's collaborators as they are deemed to be the principal in the transaction. The Company shares in any profits or losses arising from the commercialization of such products, and records its share of the variable consideration, representing</w:t>
      </w:r>
    </w:p>
    <w:p>
      <w:pPr>
        <w:sectPr>
          <w:pgSz w:w="11900" w:h="16838" w:orient="portrait"/>
          <w:cols w:equalWidth="0" w:num="1">
            <w:col w:w="11420"/>
          </w:cols>
          <w:pgMar w:left="240" w:top="31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19"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 sales less cost of goods sold and shared commercialization and other expenses, as collaboration revenue in the period in which such underlying sales occur and costs are incurred by the collaborator.</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arrangements where the collaborator records product sales, the Company may be obligated to use commercially reasonable efforts to supply commercial bulk product to its collaborators, and may be reimbursed for its manufacturing costs as commercial product is shipped to its collaborators; however, recognition of such cost reimbursements as collaboration revenue is deferred until the product is sold by the Company's collaborators to third-party customers. In addition, we may also be reimbursed for a portion of costs incurred for other commercial-related activities, which are recorded as collaboration revenue in the period in which such costs are incurred.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Sanofi</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2017</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64,482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137,272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124,876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292,517</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160,663</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(230,683)</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42,490</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133,299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219,279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264,987</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77,054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68,080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150,878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126,759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20" w:type="dxa"/>
            <w:vAlign w:val="bottom"/>
          </w:tcPr>
          <w:p>
            <w:pPr>
              <w:spacing w:after="0"/>
              <w:rPr>
                <w:sz w:val="21"/>
                <w:szCs w:val="21"/>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53,815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167,508</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222,128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427,243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432,495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was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The Company's Antibody Discovery Agreement with Sanofi ended on December 31, 2017 without any extension and, therefore, funding from Sanofi under the Antibody Discovery Agreement ceased after 2017. 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during the three months ended June 30, 2018 and 2017, the Company recognized as research and development expense $9.9 million and $20.6 million, respectively, and during the six months ended June 30, 2018 and 2017, the Company recognized as research and development expense $23.8 million and $45.6 million, respectively, its share of antibody development expenses that Sanofi incurred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(alirocumab),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 and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w:t>
      </w:r>
    </w:p>
    <w:p>
      <w:pPr>
        <w:spacing w:after="0" w:line="1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Effective January 7, 2018, the Company and Sanofi entered into a letter agreement (the "Letter Agreement") in connection with, among other matters, the allocation of additional funds to certain activities relating to dupilumab and REGN3500 (collectively,</w:t>
      </w:r>
    </w:p>
    <w:p>
      <w:pPr>
        <w:sectPr>
          <w:pgSz w:w="11900" w:h="16838" w:orient="portrait"/>
          <w:cols w:equalWidth="0" w:num="1">
            <w:col w:w="11420"/>
          </w:cols>
          <w:pgMar w:left="240" w:top="3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19"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 "Dupilumab/REGN3500 Eligible Investments"). Refer to the "</w:t>
      </w:r>
      <w:r>
        <w:rPr>
          <w:rFonts w:ascii="Arial" w:cs="Arial" w:eastAsia="Arial" w:hAnsi="Arial"/>
          <w:sz w:val="17"/>
          <w:szCs w:val="17"/>
          <w:i w:val="1"/>
          <w:iCs w:val="1"/>
          <w:color w:val="auto"/>
        </w:rPr>
        <w:t>Immuno-Oncology</w:t>
      </w:r>
      <w:r>
        <w:rPr>
          <w:rFonts w:ascii="Arial" w:cs="Arial" w:eastAsia="Arial" w:hAnsi="Arial"/>
          <w:sz w:val="17"/>
          <w:szCs w:val="17"/>
          <w:color w:val="auto"/>
        </w:rPr>
        <w:t>" section below for further details regarding the Letter Agreement.</w:t>
      </w:r>
    </w:p>
    <w:p>
      <w:pPr>
        <w:spacing w:after="0" w:line="29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2017, the U.S. Food and Drug Administration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adult patients with moderately to severely active rheumatoid arthritis, and in June 2017, the European Commission granted marketing authorization for Kevzara for the treatment of rheumatoid arthritis in adult patients.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co-promote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such share of profits and losses and sales milestones is deemed to be constrained as of June 30, 2018, and therefore has not been included in the transaction price.</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significant promised goods and services consist of providing research and development services, including the manufacturing of clinical supplies, and providing commercial-related services, including the manufacturing of commercial supplies. As it relates to the Antibody Collaboration, "Reimbursement of Regeneron commercialization-related expenses" in the table above represents reimbursement of internal and external costs in connection with commercializing Praluent, Kevzara, and Dupixent. 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accounts receivable and deferred revenue information in connection with the Company's Antibody Collaboration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8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121,001</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117,682</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Increase due to shipments of commercial supplies to Sanofi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108,359</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(55,135)</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The term of the IO Discovery Agreement will continue through the later of five years from the effective date of the IO Collaboration or the date our budget for IO Discovery activities, which has been agreed to with Sanofi, is exhausted, subject to Sanofi's option to extend it for up to an additional three years for the continued development (and funding) of selected ongoing programs.</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the Company. Under the terms of the IO License and Collaboration Agreement, the parties are co-developing the Company's</w:t>
      </w:r>
    </w:p>
    <w:p>
      <w:pPr>
        <w:sectPr>
          <w:pgSz w:w="11900" w:h="16838" w:orient="portrait"/>
          <w:cols w:equalWidth="0" w:num="1">
            <w:col w:w="11420"/>
          </w:cols>
          <w:pgMar w:left="240" w:top="3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19"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antibody product candidate (cemiplimab) targeting the receptor known as programmed cell death protein 1 (PD-1). The parties share equally, on an ongoing basis, development expenses for cemiplimab up to a total of $1.640 billion, an increase of $990.0 million over the budget set forth in the original IO License and Collaboration Agreement. Pursuant to the Letter Agreement, the cemiplimab development budget has been increased and the Company has agreed to allow Sanofi to satisfy in whole or in part its funding obligations with respect to cemiplimab development and Dupilumab/REGN3500 Eligible Investments by selling up to an aggregate of 1,400,000 shares of our Common Stock directly or indirectly owned by Sanofi through September 30, 2020.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the second quarter of 2018, Sanofi elected to sell, and we elected to purchase (by issuing a credit towards the amount owed by Sanofi), 121,601 shares of the Company's Common Stock to satisfy Sanofi's funding obligation related to cemiplimab development costs incurred during the first quarter of 2018. Consequently, we recorded the cost of the shares received, or $37.6 million, as Treasury Stock during the three months ended June 30, 2018.</w:t>
      </w:r>
    </w:p>
    <w:p>
      <w:pPr>
        <w:spacing w:after="0" w:line="22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has principal control over the development of cemiplimab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 The amount of variable consideration related to such milestone is deemed to be constrained as of June 30, 2018, and therefore has not been included in the transaction price.</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$640.0 million in aggregate up-front payments made by Sanofi during 2015 in connection with the execution of the IO Collaboration has been recorded as deferred revenue and has been included in the transaction price at the inception of the contract. "Other" Sanofi immuno-oncology revenue in the Sanofi Collaboration Revenue table above primarily includes recognition of deferred revenue from the $640.0 million of up-front payments.</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the IO Collaboration, "Reimbursement of Regeneron commercialization-related expenses" in the table above represents reimbursement of costs by Sanofi in connection with the commercialization of cemiplimab outside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IO Collaboration with Sanofi:</w:t>
      </w:r>
    </w:p>
    <w:p>
      <w:pPr>
        <w:spacing w:after="0" w:line="31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7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59,274</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476,312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440,000</w:t>
            </w:r>
          </w:p>
        </w:tc>
      </w:tr>
      <w:tr>
        <w:trPr>
          <w:trHeight w:val="486"/>
        </w:trPr>
        <w:tc>
          <w:tcPr>
            <w:tcW w:w="27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20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20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Increase as a result of cumulative-effect adjustment arising</w:t>
            </w: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7"/>
        </w:trPr>
        <w:tc>
          <w:tcPr>
            <w:tcW w:w="204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93,643</w:t>
            </w:r>
          </w:p>
        </w:tc>
      </w:tr>
      <w:tr>
        <w:trPr>
          <w:trHeight w:val="229"/>
        </w:trPr>
        <w:tc>
          <w:tcPr>
            <w:tcW w:w="20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(57,331)</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June 30, 2018 was $1,550.1 million. This amount is expected to be recognized as revenue over the remaining period the Company is obligated to satisfy its performance obligation in connection with performing development activities.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 earned in connection with our Bayer EYLEA collaboration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240" w:type="dxa"/>
            <w:vAlign w:val="bottom"/>
          </w:tcPr>
          <w:p>
            <w:pPr>
              <w:spacing w:after="0"/>
              <w:rPr>
                <w:sz w:val="17"/>
                <w:szCs w:val="17"/>
                <w:color w:val="auto"/>
              </w:rPr>
            </w:pPr>
          </w:p>
        </w:tc>
        <w:tc>
          <w:tcPr>
            <w:tcW w:w="9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2017</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commercialization of EYLEA outside the United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365,759</w:t>
            </w: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EYLEA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4,780</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21,196</w:t>
            </w: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262,674</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510,062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391,735</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the Company and Bayer share the funding of agreed-upon EYLEA development costs.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EYLEA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Bayer:</w:t>
      </w:r>
    </w:p>
    <w:p>
      <w:pPr>
        <w:spacing w:after="0" w:line="28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7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241,153</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73,750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68,734</w:t>
            </w:r>
          </w:p>
        </w:tc>
      </w:tr>
      <w:tr>
        <w:trPr>
          <w:trHeight w:val="486"/>
        </w:trPr>
        <w:tc>
          <w:tcPr>
            <w:tcW w:w="27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20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20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0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Increase due to shipments of commercial supplies to Bayer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24,666</w:t>
            </w:r>
          </w:p>
        </w:tc>
      </w:tr>
      <w:tr>
        <w:trPr>
          <w:trHeight w:val="229"/>
        </w:trPr>
        <w:tc>
          <w:tcPr>
            <w:tcW w:w="20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(19,650)</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and PDGFR-beta antibody outside the United States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2016, the Company entered into an agreement with Bayer governing the joint development and commercialization outside the United States of nesvacumab, an antibody product candidate to angiopoietin-2 (Ang2), including REGN910-3 (Ang2 in combination with aflibercept), for the treatment of ocular diseases or disorders. In connection with the agreement, Bayer made a non-refundable up-front payment and paid a portion of our global development costs and development costs exclusively for the territory outside the United States. In the fourth quarter of 2017, the Company reported that results from two Phase 2 studies of REGN910-3 did not provide sufficient differentiation to warrant Phase 3 development. Therefore, during the fourth quarter of 2017, the Company accelerated and recognized the remaining amount of deferred revenue from the $50.0 million up-front payment (which was initially recorded as deferred revenue) received from Bayer as the Company deemed its performance obligation to be satisfied.</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Effective in the first quarter of 2017, the Company discontinued clinical development of REGN2176-3, and on July 31, 2017, the Company and Bayer agreed to terminate this collaboration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in September 2016. The Company leads global development activities, and the parties share development costs equally, on an ongoing basis, under a global development plan. The Company is also responsible for the manufacture and supply of fasinumab globally.</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second and fourth quarters of 2017, the Company earned, and recognized as substantive milestones, development milestones of $25.0 million and $35.0 million, respectively, from Teva upon initiation of two Phase 3 trials. In addition, the Company is entitled to receive up to an aggregate of $400.0 million in development milestones and up to an aggregate of $1,890.0 million in contingent payments upon achievement of specified annual net sales amounts. The amount of variable consideration related to such milestones is deemed to be constrained as of June 30, 2018, and therefore has not been included in the transaction price.</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providing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$250.0 million up-front payment and development milestones received from Teva, as described above, have been recorded as deferred revenue and have been included in the transaction price.</w:t>
      </w:r>
    </w:p>
    <w:p>
      <w:pPr>
        <w:spacing w:after="0" w:line="23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recognized $68.8 million and $67.7 million of revenue for the three months ended June 30, 2018 and 2017, respectively, and $127.4 million and $100.8 million of revenue for the six months ended June 30, 2018 and 2017, respectively, in connection with the Teva Collaboration Agreement.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1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summarize accounts receivable and deferred revenue information in connection with the Teva Collaboration Agreement:</w:t>
      </w:r>
    </w:p>
    <w:p>
      <w:pPr>
        <w:spacing w:after="0" w:line="31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(recorded within Prepaid</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and 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71,297</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194,564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197,357</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Increase as a result of cumulative-effect adjustment arising</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48,216</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4"/>
              </w:rPr>
              <w:t>Revenue recognized that was included in deferred revenue at</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(52,826)</w:t>
            </w:r>
          </w:p>
        </w:tc>
      </w:tr>
    </w:tbl>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Teva Collaboration Agreement allocated to the Company's performance obligation that was unsatisfied (or partially unsatisfied) as of June 30, 2018 was $525.3 million. This amount is expected to be recognized as revenue over the remaining period the Company is obligated to satisfy its performance obligation in connection with performing development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2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30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636,675</w:t>
            </w:r>
          </w:p>
        </w:tc>
      </w:tr>
      <w:tr>
        <w:trPr>
          <w:trHeight w:val="324"/>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106,034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105,804</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9,310</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7"/>
        </w:trPr>
        <w:tc>
          <w:tcPr>
            <w:tcW w:w="460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9,803</w:t>
            </w:r>
          </w:p>
        </w:tc>
      </w:tr>
      <w:tr>
        <w:trPr>
          <w:trHeight w:val="27"/>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116,137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594"/>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790"/>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080" w:type="dxa"/>
            <w:vAlign w:val="bottom"/>
          </w:tcPr>
          <w:p>
            <w:pPr>
              <w:spacing w:after="0"/>
              <w:rPr>
                <w:sz w:val="20"/>
                <w:szCs w:val="20"/>
                <w:color w:val="auto"/>
              </w:rPr>
            </w:pPr>
          </w:p>
        </w:tc>
        <w:tc>
          <w:tcPr>
            <w:tcW w:w="14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Marketable securities as of June 30, 2018 and December 31, 2017 consist of both available-for-sale debt securities of investment grade issuers (see below and Note 6) as well as equity securities of publicly traded companies (see Note 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June 30, 2018</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2,497,276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2,480,571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124,836</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76,013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40,773</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2,743,029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2,724,757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2017</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1,712,480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186,699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185,492</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106,973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2,027,272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2,020,556</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June 30, 2018 mature at various dates through March 2023. The fair values of available-for-sale debt security investments by contractual maturity consist of the following:</w:t>
      </w:r>
    </w:p>
    <w:p>
      <w:pPr>
        <w:spacing w:after="0" w:line="39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593,783</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1,959,115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1,426,773</w:t>
            </w:r>
          </w:p>
        </w:tc>
      </w:tr>
      <w:tr>
        <w:trPr>
          <w:trHeight w:val="27"/>
        </w:trPr>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2,724,757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2,020,556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19"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19"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2018</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(18,987)</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71,864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1,636,873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289,973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(20,584)</w:t>
            </w:r>
          </w:p>
        </w:tc>
      </w:tr>
      <w:tr>
        <w:trPr>
          <w:trHeight w:val="67"/>
        </w:trPr>
        <w:tc>
          <w:tcPr>
            <w:tcW w:w="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1,044,084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326,676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realized losses on sales of marketable securities, and realized gains were not material, for the three and six months ended June 30, 2018 and 2017.</w:t>
      </w:r>
    </w:p>
    <w:p>
      <w:pPr>
        <w:spacing w:after="0" w:line="2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 respect to marketable securities, for the three and six months ended June 30, 2018 and 2017, amounts reclassified from Accumulated other comprehensive (loss) income into Other income, net were related to realized gains on sales. The Company adopted ASU 2016-01 (see Note 1) during the first quarter of 2018; as a result, there were $16.5 million and $25.9 million of net unrealized gains on equity securities recognized in Other income, net for the three and six months ended June 30, 2018, respectively. For the three and six months ended June 30, 2017, there were $5.8 million and $11.2 million, respectively, of net unrealized gains on equity securities that were recorded in Other comprehensive income (loss).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1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2018</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2,480,571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2,480,571</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124,836</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40,773</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2,810,345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2,724,757</w:t>
            </w:r>
          </w:p>
        </w:tc>
      </w:tr>
      <w:tr>
        <w:trPr>
          <w:trHeight w:val="67"/>
        </w:trPr>
        <w:tc>
          <w:tcPr>
            <w:tcW w:w="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2,083,341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2,020,556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six months ended June 30, 2018 and 2017. There were no transfers of marketable securities between Levels 1 or 2 classifications during the three and six months ended June 30, 2018 and 2017.</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fair value of interest rate swap and interest rate cap contracts, which were recorded within Other noncurrent assets, was not material as of June 30, 2018 and December 31, 2017 (see Note 8). The fair value of these contracts was determined based on Level 2 inputs, using significant inputs that are observable either directly or indirectly, including London Interbank Offered Rate ("LIBOR") and interest rate swap rates.</w:t>
      </w:r>
    </w:p>
    <w:p>
      <w:pPr>
        <w:spacing w:after="0" w:line="16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June 30, 2018 and December 31, 2017, the Company had $45.5 million and $37.5 million, respectively, in equity investments that do not have a readily determinable fair value. These investments are recorded at cost within Other noncurrent assets.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19"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190,045</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302,042</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212,260</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726,138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is exposed to market fluctuations in interest rates, including those in connection with its March 2017 lease of laboratory and office facilities in Tarrytown, New York. Commencing in the second quarter of 2017, the Company entered into interest rate swap and interest rate cap agreements to manage a portion of such interest rate risk; no new agreements of this nature were entered into during the six months ended June 30, 2018. All of the Company's derivative instruments are utilized for risk management purposes, and are not used for trading or speculative purposes.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would be discontinued.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notional amounts of the Company's outstanding interest rate swap and cap agreements:</w:t>
      </w:r>
    </w:p>
    <w:p>
      <w:pPr>
        <w:spacing w:after="0" w:line="200" w:lineRule="exact"/>
        <w:rPr>
          <w:sz w:val="20"/>
          <w:szCs w:val="20"/>
          <w:color w:val="auto"/>
        </w:rPr>
      </w:pPr>
    </w:p>
    <w:p>
      <w:pPr>
        <w:spacing w:after="0" w:line="237" w:lineRule="exact"/>
        <w:rPr>
          <w:sz w:val="20"/>
          <w:szCs w:val="20"/>
          <w:color w:val="auto"/>
        </w:rPr>
      </w:pPr>
    </w:p>
    <w:tbl>
      <w:tblPr>
        <w:tblLayout w:type="fixed"/>
        <w:tblInd w:w="248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2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cash flow hedges, for the three and six months ended June 30, 2018 and 2017, amounts of gains and losses recognized in Other comprehensive income (loss), and amounts reclassified from Accumulated other comprehensive (loss) income into Interest expense were not material. As of June 30, 2018, the amounts expected to be reclassified out of Accumulated other comprehensive income into Interest expense over the next 12 months are not expected to be material. For the three and six months ended June 30, 2018 and 2017, there were no gains or losses recorded related to the ineffective portion of the derivative instruments.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1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Company is subject to U.S. federal, state, and foreign income taxes. The Company recorded an income tax provision in its Statement of Operations of $104.7 million and $138.1 million for the three months ended June 30, 2018 and 2017, respectively, and $212.1 million and $321.5 million for the six months ended June 30, 2018 and 2017, respectively. The Company's effective tax rate was 16.0% and 26.3% for the three months ended June 30, 2018 and 2017, respectively, and 17.1% and 33.6% for the six months ended June 30, 2018 and 2017, respectively. On December 22,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changing the taxation of foreign earnings (including taxation of certain global intangible low-taxed income ("GILTI")), allowing for a foreign-derived intangible income deduction and immediate expensing for qualified assets, repealing the deduction for domestic manufacturing, and imposing further limitations on the deductibility of executive compensation. As a result of the Act being signed into law, we recognized a provisional charge of $326.2 million in the fourth quarter of 2017 related to the re-measurement of the Company's U.S. net deferred tax assets at the lower enacted corporate tax rates; such amount was not adjusted during the six months ended June 30, 2018. The provisional charge recorded in the fourth quarter of 2017 is an estimate, and the measurement of deferred tax assets is subject to further analysis, such as developing interpretations and clarifications of the provisions of the Act, which could result in changes to this estimate during 2018. In addition, we have not yet elected an accounting method regarding whether to record deferred tax assets and liabilities for expected amounts of GILTI inclusions or whether to treat such amounts as a period cost.</w:t>
      </w:r>
    </w:p>
    <w:p>
      <w:pPr>
        <w:spacing w:after="0" w:line="22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effective tax rate for the three and six months ended June 30, 2018 was positively impacted, compared to the U.S. federal statutory rate, primarily by the tax benefit associated with stock-based compensation, income earned in foreign jurisdictions with tax rates lower than the U.S. federal statutory rate, the foreign-derived intangible income deduction, and the federal tax credit for research activities. The Company's effective tax rate for the three and six months ended June 30, 2017 was positively impacted, compared to the U.S. federal statutory rate, by the tax benefit associated with stock-based compensation, the domestic manufacturing deduction, and the federal tax credit for research activities, partly offset by losses incurred in foreign jurisdictions with rates lower than the U.S. federal statutory rate and the non-tax deductible Branded Prescription Drug Fee.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tax provisions recorded in the Statement of Comprehensive Income for the three and six months ended June 30, 2018 and 2017 were not material.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The Company adopted ASU 2016-18, </w:t>
      </w:r>
      <w:r>
        <w:rPr>
          <w:rFonts w:ascii="Arial" w:cs="Arial" w:eastAsia="Arial" w:hAnsi="Arial"/>
          <w:sz w:val="17"/>
          <w:szCs w:val="17"/>
          <w:i w:val="1"/>
          <w:iCs w:val="1"/>
          <w:color w:val="auto"/>
        </w:rPr>
        <w:t>Statement of Cash Flows - Restricted Cash</w:t>
      </w:r>
      <w:r>
        <w:rPr>
          <w:rFonts w:ascii="Arial" w:cs="Arial" w:eastAsia="Arial" w:hAnsi="Arial"/>
          <w:sz w:val="17"/>
          <w:szCs w:val="17"/>
          <w:color w:val="auto"/>
        </w:rPr>
        <w:t>, during the first quarter of 2018, and the standard has been retrospectively applied to all periods presented. The following provides a reconciliation of cash, cash equivalents, and restricted cash reported within the Condensed Consolidated Balance Sheet to the total of the same such amounts shown in the Condensed Consolidated Statement of Cash Flows:</w:t>
      </w:r>
    </w:p>
    <w:p>
      <w:pPr>
        <w:spacing w:after="0" w:line="37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744,313</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Total cash, cash equivalents, and restricted cash shown in the Condensed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930,376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756,813</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1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accrued expenses, and other liabilities as of June 30, 2018 and December 31, 2017 were $38.4 million and $41.8 million, respectively, of accrued capital expenditures. Included in accounts payable, accrued expenses, and other liabilities as of June 30, 2017 and December 31, 2016 were $30.9 million and $28.2 million, respectively, of accrued capital expenditures.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described in Note 3, during the six months ended June 30, 2018, we purchased (by issuing a credit towards the amount owed by Sanofi) 121,601 shares of our Common Stock from Sanofi, and recorded the cost of the shares received, or $37.6 million, as Treasury Stock.</w:t>
      </w:r>
    </w:p>
    <w:p>
      <w:pPr>
        <w:spacing w:after="0" w:line="2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six months ended June 30,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September 25, 2013, the Company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The hearing for the Company's appeal and Kymab's cross-appeal was held on October 17–20, 2017. On March 28, 2018, the Court of Appeal (Civil Division of England and Wales) reversed the English High Court's decision and held that the '287 Patent and '163 Patent are both valid and infringed by Kymab. On June 5, 2018, the Court of Appeal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 provisions of the final order are stayed pending final determination of Kymab's application for permission to appeal to the Supreme Court of the United Kingdom and, if permission is granted, Kymab's appeal. The Company has also been awarded a portion of the legal fees incurred by it in connection with the proceedings in the English High Court of Justice and the Court of Appeal described above.</w:t>
      </w:r>
    </w:p>
    <w:p>
      <w:pPr>
        <w:spacing w:after="0" w:line="23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March 11, 2014, the Company commenced '287 Patent infringement litigation and '018 Patent infringement litigation against Merus N.V., a company based in Utrecht, The Netherlands, in the District Court of The Hague (currently stayed by agreement of the parties)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(the "Federal Circuit") affirmed the District Court's decision regarding inequitable conduct without deciding the issues of validity and infringement; and, on December 26, 2017, the Federal Circuit denied the Company's petition for panel rehearing and rehearing </w:t>
      </w:r>
      <w:r>
        <w:rPr>
          <w:rFonts w:ascii="Arial" w:cs="Arial" w:eastAsia="Arial" w:hAnsi="Arial"/>
          <w:sz w:val="17"/>
          <w:szCs w:val="17"/>
          <w:i w:val="1"/>
          <w:iCs w:val="1"/>
          <w:color w:val="auto"/>
        </w:rPr>
        <w:t>en banc</w:t>
      </w:r>
      <w:r>
        <w:rPr>
          <w:rFonts w:ascii="Arial" w:cs="Arial" w:eastAsia="Arial" w:hAnsi="Arial"/>
          <w:sz w:val="17"/>
          <w:szCs w:val="17"/>
          <w:color w:val="auto"/>
        </w:rPr>
        <w:t>. On May 25, 2018, the Company filed a petition for a writ of certiorari with the United States Supreme Court.</w:t>
      </w:r>
    </w:p>
    <w:p>
      <w:pPr>
        <w:sectPr>
          <w:pgSz w:w="11900" w:h="16838" w:orient="portrait"/>
          <w:cols w:equalWidth="0" w:num="1">
            <w:col w:w="11420"/>
          </w:cols>
          <w:pgMar w:left="240" w:top="319"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19"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The Company's response to the oppositions was filed on December 30, 2016.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w:t>
      </w:r>
    </w:p>
    <w:p>
      <w:pPr>
        <w:spacing w:after="0" w:line="10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With respect to the '018 Patent infringement litigation against Merus N.V., on June 25, 2018, the United States District Court for the Southern District of New York granted Merus's motion for attorneys' fees and costs in the amount of $10.5 million, plus pre- and post-judgment interest. On July 25, 2018, the Company filed a notice of appeal with the Federal Circuit. If the Company is ultimately required to pay such amounts, this payment is not expected to have a material impact on the Company's financial statements.</w:t>
      </w:r>
    </w:p>
    <w:p>
      <w:pPr>
        <w:spacing w:after="0" w:line="24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Other than as noted above, the Company is not at this time able to predict the outcome of, or estimate possible gain or a range of possible loss, if any, related to, the '287 Patent, '163 Patent, and '018 Patent proceedings.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 xml:space="preserve">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 On February 23, 2018, the Federal Circuit denied Amgen's petition for rehearing </w:t>
      </w:r>
      <w:r>
        <w:rPr>
          <w:rFonts w:ascii="Arial" w:cs="Arial" w:eastAsia="Arial" w:hAnsi="Arial"/>
          <w:sz w:val="17"/>
          <w:szCs w:val="17"/>
          <w:i w:val="1"/>
          <w:iCs w:val="1"/>
          <w:color w:val="auto"/>
        </w:rPr>
        <w:t>en banc</w:t>
      </w:r>
      <w:r>
        <w:rPr>
          <w:rFonts w:ascii="Arial" w:cs="Arial" w:eastAsia="Arial" w:hAnsi="Arial"/>
          <w:sz w:val="17"/>
          <w:szCs w:val="17"/>
          <w:color w:val="auto"/>
        </w:rPr>
        <w:t>, and on March 2, 2018 the Federal Circuit issued a mandate to transfer jurisdiction of the case back to the District Court. On July 23, 2018, Amgen filed a petition for a writ of certiorari with the United States Supreme Court. A new jury trial is currently scheduled to begin on February 19, 2019.</w:t>
      </w:r>
    </w:p>
    <w:p>
      <w:pPr>
        <w:spacing w:after="0" w:line="24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1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damages, an accounting of profits, and costs and interest. On February 8, 2017, the court temporarily stayed this litigation on terms mutually agreed by the parties.</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has scheduled an oral hearing for September 11, 2018.</w:t>
      </w:r>
    </w:p>
    <w:p>
      <w:pPr>
        <w:spacing w:after="0" w:line="1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has issued a summons for oral hearing scheduled for September 6, 2018 in the provisional compulsory license proceedings.</w:t>
      </w:r>
    </w:p>
    <w:p>
      <w:pPr>
        <w:spacing w:after="0" w:line="106"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February 12, 2019.</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The Preliminary Opinion was accompanied by a summons to oral hearing to be held on November 28–30, 2018.</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19"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 on the Additional IPR Petitions has been scheduled for November 14, 2018.</w:t>
      </w:r>
    </w:p>
    <w:p>
      <w:pPr>
        <w:spacing w:after="0" w:line="241"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summary judgment on the issue of indefiniteness of the '487 Patent claims was held on July 12, 2018. The issues of claim construction and summary judgment, among others, are still pending with the court. A jury trial has been scheduled to start on July 23, 2019.</w:t>
      </w:r>
    </w:p>
    <w:p>
      <w:pPr>
        <w:spacing w:after="0" w:line="10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6"/>
          <w:szCs w:val="16"/>
          <w:i w:val="1"/>
          <w:iCs w:val="1"/>
          <w:color w:val="auto"/>
        </w:rPr>
        <w:t>i.e.</w:t>
      </w:r>
      <w:r>
        <w:rPr>
          <w:rFonts w:ascii="Arial" w:cs="Arial" w:eastAsia="Arial" w:hAnsi="Arial"/>
          <w:sz w:val="16"/>
          <w:szCs w:val="16"/>
          <w:color w:val="auto"/>
        </w:rPr>
        <w:t>, a patent that shares the same priority date, disclosure, and patent term of the parent '665 Patent but contains claims to a different invention). An oral hearing before the EPO on the '420 Patent opposition proceedings has been scheduled for January 24–25, 2019. The original patent term of the Immunex patents is set to expire in 2021.</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EYLEA (aflibercept) Injection and ZALTRAP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(ziv-aflibercept) Injection for Intravenous Infusion</w:t>
      </w:r>
    </w:p>
    <w:p>
      <w:pPr>
        <w:spacing w:after="0" w:line="19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which would allow the court in its discretion to award damages up to three times the amount assessed; costs and expenses of the lawsuit; and attorneys' fees. The '688 Patent expired on November 18, 2014. The Novartis Parties are not seeking an injunction in these proceedings. At this time, the Company is not able to predict the outcome of, or estimate a range of possible loss, if any, related to, these proceedings.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1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 On November 8, 2017, another alleged shareholder filed a second shareholder derivative complaint in the New York Supreme Court, naming the then current and certain former non-employee members of the Company's board of directors, the Chairman of the board of directors, the Company's Chief Executive Officer, the Company's Chief Scientific Officer, and Regeneron as defendants. The complaint asserts that the individual defendants breached their fiduciary duties and were unjustly enriched when they approved and/or received allegedly excessive compensation in 2014, 2015, and 2016.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the imposition of meaningful limits on the amount of equity payable to the individual defendants; a shareholder vote regarding the individual defendants' equity compensation; equitable relief, including an equitable accounting with disgorgement; and award of the costs of the action, including attorneys' fees. On December 4, 2017, the plaintiff in the second action moved to consolidate both actions, to be appointed lead plaintiff, and to have its counsel be appointed lead counsel in the proposed consolidated action. The court heard oral argument on March 7, 2018 and denied the motion. The parties in both the first derivative action and the second derivative action have agreed to a schedule for document discovery and the filing of defendants' appeal of the court's June 28, 2017 decision, as well as a stay of all non-document discovery pending a decision on defendants' appeal. On March 19, 2018, the defendants appealed the court's June 28, 2017 decision to the Appellate Division of the Supreme Court, First Judicial Department. On April 19, 2018, the Appellate Division granted the second plaintiff's motion to intervene in this appeal. On July 26, 2018, the parties to the second shareholder derivative action filed with the court a stipulation of compromise and settlement. The settlement is subject to court approval. Under the terms of the stipulation, final approval of the settlement would release the claims asserted in the original suit as well. The court has scheduled a hearing for August 8, 2018 to determine whether to preliminarily approve the settlement and schedule a final approval hearing. Pursuant to the Company's By-Laws and the New York Business Corporation Law, expenses in connection with the foregoing are being advanced by the Company for the individual defendants.</w:t>
      </w:r>
    </w:p>
    <w:p>
      <w:pPr>
        <w:spacing w:after="0" w:line="200" w:lineRule="exact"/>
        <w:rPr>
          <w:sz w:val="20"/>
          <w:szCs w:val="20"/>
          <w:color w:val="auto"/>
        </w:rPr>
      </w:pPr>
    </w:p>
    <w:p>
      <w:pPr>
        <w:spacing w:after="0" w:line="24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was substantially similar to the December 15, 2015 shareholder litigation demand. The demands asserted that the then current and certain former non-employee members of the board of directors and the Chairman of the board of directors excessively compensated themselves in 2013 and 2014. The demands requested that the board of directors investigate and bring legal action against these directors for breach of fiduciary duty, unjust enrichment, and corporate waste, and implement internal controls and systems designed to prohibit and prevent similar actions in the future. On December 20, 2017, the parties to the shareholder derivative action filed on December 30, 2015 entered into a stipulation with the second demanding shareholder. The stipulation provides that the purported shareholder will intervene as a plaintiff in the action, and that the purported shareholder's litigation demand will be withdrawn and deemed null and void. The stipulation was approved by the court on January 18, 2018. The first shareholder litigation demand has also since been withdrawn.</w:t>
      </w:r>
    </w:p>
    <w:p>
      <w:pPr>
        <w:spacing w:after="0" w:line="232"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While the Company is unable at this time to predict the ultimate outcome of these proceedings, any possible loss related to these proceedings is not expected to have a material impact on the Company's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19"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Recently Issued Accounting Standards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a lessee to recognize on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We plan to adopt this standard in the first quarter of 2019 and are evaluating the impact that this guidance will have on our financial statements, including related disclosures. The new standard will result in the Company recording additional assets and corresponding liabilities related to operating leases; however, we do not expect the standard to have a material impact to our Consolidated Balance Sheets. The ultimate impact that the new standard will have will depend on the total amount of the Company's lease commitments as of the adoption date. We are in process of implementing a new lease accounting software system, and expect the implementation of the new standard to have a significant impact on our internal controls and processes.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cemiplimab,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cemiplimab,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and Kevzara),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described further in Note 11 to our Condensed Consolidated Financial Statements included in this report. These statements are made based on management's current beliefs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19"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 allergic and inflammatory diseases, heart disease, pain, cancer, and infectious and other serious medical conditions.</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$1,608.0 million in the second quarter and $3,119.5 million in the first half of 2018, compared to $1,470.1 million in the second quarter and $2,789.1 million in the first half of 2017. Our net income was $551.4 million, or $4.82 per diluted share, in the second quarter and $1,029.4 million, or $8.97 per diluted share, in the first half of 2018, compared to net income of $387.7 million, or $3.34 per diluted share, in the second quarter and $636.7 million, or $5.51 per diluted share, in the first half of 2017. Refer to the "Results of Operations" section below for further details of our financial results, including amounts incurred related to research and development activities.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Territory</w:t>
            </w:r>
          </w:p>
        </w:tc>
        <w:tc>
          <w:tcPr>
            <w:tcW w:w="156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Certain other</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countries outside</w:t>
            </w:r>
          </w:p>
        </w:tc>
      </w:tr>
      <w:tr>
        <w:trPr>
          <w:trHeight w:val="261"/>
        </w:trPr>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tcPr>
          <w:p>
            <w:pPr>
              <w:spacing w:after="0"/>
              <w:rPr>
                <w:sz w:val="22"/>
                <w:szCs w:val="22"/>
                <w:color w:val="auto"/>
              </w:rPr>
            </w:pPr>
          </w:p>
        </w:tc>
        <w:tc>
          <w:tcPr>
            <w:tcW w:w="3220" w:type="dxa"/>
            <w:vAlign w:val="bottom"/>
            <w:tcBorders>
              <w:bottom w:val="single" w:sz="8" w:color="auto"/>
            </w:tcBorders>
          </w:tcPr>
          <w:p>
            <w:pPr>
              <w:ind w:left="1040"/>
              <w:spacing w:after="0" w:line="262"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U.S.</w:t>
            </w:r>
          </w:p>
        </w:tc>
      </w:tr>
      <w:tr>
        <w:trPr>
          <w:trHeight w:val="222"/>
        </w:trPr>
        <w:tc>
          <w:tcPr>
            <w:tcW w:w="308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Neovascular age-related macular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degeneration (wet AMD)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0"/>
        </w:trPr>
        <w:tc>
          <w:tcPr>
            <w:tcW w:w="308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08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occlusion (RVO), which includes macular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edema following central retinal vein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(CRVO) and macular edema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following branch retinal vein occlusion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3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(BRVO)</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6"/>
        </w:trPr>
        <w:tc>
          <w:tcPr>
            <w:tcW w:w="308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Myopic choroidal neovascularization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(mCNV)</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7"/>
        </w:trPr>
        <w:tc>
          <w:tcPr>
            <w:tcW w:w="3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Diabetic retinopathy in patients with DME</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Atopic dermatitis (in adults)</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3"/>
                <w:szCs w:val="2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29"/>
        </w:trPr>
        <w:tc>
          <w:tcPr>
            <w:tcW w:w="30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Heterozygous familial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 (HeFH) or clinical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atherosclerotic cardiovascular disease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(ASCVD) (in adults)</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Kevzara (sarilumab) Solution for</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Rheumatoid arthritis (RA) (in adults)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080" w:type="dxa"/>
            <w:vAlign w:val="bottom"/>
          </w:tcPr>
          <w:p>
            <w:pPr>
              <w:ind w:left="2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30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(rilonacept) Injection for</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Ÿ Cryopyrin-Associated Periodic Syndromes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Subcutaneous Use</w:t>
            </w: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(CAPS), including Familial Cold Auto-</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inflammatory Syndrome (FCAS) and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Muckle-Wells Syndrome (MWS)</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50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(ziv-aflibercept) Injection for Ÿ Metastatic colorectal cancer (mCRC)</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329"/>
        </w:trPr>
        <w:tc>
          <w:tcPr>
            <w:tcW w:w="3080" w:type="dxa"/>
            <w:vAlign w:val="bottom"/>
          </w:tcPr>
          <w:p>
            <w:pPr>
              <w:ind w:left="20"/>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5"/>
                <w:szCs w:val="25"/>
                <w:color w:val="auto"/>
                <w:vertAlign w:val="superscript"/>
              </w:rPr>
              <w:t>(4)</w:t>
            </w:r>
          </w:p>
        </w:tc>
        <w:tc>
          <w:tcPr>
            <w:tcW w:w="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9" w:lineRule="exact"/>
        <w:rPr>
          <w:sz w:val="20"/>
          <w:szCs w:val="20"/>
          <w:color w:val="auto"/>
        </w:rPr>
      </w:pPr>
    </w:p>
    <w:p>
      <w:pPr>
        <w:ind w:left="700" w:hanging="192"/>
        <w:spacing w:after="0"/>
        <w:tabs>
          <w:tab w:leader="none" w:pos="7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Refer to label information in each territory for specific indication</w:t>
      </w:r>
    </w:p>
    <w:p>
      <w:pPr>
        <w:spacing w:after="0" w:line="55" w:lineRule="exact"/>
        <w:rPr>
          <w:rFonts w:ascii="Arial" w:cs="Arial" w:eastAsia="Arial" w:hAnsi="Arial"/>
          <w:sz w:val="23"/>
          <w:szCs w:val="23"/>
          <w:color w:val="auto"/>
          <w:vertAlign w:val="superscript"/>
        </w:rPr>
      </w:pPr>
    </w:p>
    <w:p>
      <w:pPr>
        <w:ind w:left="700" w:hanging="192"/>
        <w:spacing w:after="0" w:line="194" w:lineRule="auto"/>
        <w:tabs>
          <w:tab w:leader="none" w:pos="7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In collaboration with Bayer (outside the United States)</w:t>
      </w:r>
    </w:p>
    <w:p>
      <w:pPr>
        <w:spacing w:after="0" w:line="56" w:lineRule="exact"/>
        <w:rPr>
          <w:rFonts w:ascii="Arial" w:cs="Arial" w:eastAsia="Arial" w:hAnsi="Arial"/>
          <w:sz w:val="23"/>
          <w:szCs w:val="23"/>
          <w:color w:val="auto"/>
          <w:vertAlign w:val="superscript"/>
        </w:rPr>
      </w:pPr>
    </w:p>
    <w:p>
      <w:pPr>
        <w:ind w:left="700" w:hanging="192"/>
        <w:spacing w:after="0" w:line="194" w:lineRule="auto"/>
        <w:tabs>
          <w:tab w:leader="none" w:pos="7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In collaboration with Sanofi</w:t>
      </w:r>
    </w:p>
    <w:p>
      <w:pPr>
        <w:spacing w:after="0" w:line="56" w:lineRule="exact"/>
        <w:rPr>
          <w:rFonts w:ascii="Arial" w:cs="Arial" w:eastAsia="Arial" w:hAnsi="Arial"/>
          <w:sz w:val="23"/>
          <w:szCs w:val="23"/>
          <w:color w:val="auto"/>
          <w:vertAlign w:val="superscript"/>
        </w:rPr>
      </w:pPr>
    </w:p>
    <w:p>
      <w:pPr>
        <w:ind w:left="500" w:right="560" w:firstLine="8"/>
        <w:spacing w:after="0" w:line="278" w:lineRule="auto"/>
        <w:tabs>
          <w:tab w:leader="none" w:pos="67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sales of ZALTRAP.</w:t>
      </w:r>
    </w:p>
    <w:p>
      <w:pPr>
        <w:sectPr>
          <w:pgSz w:w="11900" w:h="16838" w:orient="portrait"/>
          <w:cols w:equalWidth="0" w:num="1">
            <w:col w:w="11280"/>
          </w:cols>
          <w:pgMar w:left="24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80"/>
          </w:cols>
          <w:pgMar w:left="240" w:top="130" w:right="37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5"/>
          </w:tcPr>
          <w:p>
            <w:pPr>
              <w:spacing w:after="0"/>
              <w:rPr>
                <w:sz w:val="20"/>
                <w:szCs w:val="20"/>
                <w:color w:val="auto"/>
              </w:rPr>
            </w:pPr>
            <w:r>
              <w:rPr>
                <w:rFonts w:ascii="Arial" w:cs="Arial" w:eastAsia="Arial" w:hAnsi="Arial"/>
                <w:sz w:val="18"/>
                <w:szCs w:val="18"/>
                <w:b w:val="1"/>
                <w:bCs w:val="1"/>
                <w:color w:val="auto"/>
              </w:rPr>
              <w:t>Marketed Products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Net Product Sales of Regeneron-</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5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auto"/>
                <w:w w:val="86"/>
              </w:rPr>
              <w:t>Discovered Products</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(2)</w:t>
            </w:r>
          </w:p>
        </w:tc>
        <w:tc>
          <w:tcPr>
            <w:tcW w:w="16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center"/>
              <w:ind w:left="473"/>
              <w:spacing w:after="0" w:line="196" w:lineRule="exact"/>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rPr>
                <w:sz w:val="2"/>
                <w:szCs w:val="2"/>
                <w:color w:val="auto"/>
              </w:rPr>
            </w:pPr>
          </w:p>
        </w:tc>
        <w:tc>
          <w:tcPr>
            <w:tcW w:w="15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33"/>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3"/>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U.S.</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28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U.S.</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28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3360" w:type="dxa"/>
            <w:vAlign w:val="bottom"/>
            <w:gridSpan w:val="4"/>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1,657.9</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3360" w:type="dxa"/>
            <w:vAlign w:val="bottom"/>
            <w:gridSpan w:val="4"/>
          </w:tcPr>
          <w:p>
            <w:pPr>
              <w:ind w:left="240"/>
              <w:spacing w:after="0"/>
              <w:rPr>
                <w:sz w:val="20"/>
                <w:szCs w:val="20"/>
                <w:color w:val="auto"/>
              </w:rPr>
            </w:pPr>
            <w:r>
              <w:rPr>
                <w:rFonts w:ascii="Arial" w:cs="Arial" w:eastAsia="Arial" w:hAnsi="Arial"/>
                <w:sz w:val="18"/>
                <w:szCs w:val="18"/>
                <w:color w:val="auto"/>
              </w:rPr>
              <w:t>Net product sales recorded by</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3"/>
                <w:szCs w:val="13"/>
                <w:color w:val="auto"/>
              </w:rPr>
              <w:t>___(2)</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924.1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3360" w:type="dxa"/>
            <w:vAlign w:val="bottom"/>
            <w:gridSpan w:val="4"/>
            <w:vMerge w:val="restart"/>
          </w:tcPr>
          <w:p>
            <w:pPr>
              <w:ind w:left="240"/>
              <w:spacing w:after="0"/>
              <w:rPr>
                <w:sz w:val="20"/>
                <w:szCs w:val="20"/>
                <w:color w:val="auto"/>
              </w:rPr>
            </w:pPr>
            <w:r>
              <w:rPr>
                <w:rFonts w:ascii="Arial" w:cs="Arial" w:eastAsia="Arial" w:hAnsi="Arial"/>
                <w:sz w:val="18"/>
                <w:szCs w:val="18"/>
                <w:color w:val="auto"/>
              </w:rPr>
              <w:t>Regeneron</w:t>
            </w:r>
          </w:p>
        </w:tc>
        <w:tc>
          <w:tcPr>
            <w:tcW w:w="2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360" w:type="dxa"/>
            <w:vAlign w:val="bottom"/>
            <w:tcBorders>
              <w:bottom w:val="single" w:sz="8" w:color="CCEEFF"/>
            </w:tcBorders>
            <w:gridSpan w:val="4"/>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441"/>
        </w:trPr>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left="473"/>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33"/>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3"/>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U.S.</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28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U.S.</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28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3360" w:type="dxa"/>
            <w:vAlign w:val="bottom"/>
            <w:gridSpan w:val="4"/>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1,289.9</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3,265.9</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1,773.9</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3360" w:type="dxa"/>
            <w:vAlign w:val="bottom"/>
            <w:gridSpan w:val="4"/>
          </w:tcPr>
          <w:p>
            <w:pPr>
              <w:ind w:left="240"/>
              <w:spacing w:after="0"/>
              <w:rPr>
                <w:sz w:val="20"/>
                <w:szCs w:val="20"/>
                <w:color w:val="auto"/>
              </w:rPr>
            </w:pPr>
            <w:r>
              <w:rPr>
                <w:rFonts w:ascii="Arial" w:cs="Arial" w:eastAsia="Arial" w:hAnsi="Arial"/>
                <w:sz w:val="18"/>
                <w:szCs w:val="18"/>
                <w:color w:val="auto"/>
              </w:rPr>
              <w:t>Net product sales recorded by</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1,984.3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3"/>
                <w:szCs w:val="13"/>
                <w:color w:val="auto"/>
              </w:rPr>
              <w:t>___(2)</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6"/>
              </w:rPr>
              <w:t>1,782.4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___(2)</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3360" w:type="dxa"/>
            <w:vAlign w:val="bottom"/>
            <w:gridSpan w:val="4"/>
            <w:vMerge w:val="restart"/>
          </w:tcPr>
          <w:p>
            <w:pPr>
              <w:ind w:left="240"/>
              <w:spacing w:after="0"/>
              <w:rPr>
                <w:sz w:val="20"/>
                <w:szCs w:val="20"/>
                <w:color w:val="auto"/>
              </w:rPr>
            </w:pPr>
            <w:r>
              <w:rPr>
                <w:rFonts w:ascii="Arial" w:cs="Arial" w:eastAsia="Arial" w:hAnsi="Arial"/>
                <w:sz w:val="18"/>
                <w:szCs w:val="18"/>
                <w:color w:val="auto"/>
              </w:rPr>
              <w:t>Regeneron</w:t>
            </w:r>
          </w:p>
        </w:tc>
        <w:tc>
          <w:tcPr>
            <w:tcW w:w="2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360" w:type="dxa"/>
            <w:vAlign w:val="bottom"/>
            <w:tcBorders>
              <w:bottom w:val="single" w:sz="8" w:color="CCEEFF"/>
            </w:tcBorders>
            <w:gridSpan w:val="4"/>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220" w:hanging="192"/>
        <w:spacing w:after="0"/>
        <w:tabs>
          <w:tab w:leader="none" w:pos="122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Rest of world</w:t>
      </w:r>
    </w:p>
    <w:p>
      <w:pPr>
        <w:spacing w:after="0" w:line="55" w:lineRule="exact"/>
        <w:rPr>
          <w:rFonts w:ascii="Arial" w:cs="Arial" w:eastAsia="Arial" w:hAnsi="Arial"/>
          <w:sz w:val="23"/>
          <w:szCs w:val="23"/>
          <w:color w:val="auto"/>
          <w:vertAlign w:val="superscript"/>
        </w:rPr>
      </w:pPr>
    </w:p>
    <w:p>
      <w:pPr>
        <w:ind w:left="1020" w:right="1180" w:firstLine="8"/>
        <w:spacing w:after="0" w:line="236" w:lineRule="auto"/>
        <w:tabs>
          <w:tab w:leader="none" w:pos="121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"Overview" above and "Collaboration Agreements" below for further details.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 - Recent Developments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2018, the Company and Sanofi announced they will lower the net price of Praluent in exchange for straightforward, more affordable patient access from Express Scripts. Praluent has been chosen as the exclusive PCSK9 inhibitor therapy on the Express Scripts national formulary. The agreement took effect on July 1, 2018 for commercial patients covered by the Express Scripts National Preferred Formulary.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 xml:space="preserve">All 19 of our product candidates in clinical development were discovered in our research laboratories and are summarized below. We used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to generate each of the antibodies in the table below. There are numerous uncertainties associated with drug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11340"/>
          </w:cols>
          <w:pgMar w:left="240" w:top="1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840" w:type="dxa"/>
            <w:vAlign w:val="bottom"/>
            <w:gridSpan w:val="2"/>
          </w:tcPr>
          <w:p>
            <w:pPr>
              <w:ind w:left="660"/>
              <w:spacing w:after="0"/>
              <w:rPr>
                <w:sz w:val="20"/>
                <w:szCs w:val="20"/>
                <w:color w:val="auto"/>
              </w:rPr>
            </w:pPr>
            <w:r>
              <w:rPr>
                <w:rFonts w:ascii="Arial" w:cs="Arial" w:eastAsia="Arial" w:hAnsi="Arial"/>
                <w:sz w:val="18"/>
                <w:szCs w:val="18"/>
                <w:b w:val="1"/>
                <w:bCs w:val="1"/>
                <w:color w:val="auto"/>
              </w:rPr>
              <w:t>Clinical Program</w:t>
            </w:r>
          </w:p>
        </w:tc>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Phase 1</w:t>
            </w:r>
          </w:p>
        </w:tc>
        <w:tc>
          <w:tcPr>
            <w:tcW w:w="200" w:type="dxa"/>
            <w:vAlign w:val="bottom"/>
          </w:tcPr>
          <w:p>
            <w:pPr>
              <w:spacing w:after="0"/>
              <w:rPr>
                <w:sz w:val="20"/>
                <w:szCs w:val="20"/>
                <w:color w:val="auto"/>
              </w:rPr>
            </w:pPr>
          </w:p>
        </w:tc>
        <w:tc>
          <w:tcPr>
            <w:tcW w:w="2080" w:type="dxa"/>
            <w:vAlign w:val="bottom"/>
          </w:tcPr>
          <w:p>
            <w:pPr>
              <w:ind w:left="740"/>
              <w:spacing w:after="0"/>
              <w:rPr>
                <w:sz w:val="20"/>
                <w:szCs w:val="20"/>
                <w:color w:val="auto"/>
              </w:rPr>
            </w:pPr>
            <w:r>
              <w:rPr>
                <w:rFonts w:ascii="Arial" w:cs="Arial" w:eastAsia="Arial" w:hAnsi="Arial"/>
                <w:sz w:val="18"/>
                <w:szCs w:val="18"/>
                <w:b w:val="1"/>
                <w:bCs w:val="1"/>
                <w:color w:val="auto"/>
              </w:rPr>
              <w:t>Phase 2</w:t>
            </w:r>
          </w:p>
        </w:tc>
        <w:tc>
          <w:tcPr>
            <w:tcW w:w="20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Phase 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Ÿ</w:t>
            </w: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EYLEA</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w w:val="97"/>
              </w:rPr>
              <w:t>Non-proliferative diabetic</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retinopathy (NPDR) in</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patients without DME</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2"/>
        </w:trPr>
        <w:tc>
          <w:tcPr>
            <w:tcW w:w="2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-1242695</wp:posOffset>
            </wp:positionV>
            <wp:extent cx="5471160" cy="1243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71160" cy="124333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29"/>
        </w:trPr>
        <w:tc>
          <w:tcPr>
            <w:tcW w:w="28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5"/>
                <w:szCs w:val="25"/>
                <w:b w:val="1"/>
                <w:bCs w:val="1"/>
                <w:color w:val="auto"/>
                <w:vertAlign w:val="superscript"/>
              </w:rPr>
              <w:t>(a)</w:t>
            </w:r>
          </w:p>
        </w:tc>
        <w:tc>
          <w:tcPr>
            <w:tcW w:w="1920" w:type="dxa"/>
            <w:vAlign w:val="bottom"/>
          </w:tcPr>
          <w:p>
            <w:pPr>
              <w:spacing w:after="0"/>
              <w:rPr>
                <w:sz w:val="19"/>
                <w:szCs w:val="19"/>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w w:val="99"/>
              </w:rPr>
              <w:t>Ÿ Eosinophilic esophagitis</w:t>
            </w:r>
          </w:p>
        </w:tc>
        <w:tc>
          <w:tcPr>
            <w:tcW w:w="2240" w:type="dxa"/>
            <w:vAlign w:val="bottom"/>
          </w:tcPr>
          <w:p>
            <w:pPr>
              <w:ind w:left="180"/>
              <w:spacing w:after="0"/>
              <w:rPr>
                <w:sz w:val="20"/>
                <w:szCs w:val="20"/>
                <w:color w:val="auto"/>
              </w:rPr>
            </w:pPr>
            <w:r>
              <w:rPr>
                <w:rFonts w:ascii="Arial" w:cs="Arial" w:eastAsia="Arial" w:hAnsi="Arial"/>
                <w:sz w:val="18"/>
                <w:szCs w:val="18"/>
                <w:color w:val="auto"/>
              </w:rPr>
              <w:t>Ÿ Atopic dermatitis in</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Antibody to IL-4R alpha subunit</w:t>
            </w:r>
          </w:p>
        </w:tc>
        <w:tc>
          <w:tcPr>
            <w:tcW w:w="1920" w:type="dxa"/>
            <w:vAlign w:val="bottom"/>
          </w:tcPr>
          <w:p>
            <w:pPr>
              <w:spacing w:after="0"/>
              <w:rPr>
                <w:sz w:val="18"/>
                <w:szCs w:val="18"/>
                <w:color w:val="auto"/>
              </w:rPr>
            </w:pPr>
          </w:p>
        </w:tc>
        <w:tc>
          <w:tcPr>
            <w:tcW w:w="2140" w:type="dxa"/>
            <w:vAlign w:val="bottom"/>
          </w:tcPr>
          <w:p>
            <w:pPr>
              <w:ind w:left="220"/>
              <w:spacing w:after="0" w:line="216" w:lineRule="exact"/>
              <w:rPr>
                <w:sz w:val="20"/>
                <w:szCs w:val="20"/>
                <w:color w:val="auto"/>
              </w:rPr>
            </w:pPr>
            <w:r>
              <w:rPr>
                <w:rFonts w:ascii="Arial" w:cs="Arial" w:eastAsia="Arial" w:hAnsi="Arial"/>
                <w:sz w:val="18"/>
                <w:szCs w:val="18"/>
                <w:color w:val="auto"/>
              </w:rPr>
              <w:t>(EOE)</w:t>
            </w:r>
            <w:r>
              <w:rPr>
                <w:rFonts w:ascii="Arial" w:cs="Arial" w:eastAsia="Arial" w:hAnsi="Arial"/>
                <w:sz w:val="25"/>
                <w:szCs w:val="25"/>
                <w:color w:val="auto"/>
                <w:vertAlign w:val="superscript"/>
              </w:rPr>
              <w:t>(c)</w:t>
            </w:r>
          </w:p>
        </w:tc>
        <w:tc>
          <w:tcPr>
            <w:tcW w:w="2240" w:type="dxa"/>
            <w:vAlign w:val="bottom"/>
          </w:tcPr>
          <w:p>
            <w:pPr>
              <w:ind w:left="360"/>
              <w:spacing w:after="0"/>
              <w:rPr>
                <w:sz w:val="20"/>
                <w:szCs w:val="20"/>
                <w:color w:val="auto"/>
              </w:rPr>
            </w:pPr>
            <w:r>
              <w:rPr>
                <w:rFonts w:ascii="Arial" w:cs="Arial" w:eastAsia="Arial" w:hAnsi="Arial"/>
                <w:sz w:val="18"/>
                <w:szCs w:val="18"/>
                <w:color w:val="auto"/>
                <w:w w:val="87"/>
              </w:rPr>
              <w:t>adolescents and pediatrics</w:t>
            </w:r>
          </w:p>
        </w:tc>
      </w:tr>
      <w:tr>
        <w:trPr>
          <w:trHeight w:val="284"/>
        </w:trPr>
        <w:tc>
          <w:tcPr>
            <w:tcW w:w="2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Ÿ Grass immunotherapy</w:t>
            </w:r>
          </w:p>
        </w:tc>
        <w:tc>
          <w:tcPr>
            <w:tcW w:w="2240" w:type="dxa"/>
            <w:vAlign w:val="bottom"/>
          </w:tcPr>
          <w:p>
            <w:pPr>
              <w:ind w:left="360"/>
              <w:spacing w:after="0"/>
              <w:rPr>
                <w:sz w:val="20"/>
                <w:szCs w:val="20"/>
                <w:color w:val="auto"/>
              </w:rPr>
            </w:pPr>
            <w:r>
              <w:rPr>
                <w:rFonts w:ascii="Arial" w:cs="Arial" w:eastAsia="Arial" w:hAnsi="Arial"/>
                <w:sz w:val="18"/>
                <w:szCs w:val="18"/>
                <w:color w:val="auto"/>
              </w:rPr>
              <w:t>(6–17 years of age)</w:t>
            </w:r>
          </w:p>
        </w:tc>
      </w:tr>
      <w:tr>
        <w:trPr>
          <w:trHeight w:val="256"/>
        </w:trPr>
        <w:tc>
          <w:tcPr>
            <w:tcW w:w="2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Ÿ Atopic dermatitis in</w:t>
            </w:r>
          </w:p>
        </w:tc>
      </w:tr>
      <w:tr>
        <w:trPr>
          <w:trHeight w:val="216"/>
        </w:trPr>
        <w:tc>
          <w:tcPr>
            <w:tcW w:w="2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tcPr>
          <w:p>
            <w:pPr>
              <w:ind w:left="360"/>
              <w:spacing w:after="0"/>
              <w:rPr>
                <w:sz w:val="20"/>
                <w:szCs w:val="20"/>
                <w:color w:val="auto"/>
              </w:rPr>
            </w:pPr>
            <w:r>
              <w:rPr>
                <w:rFonts w:ascii="Arial" w:cs="Arial" w:eastAsia="Arial" w:hAnsi="Arial"/>
                <w:sz w:val="18"/>
                <w:szCs w:val="18"/>
                <w:color w:val="auto"/>
              </w:rPr>
              <w:t>pediatrics (6 months–5</w:t>
            </w:r>
          </w:p>
        </w:tc>
      </w:tr>
      <w:tr>
        <w:trPr>
          <w:trHeight w:val="230"/>
        </w:trPr>
        <w:tc>
          <w:tcPr>
            <w:tcW w:w="2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40" w:type="dxa"/>
            <w:vAlign w:val="bottom"/>
          </w:tcPr>
          <w:p>
            <w:pPr>
              <w:ind w:left="360"/>
              <w:spacing w:after="0"/>
              <w:rPr>
                <w:sz w:val="20"/>
                <w:szCs w:val="20"/>
                <w:color w:val="auto"/>
              </w:rPr>
            </w:pPr>
            <w:r>
              <w:rPr>
                <w:rFonts w:ascii="Arial" w:cs="Arial" w:eastAsia="Arial" w:hAnsi="Arial"/>
                <w:sz w:val="18"/>
                <w:szCs w:val="18"/>
                <w:color w:val="auto"/>
                <w:w w:val="91"/>
              </w:rPr>
              <w:t>years of age) (Phase 2/3)</w:t>
            </w:r>
          </w:p>
        </w:tc>
      </w:tr>
      <w:tr>
        <w:trPr>
          <w:trHeight w:val="256"/>
        </w:trPr>
        <w:tc>
          <w:tcPr>
            <w:tcW w:w="2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w w:val="97"/>
              </w:rPr>
              <w:t>Ÿ Asthma in pediatrics (6–</w:t>
            </w:r>
          </w:p>
        </w:tc>
      </w:tr>
      <w:tr>
        <w:trPr>
          <w:trHeight w:val="230"/>
        </w:trPr>
        <w:tc>
          <w:tcPr>
            <w:tcW w:w="2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40" w:type="dxa"/>
            <w:vAlign w:val="bottom"/>
          </w:tcPr>
          <w:p>
            <w:pPr>
              <w:ind w:left="360"/>
              <w:spacing w:after="0"/>
              <w:rPr>
                <w:sz w:val="20"/>
                <w:szCs w:val="20"/>
                <w:color w:val="auto"/>
              </w:rPr>
            </w:pPr>
            <w:r>
              <w:rPr>
                <w:rFonts w:ascii="Arial" w:cs="Arial" w:eastAsia="Arial" w:hAnsi="Arial"/>
                <w:sz w:val="18"/>
                <w:szCs w:val="18"/>
                <w:color w:val="auto"/>
              </w:rPr>
              <w:t>11 years of age)</w:t>
            </w:r>
          </w:p>
        </w:tc>
      </w:tr>
      <w:tr>
        <w:trPr>
          <w:trHeight w:val="270"/>
        </w:trPr>
        <w:tc>
          <w:tcPr>
            <w:tcW w:w="28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Ÿ Nasal polyps</w:t>
            </w:r>
          </w:p>
        </w:tc>
      </w:tr>
      <w:tr>
        <w:trPr>
          <w:trHeight w:val="27"/>
        </w:trPr>
        <w:tc>
          <w:tcPr>
            <w:tcW w:w="2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28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Praluent (alirocumab)</w:t>
            </w:r>
            <w:r>
              <w:rPr>
                <w:rFonts w:ascii="Arial" w:cs="Arial" w:eastAsia="Arial" w:hAnsi="Arial"/>
                <w:sz w:val="25"/>
                <w:szCs w:val="25"/>
                <w:b w:val="1"/>
                <w:bCs w:val="1"/>
                <w:color w:val="auto"/>
                <w:vertAlign w:val="superscript"/>
              </w:rPr>
              <w:t>(a)</w:t>
            </w:r>
          </w:p>
        </w:tc>
        <w:tc>
          <w:tcPr>
            <w:tcW w:w="19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Ÿ Homozygous familial</w:t>
            </w:r>
          </w:p>
        </w:tc>
      </w:tr>
      <w:tr>
        <w:trPr>
          <w:trHeight w:val="21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PCSK9</w:t>
            </w: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tcPr>
          <w:p>
            <w:pPr>
              <w:ind w:left="360"/>
              <w:spacing w:after="0"/>
              <w:rPr>
                <w:sz w:val="20"/>
                <w:szCs w:val="20"/>
                <w:color w:val="auto"/>
              </w:rPr>
            </w:pPr>
            <w:r>
              <w:rPr>
                <w:rFonts w:ascii="Arial" w:cs="Arial" w:eastAsia="Arial" w:hAnsi="Arial"/>
                <w:sz w:val="18"/>
                <w:szCs w:val="18"/>
                <w:color w:val="auto"/>
              </w:rPr>
              <w:t>hypercholesterolemia</w:t>
            </w:r>
          </w:p>
        </w:tc>
      </w:tr>
      <w:tr>
        <w:trPr>
          <w:trHeight w:val="257"/>
        </w:trPr>
        <w:tc>
          <w:tcPr>
            <w:tcW w:w="284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240" w:type="dxa"/>
            <w:vAlign w:val="bottom"/>
          </w:tcPr>
          <w:p>
            <w:pPr>
              <w:ind w:left="360"/>
              <w:spacing w:after="0" w:line="257" w:lineRule="exact"/>
              <w:rPr>
                <w:sz w:val="20"/>
                <w:szCs w:val="20"/>
                <w:color w:val="auto"/>
              </w:rPr>
            </w:pPr>
            <w:r>
              <w:rPr>
                <w:rFonts w:ascii="Arial" w:cs="Arial" w:eastAsia="Arial" w:hAnsi="Arial"/>
                <w:sz w:val="18"/>
                <w:szCs w:val="18"/>
                <w:color w:val="auto"/>
              </w:rPr>
              <w:t>(HoFH)</w:t>
            </w:r>
            <w:r>
              <w:rPr>
                <w:rFonts w:ascii="Arial" w:cs="Arial" w:eastAsia="Arial" w:hAnsi="Arial"/>
                <w:sz w:val="25"/>
                <w:szCs w:val="25"/>
                <w:color w:val="auto"/>
                <w:vertAlign w:val="superscript"/>
              </w:rPr>
              <w:t>(c)</w:t>
            </w:r>
            <w:r>
              <w:rPr>
                <w:rFonts w:ascii="Arial" w:cs="Arial" w:eastAsia="Arial" w:hAnsi="Arial"/>
                <w:sz w:val="18"/>
                <w:szCs w:val="18"/>
                <w:color w:val="auto"/>
              </w:rPr>
              <w:t xml:space="preserve"> in adults</w:t>
            </w:r>
          </w:p>
        </w:tc>
      </w:tr>
      <w:tr>
        <w:trPr>
          <w:trHeight w:val="243"/>
        </w:trPr>
        <w:tc>
          <w:tcPr>
            <w:tcW w:w="28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140" w:type="dxa"/>
            <w:vAlign w:val="bottom"/>
          </w:tcPr>
          <w:p>
            <w:pPr>
              <w:spacing w:after="0"/>
              <w:rPr>
                <w:sz w:val="21"/>
                <w:szCs w:val="21"/>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Ÿ HeFH in pediatrics</w:t>
            </w:r>
          </w:p>
        </w:tc>
      </w:tr>
      <w:tr>
        <w:trPr>
          <w:trHeight w:val="729"/>
        </w:trPr>
        <w:tc>
          <w:tcPr>
            <w:tcW w:w="28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1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-1062990</wp:posOffset>
            </wp:positionV>
            <wp:extent cx="5471160" cy="106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1160" cy="1063625"/>
                    </a:xfrm>
                    <a:prstGeom prst="rect">
                      <a:avLst/>
                    </a:prstGeom>
                    <a:noFill/>
                  </pic:spPr>
                </pic:pic>
              </a:graphicData>
            </a:graphic>
          </wp:anchor>
        </w:drawing>
      </w:r>
    </w:p>
    <w:p>
      <w:pPr>
        <w:ind w:left="120"/>
        <w:spacing w:after="0"/>
        <w:tabs>
          <w:tab w:leader="none" w:pos="4860" w:val="left"/>
        </w:tabs>
        <w:rPr>
          <w:sz w:val="20"/>
          <w:szCs w:val="20"/>
          <w:color w:val="auto"/>
        </w:rPr>
      </w:pPr>
      <w:r>
        <w:rPr>
          <w:rFonts w:ascii="Arial" w:cs="Arial" w:eastAsia="Arial" w:hAnsi="Arial"/>
          <w:sz w:val="18"/>
          <w:szCs w:val="18"/>
          <w:b w:val="1"/>
          <w:bCs w:val="1"/>
          <w:color w:val="auto"/>
        </w:rPr>
        <w:t>Kevzara (sarilumab)</w:t>
      </w:r>
      <w:r>
        <w:rPr>
          <w:rFonts w:ascii="Arial" w:cs="Arial" w:eastAsia="Arial" w:hAnsi="Arial"/>
          <w:sz w:val="25"/>
          <w:szCs w:val="25"/>
          <w:b w:val="1"/>
          <w:bCs w:val="1"/>
          <w:color w:val="auto"/>
          <w:vertAlign w:val="superscript"/>
        </w:rPr>
        <w:t>(a)</w:t>
      </w:r>
      <w:r>
        <w:rPr>
          <w:sz w:val="20"/>
          <w:szCs w:val="20"/>
          <w:color w:val="auto"/>
        </w:rPr>
        <w:tab/>
      </w:r>
      <w:r>
        <w:rPr>
          <w:rFonts w:ascii="Arial" w:cs="Arial" w:eastAsia="Arial" w:hAnsi="Arial"/>
          <w:sz w:val="16"/>
          <w:szCs w:val="16"/>
          <w:color w:val="auto"/>
        </w:rPr>
        <w:t>Ÿ Polyarticular-course</w:t>
      </w:r>
    </w:p>
    <w:p>
      <w:pPr>
        <w:ind w:left="120"/>
        <w:spacing w:after="0"/>
        <w:tabs>
          <w:tab w:leader="none" w:pos="5040" w:val="left"/>
        </w:tabs>
        <w:rPr>
          <w:sz w:val="20"/>
          <w:szCs w:val="20"/>
          <w:color w:val="auto"/>
        </w:rPr>
      </w:pPr>
      <w:r>
        <w:rPr>
          <w:rFonts w:ascii="Arial" w:cs="Arial" w:eastAsia="Arial" w:hAnsi="Arial"/>
          <w:sz w:val="18"/>
          <w:szCs w:val="18"/>
          <w:i w:val="1"/>
          <w:iCs w:val="1"/>
          <w:color w:val="auto"/>
        </w:rPr>
        <w:t>Antibody to IL-6R</w:t>
      </w:r>
      <w:r>
        <w:rPr>
          <w:sz w:val="20"/>
          <w:szCs w:val="20"/>
          <w:color w:val="auto"/>
        </w:rPr>
        <w:tab/>
      </w:r>
      <w:r>
        <w:rPr>
          <w:rFonts w:ascii="Arial" w:cs="Arial" w:eastAsia="Arial" w:hAnsi="Arial"/>
          <w:sz w:val="16"/>
          <w:szCs w:val="16"/>
          <w:color w:val="auto"/>
        </w:rPr>
        <w:t>juvenile idiopathic arthritis</w:t>
      </w:r>
    </w:p>
    <w:p>
      <w:pPr>
        <w:spacing w:after="0" w:line="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(pcJIA)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93"/>
        <w:spacing w:after="0"/>
        <w:rPr>
          <w:sz w:val="20"/>
          <w:szCs w:val="20"/>
          <w:color w:val="auto"/>
        </w:rPr>
      </w:pPr>
      <w:r>
        <w:rPr>
          <w:rFonts w:ascii="Arial" w:cs="Arial" w:eastAsia="Arial" w:hAnsi="Arial"/>
          <w:sz w:val="16"/>
          <w:szCs w:val="16"/>
          <w:b w:val="1"/>
          <w:bCs w:val="1"/>
          <w:color w:val="auto"/>
        </w:rPr>
        <w:t>Regulatory Review</w:t>
      </w:r>
      <w:r>
        <w:rPr>
          <w:rFonts w:ascii="Arial" w:cs="Arial" w:eastAsia="Arial" w:hAnsi="Arial"/>
          <w:sz w:val="22"/>
          <w:szCs w:val="22"/>
          <w:b w:val="1"/>
          <w:bCs w:val="1"/>
          <w:color w:val="auto"/>
          <w:vertAlign w:val="superscript"/>
        </w:rPr>
        <w:t>(i)</w:t>
      </w:r>
    </w:p>
    <w:p>
      <w:pPr>
        <w:spacing w:after="0" w:line="37" w:lineRule="exact"/>
        <w:rPr>
          <w:sz w:val="20"/>
          <w:szCs w:val="20"/>
          <w:color w:val="auto"/>
        </w:rPr>
      </w:pPr>
    </w:p>
    <w:p>
      <w:pPr>
        <w:ind w:left="193" w:right="200" w:hanging="193"/>
        <w:spacing w:after="0" w:line="262" w:lineRule="auto"/>
        <w:tabs>
          <w:tab w:leader="none" w:pos="193"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Every 12-week dosing interval in wet AMD (U.S.)</w:t>
      </w:r>
    </w:p>
    <w:p>
      <w:pPr>
        <w:spacing w:after="0" w:line="21" w:lineRule="exact"/>
        <w:rPr>
          <w:rFonts w:ascii="Arial" w:cs="Arial" w:eastAsia="Arial" w:hAnsi="Arial"/>
          <w:sz w:val="18"/>
          <w:szCs w:val="18"/>
          <w:color w:val="auto"/>
        </w:rPr>
      </w:pPr>
    </w:p>
    <w:p>
      <w:pPr>
        <w:ind w:left="193" w:hanging="193"/>
        <w:spacing w:after="0"/>
        <w:tabs>
          <w:tab w:leader="none" w:pos="193"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Pre-filled syringe (U.S.)</w:t>
      </w:r>
    </w:p>
    <w:p>
      <w:pPr>
        <w:spacing w:after="0" w:line="74" w:lineRule="exact"/>
        <w:rPr>
          <w:rFonts w:ascii="Arial" w:cs="Arial" w:eastAsia="Arial" w:hAnsi="Arial"/>
          <w:sz w:val="17"/>
          <w:szCs w:val="17"/>
          <w:color w:val="auto"/>
        </w:rPr>
      </w:pPr>
    </w:p>
    <w:p>
      <w:pPr>
        <w:ind w:left="193" w:right="340" w:hanging="193"/>
        <w:spacing w:after="0" w:line="277" w:lineRule="auto"/>
        <w:tabs>
          <w:tab w:leader="none" w:pos="193" w:val="left"/>
        </w:tabs>
        <w:numPr>
          <w:ilvl w:val="0"/>
          <w:numId w:val="5"/>
        </w:numPr>
        <w:rPr>
          <w:rFonts w:ascii="Arial" w:cs="Arial" w:eastAsia="Arial" w:hAnsi="Arial"/>
          <w:sz w:val="18"/>
          <w:szCs w:val="18"/>
          <w:color w:val="auto"/>
        </w:rPr>
      </w:pPr>
      <w:r>
        <w:rPr>
          <w:rFonts w:ascii="Arial" w:cs="Arial" w:eastAsia="Arial" w:hAnsi="Arial"/>
          <w:sz w:val="18"/>
          <w:szCs w:val="18"/>
          <w:color w:val="auto"/>
        </w:rPr>
        <w:t>Diabetic retinopathy (U.S.)</w:t>
      </w:r>
    </w:p>
    <w:p>
      <w:pPr>
        <w:spacing w:after="0" w:line="8" w:lineRule="exact"/>
        <w:rPr>
          <w:rFonts w:ascii="Arial" w:cs="Arial" w:eastAsia="Arial" w:hAnsi="Arial"/>
          <w:sz w:val="18"/>
          <w:szCs w:val="18"/>
          <w:color w:val="auto"/>
        </w:rPr>
      </w:pPr>
    </w:p>
    <w:p>
      <w:pPr>
        <w:ind w:left="193" w:right="220" w:hanging="193"/>
        <w:spacing w:after="0" w:line="277" w:lineRule="auto"/>
        <w:tabs>
          <w:tab w:leader="none" w:pos="193"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Vial-only presentation (U.S.)</w:t>
      </w:r>
    </w:p>
    <w:p>
      <w:pPr>
        <w:spacing w:after="0" w:line="8" w:lineRule="exact"/>
        <w:rPr>
          <w:rFonts w:ascii="Arial" w:cs="Arial" w:eastAsia="Arial" w:hAnsi="Arial"/>
          <w:sz w:val="18"/>
          <w:szCs w:val="18"/>
          <w:color w:val="auto"/>
        </w:rPr>
      </w:pPr>
    </w:p>
    <w:p>
      <w:pPr>
        <w:ind w:left="193" w:right="200" w:hanging="193"/>
        <w:spacing w:after="0" w:line="286" w:lineRule="auto"/>
        <w:tabs>
          <w:tab w:leader="none" w:pos="193" w:val="left"/>
        </w:tabs>
        <w:numPr>
          <w:ilvl w:val="0"/>
          <w:numId w:val="5"/>
        </w:numPr>
        <w:rPr>
          <w:rFonts w:ascii="Arial" w:cs="Arial" w:eastAsia="Arial" w:hAnsi="Arial"/>
          <w:sz w:val="17"/>
          <w:szCs w:val="17"/>
          <w:color w:val="auto"/>
        </w:rPr>
      </w:pPr>
      <w:r>
        <w:rPr>
          <w:rFonts w:ascii="Arial" w:cs="Arial" w:eastAsia="Arial" w:hAnsi="Arial"/>
          <w:sz w:val="17"/>
          <w:szCs w:val="17"/>
          <w:color w:val="auto"/>
        </w:rPr>
        <w:t>Asthma in adults and adolescents (U.S., EU, and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93" w:right="460" w:hanging="193"/>
        <w:spacing w:after="0" w:line="277" w:lineRule="auto"/>
        <w:tabs>
          <w:tab w:leader="none" w:pos="193"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with apheresis (U.S.)</w:t>
      </w:r>
    </w:p>
    <w:p>
      <w:pPr>
        <w:spacing w:after="0" w:line="224" w:lineRule="exact"/>
        <w:rPr>
          <w:rFonts w:ascii="Arial" w:cs="Arial" w:eastAsia="Arial" w:hAnsi="Arial"/>
          <w:sz w:val="18"/>
          <w:szCs w:val="18"/>
          <w:color w:val="auto"/>
        </w:rPr>
      </w:pPr>
    </w:p>
    <w:p>
      <w:pPr>
        <w:ind w:left="193" w:right="60" w:hanging="193"/>
        <w:spacing w:after="0" w:line="317" w:lineRule="auto"/>
        <w:tabs>
          <w:tab w:leader="none" w:pos="193" w:val="left"/>
        </w:tabs>
        <w:numPr>
          <w:ilvl w:val="0"/>
          <w:numId w:val="6"/>
        </w:numPr>
        <w:rPr>
          <w:rFonts w:ascii="Arial" w:cs="Arial" w:eastAsia="Arial" w:hAnsi="Arial"/>
          <w:sz w:val="16"/>
          <w:szCs w:val="16"/>
          <w:color w:val="auto"/>
        </w:rPr>
      </w:pPr>
      <w:r>
        <w:rPr>
          <w:rFonts w:ascii="Arial" w:cs="Arial" w:eastAsia="Arial" w:hAnsi="Arial"/>
          <w:sz w:val="16"/>
          <w:szCs w:val="16"/>
          <w:color w:val="auto"/>
        </w:rPr>
        <w:t>Cardiovascular risk reduction (U.S. and EU)</w:t>
      </w:r>
    </w:p>
    <w:p>
      <w:pPr>
        <w:jc w:val="both"/>
        <w:ind w:left="193" w:right="240" w:hanging="193"/>
        <w:spacing w:after="0" w:line="342" w:lineRule="auto"/>
        <w:tabs>
          <w:tab w:leader="none" w:pos="193"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First-line treatment of hyperlipidemia (U.S.)</w:t>
      </w:r>
    </w:p>
    <w:p>
      <w:pPr>
        <w:spacing w:after="0" w:line="616" w:lineRule="exact"/>
        <w:rPr>
          <w:sz w:val="20"/>
          <w:szCs w:val="20"/>
          <w:color w:val="auto"/>
        </w:rPr>
      </w:pPr>
    </w:p>
    <w:p>
      <w:pPr>
        <w:sectPr>
          <w:pgSz w:w="11900" w:h="16838" w:orient="portrait"/>
          <w:cols w:equalWidth="0" w:num="2">
            <w:col w:w="9300" w:space="27"/>
            <w:col w:w="2013"/>
          </w:cols>
          <w:pgMar w:left="240" w:top="130" w:right="319" w:bottom="1440" w:gutter="0" w:footer="0" w:header="0"/>
          <w:type w:val="continuous"/>
        </w:sectPr>
      </w:pPr>
    </w:p>
    <w:tbl>
      <w:tblPr>
        <w:tblLayout w:type="fixed"/>
        <w:tblInd w:w="80" w:type="dxa"/>
        <w:tblCellMar>
          <w:top w:w="0" w:type="dxa"/>
          <w:left w:w="0" w:type="dxa"/>
          <w:bottom w:w="0" w:type="dxa"/>
          <w:right w:w="0" w:type="dxa"/>
        </w:tblCellMar>
      </w:tblPr>
      <w:tr>
        <w:trPr>
          <w:trHeight w:val="265"/>
        </w:trPr>
        <w:tc>
          <w:tcPr>
            <w:tcW w:w="2640" w:type="dxa"/>
            <w:vAlign w:val="bottom"/>
            <w:shd w:val="clear" w:color="auto" w:fill="CCEEFF"/>
          </w:tcPr>
          <w:p>
            <w:pPr>
              <w:ind w:left="40"/>
              <w:spacing w:after="0" w:line="265" w:lineRule="exact"/>
              <w:rPr>
                <w:sz w:val="20"/>
                <w:szCs w:val="20"/>
                <w:color w:val="auto"/>
              </w:rPr>
            </w:pPr>
            <w:r>
              <w:rPr>
                <w:rFonts w:ascii="Arial" w:cs="Arial" w:eastAsia="Arial" w:hAnsi="Arial"/>
                <w:sz w:val="18"/>
                <w:szCs w:val="18"/>
                <w:b w:val="1"/>
                <w:bCs w:val="1"/>
                <w:color w:val="auto"/>
              </w:rPr>
              <w:t>Cemiplimab</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 xml:space="preserve"> (REGN2810)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Solid tumors and</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Metastatic or locally</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First-line and second-line</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 Metastatic or locally</w:t>
            </w:r>
          </w:p>
        </w:tc>
      </w:tr>
      <w:tr>
        <w:trPr>
          <w:trHeight w:val="216"/>
        </w:trPr>
        <w:tc>
          <w:tcPr>
            <w:tcW w:w="2640" w:type="dxa"/>
            <w:vAlign w:val="bottom"/>
            <w:shd w:val="clear" w:color="auto" w:fill="CCEEFF"/>
          </w:tcPr>
          <w:p>
            <w:pPr>
              <w:ind w:left="40"/>
              <w:spacing w:after="0" w:line="216" w:lineRule="exact"/>
              <w:rPr>
                <w:sz w:val="20"/>
                <w:szCs w:val="20"/>
                <w:color w:val="auto"/>
              </w:rPr>
            </w:pPr>
            <w:r>
              <w:rPr>
                <w:rFonts w:ascii="Arial" w:cs="Arial" w:eastAsia="Arial" w:hAnsi="Arial"/>
                <w:sz w:val="18"/>
                <w:szCs w:val="18"/>
                <w:i w:val="1"/>
                <w:iCs w:val="1"/>
                <w:color w:val="auto"/>
              </w:rPr>
              <w:t>Antibody to PD-1</w:t>
            </w:r>
            <w:r>
              <w:rPr>
                <w:rFonts w:ascii="Arial" w:cs="Arial" w:eastAsia="Arial" w:hAnsi="Arial"/>
                <w:sz w:val="25"/>
                <w:szCs w:val="25"/>
                <w:i w:val="1"/>
                <w:iCs w:val="1"/>
                <w:color w:val="auto"/>
                <w:vertAlign w:val="superscript"/>
              </w:rPr>
              <w:t>(h)</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hematologic</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advanced and unresectable</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non-small cell lung cancer</w:t>
            </w:r>
          </w:p>
        </w:tc>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advanced CSCC (U.S.</w:t>
            </w:r>
          </w:p>
        </w:tc>
      </w:tr>
      <w:tr>
        <w:trPr>
          <w:trHeight w:val="216"/>
        </w:trPr>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malignancies</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cutaneous squamous cell</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(NSCLC)</w:t>
            </w:r>
          </w:p>
        </w:tc>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EU)</w:t>
            </w:r>
          </w:p>
        </w:tc>
      </w:tr>
      <w:tr>
        <w:trPr>
          <w:trHeight w:val="230"/>
        </w:trPr>
        <w:tc>
          <w:tcPr>
            <w:tcW w:w="2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carcinoma (CSCC) (pivotal</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Second-line cervical</w:t>
            </w:r>
          </w:p>
        </w:tc>
        <w:tc>
          <w:tcPr>
            <w:tcW w:w="2040" w:type="dxa"/>
            <w:vAlign w:val="bottom"/>
            <w:shd w:val="clear" w:color="auto" w:fill="CCEEFF"/>
          </w:tcPr>
          <w:p>
            <w:pPr>
              <w:spacing w:after="0"/>
              <w:rPr>
                <w:sz w:val="20"/>
                <w:szCs w:val="20"/>
                <w:color w:val="auto"/>
              </w:rPr>
            </w:pPr>
          </w:p>
        </w:tc>
      </w:tr>
      <w:tr>
        <w:trPr>
          <w:trHeight w:val="297"/>
        </w:trPr>
        <w:tc>
          <w:tcPr>
            <w:tcW w:w="2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study)</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cancer</w:t>
            </w:r>
          </w:p>
        </w:tc>
        <w:tc>
          <w:tcPr>
            <w:tcW w:w="2040" w:type="dxa"/>
            <w:vAlign w:val="bottom"/>
            <w:shd w:val="clear" w:color="auto" w:fill="CCEEFF"/>
          </w:tcPr>
          <w:p>
            <w:pPr>
              <w:spacing w:after="0"/>
              <w:rPr>
                <w:sz w:val="24"/>
                <w:szCs w:val="24"/>
                <w:color w:val="auto"/>
              </w:rPr>
            </w:pPr>
          </w:p>
        </w:tc>
      </w:tr>
      <w:tr>
        <w:trPr>
          <w:trHeight w:val="229"/>
        </w:trPr>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Basal cell carcinoma (BCC)</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pivotal study)</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5"/>
        </w:trPr>
        <w:tc>
          <w:tcPr>
            <w:tcW w:w="2640" w:type="dxa"/>
            <w:vAlign w:val="bottom"/>
          </w:tcPr>
          <w:p>
            <w:pPr>
              <w:ind w:left="40"/>
              <w:spacing w:after="0" w:line="224" w:lineRule="exact"/>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4"/>
              </w:rPr>
              <w:t>Ÿ Osteoarthritis of knee and</w:t>
            </w:r>
          </w:p>
        </w:tc>
        <w:tc>
          <w:tcPr>
            <w:tcW w:w="2040" w:type="dxa"/>
            <w:vAlign w:val="bottom"/>
          </w:tcPr>
          <w:p>
            <w:pPr>
              <w:spacing w:after="0"/>
              <w:rPr>
                <w:sz w:val="19"/>
                <w:szCs w:val="19"/>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(REGN475)</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ind w:left="20"/>
              <w:spacing w:after="0" w:line="220" w:lineRule="exact"/>
              <w:rPr>
                <w:sz w:val="20"/>
                <w:szCs w:val="20"/>
                <w:color w:val="auto"/>
              </w:rPr>
            </w:pPr>
            <w:r>
              <w:rPr>
                <w:rFonts w:ascii="Arial" w:cs="Arial" w:eastAsia="Arial" w:hAnsi="Arial"/>
                <w:sz w:val="25"/>
                <w:szCs w:val="25"/>
                <w:color w:val="auto"/>
                <w:vertAlign w:val="subscript"/>
              </w:rPr>
              <w:t>hip</w:t>
            </w:r>
            <w:r>
              <w:rPr>
                <w:rFonts w:ascii="Arial" w:cs="Arial" w:eastAsia="Arial" w:hAnsi="Arial"/>
                <w:sz w:val="11"/>
                <w:szCs w:val="11"/>
                <w:color w:val="auto"/>
              </w:rPr>
              <w:t>(e)</w:t>
            </w:r>
          </w:p>
        </w:tc>
        <w:tc>
          <w:tcPr>
            <w:tcW w:w="204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Antibody to NGF</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218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r>
      <w:tr>
        <w:trPr>
          <w:trHeight w:val="225"/>
        </w:trPr>
        <w:tc>
          <w:tcPr>
            <w:tcW w:w="264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Refractory</w:t>
            </w:r>
          </w:p>
        </w:tc>
        <w:tc>
          <w:tcPr>
            <w:tcW w:w="2180" w:type="dxa"/>
            <w:vAlign w:val="bottom"/>
            <w:gridSpan w:val="2"/>
            <w:shd w:val="clear" w:color="auto" w:fill="CCEEFF"/>
          </w:tcPr>
          <w:p>
            <w:pPr>
              <w:ind w:left="40"/>
              <w:spacing w:after="0" w:line="225" w:lineRule="exact"/>
              <w:rPr>
                <w:sz w:val="20"/>
                <w:szCs w:val="20"/>
                <w:color w:val="auto"/>
              </w:rPr>
            </w:pPr>
            <w:r>
              <w:rPr>
                <w:rFonts w:ascii="Arial" w:cs="Arial" w:eastAsia="Arial" w:hAnsi="Arial"/>
                <w:sz w:val="26"/>
                <w:szCs w:val="26"/>
                <w:color w:val="auto"/>
                <w:vertAlign w:val="subscript"/>
              </w:rPr>
              <w:t>Ÿ HoFH</w:t>
            </w:r>
            <w:r>
              <w:rPr>
                <w:rFonts w:ascii="Arial" w:cs="Arial" w:eastAsia="Arial" w:hAnsi="Arial"/>
                <w:sz w:val="11"/>
                <w:szCs w:val="11"/>
                <w:color w:val="auto"/>
              </w:rPr>
              <w:t>(c)(d)</w:t>
            </w:r>
          </w:p>
        </w:tc>
        <w:tc>
          <w:tcPr>
            <w:tcW w:w="2040" w:type="dxa"/>
            <w:vAlign w:val="bottom"/>
            <w:shd w:val="clear" w:color="auto" w:fill="CCEEFF"/>
          </w:tcPr>
          <w:p>
            <w:pPr>
              <w:spacing w:after="0"/>
              <w:rPr>
                <w:sz w:val="19"/>
                <w:szCs w:val="19"/>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(REGN1500)</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hypercholesterolemia (both</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ANGPTL3</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HeFH and non-FH)</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56"/>
        </w:trPr>
        <w:tc>
          <w:tcPr>
            <w:tcW w:w="2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Severe</w:t>
            </w: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hypertriglyceridemia</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5"/>
        </w:trPr>
        <w:tc>
          <w:tcPr>
            <w:tcW w:w="2640" w:type="dxa"/>
            <w:vAlign w:val="bottom"/>
          </w:tcPr>
          <w:p>
            <w:pPr>
              <w:ind w:left="40"/>
              <w:spacing w:after="0" w:line="224" w:lineRule="exact"/>
              <w:rPr>
                <w:sz w:val="20"/>
                <w:szCs w:val="20"/>
                <w:color w:val="auto"/>
              </w:rPr>
            </w:pPr>
            <w:r>
              <w:rPr>
                <w:rFonts w:ascii="Arial" w:cs="Arial" w:eastAsia="Arial" w:hAnsi="Arial"/>
                <w:sz w:val="18"/>
                <w:szCs w:val="18"/>
                <w:b w:val="1"/>
                <w:bCs w:val="1"/>
                <w:color w:val="auto"/>
              </w:rPr>
              <w:t>Trevogrumab</w:t>
            </w:r>
            <w:r>
              <w:rPr>
                <w:rFonts w:ascii="Arial" w:cs="Arial" w:eastAsia="Arial" w:hAnsi="Arial"/>
                <w:sz w:val="25"/>
                <w:szCs w:val="25"/>
                <w:b w:val="1"/>
                <w:bCs w:val="1"/>
                <w:color w:val="auto"/>
                <w:vertAlign w:val="superscript"/>
              </w:rPr>
              <w:t>(f)</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w w:val="95"/>
              </w:rPr>
              <w:t>Ÿ Muscle-wasting diseases</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(REGN1033)</w:t>
            </w:r>
          </w:p>
        </w:tc>
        <w:tc>
          <w:tcPr>
            <w:tcW w:w="2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(in combination with</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Antibody to myostatin (GDF8)</w:t>
            </w:r>
          </w:p>
        </w:tc>
        <w:tc>
          <w:tcPr>
            <w:tcW w:w="20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garetosmab)</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621"/>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80" w:type="dxa"/>
            <w:vAlign w:val="bottom"/>
            <w:gridSpan w:val="2"/>
          </w:tcPr>
          <w:p>
            <w:pPr>
              <w:ind w:left="7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340"/>
          </w:cols>
          <w:pgMar w:left="240" w:top="130" w:right="31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2660" w:type="dxa"/>
            <w:vAlign w:val="bottom"/>
          </w:tcPr>
          <w:p>
            <w:pPr>
              <w:ind w:left="220"/>
              <w:spacing w:after="0"/>
              <w:rPr>
                <w:sz w:val="20"/>
                <w:szCs w:val="20"/>
                <w:color w:val="auto"/>
              </w:rPr>
            </w:pPr>
            <w:r>
              <w:rPr>
                <w:rFonts w:ascii="Arial" w:cs="Arial" w:eastAsia="Arial" w:hAnsi="Arial"/>
                <w:sz w:val="18"/>
                <w:szCs w:val="18"/>
                <w:b w:val="1"/>
                <w:bCs w:val="1"/>
                <w:color w:val="auto"/>
                <w:w w:val="98"/>
              </w:rPr>
              <w:t xml:space="preserve">Clinical Program </w:t>
            </w:r>
            <w:r>
              <w:rPr>
                <w:rFonts w:ascii="Arial" w:cs="Arial" w:eastAsia="Arial" w:hAnsi="Arial"/>
                <w:sz w:val="18"/>
                <w:szCs w:val="18"/>
                <w:b w:val="1"/>
                <w:bCs w:val="1"/>
                <w:i w:val="1"/>
                <w:iCs w:val="1"/>
                <w:color w:val="auto"/>
                <w:w w:val="98"/>
              </w:rPr>
              <w:t>(continued)</w:t>
            </w:r>
          </w:p>
        </w:tc>
        <w:tc>
          <w:tcPr>
            <w:tcW w:w="200" w:type="dxa"/>
            <w:vAlign w:val="bottom"/>
          </w:tcPr>
          <w:p>
            <w:pPr>
              <w:spacing w:after="0"/>
              <w:rPr>
                <w:sz w:val="24"/>
                <w:szCs w:val="24"/>
                <w:color w:val="auto"/>
              </w:rPr>
            </w:pPr>
          </w:p>
        </w:tc>
        <w:tc>
          <w:tcPr>
            <w:tcW w:w="2000" w:type="dxa"/>
            <w:vAlign w:val="bottom"/>
          </w:tcPr>
          <w:p>
            <w:pPr>
              <w:ind w:left="700"/>
              <w:spacing w:after="0"/>
              <w:rPr>
                <w:sz w:val="20"/>
                <w:szCs w:val="20"/>
                <w:color w:val="auto"/>
              </w:rPr>
            </w:pPr>
            <w:r>
              <w:rPr>
                <w:rFonts w:ascii="Arial" w:cs="Arial" w:eastAsia="Arial" w:hAnsi="Arial"/>
                <w:sz w:val="18"/>
                <w:szCs w:val="18"/>
                <w:b w:val="1"/>
                <w:bCs w:val="1"/>
                <w:color w:val="auto"/>
              </w:rPr>
              <w:t>Phase 1</w:t>
            </w:r>
          </w:p>
        </w:tc>
        <w:tc>
          <w:tcPr>
            <w:tcW w:w="180" w:type="dxa"/>
            <w:vAlign w:val="bottom"/>
          </w:tcPr>
          <w:p>
            <w:pPr>
              <w:spacing w:after="0"/>
              <w:rPr>
                <w:sz w:val="24"/>
                <w:szCs w:val="24"/>
                <w:color w:val="auto"/>
              </w:rPr>
            </w:pPr>
          </w:p>
        </w:tc>
        <w:tc>
          <w:tcPr>
            <w:tcW w:w="2240" w:type="dxa"/>
            <w:vAlign w:val="bottom"/>
            <w:gridSpan w:val="2"/>
          </w:tcPr>
          <w:p>
            <w:pPr>
              <w:ind w:left="780"/>
              <w:spacing w:after="0"/>
              <w:rPr>
                <w:sz w:val="20"/>
                <w:szCs w:val="20"/>
                <w:color w:val="auto"/>
              </w:rPr>
            </w:pPr>
            <w:r>
              <w:rPr>
                <w:rFonts w:ascii="Arial" w:cs="Arial" w:eastAsia="Arial" w:hAnsi="Arial"/>
                <w:sz w:val="18"/>
                <w:szCs w:val="18"/>
                <w:b w:val="1"/>
                <w:bCs w:val="1"/>
                <w:color w:val="auto"/>
              </w:rPr>
              <w:t>Phase 2</w:t>
            </w:r>
          </w:p>
        </w:tc>
        <w:tc>
          <w:tcPr>
            <w:tcW w:w="2080" w:type="dxa"/>
            <w:vAlign w:val="bottom"/>
            <w:gridSpan w:val="2"/>
          </w:tcPr>
          <w:p>
            <w:pPr>
              <w:ind w:left="700"/>
              <w:spacing w:after="0"/>
              <w:rPr>
                <w:sz w:val="20"/>
                <w:szCs w:val="20"/>
                <w:color w:val="auto"/>
              </w:rPr>
            </w:pPr>
            <w:r>
              <w:rPr>
                <w:rFonts w:ascii="Arial" w:cs="Arial" w:eastAsia="Arial" w:hAnsi="Arial"/>
                <w:sz w:val="18"/>
                <w:szCs w:val="18"/>
                <w:b w:val="1"/>
                <w:bCs w:val="1"/>
                <w:color w:val="auto"/>
              </w:rPr>
              <w:t>Phase 3</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w w:val="97"/>
              </w:rPr>
              <w:t>Regulatory Review</w:t>
            </w:r>
            <w:r>
              <w:rPr>
                <w:rFonts w:ascii="Arial" w:cs="Arial" w:eastAsia="Arial" w:hAnsi="Arial"/>
                <w:sz w:val="25"/>
                <w:szCs w:val="25"/>
                <w:b w:val="1"/>
                <w:bCs w:val="1"/>
                <w:color w:val="auto"/>
                <w:w w:val="97"/>
                <w:vertAlign w:val="superscript"/>
              </w:rPr>
              <w:t>(i)</w:t>
            </w:r>
          </w:p>
        </w:tc>
      </w:tr>
      <w:tr>
        <w:trPr>
          <w:trHeight w:val="222"/>
        </w:trPr>
        <w:tc>
          <w:tcPr>
            <w:tcW w:w="2660" w:type="dxa"/>
            <w:vAlign w:val="bottom"/>
            <w:tcBorders>
              <w:top w:val="single" w:sz="8" w:color="auto"/>
            </w:tcBorders>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p>
        </w:tc>
        <w:tc>
          <w:tcPr>
            <w:tcW w:w="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Allergic disease</w:t>
            </w:r>
          </w:p>
        </w:tc>
        <w:tc>
          <w:tcPr>
            <w:tcW w:w="1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Multi-antibody therapy to Feld1</w:t>
            </w:r>
          </w:p>
        </w:tc>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REGN1979</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Ÿ Certain B-cell</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w w:val="98"/>
              </w:rPr>
              <w:t>Bispecific antibody against CD20</w:t>
            </w:r>
          </w:p>
        </w:tc>
        <w:tc>
          <w:tcPr>
            <w:tcW w:w="2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malignancies</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rPr>
              <w:t>and CD3</w:t>
            </w:r>
          </w:p>
        </w:tc>
        <w:tc>
          <w:tcPr>
            <w:tcW w:w="2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(monotherapy and in</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combination with</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7"/>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ind w:left="20"/>
              <w:spacing w:after="0" w:line="257" w:lineRule="exact"/>
              <w:rPr>
                <w:sz w:val="20"/>
                <w:szCs w:val="20"/>
                <w:color w:val="auto"/>
              </w:rPr>
            </w:pPr>
            <w:r>
              <w:rPr>
                <w:rFonts w:ascii="Arial" w:cs="Arial" w:eastAsia="Arial" w:hAnsi="Arial"/>
                <w:sz w:val="18"/>
                <w:szCs w:val="18"/>
                <w:color w:val="auto"/>
              </w:rPr>
              <w:t>cemiplimab)</w:t>
            </w:r>
            <w:r>
              <w:rPr>
                <w:rFonts w:ascii="Arial" w:cs="Arial" w:eastAsia="Arial" w:hAnsi="Arial"/>
                <w:sz w:val="25"/>
                <w:szCs w:val="25"/>
                <w:color w:val="auto"/>
                <w:vertAlign w:val="superscript"/>
              </w:rPr>
              <w:t>(c)</w:t>
            </w: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5"/>
        </w:trPr>
        <w:tc>
          <w:tcPr>
            <w:tcW w:w="266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b w:val="1"/>
                <w:bCs w:val="1"/>
                <w:color w:val="auto"/>
                <w:w w:val="96"/>
              </w:rPr>
              <w:t>REGN-EB3</w:t>
            </w:r>
            <w:r>
              <w:rPr>
                <w:rFonts w:ascii="Arial" w:cs="Arial" w:eastAsia="Arial" w:hAnsi="Arial"/>
                <w:sz w:val="25"/>
                <w:szCs w:val="25"/>
                <w:b w:val="1"/>
                <w:bCs w:val="1"/>
                <w:color w:val="auto"/>
                <w:w w:val="96"/>
                <w:vertAlign w:val="superscript"/>
              </w:rPr>
              <w:t>(g)</w:t>
            </w:r>
            <w:r>
              <w:rPr>
                <w:rFonts w:ascii="Arial" w:cs="Arial" w:eastAsia="Arial" w:hAnsi="Arial"/>
                <w:sz w:val="18"/>
                <w:szCs w:val="18"/>
                <w:b w:val="1"/>
                <w:bCs w:val="1"/>
                <w:color w:val="auto"/>
                <w:w w:val="96"/>
              </w:rPr>
              <w:t xml:space="preserve"> (REGN3470-3471-</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Ebola virus</w:t>
            </w:r>
          </w:p>
        </w:tc>
        <w:tc>
          <w:tcPr>
            <w:tcW w:w="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3479)</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infection</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Multi-antibody therapy to Ebola</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virus</w:t>
            </w:r>
          </w:p>
        </w:tc>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REGN3048-3051</w:t>
            </w:r>
            <w:r>
              <w:rPr>
                <w:rFonts w:ascii="Arial" w:cs="Arial" w:eastAsia="Arial" w:hAnsi="Arial"/>
                <w:sz w:val="25"/>
                <w:szCs w:val="25"/>
                <w:b w:val="1"/>
                <w:bCs w:val="1"/>
                <w:color w:val="auto"/>
                <w:vertAlign w:val="superscript"/>
              </w:rPr>
              <w:t>(g)</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Ÿ MERS virus infection</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rPr>
              <w:t>Multi-antibody therapy to Middle</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w w:val="89"/>
              </w:rPr>
              <w:t>East Respiratory Syndrome (MERS)</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i w:val="1"/>
                <w:iCs w:val="1"/>
                <w:color w:val="auto"/>
              </w:rPr>
              <w:t>virus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5"/>
        </w:trPr>
        <w:tc>
          <w:tcPr>
            <w:tcW w:w="266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b w:val="1"/>
                <w:bCs w:val="1"/>
                <w:color w:val="auto"/>
              </w:rPr>
              <w:t>Garetosmab</w:t>
            </w:r>
            <w:r>
              <w:rPr>
                <w:rFonts w:ascii="Arial" w:cs="Arial" w:eastAsia="Arial" w:hAnsi="Arial"/>
                <w:sz w:val="25"/>
                <w:szCs w:val="25"/>
                <w:b w:val="1"/>
                <w:bCs w:val="1"/>
                <w:color w:val="auto"/>
                <w:vertAlign w:val="superscript"/>
              </w:rPr>
              <w:t>(f)</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Ÿ Muscle-wasting diseases</w:t>
            </w:r>
          </w:p>
        </w:tc>
        <w:tc>
          <w:tcPr>
            <w:tcW w:w="2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Ÿ Fibrodysplasia ossificans</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(REGN2477)</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combination with</w:t>
            </w:r>
          </w:p>
        </w:tc>
        <w:tc>
          <w:tcPr>
            <w:tcW w:w="1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ind w:left="40"/>
              <w:spacing w:after="0" w:line="220" w:lineRule="exact"/>
              <w:rPr>
                <w:sz w:val="20"/>
                <w:szCs w:val="20"/>
                <w:color w:val="auto"/>
              </w:rPr>
            </w:pPr>
            <w:r>
              <w:rPr>
                <w:rFonts w:ascii="Arial" w:cs="Arial" w:eastAsia="Arial" w:hAnsi="Arial"/>
                <w:sz w:val="18"/>
                <w:szCs w:val="18"/>
                <w:color w:val="auto"/>
              </w:rPr>
              <w:t>progressiva (FOP)</w:t>
            </w:r>
            <w:r>
              <w:rPr>
                <w:rFonts w:ascii="Arial" w:cs="Arial" w:eastAsia="Arial" w:hAnsi="Arial"/>
                <w:sz w:val="25"/>
                <w:szCs w:val="25"/>
                <w:color w:val="auto"/>
                <w:vertAlign w:val="superscript"/>
              </w:rPr>
              <w:t>(c)(e)</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Activin A</w:t>
            </w: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trevogrumab)</w:t>
            </w:r>
          </w:p>
        </w:tc>
        <w:tc>
          <w:tcPr>
            <w:tcW w:w="18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(potentially pivotal study)</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7"/>
        </w:trPr>
        <w:tc>
          <w:tcPr>
            <w:tcW w:w="2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340"/>
          </w:cols>
          <w:pgMar w:left="240" w:top="130" w:right="319" w:bottom="1440" w:gutter="0" w:footer="0" w:header="0"/>
        </w:sectPr>
      </w:pPr>
    </w:p>
    <w:p>
      <w:pPr>
        <w:ind w:left="120"/>
        <w:spacing w:after="0" w:line="204" w:lineRule="auto"/>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p>
      <w:pPr>
        <w:ind w:left="120"/>
        <w:spacing w:after="0"/>
        <w:rPr>
          <w:sz w:val="20"/>
          <w:szCs w:val="20"/>
          <w:color w:val="auto"/>
        </w:rPr>
      </w:pPr>
      <w:r>
        <w:rPr>
          <w:rFonts w:ascii="Arial" w:cs="Arial" w:eastAsia="Arial" w:hAnsi="Arial"/>
          <w:sz w:val="18"/>
          <w:szCs w:val="18"/>
          <w:i w:val="1"/>
          <w:iCs w:val="1"/>
          <w:color w:val="auto"/>
        </w:rPr>
        <w:t>Antibody to IL-33. Studied as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monotherapy and in combination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 Dupixent.</w:t>
      </w:r>
    </w:p>
    <w:p>
      <w:pPr>
        <w:ind w:left="120"/>
        <w:spacing w:after="0"/>
        <w:tabs>
          <w:tab w:leader="none" w:pos="2760" w:val="left"/>
        </w:tabs>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(a)</w:t>
      </w:r>
      <w:r>
        <w:rPr>
          <w:sz w:val="20"/>
          <w:szCs w:val="20"/>
          <w:color w:val="auto"/>
        </w:rPr>
        <w:tab/>
      </w:r>
      <w:r>
        <w:rPr>
          <w:rFonts w:ascii="Arial" w:cs="Arial" w:eastAsia="Arial" w:hAnsi="Arial"/>
          <w:sz w:val="16"/>
          <w:szCs w:val="16"/>
          <w:color w:val="auto"/>
        </w:rPr>
        <w:t>Ÿ Advanced cancers</w:t>
      </w:r>
    </w:p>
    <w:p>
      <w:pPr>
        <w:spacing w:after="0" w:line="1" w:lineRule="exact"/>
        <w:rPr>
          <w:sz w:val="20"/>
          <w:szCs w:val="20"/>
          <w:color w:val="auto"/>
        </w:rPr>
      </w:pPr>
    </w:p>
    <w:p>
      <w:pPr>
        <w:ind w:left="120"/>
        <w:spacing w:after="0"/>
        <w:tabs>
          <w:tab w:leader="none" w:pos="2940" w:val="left"/>
        </w:tabs>
        <w:rPr>
          <w:sz w:val="20"/>
          <w:szCs w:val="20"/>
          <w:color w:val="auto"/>
        </w:rPr>
      </w:pPr>
      <w:r>
        <w:rPr>
          <w:rFonts w:ascii="Arial" w:cs="Arial" w:eastAsia="Arial" w:hAnsi="Arial"/>
          <w:sz w:val="18"/>
          <w:szCs w:val="18"/>
          <w:i w:val="1"/>
          <w:iCs w:val="1"/>
          <w:color w:val="auto"/>
        </w:rPr>
        <w:t>Antibody to LAG-3 protein</w:t>
      </w:r>
      <w:r>
        <w:rPr>
          <w:sz w:val="20"/>
          <w:szCs w:val="20"/>
          <w:color w:val="auto"/>
        </w:rPr>
        <w:tab/>
      </w:r>
      <w:r>
        <w:rPr>
          <w:rFonts w:ascii="Arial" w:cs="Arial" w:eastAsia="Arial" w:hAnsi="Arial"/>
          <w:sz w:val="16"/>
          <w:szCs w:val="16"/>
          <w:color w:val="auto"/>
        </w:rPr>
        <w:t>(administered alone or in</w:t>
      </w:r>
    </w:p>
    <w:p>
      <w:pPr>
        <w:spacing w:after="0" w:line="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combination with</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cemiplimab)</w:t>
      </w:r>
    </w:p>
    <w:p>
      <w:pPr>
        <w:spacing w:after="0" w:line="20" w:lineRule="exact"/>
        <w:rPr>
          <w:sz w:val="20"/>
          <w:szCs w:val="20"/>
          <w:color w:val="auto"/>
        </w:rPr>
      </w:pPr>
      <w:r>
        <w:rPr>
          <w:sz w:val="20"/>
          <w:szCs w:val="20"/>
          <w:color w:val="auto"/>
        </w:rPr>
        <w:br w:type="column"/>
      </w:r>
    </w:p>
    <w:p>
      <w:pPr>
        <w:ind w:left="196" w:hanging="196"/>
        <w:spacing w:after="0"/>
        <w:tabs>
          <w:tab w:leader="none" w:pos="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Asthma</w:t>
      </w:r>
    </w:p>
    <w:p>
      <w:pPr>
        <w:spacing w:after="0" w:line="117" w:lineRule="exact"/>
        <w:rPr>
          <w:rFonts w:ascii="Arial" w:cs="Arial" w:eastAsia="Arial" w:hAnsi="Arial"/>
          <w:sz w:val="18"/>
          <w:szCs w:val="18"/>
          <w:color w:val="auto"/>
        </w:rPr>
      </w:pPr>
    </w:p>
    <w:p>
      <w:pPr>
        <w:ind w:left="196" w:right="4200" w:hanging="196"/>
        <w:spacing w:after="0" w:line="342" w:lineRule="auto"/>
        <w:tabs>
          <w:tab w:leader="none" w:pos="196" w:val="left"/>
        </w:tabs>
        <w:numPr>
          <w:ilvl w:val="0"/>
          <w:numId w:val="7"/>
        </w:numPr>
        <w:rPr>
          <w:rFonts w:ascii="Arial" w:cs="Arial" w:eastAsia="Arial" w:hAnsi="Arial"/>
          <w:sz w:val="16"/>
          <w:szCs w:val="16"/>
          <w:color w:val="auto"/>
        </w:rPr>
      </w:pPr>
      <w:r>
        <w:rPr>
          <w:rFonts w:ascii="Arial" w:cs="Arial" w:eastAsia="Arial" w:hAnsi="Arial"/>
          <w:sz w:val="16"/>
          <w:szCs w:val="16"/>
          <w:color w:val="auto"/>
        </w:rPr>
        <w:t>Chronic obstructive pulmonary disease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36195</wp:posOffset>
            </wp:positionV>
            <wp:extent cx="714375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4780" w:space="184"/>
            <w:col w:w="6376"/>
          </w:cols>
          <w:pgMar w:left="240" w:top="130" w:right="319" w:bottom="1440" w:gutter="0" w:footer="0" w:header="0"/>
          <w:type w:val="continuous"/>
        </w:sectPr>
      </w:pPr>
    </w:p>
    <w:tbl>
      <w:tblPr>
        <w:tblLayout w:type="fixed"/>
        <w:tblInd w:w="80" w:type="dxa"/>
        <w:tblCellMar>
          <w:top w:w="0" w:type="dxa"/>
          <w:left w:w="0" w:type="dxa"/>
          <w:bottom w:w="0" w:type="dxa"/>
          <w:right w:w="0" w:type="dxa"/>
        </w:tblCellMar>
      </w:tblPr>
      <w:tr>
        <w:trPr>
          <w:trHeight w:val="261"/>
        </w:trPr>
        <w:tc>
          <w:tcPr>
            <w:tcW w:w="2620" w:type="dxa"/>
            <w:vAlign w:val="bottom"/>
          </w:tcPr>
          <w:p>
            <w:pPr>
              <w:ind w:left="40"/>
              <w:spacing w:after="0" w:line="260"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p>
        </w:tc>
        <w:tc>
          <w:tcPr>
            <w:tcW w:w="8640" w:type="dxa"/>
            <w:vAlign w:val="bottom"/>
          </w:tcPr>
          <w:p>
            <w:pPr>
              <w:ind w:left="80"/>
              <w:spacing w:after="0"/>
              <w:rPr>
                <w:sz w:val="20"/>
                <w:szCs w:val="20"/>
                <w:color w:val="auto"/>
              </w:rPr>
            </w:pPr>
            <w:r>
              <w:rPr>
                <w:rFonts w:ascii="Arial" w:cs="Arial" w:eastAsia="Arial" w:hAnsi="Arial"/>
                <w:sz w:val="18"/>
                <w:szCs w:val="18"/>
                <w:color w:val="auto"/>
              </w:rPr>
              <w:t>Ÿ Paroxysmal nocturnal</w:t>
            </w:r>
          </w:p>
        </w:tc>
      </w:tr>
      <w:tr>
        <w:trPr>
          <w:trHeight w:val="220"/>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(REGN3918)</w:t>
            </w:r>
          </w:p>
        </w:tc>
        <w:tc>
          <w:tcPr>
            <w:tcW w:w="8640" w:type="dxa"/>
            <w:vAlign w:val="bottom"/>
          </w:tcPr>
          <w:p>
            <w:pPr>
              <w:ind w:left="260"/>
              <w:spacing w:after="0"/>
              <w:rPr>
                <w:sz w:val="20"/>
                <w:szCs w:val="20"/>
                <w:color w:val="auto"/>
              </w:rPr>
            </w:pPr>
            <w:r>
              <w:rPr>
                <w:rFonts w:ascii="Arial" w:cs="Arial" w:eastAsia="Arial" w:hAnsi="Arial"/>
                <w:sz w:val="18"/>
                <w:szCs w:val="18"/>
                <w:color w:val="auto"/>
              </w:rPr>
              <w:t>hemoglobinuria (PNH)</w:t>
            </w: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rPr>
              <w:t>Antibody to C5</w:t>
            </w:r>
          </w:p>
        </w:tc>
        <w:tc>
          <w:tcPr>
            <w:tcW w:w="864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REGN4461</w:t>
            </w:r>
          </w:p>
        </w:tc>
        <w:tc>
          <w:tcPr>
            <w:tcW w:w="8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Lipodystrophy and obesity</w:t>
            </w:r>
          </w:p>
        </w:tc>
      </w:tr>
      <w:tr>
        <w:trPr>
          <w:trHeight w:val="21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4"/>
              </w:rPr>
              <w:t>Agonist antibody to leptin receptor</w:t>
            </w:r>
          </w:p>
        </w:tc>
        <w:tc>
          <w:tcPr>
            <w:tcW w:w="8640" w:type="dxa"/>
            <w:vAlign w:val="bottom"/>
            <w:shd w:val="clear" w:color="auto" w:fill="CCEEFF"/>
          </w:tcPr>
          <w:p>
            <w:pPr>
              <w:spacing w:after="0"/>
              <w:rPr>
                <w:sz w:val="18"/>
                <w:szCs w:val="18"/>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(LEPR)</w:t>
            </w:r>
          </w:p>
        </w:tc>
        <w:tc>
          <w:tcPr>
            <w:tcW w:w="864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tc>
        <w:tc>
          <w:tcPr>
            <w:tcW w:w="8640" w:type="dxa"/>
            <w:vAlign w:val="bottom"/>
          </w:tcPr>
          <w:p>
            <w:pPr>
              <w:ind w:left="80"/>
              <w:spacing w:after="0"/>
              <w:rPr>
                <w:sz w:val="20"/>
                <w:szCs w:val="20"/>
                <w:color w:val="auto"/>
              </w:rPr>
            </w:pPr>
            <w:r>
              <w:rPr>
                <w:rFonts w:ascii="Arial" w:cs="Arial" w:eastAsia="Arial" w:hAnsi="Arial"/>
                <w:sz w:val="18"/>
                <w:szCs w:val="18"/>
                <w:color w:val="auto"/>
              </w:rPr>
              <w:t>Ÿ Platinum-resistant ovarian</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rPr>
              <w:t>Bispecific antibody targeting</w:t>
            </w:r>
          </w:p>
        </w:tc>
        <w:tc>
          <w:tcPr>
            <w:tcW w:w="8640" w:type="dxa"/>
            <w:vAlign w:val="bottom"/>
          </w:tcPr>
          <w:p>
            <w:pPr>
              <w:ind w:left="260"/>
              <w:spacing w:after="0"/>
              <w:rPr>
                <w:sz w:val="20"/>
                <w:szCs w:val="20"/>
                <w:color w:val="auto"/>
              </w:rPr>
            </w:pPr>
            <w:r>
              <w:rPr>
                <w:rFonts w:ascii="Arial" w:cs="Arial" w:eastAsia="Arial" w:hAnsi="Arial"/>
                <w:sz w:val="18"/>
                <w:szCs w:val="18"/>
                <w:color w:val="auto"/>
              </w:rPr>
              <w:t>cancer (administered alone</w:t>
            </w:r>
          </w:p>
        </w:tc>
      </w:tr>
      <w:tr>
        <w:trPr>
          <w:trHeight w:val="216"/>
        </w:trPr>
        <w:tc>
          <w:tcPr>
            <w:tcW w:w="2620" w:type="dxa"/>
            <w:vAlign w:val="bottom"/>
          </w:tcPr>
          <w:p>
            <w:pPr>
              <w:ind w:left="40"/>
              <w:spacing w:after="0"/>
              <w:rPr>
                <w:sz w:val="20"/>
                <w:szCs w:val="20"/>
                <w:color w:val="auto"/>
              </w:rPr>
            </w:pPr>
            <w:r>
              <w:rPr>
                <w:rFonts w:ascii="Arial" w:cs="Arial" w:eastAsia="Arial" w:hAnsi="Arial"/>
                <w:sz w:val="18"/>
                <w:szCs w:val="18"/>
                <w:i w:val="1"/>
                <w:iCs w:val="1"/>
                <w:color w:val="auto"/>
              </w:rPr>
              <w:t>MUC16 and CD3</w:t>
            </w:r>
          </w:p>
        </w:tc>
        <w:tc>
          <w:tcPr>
            <w:tcW w:w="8640" w:type="dxa"/>
            <w:vAlign w:val="bottom"/>
          </w:tcPr>
          <w:p>
            <w:pPr>
              <w:ind w:left="260"/>
              <w:spacing w:after="0"/>
              <w:rPr>
                <w:sz w:val="20"/>
                <w:szCs w:val="20"/>
                <w:color w:val="auto"/>
              </w:rPr>
            </w:pPr>
            <w:r>
              <w:rPr>
                <w:rFonts w:ascii="Arial" w:cs="Arial" w:eastAsia="Arial" w:hAnsi="Arial"/>
                <w:sz w:val="18"/>
                <w:szCs w:val="18"/>
                <w:color w:val="auto"/>
              </w:rPr>
              <w:t>or in combination with</w:t>
            </w:r>
          </w:p>
        </w:tc>
      </w:tr>
      <w:tr>
        <w:trPr>
          <w:trHeight w:val="230"/>
        </w:trPr>
        <w:tc>
          <w:tcPr>
            <w:tcW w:w="2620" w:type="dxa"/>
            <w:vAlign w:val="bottom"/>
          </w:tcPr>
          <w:p>
            <w:pPr>
              <w:spacing w:after="0"/>
              <w:rPr>
                <w:sz w:val="20"/>
                <w:szCs w:val="20"/>
                <w:color w:val="auto"/>
              </w:rPr>
            </w:pPr>
          </w:p>
        </w:tc>
        <w:tc>
          <w:tcPr>
            <w:tcW w:w="8640" w:type="dxa"/>
            <w:vAlign w:val="bottom"/>
          </w:tcPr>
          <w:p>
            <w:pPr>
              <w:ind w:left="260"/>
              <w:spacing w:after="0"/>
              <w:rPr>
                <w:sz w:val="20"/>
                <w:szCs w:val="20"/>
                <w:color w:val="auto"/>
              </w:rPr>
            </w:pPr>
            <w:r>
              <w:rPr>
                <w:rFonts w:ascii="Arial" w:cs="Arial" w:eastAsia="Arial" w:hAnsi="Arial"/>
                <w:sz w:val="18"/>
                <w:szCs w:val="18"/>
                <w:color w:val="auto"/>
              </w:rPr>
              <w:t>cemiplimab)</w:t>
            </w:r>
          </w:p>
        </w:tc>
      </w:tr>
      <w:tr>
        <w:trPr>
          <w:trHeight w:val="27"/>
        </w:trPr>
        <w:tc>
          <w:tcPr>
            <w:tcW w:w="262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REGN4659</w:t>
            </w:r>
            <w:r>
              <w:rPr>
                <w:rFonts w:ascii="Arial" w:cs="Arial" w:eastAsia="Arial" w:hAnsi="Arial"/>
                <w:sz w:val="25"/>
                <w:szCs w:val="25"/>
                <w:b w:val="1"/>
                <w:bCs w:val="1"/>
                <w:color w:val="auto"/>
                <w:vertAlign w:val="superscript"/>
              </w:rPr>
              <w:t>(a)</w:t>
            </w:r>
          </w:p>
        </w:tc>
        <w:tc>
          <w:tcPr>
            <w:tcW w:w="8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Advanced NSCLC</w:t>
            </w:r>
          </w:p>
        </w:tc>
      </w:tr>
      <w:tr>
        <w:trPr>
          <w:trHeight w:val="21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CTLA4</w:t>
            </w: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(administered alone or in</w:t>
            </w:r>
          </w:p>
        </w:tc>
      </w:tr>
      <w:tr>
        <w:trPr>
          <w:trHeight w:val="216"/>
        </w:trPr>
        <w:tc>
          <w:tcPr>
            <w:tcW w:w="2620" w:type="dxa"/>
            <w:vAlign w:val="bottom"/>
            <w:shd w:val="clear" w:color="auto" w:fill="CCEEFF"/>
          </w:tcPr>
          <w:p>
            <w:pPr>
              <w:spacing w:after="0"/>
              <w:rPr>
                <w:sz w:val="18"/>
                <w:szCs w:val="18"/>
                <w:color w:val="auto"/>
              </w:rPr>
            </w:pP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combination with</w:t>
            </w:r>
          </w:p>
        </w:tc>
      </w:tr>
      <w:tr>
        <w:trPr>
          <w:trHeight w:val="230"/>
        </w:trPr>
        <w:tc>
          <w:tcPr>
            <w:tcW w:w="2620" w:type="dxa"/>
            <w:vAlign w:val="bottom"/>
            <w:shd w:val="clear" w:color="auto" w:fill="CCEEFF"/>
          </w:tcPr>
          <w:p>
            <w:pPr>
              <w:spacing w:after="0"/>
              <w:rPr>
                <w:sz w:val="20"/>
                <w:szCs w:val="20"/>
                <w:color w:val="auto"/>
              </w:rPr>
            </w:pP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cemiplimab)</w:t>
            </w:r>
          </w:p>
        </w:tc>
      </w:tr>
      <w:tr>
        <w:trPr>
          <w:trHeight w:val="27"/>
        </w:trPr>
        <w:tc>
          <w:tcPr>
            <w:tcW w:w="262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30" w:right="31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hanging="114"/>
        <w:spacing w:after="0"/>
        <w:tabs>
          <w:tab w:leader="none" w:pos="46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40" w:right="300" w:firstLine="6"/>
        <w:spacing w:after="0" w:line="253" w:lineRule="auto"/>
        <w:tabs>
          <w:tab w:leader="none" w:pos="466"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1" w:lineRule="exact"/>
        <w:rPr>
          <w:rFonts w:ascii="Arial" w:cs="Arial" w:eastAsia="Arial" w:hAnsi="Arial"/>
          <w:sz w:val="9"/>
          <w:szCs w:val="9"/>
          <w:color w:val="auto"/>
        </w:rPr>
      </w:pPr>
    </w:p>
    <w:p>
      <w:pPr>
        <w:ind w:left="340" w:right="300" w:firstLine="6"/>
        <w:spacing w:after="0" w:line="238" w:lineRule="auto"/>
        <w:tabs>
          <w:tab w:leader="none" w:pos="481"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20"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60" w:hanging="114"/>
        <w:spacing w:after="0"/>
        <w:tabs>
          <w:tab w:leader="none" w:pos="460" w:val="left"/>
        </w:tabs>
        <w:numPr>
          <w:ilvl w:val="0"/>
          <w:numId w:val="8"/>
        </w:numPr>
        <w:rPr>
          <w:rFonts w:ascii="Arial" w:cs="Arial" w:eastAsia="Arial" w:hAnsi="Arial"/>
          <w:sz w:val="9"/>
          <w:szCs w:val="9"/>
          <w:color w:val="auto"/>
        </w:rPr>
      </w:pPr>
      <w:r>
        <w:rPr>
          <w:rFonts w:ascii="Arial" w:cs="Arial" w:eastAsia="Arial" w:hAnsi="Arial"/>
          <w:sz w:val="14"/>
          <w:szCs w:val="14"/>
          <w:color w:val="auto"/>
        </w:rPr>
        <w:t>Regulatory application submitted. Information in this column relates to U.S., EU, and Japan submissions only.</w:t>
      </w:r>
    </w:p>
    <w:p>
      <w:pPr>
        <w:spacing w:after="0" w:line="2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biopharmaceutical company that provides patients and medical professionals with important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and Kevzara, as well as preparation for potential commercialization of cemiplimab and other indications of Dupixent.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2018 to date were, and plans for the next twelve months are, as follows:</w:t>
      </w:r>
    </w:p>
    <w:p>
      <w:pPr>
        <w:sectPr>
          <w:pgSz w:w="11900" w:h="16838" w:orient="portrait"/>
          <w:cols w:equalWidth="0" w:num="1">
            <w:col w:w="11420"/>
          </w:cols>
          <w:pgMar w:left="240" w:top="130" w:right="23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1140"/>
              <w:spacing w:after="0"/>
              <w:rPr>
                <w:sz w:val="20"/>
                <w:szCs w:val="20"/>
                <w:color w:val="auto"/>
              </w:rPr>
            </w:pPr>
            <w:r>
              <w:rPr>
                <w:rFonts w:ascii="Arial" w:cs="Arial" w:eastAsia="Arial" w:hAnsi="Arial"/>
                <w:sz w:val="18"/>
                <w:szCs w:val="18"/>
                <w:b w:val="1"/>
                <w:bCs w:val="1"/>
                <w:color w:val="auto"/>
              </w:rPr>
              <w:t>Clinical Program</w:t>
            </w:r>
          </w:p>
        </w:tc>
        <w:tc>
          <w:tcPr>
            <w:tcW w:w="180" w:type="dxa"/>
            <w:vAlign w:val="bottom"/>
          </w:tcPr>
          <w:p>
            <w:pPr>
              <w:spacing w:after="0"/>
              <w:rPr>
                <w:sz w:val="20"/>
                <w:szCs w:val="20"/>
                <w:color w:val="auto"/>
              </w:rPr>
            </w:pPr>
          </w:p>
        </w:tc>
        <w:tc>
          <w:tcPr>
            <w:tcW w:w="3740" w:type="dxa"/>
            <w:vAlign w:val="bottom"/>
          </w:tcPr>
          <w:p>
            <w:pPr>
              <w:ind w:left="1120"/>
              <w:spacing w:after="0"/>
              <w:rPr>
                <w:sz w:val="20"/>
                <w:szCs w:val="20"/>
                <w:color w:val="auto"/>
              </w:rPr>
            </w:pPr>
            <w:r>
              <w:rPr>
                <w:rFonts w:ascii="Arial" w:cs="Arial" w:eastAsia="Arial" w:hAnsi="Arial"/>
                <w:sz w:val="18"/>
                <w:szCs w:val="18"/>
                <w:b w:val="1"/>
                <w:bCs w:val="1"/>
                <w:color w:val="auto"/>
              </w:rPr>
              <w:t>2018 Events to Date</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r>
      <w:tr>
        <w:trPr>
          <w:trHeight w:val="222"/>
        </w:trPr>
        <w:tc>
          <w:tcPr>
            <w:tcW w:w="3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Chinese State Food and Drug Administration</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(CFDA) approved EYLEA for DME and wet</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AMD</w:t>
            </w:r>
          </w:p>
        </w:tc>
      </w:tr>
      <w:tr>
        <w:trPr>
          <w:trHeight w:val="27"/>
        </w:trPr>
        <w:tc>
          <w:tcPr>
            <w:tcW w:w="3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40" w:type="dxa"/>
            <w:vAlign w:val="bottom"/>
          </w:tcPr>
          <w:p>
            <w:pPr>
              <w:spacing w:after="0"/>
              <w:rPr>
                <w:sz w:val="2"/>
                <w:szCs w:val="2"/>
                <w:color w:val="auto"/>
              </w:rPr>
            </w:pPr>
          </w:p>
        </w:tc>
      </w:tr>
      <w:tr>
        <w:trPr>
          <w:trHeight w:val="229"/>
        </w:trPr>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Reported 24-week positive top-line results from</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Phase 3 PANORAMA study for the treatment of</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NPDR in patients without DME</w:t>
            </w:r>
          </w:p>
        </w:tc>
      </w:tr>
      <w:tr>
        <w:trPr>
          <w:trHeight w:val="270"/>
        </w:trPr>
        <w:tc>
          <w:tcPr>
            <w:tcW w:w="36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vial-only presentation</w:t>
            </w:r>
          </w:p>
        </w:tc>
      </w:tr>
      <w:tr>
        <w:trPr>
          <w:trHeight w:val="472"/>
        </w:trPr>
        <w:tc>
          <w:tcPr>
            <w:tcW w:w="36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the treatment of diabetic</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retinopathy</w:t>
            </w:r>
          </w:p>
        </w:tc>
      </w:tr>
      <w:tr>
        <w:trPr>
          <w:trHeight w:val="486"/>
        </w:trPr>
        <w:tc>
          <w:tcPr>
            <w:tcW w:w="36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pre-filled syringe</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Treat and Extend dosing regimen approved in the</w:t>
            </w: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for wet AMD</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Dupixent (dupilumab; IL-4R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9"/>
              </w:rPr>
              <w:t>Ÿ Ministry of Health, Labor and Welfare (MHLW)</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w w:val="96"/>
              </w:rPr>
              <w:t>in Japan approved Dupixent for the treatment of</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atopic dermatitis in adults not adequately</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controlled with existing therapies</w:t>
            </w: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7"/>
              </w:rPr>
              <w:t>Ÿ Initiated Phase 2/3 study in pediatric patients (6</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months–5 years of age) with severe atopic</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dermatitis</w:t>
            </w: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4"/>
              </w:rPr>
              <w:t>Ÿ sBLA for asthma in adult and adolescent patients</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(12 years of age and older) filed with FDA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-3455670</wp:posOffset>
            </wp:positionV>
            <wp:extent cx="496570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65700"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714"/>
        <w:spacing w:after="0"/>
        <w:rPr>
          <w:sz w:val="20"/>
          <w:szCs w:val="20"/>
          <w:color w:val="auto"/>
        </w:rPr>
      </w:pPr>
      <w:r>
        <w:rPr>
          <w:rFonts w:ascii="Arial" w:cs="Arial" w:eastAsia="Arial" w:hAnsi="Arial"/>
          <w:sz w:val="18"/>
          <w:szCs w:val="18"/>
          <w:b w:val="1"/>
          <w:bCs w:val="1"/>
          <w:color w:val="auto"/>
        </w:rPr>
        <w:t>2018–2019 Plans (next 12 months)</w:t>
      </w:r>
    </w:p>
    <w:p>
      <w:pPr>
        <w:spacing w:after="0" w:line="81" w:lineRule="exact"/>
        <w:rPr>
          <w:sz w:val="20"/>
          <w:szCs w:val="20"/>
          <w:color w:val="auto"/>
        </w:rPr>
      </w:pPr>
    </w:p>
    <w:p>
      <w:pPr>
        <w:jc w:val="both"/>
        <w:ind w:left="194" w:right="80" w:hanging="194"/>
        <w:spacing w:after="0" w:line="264"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decision on sBLA for every 12-week dosing interval in wet AMD (target action date of August 11, 2018)</w:t>
      </w:r>
    </w:p>
    <w:p>
      <w:pPr>
        <w:spacing w:after="0" w:line="19" w:lineRule="exact"/>
        <w:rPr>
          <w:rFonts w:ascii="Arial" w:cs="Arial" w:eastAsia="Arial" w:hAnsi="Arial"/>
          <w:sz w:val="18"/>
          <w:szCs w:val="18"/>
          <w:color w:val="auto"/>
        </w:rPr>
      </w:pPr>
    </w:p>
    <w:p>
      <w:pPr>
        <w:ind w:left="194" w:right="100" w:hanging="194"/>
        <w:spacing w:after="0" w:line="342" w:lineRule="auto"/>
        <w:tabs>
          <w:tab w:leader="none" w:pos="194" w:val="left"/>
        </w:tabs>
        <w:numPr>
          <w:ilvl w:val="0"/>
          <w:numId w:val="9"/>
        </w:numPr>
        <w:rPr>
          <w:rFonts w:ascii="Arial" w:cs="Arial" w:eastAsia="Arial" w:hAnsi="Arial"/>
          <w:sz w:val="16"/>
          <w:szCs w:val="16"/>
          <w:color w:val="auto"/>
        </w:rPr>
      </w:pPr>
      <w:r>
        <w:rPr>
          <w:rFonts w:ascii="Arial" w:cs="Arial" w:eastAsia="Arial" w:hAnsi="Arial"/>
          <w:sz w:val="16"/>
          <w:szCs w:val="16"/>
          <w:color w:val="auto"/>
        </w:rPr>
        <w:t>FDA decision on sBLA for vial-only presentation (target action date of August 16, 2018)</w:t>
      </w:r>
    </w:p>
    <w:p>
      <w:pPr>
        <w:spacing w:after="0" w:line="177" w:lineRule="exact"/>
        <w:rPr>
          <w:rFonts w:ascii="Arial" w:cs="Arial" w:eastAsia="Arial" w:hAnsi="Arial"/>
          <w:sz w:val="16"/>
          <w:szCs w:val="16"/>
          <w:color w:val="auto"/>
        </w:rPr>
      </w:pPr>
    </w:p>
    <w:p>
      <w:pPr>
        <w:ind w:left="194" w:right="540" w:hanging="194"/>
        <w:spacing w:after="0" w:line="277"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decision on sBLA for the treatment of diabetic retinopathy</w:t>
      </w:r>
    </w:p>
    <w:p>
      <w:pPr>
        <w:spacing w:after="0" w:line="8" w:lineRule="exact"/>
        <w:rPr>
          <w:rFonts w:ascii="Arial" w:cs="Arial" w:eastAsia="Arial" w:hAnsi="Arial"/>
          <w:sz w:val="18"/>
          <w:szCs w:val="18"/>
          <w:color w:val="auto"/>
        </w:rPr>
      </w:pPr>
    </w:p>
    <w:p>
      <w:pPr>
        <w:ind w:left="194" w:right="120" w:hanging="194"/>
        <w:spacing w:after="0" w:line="264"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 one-year data from Phase 3 PANORAMA study for the treatment of NPDR in patients without DME</w:t>
      </w:r>
    </w:p>
    <w:p>
      <w:pPr>
        <w:spacing w:after="0" w:line="19" w:lineRule="exact"/>
        <w:rPr>
          <w:rFonts w:ascii="Arial" w:cs="Arial" w:eastAsia="Arial" w:hAnsi="Arial"/>
          <w:sz w:val="18"/>
          <w:szCs w:val="18"/>
          <w:color w:val="auto"/>
        </w:rPr>
      </w:pPr>
    </w:p>
    <w:p>
      <w:pPr>
        <w:ind w:left="194" w:hanging="194"/>
        <w:spacing w:after="0"/>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decision on sBLA for pre-filled syringe</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94" w:right="60" w:hanging="194"/>
        <w:spacing w:after="0" w:line="259"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sBLA and Marketing Authorization Application (MAA) for expanded atopic dermatitis indication in adolescent patients (12–17 years of age)</w:t>
      </w:r>
    </w:p>
    <w:p>
      <w:pPr>
        <w:spacing w:after="0" w:line="24" w:lineRule="exact"/>
        <w:rPr>
          <w:rFonts w:ascii="Arial" w:cs="Arial" w:eastAsia="Arial" w:hAnsi="Arial"/>
          <w:sz w:val="18"/>
          <w:szCs w:val="18"/>
          <w:color w:val="auto"/>
        </w:rPr>
      </w:pPr>
    </w:p>
    <w:p>
      <w:pPr>
        <w:ind w:left="194" w:right="160" w:hanging="194"/>
        <w:spacing w:after="0" w:line="264"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decision on sBLA for asthma in adult and adolescent patients (target action date of October 20, 2018)</w:t>
      </w:r>
    </w:p>
    <w:p>
      <w:pPr>
        <w:spacing w:after="0" w:line="19" w:lineRule="exact"/>
        <w:rPr>
          <w:rFonts w:ascii="Arial" w:cs="Arial" w:eastAsia="Arial" w:hAnsi="Arial"/>
          <w:sz w:val="18"/>
          <w:szCs w:val="18"/>
          <w:color w:val="auto"/>
        </w:rPr>
      </w:pPr>
    </w:p>
    <w:p>
      <w:pPr>
        <w:ind w:left="194" w:hanging="194"/>
        <w:spacing w:after="0"/>
        <w:tabs>
          <w:tab w:leader="none" w:pos="19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Report data from Phase 3 studies in nasal polyps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-2834005</wp:posOffset>
            </wp:positionV>
            <wp:extent cx="4845050" cy="1680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45050" cy="168084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7520" w:space="26"/>
            <w:col w:w="3874"/>
          </w:cols>
          <w:pgMar w:left="240" w:top="130" w:right="239" w:bottom="1440" w:gutter="0" w:footer="0" w:header="0"/>
          <w:type w:val="continuous"/>
        </w:sectPr>
      </w:pPr>
    </w:p>
    <w:p>
      <w:pPr>
        <w:ind w:left="3820" w:hanging="190"/>
        <w:spacing w:after="0" w:line="259" w:lineRule="auto"/>
        <w:tabs>
          <w:tab w:leader="none" w:pos="3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application for asthma accepted for review by the European Medicines Agency (EMA) and Pharmaceuticals and Medical Devices Agency (PMDA) in Japan</w:t>
      </w:r>
    </w:p>
    <w:p>
      <w:pPr>
        <w:spacing w:after="0" w:line="24" w:lineRule="exact"/>
        <w:rPr>
          <w:rFonts w:ascii="Arial" w:cs="Arial" w:eastAsia="Arial" w:hAnsi="Arial"/>
          <w:sz w:val="18"/>
          <w:szCs w:val="18"/>
          <w:color w:val="auto"/>
        </w:rPr>
      </w:pPr>
    </w:p>
    <w:p>
      <w:pPr>
        <w:ind w:left="3820" w:right="220" w:hanging="190"/>
        <w:spacing w:after="0" w:line="264" w:lineRule="auto"/>
        <w:tabs>
          <w:tab w:leader="none" w:pos="3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positive results from Phase 3 study in adolescent patients (12–17 years of age) with atopic dermatitis</w:t>
      </w:r>
    </w:p>
    <w:p>
      <w:pPr>
        <w:spacing w:after="0" w:line="19" w:lineRule="exact"/>
        <w:rPr>
          <w:rFonts w:ascii="Arial" w:cs="Arial" w:eastAsia="Arial" w:hAnsi="Arial"/>
          <w:sz w:val="18"/>
          <w:szCs w:val="18"/>
          <w:color w:val="auto"/>
        </w:rPr>
      </w:pPr>
    </w:p>
    <w:p>
      <w:pPr>
        <w:ind w:left="3820" w:right="20" w:hanging="190"/>
        <w:spacing w:after="0" w:line="305" w:lineRule="auto"/>
        <w:tabs>
          <w:tab w:leader="none" w:pos="3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Positive results from two Phase 3 trials for the treatment of moderate-to-severe asthma published in the </w:t>
      </w:r>
      <w:r>
        <w:rPr>
          <w:rFonts w:ascii="Arial" w:cs="Arial" w:eastAsia="Arial" w:hAnsi="Arial"/>
          <w:sz w:val="16"/>
          <w:szCs w:val="16"/>
          <w:i w:val="1"/>
          <w:iCs w:val="1"/>
          <w:color w:val="auto"/>
        </w:rPr>
        <w:t>New England Journal of Medicine</w:t>
      </w:r>
    </w:p>
    <w:p>
      <w:pPr>
        <w:ind w:left="3820" w:hanging="190"/>
        <w:spacing w:after="0"/>
        <w:tabs>
          <w:tab w:leader="none" w:pos="3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Initiated Phase 2 study in grass immunotherapy</w:t>
      </w:r>
    </w:p>
    <w:p>
      <w:pPr>
        <w:spacing w:after="0" w:line="20" w:lineRule="exact"/>
        <w:rPr>
          <w:sz w:val="20"/>
          <w:szCs w:val="20"/>
          <w:color w:val="auto"/>
        </w:rPr>
      </w:pPr>
      <w:r>
        <w:rPr>
          <w:sz w:val="20"/>
          <w:szCs w:val="20"/>
          <w:color w:val="auto"/>
        </w:rPr>
        <w:br w:type="column"/>
      </w:r>
    </w:p>
    <w:p>
      <w:pPr>
        <w:ind w:left="194" w:hanging="194"/>
        <w:spacing w:after="0"/>
        <w:tabs>
          <w:tab w:leader="none" w:pos="1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Initiate Phase 3 study in eosinophilic esophagitis</w:t>
      </w:r>
    </w:p>
    <w:p>
      <w:pPr>
        <w:spacing w:after="0" w:line="113" w:lineRule="exact"/>
        <w:rPr>
          <w:rFonts w:ascii="Arial" w:cs="Arial" w:eastAsia="Arial" w:hAnsi="Arial"/>
          <w:sz w:val="16"/>
          <w:szCs w:val="16"/>
          <w:color w:val="auto"/>
        </w:rPr>
      </w:pPr>
    </w:p>
    <w:p>
      <w:pPr>
        <w:ind w:left="194" w:hanging="194"/>
        <w:spacing w:after="0"/>
        <w:tabs>
          <w:tab w:leader="none" w:pos="1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Phase 2 study in peanut allergy</w:t>
      </w:r>
    </w:p>
    <w:p>
      <w:pPr>
        <w:spacing w:after="0" w:line="103" w:lineRule="exact"/>
        <w:rPr>
          <w:rFonts w:ascii="Arial" w:cs="Arial" w:eastAsia="Arial" w:hAnsi="Arial"/>
          <w:sz w:val="18"/>
          <w:szCs w:val="18"/>
          <w:color w:val="auto"/>
        </w:rPr>
      </w:pPr>
    </w:p>
    <w:p>
      <w:pPr>
        <w:ind w:left="194" w:hanging="194"/>
        <w:spacing w:after="0"/>
        <w:tabs>
          <w:tab w:leader="none" w:pos="1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Phase 2/3 program in COPD</w:t>
      </w:r>
    </w:p>
    <w:p>
      <w:pPr>
        <w:spacing w:after="0" w:line="103" w:lineRule="exact"/>
        <w:rPr>
          <w:rFonts w:ascii="Arial" w:cs="Arial" w:eastAsia="Arial" w:hAnsi="Arial"/>
          <w:sz w:val="18"/>
          <w:szCs w:val="18"/>
          <w:color w:val="auto"/>
        </w:rPr>
      </w:pPr>
    </w:p>
    <w:p>
      <w:pPr>
        <w:ind w:left="194" w:right="380" w:hanging="194"/>
        <w:spacing w:after="0" w:line="277" w:lineRule="auto"/>
        <w:tabs>
          <w:tab w:leader="none" w:pos="1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clinical program in co-morbid allergic conditions</w:t>
      </w:r>
    </w:p>
    <w:p>
      <w:pPr>
        <w:spacing w:after="0" w:line="1184" w:lineRule="exact"/>
        <w:rPr>
          <w:sz w:val="20"/>
          <w:szCs w:val="20"/>
          <w:color w:val="auto"/>
        </w:rPr>
      </w:pPr>
    </w:p>
    <w:p>
      <w:pPr>
        <w:sectPr>
          <w:pgSz w:w="11900" w:h="16838" w:orient="portrait"/>
          <w:cols w:equalWidth="0" w:num="2">
            <w:col w:w="7440" w:space="106"/>
            <w:col w:w="3874"/>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Praluent (alirocumab; PCSK9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Reported positive results from ODYSSEY</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 FDA decision on sBLA for use with apheresis</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OUTCOMES study</w:t>
            </w: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(target action date of August 24, 2018)</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7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Submitted sBLA and MAA for cardiovascular risk Ÿ FDA and EMA decisions on applications for</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w:t>
            </w: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cardiovascular risk reduction</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first-line treatment of</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 FDA decision on application for first-line</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hyperlipidemia</w:t>
            </w: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treatment of hyperlipidemia</w:t>
            </w:r>
          </w:p>
        </w:tc>
      </w:tr>
      <w:tr>
        <w:trPr>
          <w:trHeight w:val="270"/>
        </w:trPr>
        <w:tc>
          <w:tcPr>
            <w:tcW w:w="36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Initiated Phase 3 pediatric study in HeFH</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 Initiate Phase 3 pediatric study in HoFH</w:t>
            </w:r>
          </w:p>
        </w:tc>
      </w:tr>
      <w:tr>
        <w:trPr>
          <w:trHeight w:val="27"/>
        </w:trPr>
        <w:tc>
          <w:tcPr>
            <w:tcW w:w="3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68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280" w:type="dxa"/>
            <w:vAlign w:val="bottom"/>
          </w:tcPr>
          <w:p>
            <w:pPr>
              <w:spacing w:after="0"/>
              <w:rPr>
                <w:sz w:val="20"/>
                <w:szCs w:val="20"/>
                <w:color w:val="auto"/>
              </w:rPr>
            </w:pPr>
          </w:p>
        </w:tc>
        <w:tc>
          <w:tcPr>
            <w:tcW w:w="3680" w:type="dxa"/>
            <w:vAlign w:val="bottom"/>
          </w:tcPr>
          <w:p>
            <w:pPr>
              <w:ind w:left="1080"/>
              <w:spacing w:after="0"/>
              <w:rPr>
                <w:sz w:val="20"/>
                <w:szCs w:val="20"/>
                <w:color w:val="auto"/>
              </w:rPr>
            </w:pPr>
            <w:r>
              <w:rPr>
                <w:rFonts w:ascii="Arial" w:cs="Arial" w:eastAsia="Arial" w:hAnsi="Arial"/>
                <w:sz w:val="18"/>
                <w:szCs w:val="18"/>
                <w:b w:val="1"/>
                <w:bCs w:val="1"/>
                <w:color w:val="auto"/>
              </w:rPr>
              <w:t>2018 Events to Date</w:t>
            </w:r>
          </w:p>
        </w:tc>
        <w:tc>
          <w:tcPr>
            <w:tcW w:w="200" w:type="dxa"/>
            <w:vAlign w:val="bottom"/>
          </w:tcPr>
          <w:p>
            <w:pPr>
              <w:spacing w:after="0"/>
              <w:rPr>
                <w:sz w:val="20"/>
                <w:szCs w:val="20"/>
                <w:color w:val="auto"/>
              </w:rPr>
            </w:pPr>
          </w:p>
        </w:tc>
        <w:tc>
          <w:tcPr>
            <w:tcW w:w="3680" w:type="dxa"/>
            <w:vAlign w:val="bottom"/>
          </w:tcPr>
          <w:p>
            <w:pPr>
              <w:ind w:left="54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22"/>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Kevzara (sarilumab; IL-6R Antibody)</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FDA approved single-dose pre-filled pen</w:t>
            </w:r>
          </w:p>
        </w:tc>
        <w:tc>
          <w:tcPr>
            <w:tcW w:w="200" w:type="dxa"/>
            <w:vAlign w:val="bottom"/>
          </w:tcPr>
          <w:p>
            <w:pPr>
              <w:ind w:left="4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Continue patient enrollment in Phase 2 study in</w:t>
            </w:r>
          </w:p>
        </w:tc>
      </w:t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presentation</w:t>
            </w:r>
          </w:p>
        </w:tc>
        <w:tc>
          <w:tcPr>
            <w:tcW w:w="2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pcJIA</w:t>
            </w:r>
          </w:p>
        </w:tc>
      </w:tr>
      <w:tr>
        <w:trPr>
          <w:trHeight w:val="270"/>
        </w:trPr>
        <w:tc>
          <w:tcPr>
            <w:tcW w:w="3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Ÿ Initiate Phase 3 study in giant cell arteritis</w:t>
            </w:r>
          </w:p>
        </w:tc>
      </w:tr>
      <w:tr>
        <w:trPr>
          <w:trHeight w:val="270"/>
        </w:trPr>
        <w:tc>
          <w:tcPr>
            <w:tcW w:w="3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w w:val="94"/>
              </w:rPr>
              <w:t>Ÿ Initiate Phase 3 study in polymyalgia rheumatica</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Cemiplimab (REGN2810; PD-1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FDA accepted for priority review BLA for</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Ÿ FDA decision on BLA for advanced CSCC (target</w:t>
            </w:r>
          </w:p>
        </w:tc>
      </w:tr>
      <w:tr>
        <w:trPr>
          <w:trHeight w:val="230"/>
        </w:trPr>
        <w:tc>
          <w:tcPr>
            <w:tcW w:w="3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CSCC</w:t>
            </w:r>
          </w:p>
        </w:tc>
        <w:tc>
          <w:tcPr>
            <w:tcW w:w="20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action date of October 28, 2018)</w:t>
            </w:r>
          </w:p>
        </w:tc>
      </w:tr>
      <w:tr>
        <w:trPr>
          <w:trHeight w:val="256"/>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EMA accepted for review MAA for advanced</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Ÿ Regulatory agency decision for advanced CSCC</w:t>
            </w:r>
          </w:p>
        </w:tc>
      </w:tr>
      <w:tr>
        <w:trPr>
          <w:trHeight w:val="230"/>
        </w:trPr>
        <w:tc>
          <w:tcPr>
            <w:tcW w:w="3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CSCC</w:t>
            </w:r>
          </w:p>
        </w:tc>
        <w:tc>
          <w:tcPr>
            <w:tcW w:w="20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the EU</w:t>
            </w:r>
          </w:p>
        </w:tc>
      </w:tr>
      <w:tr>
        <w:trPr>
          <w:trHeight w:val="256"/>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Positive results from two pivotal trials in</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Ÿ Initiate additional studies in various indications</w:t>
            </w:r>
          </w:p>
        </w:tc>
      </w:tr>
      <w:tr>
        <w:trPr>
          <w:trHeight w:val="216"/>
        </w:trPr>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xml:space="preserve">advanced CSCC published in the </w:t>
            </w:r>
            <w:r>
              <w:rPr>
                <w:rFonts w:ascii="Arial" w:cs="Arial" w:eastAsia="Arial" w:hAnsi="Arial"/>
                <w:sz w:val="18"/>
                <w:szCs w:val="18"/>
                <w:i w:val="1"/>
                <w:iCs w:val="1"/>
                <w:color w:val="auto"/>
                <w:w w:val="96"/>
              </w:rPr>
              <w:t>New England</w:t>
            </w:r>
          </w:p>
        </w:tc>
        <w:tc>
          <w:tcPr>
            <w:tcW w:w="2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30"/>
        </w:trPr>
        <w:tc>
          <w:tcPr>
            <w:tcW w:w="3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Journal of Medicine</w:t>
            </w:r>
          </w:p>
        </w:tc>
        <w:tc>
          <w:tcPr>
            <w:tcW w:w="20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r>
      <w:tr>
        <w:trPr>
          <w:trHeight w:val="256"/>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Reported positive results from Phase 1 study in</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Continue patient enrollment in NSCLC and</w:t>
            </w:r>
          </w:p>
        </w:tc>
      </w:tr>
      <w:tr>
        <w:trPr>
          <w:trHeight w:val="230"/>
        </w:trPr>
        <w:tc>
          <w:tcPr>
            <w:tcW w:w="3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NSCLC</w:t>
            </w:r>
          </w:p>
        </w:tc>
        <w:tc>
          <w:tcPr>
            <w:tcW w:w="20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other studies</w:t>
            </w:r>
          </w:p>
        </w:tc>
      </w:tr>
      <w:tr>
        <w:trPr>
          <w:trHeight w:val="256"/>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Initiated additional Phase 3 studies in advanced</w:t>
            </w:r>
          </w:p>
        </w:tc>
        <w:tc>
          <w:tcPr>
            <w:tcW w:w="20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r>
      <w:tr>
        <w:trPr>
          <w:trHeight w:val="230"/>
        </w:trPr>
        <w:tc>
          <w:tcPr>
            <w:tcW w:w="3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NSCLC</w:t>
            </w:r>
          </w:p>
        </w:tc>
        <w:tc>
          <w:tcPr>
            <w:tcW w:w="20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r>
      <w:tr>
        <w:trPr>
          <w:trHeight w:val="27"/>
        </w:trPr>
        <w:tc>
          <w:tcPr>
            <w:tcW w:w="3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w w:val="92"/>
              </w:rPr>
              <w:t>Completed patient enrollment in the efficacy sub-</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8"/>
              </w:rPr>
              <w:t>study of the Phase 3 long-term safety study in</w:t>
            </w:r>
          </w:p>
        </w:tc>
      </w:tr>
      <w:tr>
        <w:trPr>
          <w:trHeight w:val="230"/>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osteoarthritis</w:t>
            </w:r>
          </w:p>
        </w:tc>
      </w:tr>
      <w:tr>
        <w:trPr>
          <w:trHeight w:val="256"/>
        </w:trPr>
        <w:tc>
          <w:tcPr>
            <w:tcW w:w="3580" w:type="dxa"/>
            <w:vAlign w:val="bottom"/>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w w:val="94"/>
              </w:rPr>
              <w:t>Independent Data Monitoring Committee (DMC)</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recommended higher dose-regimens be</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8"/>
              </w:rPr>
              <w:t>discontinued, and osteoarthritis trials modified</w:t>
            </w:r>
          </w:p>
        </w:tc>
      </w:tr>
      <w:tr>
        <w:trPr>
          <w:trHeight w:val="230"/>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accordingly</w:t>
            </w:r>
          </w:p>
        </w:tc>
      </w:tr>
      <w:tr>
        <w:trPr>
          <w:trHeight w:val="256"/>
        </w:trPr>
        <w:tc>
          <w:tcPr>
            <w:tcW w:w="3580" w:type="dxa"/>
            <w:vAlign w:val="bottom"/>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w w:val="95"/>
              </w:rPr>
              <w:t>Discontinued dosing in chronic low back pain in</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9"/>
              </w:rPr>
              <w:t>patients with concomitant osteoarthritis of the</w:t>
            </w:r>
          </w:p>
        </w:tc>
      </w:tr>
      <w:tr>
        <w:trPr>
          <w:trHeight w:val="230"/>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knee and hip</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rPr>
              <w:t>Initiated Phase 3 study in HoFH</w:t>
            </w:r>
          </w:p>
        </w:tc>
      </w:tr>
      <w:tr>
        <w:trPr>
          <w:trHeight w:val="256"/>
        </w:trPr>
        <w:tc>
          <w:tcPr>
            <w:tcW w:w="3580" w:type="dxa"/>
            <w:vAlign w:val="bottom"/>
            <w:shd w:val="clear" w:color="auto" w:fill="CCEEFF"/>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rPr>
              <w:t>Initiated Phase 2 study in severe</w:t>
            </w:r>
          </w:p>
        </w:tc>
      </w:tr>
      <w:tr>
        <w:trPr>
          <w:trHeight w:val="237"/>
        </w:trPr>
        <w:tc>
          <w:tcPr>
            <w:tcW w:w="3580" w:type="dxa"/>
            <w:vAlign w:val="bottom"/>
            <w:tcBorders>
              <w:bottom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hypertriglyceridemia</w:t>
            </w: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Trevogrumab (GDF8 Antibody) in</w:t>
            </w: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660" w:type="dxa"/>
            <w:vAlign w:val="bottom"/>
          </w:tcPr>
          <w:p>
            <w:pPr>
              <w:ind w:left="40"/>
              <w:spacing w:after="0"/>
              <w:rPr>
                <w:sz w:val="20"/>
                <w:szCs w:val="20"/>
                <w:color w:val="auto"/>
              </w:rPr>
            </w:pPr>
            <w:r>
              <w:rPr>
                <w:rFonts w:ascii="Arial" w:cs="Arial" w:eastAsia="Arial" w:hAnsi="Arial"/>
                <w:sz w:val="18"/>
                <w:szCs w:val="18"/>
                <w:color w:val="auto"/>
                <w:w w:val="90"/>
              </w:rPr>
              <w:t>Reported positive results from single-dose portion</w:t>
            </w: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combination with REGN2477</w:t>
            </w: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of Phase 1 study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p>
      <w:pPr>
        <w:spacing w:after="0" w:line="63" w:lineRule="exact"/>
        <w:rPr>
          <w:sz w:val="20"/>
          <w:szCs w:val="20"/>
          <w:color w:val="auto"/>
        </w:rPr>
      </w:pPr>
    </w:p>
    <w:p>
      <w:pPr>
        <w:ind w:left="40"/>
        <w:spacing w:after="0"/>
        <w:tabs>
          <w:tab w:leader="none" w:pos="3640" w:val="left"/>
        </w:tabs>
        <w:rPr>
          <w:sz w:val="20"/>
          <w:szCs w:val="20"/>
          <w:color w:val="auto"/>
        </w:rPr>
      </w:pPr>
      <w:r>
        <w:rPr>
          <w:rFonts w:ascii="Arial" w:cs="Arial" w:eastAsia="Arial" w:hAnsi="Arial"/>
          <w:sz w:val="18"/>
          <w:szCs w:val="18"/>
          <w:b w:val="1"/>
          <w:bCs w:val="1"/>
          <w:i w:val="1"/>
          <w:iCs w:val="1"/>
          <w:color w:val="auto"/>
        </w:rPr>
        <w:t>REGN1979 (CD20 and CD3 Antibody)</w:t>
      </w:r>
      <w:r>
        <w:rPr>
          <w:sz w:val="20"/>
          <w:szCs w:val="20"/>
          <w:color w:val="auto"/>
        </w:rPr>
        <w:tab/>
      </w:r>
      <w:r>
        <w:rPr>
          <w:rFonts w:ascii="Arial" w:cs="Arial" w:eastAsia="Arial" w:hAnsi="Arial"/>
          <w:sz w:val="16"/>
          <w:szCs w:val="16"/>
          <w:color w:val="auto"/>
        </w:rPr>
        <w:t>Ÿ FDA granted orphan drug designation in</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Follicular Lymphoma (FL)</w:t>
      </w:r>
    </w:p>
    <w:p>
      <w:pPr>
        <w:spacing w:after="0" w:line="20" w:lineRule="exact"/>
        <w:rPr>
          <w:sz w:val="20"/>
          <w:szCs w:val="20"/>
          <w:color w:val="auto"/>
        </w:rPr>
      </w:pPr>
      <w:r>
        <w:rPr>
          <w:sz w:val="20"/>
          <w:szCs w:val="20"/>
          <w:color w:val="auto"/>
        </w:rPr>
        <w:br w:type="column"/>
      </w:r>
    </w:p>
    <w:p>
      <w:pPr>
        <w:ind w:left="186" w:right="260" w:hanging="186"/>
        <w:spacing w:after="0" w:line="277"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data from first Phase 3 efficacy study in osteoarthritis</w:t>
      </w:r>
    </w:p>
    <w:p>
      <w:pPr>
        <w:spacing w:after="0" w:line="224" w:lineRule="exact"/>
        <w:rPr>
          <w:rFonts w:ascii="Arial" w:cs="Arial" w:eastAsia="Arial" w:hAnsi="Arial"/>
          <w:sz w:val="18"/>
          <w:szCs w:val="18"/>
          <w:color w:val="auto"/>
        </w:rPr>
      </w:pPr>
    </w:p>
    <w:p>
      <w:pPr>
        <w:ind w:left="186" w:right="100" w:hanging="186"/>
        <w:spacing w:after="0" w:line="277"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patient enrollment in Phase 3 long-term safety study in osteoarthritis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6" w:right="80" w:hanging="186"/>
        <w:spacing w:after="0" w:line="277"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results from multi-dose portion of Phase 1 study</w:t>
      </w:r>
    </w:p>
    <w:p>
      <w:pPr>
        <w:spacing w:after="0" w:line="8" w:lineRule="exact"/>
        <w:rPr>
          <w:rFonts w:ascii="Arial" w:cs="Arial" w:eastAsia="Arial" w:hAnsi="Arial"/>
          <w:sz w:val="18"/>
          <w:szCs w:val="18"/>
          <w:color w:val="auto"/>
        </w:rPr>
      </w:pPr>
    </w:p>
    <w:p>
      <w:pPr>
        <w:ind w:left="186" w:right="120" w:hanging="186"/>
        <w:spacing w:after="0" w:line="26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Phase 2 programs in type 2 diabetes, sarcopenia, and sporadic inclusion body myositis (sIBM)</w:t>
      </w:r>
    </w:p>
    <w:p>
      <w:pPr>
        <w:spacing w:after="0" w:line="19" w:lineRule="exact"/>
        <w:rPr>
          <w:rFonts w:ascii="Arial" w:cs="Arial" w:eastAsia="Arial" w:hAnsi="Arial"/>
          <w:sz w:val="18"/>
          <w:szCs w:val="18"/>
          <w:color w:val="auto"/>
        </w:rPr>
      </w:pPr>
    </w:p>
    <w:p>
      <w:pPr>
        <w:ind w:left="186" w:hanging="186"/>
        <w:spacing w:after="0"/>
        <w:tabs>
          <w:tab w:leader="none" w:pos="1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Initiate Phase 2 study in cat allergic asthmatics</w:t>
      </w:r>
    </w:p>
    <w:p>
      <w:pPr>
        <w:spacing w:after="0" w:line="74" w:lineRule="exact"/>
        <w:rPr>
          <w:rFonts w:ascii="Arial" w:cs="Arial" w:eastAsia="Arial" w:hAnsi="Arial"/>
          <w:sz w:val="17"/>
          <w:szCs w:val="17"/>
          <w:color w:val="auto"/>
        </w:rPr>
      </w:pPr>
    </w:p>
    <w:p>
      <w:pPr>
        <w:ind w:left="186" w:hanging="186"/>
        <w:spacing w:after="0"/>
        <w:tabs>
          <w:tab w:leader="none" w:pos="1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 evaluation in non-Hodgkin lymphomas</w:t>
      </w:r>
    </w:p>
    <w:p>
      <w:pPr>
        <w:spacing w:after="0" w:line="302" w:lineRule="exact"/>
        <w:rPr>
          <w:rFonts w:ascii="Arial" w:cs="Arial" w:eastAsia="Arial" w:hAnsi="Arial"/>
          <w:sz w:val="16"/>
          <w:szCs w:val="16"/>
          <w:color w:val="auto"/>
        </w:rPr>
      </w:pPr>
    </w:p>
    <w:p>
      <w:pPr>
        <w:ind w:left="186" w:right="100" w:hanging="186"/>
        <w:spacing w:after="0" w:line="27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Phase 2 studies in FL and diffuse large B-cell lymphoma</w:t>
      </w:r>
    </w:p>
    <w:p>
      <w:pPr>
        <w:spacing w:after="0" w:line="1" w:lineRule="exact"/>
        <w:rPr>
          <w:sz w:val="20"/>
          <w:szCs w:val="20"/>
          <w:color w:val="auto"/>
        </w:rPr>
      </w:pPr>
    </w:p>
    <w:p>
      <w:pPr>
        <w:sectPr>
          <w:pgSz w:w="11900" w:h="16838" w:orient="portrait"/>
          <w:cols w:equalWidth="0" w:num="2">
            <w:col w:w="7500" w:space="74"/>
            <w:col w:w="3846"/>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REGN-EB3 (REGN3470-3471-3479; Multi-</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Approved for investigational use in the</w:t>
            </w: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 Initiate pivotal healthy volunteer safety study</w:t>
            </w:r>
          </w:p>
        </w:tc>
      </w:tr>
      <w:tr>
        <w:trPr>
          <w:trHeight w:val="216"/>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antibody therapy to Ebola virus)</w:t>
            </w:r>
          </w:p>
        </w:tc>
        <w:tc>
          <w:tcPr>
            <w:tcW w:w="240" w:type="dxa"/>
            <w:vAlign w:val="bottom"/>
            <w:shd w:val="clear" w:color="auto" w:fill="CCEEFF"/>
          </w:tcPr>
          <w:p>
            <w:pPr>
              <w:spacing w:after="0"/>
              <w:rPr>
                <w:sz w:val="18"/>
                <w:szCs w:val="18"/>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Democratic Republic of the Congo in Ebola virus</w:t>
            </w:r>
          </w:p>
        </w:tc>
        <w:tc>
          <w:tcPr>
            <w:tcW w:w="3900" w:type="dxa"/>
            <w:vAlign w:val="bottom"/>
            <w:shd w:val="clear" w:color="auto" w:fill="CCEEFF"/>
          </w:tcPr>
          <w:p>
            <w:pPr>
              <w:spacing w:after="0"/>
              <w:rPr>
                <w:sz w:val="18"/>
                <w:szCs w:val="18"/>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infection outbreak</w:t>
            </w:r>
          </w:p>
        </w:tc>
        <w:tc>
          <w:tcPr>
            <w:tcW w:w="3900" w:type="dxa"/>
            <w:vAlign w:val="bottom"/>
            <w:tcBorders>
              <w:bottom w:val="single" w:sz="8" w:color="CCEEFF"/>
            </w:tcBorders>
            <w:shd w:val="clear" w:color="auto" w:fill="CCEEFF"/>
          </w:tcPr>
          <w:p>
            <w:pPr>
              <w:spacing w:after="0"/>
              <w:rPr>
                <w:sz w:val="20"/>
                <w:szCs w:val="20"/>
                <w:color w:val="auto"/>
              </w:rPr>
            </w:pP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0"/>
              </w:rPr>
              <w:t>REGN3048-3051 (Multiple-antibody therapy to</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1 study in healthy volunteers</w:t>
            </w:r>
          </w:p>
        </w:tc>
        <w:tc>
          <w:tcPr>
            <w:tcW w:w="3900" w:type="dxa"/>
            <w:vAlign w:val="bottom"/>
          </w:tcPr>
          <w:p>
            <w:pPr>
              <w:ind w:left="60"/>
              <w:spacing w:after="0"/>
              <w:rPr>
                <w:sz w:val="20"/>
                <w:szCs w:val="20"/>
                <w:color w:val="auto"/>
              </w:rPr>
            </w:pPr>
            <w:r>
              <w:rPr>
                <w:rFonts w:ascii="Arial" w:cs="Arial" w:eastAsia="Arial" w:hAnsi="Arial"/>
                <w:sz w:val="18"/>
                <w:szCs w:val="18"/>
                <w:color w:val="auto"/>
              </w:rPr>
              <w:t>Ÿ</w:t>
            </w: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MERS)</w:t>
            </w:r>
          </w:p>
        </w:tc>
        <w:tc>
          <w:tcPr>
            <w:tcW w:w="2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w w:val="99"/>
              </w:rPr>
              <w:t>Complete Phase 1 study in healthy volunteers</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1"/>
              </w:rPr>
              <w:t>Garetosmab (REGN2477; Activin A Antibody)</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Initiated Phase 2 study in patients with FOP</w:t>
            </w:r>
          </w:p>
        </w:tc>
        <w:tc>
          <w:tcPr>
            <w:tcW w:w="39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REGN3500 (IL-33 Antibody)</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2 study in asthma</w:t>
            </w:r>
          </w:p>
        </w:tc>
        <w:tc>
          <w:tcPr>
            <w:tcW w:w="3900" w:type="dxa"/>
            <w:vAlign w:val="bottom"/>
          </w:tcPr>
          <w:p>
            <w:pPr>
              <w:ind w:left="60"/>
              <w:spacing w:after="0"/>
              <w:rPr>
                <w:sz w:val="20"/>
                <w:szCs w:val="20"/>
                <w:color w:val="auto"/>
              </w:rPr>
            </w:pPr>
            <w:r>
              <w:rPr>
                <w:rFonts w:ascii="Arial" w:cs="Arial" w:eastAsia="Arial" w:hAnsi="Arial"/>
                <w:sz w:val="18"/>
                <w:szCs w:val="18"/>
                <w:color w:val="auto"/>
              </w:rPr>
              <w:t>Ÿ Initiate Phase 2 study in atopic dermatitis</w:t>
            </w:r>
          </w:p>
        </w:tc>
      </w:tr>
      <w:tr>
        <w:trPr>
          <w:trHeight w:val="270"/>
        </w:trPr>
        <w:tc>
          <w:tcPr>
            <w:tcW w:w="3600" w:type="dxa"/>
            <w:vAlign w:val="bottom"/>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2 study in COPD</w:t>
            </w:r>
          </w:p>
        </w:tc>
        <w:tc>
          <w:tcPr>
            <w:tcW w:w="3900" w:type="dxa"/>
            <w:vAlign w:val="bottom"/>
          </w:tcPr>
          <w:p>
            <w:pPr>
              <w:spacing w:after="0"/>
              <w:rPr>
                <w:sz w:val="23"/>
                <w:szCs w:val="23"/>
                <w:color w:val="auto"/>
              </w:rPr>
            </w:pP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REGN3767 (LAG-3 Antibody)</w:t>
            </w:r>
          </w:p>
        </w:tc>
        <w:tc>
          <w:tcPr>
            <w:tcW w:w="2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Ÿ Open monotherapy expansion cohorts as well as</w:t>
            </w:r>
          </w:p>
        </w:tc>
      </w:tr>
      <w:tr>
        <w:trPr>
          <w:trHeight w:val="216"/>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 combination with cemiplimab in multiple</w:t>
            </w:r>
          </w:p>
        </w:tc>
      </w:tr>
      <w:tr>
        <w:trPr>
          <w:trHeight w:val="230"/>
        </w:trPr>
        <w:tc>
          <w:tcPr>
            <w:tcW w:w="3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indications</w:t>
            </w:r>
          </w:p>
        </w:tc>
      </w:tr>
      <w:tr>
        <w:trPr>
          <w:trHeight w:val="27"/>
        </w:trPr>
        <w:tc>
          <w:tcPr>
            <w:tcW w:w="3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68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280" w:type="dxa"/>
            <w:vAlign w:val="bottom"/>
          </w:tcPr>
          <w:p>
            <w:pPr>
              <w:spacing w:after="0"/>
              <w:rPr>
                <w:sz w:val="20"/>
                <w:szCs w:val="20"/>
                <w:color w:val="auto"/>
              </w:rPr>
            </w:pPr>
          </w:p>
        </w:tc>
        <w:tc>
          <w:tcPr>
            <w:tcW w:w="3680" w:type="dxa"/>
            <w:vAlign w:val="bottom"/>
          </w:tcPr>
          <w:p>
            <w:pPr>
              <w:ind w:left="1080"/>
              <w:spacing w:after="0"/>
              <w:rPr>
                <w:sz w:val="20"/>
                <w:szCs w:val="20"/>
                <w:color w:val="auto"/>
              </w:rPr>
            </w:pPr>
            <w:r>
              <w:rPr>
                <w:rFonts w:ascii="Arial" w:cs="Arial" w:eastAsia="Arial" w:hAnsi="Arial"/>
                <w:sz w:val="18"/>
                <w:szCs w:val="18"/>
                <w:b w:val="1"/>
                <w:bCs w:val="1"/>
                <w:color w:val="auto"/>
              </w:rPr>
              <w:t>2018 Events to Date</w:t>
            </w:r>
          </w:p>
        </w:tc>
        <w:tc>
          <w:tcPr>
            <w:tcW w:w="200" w:type="dxa"/>
            <w:vAlign w:val="bottom"/>
          </w:tcPr>
          <w:p>
            <w:pPr>
              <w:spacing w:after="0"/>
              <w:rPr>
                <w:sz w:val="20"/>
                <w:szCs w:val="20"/>
                <w:color w:val="auto"/>
              </w:rPr>
            </w:pPr>
          </w:p>
        </w:tc>
        <w:tc>
          <w:tcPr>
            <w:tcW w:w="3680" w:type="dxa"/>
            <w:vAlign w:val="bottom"/>
          </w:tcPr>
          <w:p>
            <w:pPr>
              <w:ind w:left="54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Pozelimab (REGN3918; C5 Antibody)</w:t>
            </w:r>
          </w:p>
        </w:tc>
        <w:tc>
          <w:tcPr>
            <w:tcW w:w="280" w:type="dxa"/>
            <w:vAlign w:val="bottom"/>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Complete Phase 1 study in healthy volunteers</w:t>
            </w:r>
          </w:p>
        </w:tc>
      </w:tr>
      <w:tr>
        <w:trPr>
          <w:trHeight w:val="270"/>
        </w:trPr>
        <w:tc>
          <w:tcPr>
            <w:tcW w:w="3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Ÿ Initiate Phase 2 study in PNH</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REGN4461 (LEPR Agonist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1 study in healthy volunteers</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Initiate Phase 2 study in generalized</w:t>
            </w:r>
          </w:p>
        </w:tc>
      </w:tr>
      <w:tr>
        <w:trPr>
          <w:trHeight w:val="237"/>
        </w:trPr>
        <w:tc>
          <w:tcPr>
            <w:tcW w:w="3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lipodystrophy</w:t>
            </w: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REGN4018 (MUC16 and CD3 Antibody)</w:t>
            </w:r>
          </w:p>
        </w:tc>
        <w:tc>
          <w:tcPr>
            <w:tcW w:w="3960" w:type="dxa"/>
            <w:vAlign w:val="bottom"/>
            <w:gridSpan w:val="2"/>
          </w:tcPr>
          <w:p>
            <w:pPr>
              <w:ind w:left="80"/>
              <w:spacing w:after="0"/>
              <w:rPr>
                <w:sz w:val="20"/>
                <w:szCs w:val="20"/>
                <w:color w:val="auto"/>
              </w:rPr>
            </w:pPr>
            <w:r>
              <w:rPr>
                <w:rFonts w:ascii="Arial" w:cs="Arial" w:eastAsia="Arial" w:hAnsi="Arial"/>
                <w:sz w:val="18"/>
                <w:szCs w:val="18"/>
                <w:color w:val="auto"/>
              </w:rPr>
              <w:t>Ÿ Initiated Phase 1 study in platinum-resistant</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ovarian cancer</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REGN4659 (CTLA4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1 study in advanced NSCLC</w:t>
            </w:r>
          </w:p>
        </w:tc>
        <w:tc>
          <w:tcPr>
            <w:tcW w:w="20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r>
      <w:tr>
        <w:trPr>
          <w:trHeight w:val="27"/>
        </w:trPr>
        <w:tc>
          <w:tcPr>
            <w:tcW w:w="3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Additional Information on 2018 Developments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March 2018, we announced that the Phase 3 PANORAMA trial evaluating EYLEA in NPDR met its 24-week primary endpoint. PANORAMA is an ongoing, pivotal, double-masked, randomized two-year trial that enrolled 402 patients and is designed to investigate EYLEA for the improvement of moderately severe to severe NPDR without DME, compared to sham injection.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May 2018, we and Sanofi announced that a pivotal Phase 3 trial evaluating Dupixent to treat moderate-to-severe atopic dermatitis in adolescents (ages 12–17) met its primary and key secondary endpoints. In the trial, treatment with Dupixent as monotherapy significantly improved measures of overall disease severity, skin clearing, itching and certain health-related quality of life measures. Patients treated with Dupixent had significant improvement in disease severity at 16 weeks. The primary endpoints were the proportion of patients achieving Investigator's Global Assessment (IGA) score of 0 (clear) or 1 (almost clear) and 75% improvement in Eczema Area and Severity Index (EASI-75, co-primary endpoint outside of the U.S.) at 16 weeks.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2018, we and Sanofi announced that the ODYSSEY OUTCOMES trial met its primary endpoint, demonstrating that high-risk patients who added Praluent to maximally-tolerated statins experienced significantly fewer major adverse cardiovascular events compared to those on maximally-tolerated statins alone. For the first time, adding a lipid-lowering therapy to maximally-tolerated statins was associated with reduced death from any cause. A more pronounced effect was observed in patients with baseline LDL-cholesterol (LDL-C) levels at or above 100 mg/dL despite maximally-tolerated statins, who are at high risk of suffering a future event; in this group, Praluent reduced risk of major adverse cardiovascular events by 24% and was associated with a 29% reduced death from any cause. In this 18,924-patient, long-term trial, the safety profile of Praluent was consistent with previous trials and no new safety issues were observed.</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Based on the positive results from this trial, an sBLA and an MAA for cardiovascular risk reduction have been recently submitted.</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Cemiplimab</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CSCC is the second most common type of skin cancer and it is estimated that about 750,000 patients are diagnosed in the United States each year. The vast majority of these patients are cured by surgery; however, there are still many patients with an unmet need. While estimates of the death rate from CSCC vary, it is estimated that between 4,000 to 8,000 patients in the United States die from the disease each year. Currently, there are no FDA- or EMA-approved treatments for advanced CSCC.</w:t>
      </w:r>
    </w:p>
    <w:p>
      <w:pPr>
        <w:spacing w:after="0" w:line="24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April 2018, the FDA accepted for priority review the BLA for cemiplimab for the treatment of patients with metastatic CSCC or patients with locally advanced CSCC who are not candidates for surgery. The target action date for the FDA decision is October 28, 2018. In April 2018, the EMA also accepted for review the MAA for cemiplimab in patients with metastatic CSCC or patients with locally advanced CSCC who are not candidates for surgery.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several ongoing Phase 3 clinical studies of fasinumab in patients with pain due to osteoarthritis of the knee or hip. In April 2018, an independent DMC monitoring the ongoing safety and efficacy of the fasinumab clinical trials recommended that the higher dose-regimens be discontinued based on the risk benefit assessment and that the program may continue with the lower dose-regimens of fasinumab. The ongoing osteoarthritis trials have been modified accordingly. Since the Phase 3 clinical study in chronic low back pain in patients with concomitant osteoarthritis was using only higher doses, we are no longer actively dosing patients in this study.</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Development Technologies and Programs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preclinical research programs include the areas of oncology and immuno-oncology, angiogenesis, ophthalmology, metabolic and related diseases, muscle diseases and disorders, inflammation and immune diseases, bone and cartilage, pain and neurobiology, cardiovascular diseases, and infectious diseases.</w:t>
      </w:r>
    </w:p>
    <w:p>
      <w:pPr>
        <w:spacing w:after="0" w:line="2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In January 2018, we announced the formation of a consortium to fund the generation of genetic exome sequence data from 500,000 volunteer participants who make up the UK Biobank health resource. The current members of the consortium consist of AbbVie Inc., Alnylam Pharmaceuticals Inc., AstraZeneca PLC, Biogen Inc., Pfizer Inc., Millennium Pharmaceuticals, Inc. (a subsidiary of Takeda Pharmaceutical Company Unlimited), and Bristol-Meyers Squibb. The consortium members have each committed up to $10.0 million in funding for Regeneron to sequence the UK Biobank's samples, which will be performed at the Regeneron Genetics Center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(RGC) facility. Consortium members will have a limited period of exclusive access to the sequencing data before the data will be made available to other health researchers by UK Biobank.</w:t>
      </w:r>
    </w:p>
    <w:p>
      <w:pPr>
        <w:spacing w:after="0" w:line="24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Researchers from the RGC discovered a potential new therapeutic target to reduce the risk of chronic liver disease and progression to more advanced stages of disease, such as nonalcoholic steatohepatitis (NASH), by analyzing extensive genetic sequencing data linked with electronic health records. In March 2018, we announced a publication describing this discovery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which identified for the first time a variant in the HSD17B13 gene that is associated with reduced risk of, or protection from, various chronic liver diseases for which there are currently no approved therapeutics.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collaborating with Sanofi on the global development and commercialization of various antibodies and antibody product candidates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above). Under the terms of the Antibody License and Collaboration Agreement (LCA), development costs for the drug candidate are shared between the companies, with Sanofi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our Common Stock directly or indirectly owned by Sanofi.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xml:space="preserve"> section below for further details regarding the Letter Agreement.</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not exercised any of our options to co-promote these antibodies outside the United States; however, we retain the right to do so at a future date subject to the terms of the collaboration agreement.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i w:val="1"/>
          <w:iCs w:val="1"/>
          <w:color w:val="auto"/>
        </w:rPr>
        <w:t xml:space="preserve">Immuno-Oncology. </w:t>
      </w:r>
      <w:r>
        <w:rPr>
          <w:rFonts w:ascii="Arial" w:cs="Arial" w:eastAsia="Arial" w:hAnsi="Arial"/>
          <w:sz w:val="18"/>
          <w:szCs w:val="18"/>
          <w:color w:val="auto"/>
        </w:rPr>
        <w:t>In July 2015, we and Sanofi entered into a global strategic collaboration to discover, develop, and commercialize antibody-based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Investigational New Drug Applications (INDs),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4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3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(cemiplimab). We have principal control over the development of cemiplimab, and the parties share equally, on an ongoing basis, development expenses for cemiplimab. Pursuant to the January 7, 2018 Letter Agreement with Sanofi, the cemiplimab development budget has been increased to a total of $1.640 billion, $990.0 million over the budget originally set forth in the IO License and Collaboration Agreement. Under the Letter Agreement, we have also agreed to allow Sanofi to satisfy in whole or in part its funding obligation with respect to cemiplimab development costs for the quarterly periods commencing on October 1, 2017 and ending on September 30, 2020 by selling up to an aggregate of 800,000 shares (of which 678,399 currently remains available) of our Common Stock directly or indirectly owned by Sanofi.</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cemiplimab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 regard to cemiplimab, we will lead commercialization activities in the United States, while Sanofi will lead commercialization activities outside of the United States and the parties will equally share profits from worldwide sales. Sanofi has exercised its option to co-promote cemiplimab in the United States. We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b w:val="1"/>
          <w:bCs w:val="1"/>
          <w:i w:val="1"/>
          <w:iCs w:val="1"/>
          <w:color w:val="auto"/>
        </w:rPr>
        <w:t xml:space="preserve">Fasinumab. </w:t>
      </w:r>
      <w:r>
        <w:rPr>
          <w:rFonts w:ascii="Arial" w:cs="Arial" w:eastAsia="Arial" w:hAnsi="Arial"/>
          <w:sz w:val="17"/>
          <w:szCs w:val="17"/>
          <w:color w:val="auto"/>
        </w:rPr>
        <w:t>In September 2015, we entered into a collaboration agreement with Mitsubishi Tanabe Pharma Corporation (MTPC) providing MTPC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We had earned an aggregate of $115.0 million in development milestones and additional payments from MTPC through June 30, 2018, and are entitled to receive up to an aggregate of $100.0 million in additional development milestone and other contingent payments.</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2016, we entered into a collaboration agreement with Teva to develop and commercialize fasinumab globally, excluding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Asian countries that are subject to our collaboration agreement with MTPC (as described above). In connection with the agreement, Teva made a $250.0 million non-refundable up-front payment in 2016. We lead global development activities, and the parties will share equally, on an ongoing basis, development costs under a global development plan. We had earned an aggregate of $60.0 million of development milestones from Teva through June 30, 2018, and we are entitled to receive up to an aggregate of $400.0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Six Months Ended June 30,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10"/>
          </w:tcPr>
          <w:p>
            <w:pPr>
              <w:jc w:val="right"/>
              <w:ind w:right="46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7"/>
          </w:tcPr>
          <w:p>
            <w:pPr>
              <w:ind w:left="12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40" w:type="dxa"/>
            <w:vAlign w:val="bottom"/>
          </w:tcPr>
          <w:p>
            <w:pPr>
              <w:spacing w:after="0"/>
              <w:rPr>
                <w:sz w:val="16"/>
                <w:szCs w:val="16"/>
                <w:color w:val="auto"/>
              </w:rPr>
            </w:pPr>
          </w:p>
        </w:tc>
        <w:tc>
          <w:tcPr>
            <w:tcW w:w="34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6"/>
          </w:tcPr>
          <w:p>
            <w:pPr>
              <w:jc w:val="right"/>
              <w:spacing w:after="0" w:line="194" w:lineRule="exact"/>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Increase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5"/>
          </w:tcPr>
          <w:p>
            <w:pPr>
              <w:jc w:val="right"/>
              <w:spacing w:after="0" w:line="194" w:lineRule="exact"/>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w w:val="90"/>
              </w:rPr>
              <w:t>Increase</w:t>
            </w:r>
          </w:p>
        </w:tc>
        <w:tc>
          <w:tcPr>
            <w:tcW w:w="20" w:type="dxa"/>
            <w:vAlign w:val="bottom"/>
          </w:tcPr>
          <w:p>
            <w:pPr>
              <w:spacing w:after="0"/>
              <w:rPr>
                <w:sz w:val="16"/>
                <w:szCs w:val="16"/>
                <w:color w:val="auto"/>
              </w:rPr>
            </w:pPr>
          </w:p>
        </w:tc>
      </w:tr>
      <w:tr>
        <w:trPr>
          <w:trHeight w:val="48"/>
        </w:trPr>
        <w:tc>
          <w:tcPr>
            <w:tcW w:w="3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(Decrease)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(Decrease)</w:t>
            </w:r>
          </w:p>
        </w:tc>
        <w:tc>
          <w:tcPr>
            <w:tcW w:w="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1,608.0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1,470.1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330.4</w:t>
            </w:r>
          </w:p>
        </w:tc>
        <w:tc>
          <w:tcPr>
            <w:tcW w:w="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(1,930.1)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(1,808.3)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3"/>
                <w:szCs w:val="23"/>
                <w:color w:val="auto"/>
              </w:rPr>
            </w:pPr>
          </w:p>
        </w:tc>
      </w:tr>
      <w:tr>
        <w:trPr>
          <w:trHeight w:val="237"/>
        </w:trPr>
        <w:tc>
          <w:tcPr>
            <w:tcW w:w="340" w:type="dxa"/>
            <w:vAlign w:val="bottom"/>
          </w:tcPr>
          <w:p>
            <w:pPr>
              <w:spacing w:after="0"/>
              <w:rPr>
                <w:sz w:val="20"/>
                <w:szCs w:val="20"/>
                <w:color w:val="auto"/>
              </w:rPr>
            </w:pPr>
          </w:p>
        </w:tc>
        <w:tc>
          <w:tcPr>
            <w:tcW w:w="3460" w:type="dxa"/>
            <w:vAlign w:val="bottom"/>
            <w:gridSpan w:val="3"/>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1,241.5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w:t>
            </w:r>
          </w:p>
        </w:tc>
        <w:tc>
          <w:tcPr>
            <w:tcW w:w="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23"/>
                <w:szCs w:val="23"/>
                <w:color w:val="auto"/>
              </w:rPr>
            </w:pPr>
          </w:p>
        </w:tc>
      </w:tr>
      <w:tr>
        <w:trPr>
          <w:trHeight w:val="297"/>
        </w:trPr>
        <w:tc>
          <w:tcPr>
            <w:tcW w:w="340" w:type="dxa"/>
            <w:vAlign w:val="bottom"/>
          </w:tcPr>
          <w:p>
            <w:pPr>
              <w:spacing w:after="0"/>
              <w:rPr>
                <w:sz w:val="24"/>
                <w:szCs w:val="24"/>
                <w:color w:val="auto"/>
              </w:rPr>
            </w:pPr>
          </w:p>
        </w:tc>
        <w:tc>
          <w:tcPr>
            <w:tcW w:w="346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392.7</w:t>
            </w:r>
          </w:p>
        </w:tc>
        <w:tc>
          <w:tcPr>
            <w:tcW w:w="20" w:type="dxa"/>
            <w:vAlign w:val="bottom"/>
          </w:tcPr>
          <w:p>
            <w:pPr>
              <w:spacing w:after="0"/>
              <w:rPr>
                <w:sz w:val="24"/>
                <w:szCs w:val="24"/>
                <w:color w:val="auto"/>
              </w:rPr>
            </w:pPr>
          </w:p>
        </w:tc>
      </w:tr>
      <w:tr>
        <w:trPr>
          <w:trHeight w:val="311"/>
        </w:trPr>
        <w:tc>
          <w:tcPr>
            <w:tcW w:w="340" w:type="dxa"/>
            <w:vAlign w:val="bottom"/>
            <w:tcBorders>
              <w:right w:val="single" w:sz="8" w:color="CCEEFF"/>
            </w:tcBorders>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21"/>
                <w:szCs w:val="21"/>
                <w:color w:val="auto"/>
              </w:rPr>
            </w:pPr>
          </w:p>
        </w:tc>
      </w:tr>
      <w:tr>
        <w:trPr>
          <w:trHeight w:val="513"/>
        </w:trPr>
        <w:tc>
          <w:tcPr>
            <w:tcW w:w="38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9"/>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34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9"/>
          </w:tcPr>
          <w:p>
            <w:pPr>
              <w:jc w:val="right"/>
              <w:ind w:right="720"/>
              <w:spacing w:after="0" w:line="194"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20"/>
              <w:spacing w:after="0" w:line="194" w:lineRule="exact"/>
              <w:rPr>
                <w:sz w:val="20"/>
                <w:szCs w:val="20"/>
                <w:color w:val="auto"/>
              </w:rPr>
            </w:pPr>
            <w:r>
              <w:rPr>
                <w:rFonts w:ascii="Arial" w:cs="Arial" w:eastAsia="Arial" w:hAnsi="Arial"/>
                <w:sz w:val="18"/>
                <w:szCs w:val="18"/>
                <w:b w:val="1"/>
                <w:bCs w:val="1"/>
                <w:color w:val="auto"/>
                <w:w w:val="98"/>
              </w:rPr>
              <w:t>Increase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7"/>
          </w:tcPr>
          <w:p>
            <w:pPr>
              <w:jc w:val="center"/>
              <w:ind w:right="140"/>
              <w:spacing w:after="0" w:line="194" w:lineRule="exact"/>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8"/>
              </w:rPr>
              <w:t>Increase</w:t>
            </w:r>
          </w:p>
        </w:tc>
        <w:tc>
          <w:tcPr>
            <w:tcW w:w="20" w:type="dxa"/>
            <w:vAlign w:val="bottom"/>
          </w:tcPr>
          <w:p>
            <w:pPr>
              <w:spacing w:after="0"/>
              <w:rPr>
                <w:sz w:val="16"/>
                <w:szCs w:val="16"/>
                <w:color w:val="auto"/>
              </w:rPr>
            </w:pPr>
          </w:p>
        </w:tc>
      </w:tr>
      <w:tr>
        <w:trPr>
          <w:trHeight w:val="48"/>
        </w:trPr>
        <w:tc>
          <w:tcPr>
            <w:tcW w:w="3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(Decrease)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(Decrease)</w:t>
            </w:r>
          </w:p>
        </w:tc>
        <w:tc>
          <w:tcPr>
            <w:tcW w:w="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EYLEA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992.0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1,976.0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Sanofi and Bayer collaboration revenue: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Bayer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340" w:type="dxa"/>
            <w:vAlign w:val="bottom"/>
          </w:tcPr>
          <w:p>
            <w:pPr>
              <w:spacing w:after="0"/>
              <w:rPr>
                <w:sz w:val="22"/>
                <w:szCs w:val="22"/>
                <w:color w:val="auto"/>
              </w:rPr>
            </w:pPr>
          </w:p>
        </w:tc>
        <w:tc>
          <w:tcPr>
            <w:tcW w:w="3460" w:type="dxa"/>
            <w:vAlign w:val="bottom"/>
            <w:gridSpan w:val="3"/>
          </w:tcPr>
          <w:p>
            <w:pPr>
              <w:ind w:left="4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137.9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3,119.5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2,789.1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330.4</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product sales of EYLEA in the United States increased for the three and six months ended June 30, 2018, compared to the same periods in 2017, due to higher sales volume.</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Other Sales-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Chargebacks, and</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Balance as of March 31, 2018</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Balance as of March 31, 2017</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30"/>
        </w:trPr>
        <w:tc>
          <w:tcPr>
            <w:tcW w:w="1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2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2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122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22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12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12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Collaboration Agreement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29"/>
        </w:trPr>
        <w:tc>
          <w:tcPr>
            <w:tcW w:w="122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w w:val="94"/>
              </w:rPr>
              <w:t>Reimbursement of Regeneron commercialization-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related expenses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160.7</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22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12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43"/>
        </w:trPr>
        <w:tc>
          <w:tcPr>
            <w:tcW w:w="1220" w:type="dxa"/>
            <w:vAlign w:val="bottom"/>
          </w:tcPr>
          <w:p>
            <w:pPr>
              <w:spacing w:after="0"/>
              <w:rPr>
                <w:sz w:val="21"/>
                <w:szCs w:val="21"/>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12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12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Antibody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r>
      <w:tr>
        <w:trPr>
          <w:trHeight w:val="237"/>
        </w:trPr>
        <w:tc>
          <w:tcPr>
            <w:tcW w:w="12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22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12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29"/>
        </w:trPr>
        <w:tc>
          <w:tcPr>
            <w:tcW w:w="122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12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Collaboration Agreement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22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Reimbursement of Regeneron commercialization-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12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1220" w:type="dxa"/>
            <w:vAlign w:val="bottom"/>
          </w:tcPr>
          <w:p>
            <w:pPr>
              <w:spacing w:after="0"/>
              <w:rPr>
                <w:sz w:val="21"/>
                <w:szCs w:val="21"/>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12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12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57"/>
        </w:trPr>
        <w:tc>
          <w:tcPr>
            <w:tcW w:w="122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432.5</w:t>
            </w: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lower reimbursement of antibody research and development costs during the three and six months ended June 30, 2018, compared to the same periods in 2017, was primarily due to (i) the Company's Discovery and Preclinical Development Agreement with Sanofi ending on December 31, 2017 without any extension and, therefore, funding from Sanofi under the Antibody Discovery</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Agreement ceased after 2017, and (ii) decreased reimbursement levels for Dupixent under our License and Collaboration Agreement subsequent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for atopic dermatitis.</w:t>
      </w:r>
    </w:p>
    <w:p>
      <w:pPr>
        <w:spacing w:after="0" w:line="26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rheumatoid arthritis in adult patients, and in June 2017, the European Commission granted marketing authorization for Kevzara for the treatment of rheumatoid arthritis in adult patients.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antibody commercialization-related expenses represents reimbursement of internal and external costs in connection with commercializing Praluent, Kevzara, and Dupixent.</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During the three and six months ended June 30, 2018 and 2017,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commercializing Praluent, Kevzara, and Dupixent within Sanofi collaboration revenue. During the three and six months ended June 30, 2018, Sanofi collaboration revenues in connection with commercialization of antibodies were primarily impacted, compared to the same periods in 2017, by our share of higher net sales of Dupixent (as the product was launched at the end of March 2017), partly offset by an increase in the collaborations' Dupixent commercialization expenses in support of the launch of Dupixent in atopic dermatitis and the preparation for launch in asthma. See "Overview" section above for a summary of global net product sales recorded by Sanofi in connection with our Antibody License and Collaboration Agreement. Sanofi provides us with an estimate of our share of the losses from commercialization of antibodies for the most recent fiscal quarter; these estimates are reconciled to actual results in the subsequent fiscal quarter, and our portion of the profit or loss is adjusted accordingly, as necessary. Sanofi records product sales for commercialized products.</w:t>
      </w:r>
    </w:p>
    <w:p>
      <w:pPr>
        <w:spacing w:after="0" w:line="22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Sanofi's reimbursement of immuno-oncology research and development costs under our IO License and Collaboration Agreement increased in the second quarter and first half of 2018, compared to the same periods in 2017, due to an increase in late-stage clinical development activities for cemiplimab.</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primarily includes recognition of deferred revenue from $640.0 million of up-front payments received in 2015 in connection with the execution of the IO Collaboration agreements.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95"/>
        </w:trPr>
        <w:tc>
          <w:tcPr>
            <w:tcW w:w="1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1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1120" w:type="dxa"/>
            <w:vAlign w:val="bottom"/>
          </w:tcPr>
          <w:p>
            <w:pPr>
              <w:spacing w:after="0"/>
              <w:rPr>
                <w:sz w:val="19"/>
                <w:szCs w:val="19"/>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Regeneron's net profit in connection with</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commercialization of EYLEA outside the United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27"/>
        </w:trPr>
        <w:tc>
          <w:tcPr>
            <w:tcW w:w="1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Reimbursement of Regeneron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120" w:type="dxa"/>
            <w:vAlign w:val="bottom"/>
          </w:tcPr>
          <w:p>
            <w:pPr>
              <w:spacing w:after="0"/>
              <w:rPr>
                <w:sz w:val="21"/>
                <w:szCs w:val="21"/>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11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11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EYLEA</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r>
      <w:tr>
        <w:trPr>
          <w:trHeight w:val="237"/>
        </w:trPr>
        <w:tc>
          <w:tcPr>
            <w:tcW w:w="11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Ang2 antibody and PDGFR-beta antibody:</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Reimbursement of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1120" w:type="dxa"/>
            <w:vAlign w:val="bottom"/>
          </w:tcPr>
          <w:p>
            <w:pPr>
              <w:spacing w:after="0"/>
              <w:rPr>
                <w:sz w:val="21"/>
                <w:szCs w:val="21"/>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1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11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Ang2 antibody and PDGFR-beta antibody</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57"/>
        </w:trPr>
        <w:tc>
          <w:tcPr>
            <w:tcW w:w="1120" w:type="dxa"/>
            <w:vAlign w:val="bottom"/>
          </w:tcPr>
          <w:p>
            <w:pPr>
              <w:spacing w:after="0"/>
              <w:rPr>
                <w:sz w:val="22"/>
                <w:szCs w:val="22"/>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r>
      <w:tr>
        <w:trPr>
          <w:trHeight w:val="20"/>
        </w:trPr>
        <w:tc>
          <w:tcPr>
            <w:tcW w:w="1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6"/>
        </w:trPr>
        <w:tc>
          <w:tcPr>
            <w:tcW w:w="1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outside the United States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Regeneron's share of collaboration profit from sales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outside the 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of development expenses incurred by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Bayer in accordance with Regeneron's payment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42"/>
        </w:trPr>
        <w:tc>
          <w:tcPr>
            <w:tcW w:w="4380" w:type="dxa"/>
            <w:vAlign w:val="bottom"/>
          </w:tcPr>
          <w:p>
            <w:pPr>
              <w:ind w:left="180"/>
              <w:spacing w:after="0"/>
              <w:rPr>
                <w:sz w:val="20"/>
                <w:szCs w:val="20"/>
                <w:color w:val="auto"/>
              </w:rPr>
            </w:pPr>
            <w:r>
              <w:rPr>
                <w:rFonts w:ascii="Arial" w:cs="Arial" w:eastAsia="Arial" w:hAnsi="Arial"/>
                <w:sz w:val="18"/>
                <w:szCs w:val="18"/>
                <w:color w:val="auto"/>
                <w:w w:val="96"/>
              </w:rPr>
              <w:t>commercialization of EYLEA outside the United States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discontinued clinical development of REGN2176-3 in the first quarter of 2017. In the fourth quarter of 2017, we reported that two REGN910-3 Phase 2 studies did not provide sufficient differentiation to warrant Phase 3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Teva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w w:val="91"/>
              </w:rPr>
              <w:t>Reimbursement of Regeneron research and development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7"/>
        </w:trPr>
        <w:tc>
          <w:tcPr>
            <w:tcW w:w="4420" w:type="dxa"/>
            <w:vAlign w:val="bottom"/>
          </w:tcPr>
          <w:p>
            <w:pPr>
              <w:ind w:left="260"/>
              <w:spacing w:after="0"/>
              <w:rPr>
                <w:sz w:val="20"/>
                <w:szCs w:val="20"/>
                <w:color w:val="auto"/>
              </w:rPr>
            </w:pPr>
            <w:r>
              <w:rPr>
                <w:rFonts w:ascii="Arial" w:cs="Arial" w:eastAsia="Arial" w:hAnsi="Arial"/>
                <w:sz w:val="18"/>
                <w:szCs w:val="18"/>
                <w:color w:val="auto"/>
              </w:rPr>
              <w:t>Total Teva collaboration revenue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Total other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The change in other Teva collaboration revenue for both the three and six month periods ended June 30, 2018, compared to the same periods in 2017, was positively impacted by the recognition of a higher amount of deferred revenue from amounts paid by Teva to us, offset by the recognition in the second quarter of 2017 of a development milestone of $25.0 million from Teva.</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to Teva collaboration revenue, "Other revenue" in the table above includes:</w:t>
      </w:r>
    </w:p>
    <w:p>
      <w:pPr>
        <w:spacing w:after="0" w:line="144" w:lineRule="exact"/>
        <w:rPr>
          <w:sz w:val="20"/>
          <w:szCs w:val="20"/>
          <w:color w:val="auto"/>
        </w:rPr>
      </w:pPr>
    </w:p>
    <w:p>
      <w:pPr>
        <w:ind w:left="660" w:right="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Recognition of a portion of deferred revenue from up-front and other payments received from MTPC and, in the second quarter of 2017, recognition of a development milestone of $30.0 million from MTPC, in connection with our fasinumab collaboration.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jc w:val="both"/>
        <w:ind w:left="660" w:right="2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Recognition of revenue related to the $165.0 million up-front payment we received in August 2010, which was deferred upon receipt and was being recognized as revenue through mid-2018, in connection with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accordance with the terms of the license agreement, in the first quarter of 2018, Astellas provided notice to us that the agreement will terminate effective June 2018.</w:t>
      </w:r>
    </w:p>
    <w:p>
      <w:pPr>
        <w:spacing w:after="0" w:line="2" w:lineRule="exact"/>
        <w:rPr>
          <w:rFonts w:ascii="Arial" w:cs="Arial" w:eastAsia="Arial" w:hAnsi="Arial"/>
          <w:sz w:val="16"/>
          <w:szCs w:val="16"/>
          <w:color w:val="auto"/>
        </w:rPr>
      </w:pPr>
    </w:p>
    <w:p>
      <w:pPr>
        <w:jc w:val="both"/>
        <w:ind w:left="660" w:hanging="328"/>
        <w:spacing w:after="0" w:line="22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12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 xml:space="preserve">The $111.0 million and $197.2 million in total other revenue for the three and six months ended June 30, 2018, respectively, also includes the impact of adopting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January 1, 2018. Prior period amounts have not been adjusted in connection with the adoption of this standard. See Note 1 to our Condensed Consolidated 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5"/>
        </w:trPr>
        <w:tc>
          <w:tcPr>
            <w:tcW w:w="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w w:val="98"/>
              </w:rPr>
              <w:t>Cost of collaboration and contract manufacturing</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r>
      <w:tr>
        <w:trPr>
          <w:trHeight w:val="20"/>
        </w:trPr>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140" w:type="dxa"/>
            <w:vAlign w:val="bottom"/>
          </w:tcPr>
          <w:p>
            <w:pPr>
              <w:spacing w:after="0"/>
              <w:rPr>
                <w:sz w:val="21"/>
                <w:szCs w:val="21"/>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headcount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7"/>
        </w:trPr>
        <w:tc>
          <w:tcPr>
            <w:tcW w:w="1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average headcount in 2018 increased compared to 2017 principally in connection with expanding our manufacturing activities and increased research and development activities.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included a total of $106.8 million in the second quarter and $189.2 million in the first half of 2018, respectively, and $121.3 million in the second quarter and $255.0 million in the first half of 2017, respectively, of non-cash compensation expense related to employee stock options and restricted stock. The decrease in total non-cash compensation expense in the first half of 2018 was primarily attributable to a revision in our estimate of the number of stock options that are expected to be forfeited.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Dupixent (dupilumab)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Cemiplimab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Fasinumab</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Praluent (alirocumab)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rPr>
              <w:t>Other product candidates in clinical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4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jc w:val="center"/>
              <w:ind w:right="49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licensing, and 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w w:val="95"/>
              </w:rPr>
              <w:t>Occupancy and other operating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0"/>
              </w:rPr>
              <w:t>Total indirect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jc w:val="center"/>
              <w:ind w:right="49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1,027.9</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2"/>
        </w:trPr>
        <w:tc>
          <w:tcPr>
            <w:tcW w:w="30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Direct research and development expenses increased for cemiplimab and fasinumab in the second quarter and first half of 2018, compared to the same periods in 2017, primarily due to continued late-stage clinical development activities and the initiation of additional clinical studies in lung cancer and osteoarthritis, respectively. These increases were partly offset by a decrease in direct research and development expenses for Dupixent due to the wind-down and/or completion of various atopic dermatitis clinical studies. Clinical manufacturing costs decreased in the first half of 2018, compared to the same period in 2017, primarily due to a higher proportion of commercial manufacturing at our facilities. Research and development expenses included non-cash compensation expense of $59.6 million and $100.4 million in the second quarter and first half of 2018, respectively, and $69.5 million and $143.1 million in the second quarter and first half of 2017, respectively.</w:t>
      </w:r>
    </w:p>
    <w:p>
      <w:pPr>
        <w:spacing w:after="0" w:line="24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increased in the second quarter and first half of 2018, compared to the same periods in 2017, primarily due to higher headcount and headcount-related costs and an increase in commercialization-related expenses for EYLEA and Dupixent, and, to a lesser extent, for cemiplimab. Selling, general, and administrative expenses also included non-cash compensation expense of $40.5 million and $75.5 million in the second quarter and first half of 2018, respectively, and $44.7 million and $98.5 million in the second quarter and first half of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Cost of collaboration and contract manufacturing primarily includes costs we incur in connection with producing commercial drug supplies for Sanofi and Bayer. The change in cost of collaboration and contract manufacturing for the three and six months</w:t>
      </w:r>
    </w:p>
    <w:p>
      <w:pPr>
        <w:sectPr>
          <w:pgSz w:w="11900" w:h="16838" w:orient="portrait"/>
          <w:cols w:equalWidth="0" w:num="1">
            <w:col w:w="11420"/>
          </w:cols>
          <w:pgMar w:left="240" w:top="1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June 30, 2018, compared to the same periods in 2017, was impacted primarily due to the recognition of manufacturing costs associated with higher sales volumes of Sanofi collaboration antibodies and EYLEA outside the United States, offset by lower inventory write-offs and reserves related to Sanofi collaboration antibodies that no longer met quality specifications.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Other income (expense), net, in the second quarter and first half of 2018 increased primarily due to (i) the recognition of unrealized gains on equity securities and (ii) increased interest income earned on available-for-sale debt securities due to higher average investment balances. In the first quarter of 2018, we adopted Accounting Standards Update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 of January 1, 2018, which requires us to measure equity investments at fair value with changes in fair value recognized in net income; previously, such changes in fair value were recognized in Other comprehensive income (loss).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expenses in the second quarter of 2017 included a $30.1 million loss on debt extinguishment related to the 2017 Tarrytown lease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0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321.5</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r>
    </w:tbl>
    <w:p>
      <w:pPr>
        <w:spacing w:after="0" w:line="9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December 22, 2017, the bill known as the "Tax Cuts and Jobs Act" (the Act) was signed into law. The Act, which became effective with respect to most of its provisions as of January 1, 2018, includes a number of provisions that impact us, including reducing the U.S. federal corporate income tax rate from 35% to 21%, changing the taxation of foreign earnings (including taxation of certain global intangible low-taxed income (GILTI)), allowing immediate expensing of the cost for qualified assets, repealing the deduction for domestic manufacturing, and imposing further limitations on the deductibility of executive compensation. Changes in tax rates and tax laws are accounted for in the period of enactment. Therefore, as a result of the Act being signed into law, we recognized a provisional charge of $326.2 million in the fourth quarter of 2017 related to the re-measurement of our U.S. net deferred tax assets at the lower enacted corporate tax rates. The provisional charge recorded in the fourth quarter of 2017 is an estimate and subject to further analysis, interpretation, and clarification of the Act, which could result in changes to this estimate during 2018.</w:t>
      </w:r>
    </w:p>
    <w:p>
      <w:pPr>
        <w:spacing w:after="0" w:line="1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effective tax rate for the three and six months ended June 30, 2018 was positively impacted, compared to the U.S. federal statutory rate, primarily by the tax benefit associated with stock-based compensation, income earned in foreign jurisdictions with tax rates lower than the U.S. federal statutory rate, the foreign-derived intangible income deduction, and the federal tax credit for research activities. Our effective tax rate for the three and six months ended June 30, 2017 was positively impacted, compared to the U.S. federal statutory rate, by the tax benefit associated with stock-based compensation, the domestic manufacturing deduction, and the federal tax credit for increased research activities, partly offset by losses incurred in foreign jurisdictions with rates lower than the U.S. federal statutory rate and the non-tax deductible Branded Prescription Drug Fee.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1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420" w:type="dxa"/>
            <w:vAlign w:val="bottom"/>
          </w:tcPr>
          <w:p>
            <w:pPr>
              <w:spacing w:after="0"/>
              <w:rPr>
                <w:sz w:val="23"/>
                <w:szCs w:val="23"/>
                <w:color w:val="auto"/>
              </w:rPr>
            </w:pPr>
          </w:p>
        </w:tc>
        <w:tc>
          <w:tcPr>
            <w:tcW w:w="3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558.2</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42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r>
      <w:tr>
        <w:trPr>
          <w:trHeight w:val="20"/>
        </w:trPr>
        <w:tc>
          <w:tcPr>
            <w:tcW w:w="14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4,335.0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479.9</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42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7"/>
        </w:trPr>
        <w:tc>
          <w:tcPr>
            <w:tcW w:w="1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Additionally, as of June 30, 2018, we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Six Months Ended June 30,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(Decrease)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total operating cash flows for the first half of 2018, compared to the same period of 2017, were positively impacted by an increase in our net income by $392.7 million. Our net income of $1,029.4 million in the first half of 2018 included non-cash compensation expense of $189.2 million, non-cash revenue of $37.6 million in connection with Sanofi satisfying its cemiplimab development funding obligation in shares of Regeneron stock (see "Sanofi Funding of Certain Development Costs" below), and non-cash income of $25.9 million related to unrealized gains on equity securities. Prepaid expenses and other assets decreased by $59.4 million as of June 30, 2018, compared to December 31, 2017, partially due to the $35.0 million development milestone receivable from Teva as of December 31, 2017 in connection with the companies' fasinumab collaboration.</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net income of $636.7 million in the first half of 2017 included non-cash compensation expense of $255.0 million. Deferred tax assets as of June 30, 2017 increased by $57.7 million, compared to December 31, 2016, primarily due to non-cash compensation expense. Prepaid expenses and other assets increased by $77.2 million as of June 30, 2017 partially due to the development milestones of $25.0 million and $30.0 million earned from, and billed to, Teva and MTPC, respectively, in connection with the companies' fasinumab collaborations. Accounts payable, accrued expenses, and other liabilities decreased by $147.2 million as of June 30, 2017, compared to December 31, 2016, primarily due to the payment of income taxes partly offset by higher accruals for sales-related charges (including the Branded Prescription Drug Fee).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Capital expenditures were $191.4 million and $105.3 million in the first half of 2018 and 2017, respectively. Capital expenditures increased primarily due to higher capital expenditures in connection with renovations and additions at our Limerick, Ireland and Rensselaer, New York manufacturing facilities, and laboratory expansion and renovations at our Tarrytown, New York facilities. We expect to incur capital expenditures of approximately $220 million to $260 million during the second half of 2018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half of 2017, proceeds in connection with capital and facility lease obligations relate to our receipt of $57.0 million in connection with the March 2017 lease transaction as described below under "Tarrytown, New York Leases".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June 30, 2018.</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June 30,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Participants), which provided for lease financing in connection with the acquisition by BAL of the Facility and our lease of the Facility from BAL. In March 2017, we assigned our right to take title to the Facility under the Purchase Agreement to BAL, and the Participants advanced $720.0 million, which was used by BAL to finance the purchase price for the Facility.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June 30,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described above in "Collaborations - Collaborations with Sanofi," effective January 7, 2018, we and Sanofi entered into a Letter Agreement in connection with, among other matters, increasing the development budget amount for cemiplimab and allocating additional funds to certain proposed activities relating to dupilumab and REGN3500. Pursuant to the Letter Agreement, we have agreed to allow Sanofi to satisfy in whole or in part its funding obligations with respect to cemiplimab development and/or Dupilumab/REGN3500 Eligible Investments by selling up to an aggregate of 1,400,000 shares (of which 1,278,399 shares remain available to be sold as of June 30, 2018) of our Common Stock directly or indirectly owned by Sanofi through September 30, 2020.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ectPr>
          <w:pgSz w:w="11900" w:h="16838" w:orient="portrait"/>
          <w:cols w:equalWidth="0" w:num="1">
            <w:col w:w="11420"/>
          </w:cols>
          <w:pgMar w:left="240" w:top="130"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second quarter of 2018, Sanofi elected to sell, and we elected to purchase (by issuing a credit towards the amount owed by Sanofi), 121,601 shares of the Company's Common Stock to satisfy Sanofi's funding obligation related to cemiplimab development costs incurred during the first quarter of 2018. Consequently, we recorded $37.6 million related to the shares received as Treasury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2017 (filed February 8, 2018). Except as described in Note 1 and Note 3 to our Condensed Consolidated Financial Statements included in this report related to the adoption of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there were no material changes to our critical accounting policies and use of estimates during the six months ended June 30,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2017 (filed February 8, 2018). There have been no material changes to our market risks or to our management of such risks as of June 30,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2018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11 to our Condensed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six months ended June 30, 2018 and 2017, EYLEA net sales in the United States represented 63% and 64%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that the continued commercial success of our marketed products (in particular, EYLEA, Dupixent, Praluent, and Kevzara) will depend on many factors, including the following (as applicable):</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payer restrictions on eligible patient populations and the reimbursement process, both in the United States and abroad;</w:t>
      </w:r>
    </w:p>
    <w:p>
      <w:pPr>
        <w:spacing w:after="0" w:line="1" w:lineRule="exact"/>
        <w:rPr>
          <w:rFonts w:ascii="Arial" w:cs="Arial" w:eastAsia="Arial" w:hAnsi="Arial"/>
          <w:sz w:val="18"/>
          <w:szCs w:val="18"/>
          <w:color w:val="auto"/>
        </w:rPr>
      </w:pPr>
    </w:p>
    <w:p>
      <w:pPr>
        <w:jc w:val="both"/>
        <w:ind w:left="660" w:hanging="328"/>
        <w:spacing w:after="0" w:line="20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 or off-label use of repackaged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to EYLEA or to start treatment with EYLEA;</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EYLEA, Dupixent, and Praluent (described further in Note 11 to our Condensed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ind w:left="660" w:right="20" w:hanging="328"/>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279"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marketed products subject to such collaborations.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marketed products subject to such collaborations (such as EYLEA, Dupixent, Praluent, and Kevzara)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 products is costly, time-consuming, and highly</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w:t>
      </w:r>
      <w:r>
        <w:rPr>
          <w:rFonts w:ascii="Arial" w:cs="Arial" w:eastAsia="Arial" w:hAnsi="Arial"/>
          <w:sz w:val="17"/>
          <w:szCs w:val="17"/>
          <w:color w:val="auto"/>
        </w:rPr>
        <w:t>"), the applicable marketing approval may be withdrawn, which would materially harm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marketed products could materially harm our business, prospects, operating results, and financial condition.</w:t>
      </w:r>
    </w:p>
    <w:p>
      <w:pPr>
        <w:spacing w:after="0" w:line="2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 xml:space="preserve">Serious complications or serious, unexpected side effects in connection with the use of our marketed products (such as EYLEA, Dupixent, Praluent, and Kevzara)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4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of our marketed products (such as EYLEA, Dupixent, Praluent, and Kevzara)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addition, in order for private insurance and governmental payers (such as Medicare and Medicaid in the United States) to reimburse the cost of our marketed products, we must, among other things, maintain our FDA registration and our National Drug Code, maintain formulary approval by pharmacy benefits managers, and maintain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27"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federal Patient Protection and Affordable Care Act (PPACA) and a related reconciliation bill were enacted in the United States. This legislation imposes cost-containment and other measures affecting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Further, there have been several recent U.S.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the current administration's budget proposal for fiscal year 2019 contains drug price control measures that could be enacted during the 2019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already started the process of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Congress and the U.S. presidential administration have each indicated that they will continue to seek new legislative and/or administrative measures to control drug costs.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measures are designed to encourage importation from other countries and bulk purchasing. A reduction in the availability or extent of reimbursement from U.S. government programs could have a material adverse effect on the sales of EYLEA or our other marketed products. Economic pressure on state budgets may also have a similar impact. Since our marketed products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our products will be materially adversely impacted. Our sales and potential profits and our business, prospects, operating results, and financial condition would be materially harmed.</w:t>
      </w:r>
    </w:p>
    <w:p>
      <w:pPr>
        <w:spacing w:after="0" w:line="10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strong competition.</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There is significant actual and potential future competition for each of our marketed products.</w:t>
      </w:r>
    </w:p>
    <w:p>
      <w:pPr>
        <w:spacing w:after="0" w:line="24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i w:val="1"/>
          <w:iCs w:val="1"/>
          <w:color w:val="auto"/>
        </w:rPr>
        <w:t>EYLEA</w:t>
      </w:r>
      <w:r>
        <w:rPr>
          <w:rFonts w:ascii="Arial" w:cs="Arial" w:eastAsia="Arial" w:hAnsi="Arial"/>
          <w:sz w:val="18"/>
          <w:szCs w:val="18"/>
          <w:color w:val="auto"/>
        </w:rPr>
        <w:t>. The market for eye disease products is very competitive. For example, Novartis AG and Genentech/Roche are collaborating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Inc. (in partnership with Mylan N.V.) is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developing M710 (currently in a pivotal trial in patients with DME). Competitors are also exploring the development of a biosimilar version of Lucentis; in particular, Pfenex Inc. is developing PF582 (a Phase 1b/2a trial in patients with wet AMD has been completed), Formycon AG (in collaboration with Bioeq GmbH) is developing FYB201 (currently in a Phase 3 trial in patients with wet AMD), and Samsung Bioepis Co., Ltd. is developing SB11 (currently in a Phase 3 trial in patients with wet AMD).</w:t>
      </w:r>
    </w:p>
    <w:p>
      <w:pPr>
        <w:spacing w:after="0" w:line="24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Other competitive or potentially competitive products include Allergan plc's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for the treatment of macular edema following RVO and for the treatment of DME) and Alimera Sciences, Inc.'s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(brolucizumab), a humanized monoclonal single-chain FV (scFv) antibody fragment targeting VEGF-A for wet AMD, and announced in June 2017 that two Phase 3 studies of RTH258 met their primary endpoint of non-inferiority to EYLEA. Allergan is developing abicipar pegol for wet AMD and related conditions (currently studied in Phase 3 trials against Lucentis as a comparator drug). As recently reported, Chengdu Kanghong Pharmaceutical Industry Group Co., Ltd. is conducting a non-inferiority Phase 3 trial in the United States comparing conbercept, an anti-VEGF fusion protein, against EYLEA in wet AMD. Conbercept is approved in the wet AMD and myopic choroidal neovascularization indications in China.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Products that are being developed for use in combination with EYLEA and/or Lucentis may also pose a competitive threat. Opthea Limited is developing OPT-302, a VEGFR-3 large molecule trap in combination with Lucentis in a Phase 2 trial for wet AMD.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in a Phase 1/2 trial for wet AMD. PanOptica, Inc. is developing PAN-90806, a topically administered tyrosine kinase inhibitor currently in a Phase 1/2 trial for wet AMD. Competitors are also developing other eye-drop formulations, devices, oral therapies, and gene/cell therapies for various indications that, if approved, would compete with EYLEA in one or more of its currently approved indications.</w:t>
      </w:r>
    </w:p>
    <w:p>
      <w:pPr>
        <w:spacing w:after="0" w:line="246"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Avastin is also being evaluated in eye diseases in clinical trials in certain countries. Furthermore, Lucentis and off-label use of repackaged Avastin present significant competitive challenges as doctors and patients have had significant experience using these medicines. The relatively low cost of repackaged Avastin in treating patients may exacerbate the competitive challenge which EYLEA faces in the eye indications for which it is approved.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w:t>
      </w:r>
    </w:p>
    <w:p>
      <w:pPr>
        <w:spacing w:after="0" w:line="23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4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7"/>
          <w:szCs w:val="17"/>
          <w:i w:val="1"/>
          <w:iCs w:val="1"/>
          <w:color w:val="auto"/>
        </w:rPr>
        <w:t>Dupixent</w:t>
      </w:r>
      <w:r>
        <w:rPr>
          <w:rFonts w:ascii="Arial" w:cs="Arial" w:eastAsia="Arial" w:hAnsi="Arial"/>
          <w:sz w:val="17"/>
          <w:szCs w:val="17"/>
          <w:color w:val="auto"/>
        </w:rPr>
        <w:t>. A number of companies are developing antibodies that, if approved, may compete with Dupixent in its current or potential future indications,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Roche (in collaboration with Dermira, Inc.) (an antibody against IL-13); LEO Pharma A/S (in collaboration with AstraZeneca PLC) (IL-13 antibody tralokinumab being developed in the atopic dermatitis indication); AstraZeneca (antibodies against IL-33 and IL-5R); Galderma S.A. (an antibody against IL-31R); AnaptysBio, Inc. (an antibody against IL-33); and Amgen (in collaboration with AstraZeneca) (an antibody against thymic stromal lymphopoietin, or TSLP). GlaxoSmithKline plc's Nucala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(mepolizumab) and Teva Pharmaceutical Industries Ltd.'s Cinqair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(reslizumab), both of which are antibodies against IL-5, may also compete with Dupixent in its current or potential future indications. Inhaled products may also compete with Dupixent in potential future indications, including Pieris Pharmaceuticals, Inc.'s PRS-060 (an anticalin being developed in partnership with AstraZeneca against IL-4R) and Novartis' CJM112 (an antibody fragment against thymic stromal lymphopoietin). We are also aware of companies developing or marketing small molecules that may compete with Dupixent in its current or potential future indications. These include Pfizer Inc.'s Eucrisa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(crisaborole), a topical ointment that competes with Dupixent in the atopic dermatitis indication; and JAK inhibitors, such as AbbVie Inc.'s upadacitinib, Pfizer's PF-04965842, and Eli Lilly and Company's Olumiant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(baricitinib).</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i w:val="1"/>
          <w:iCs w:val="1"/>
          <w:color w:val="auto"/>
        </w:rPr>
        <w:t>Praluent</w:t>
      </w:r>
      <w:r>
        <w:rPr>
          <w:rFonts w:ascii="Arial" w:cs="Arial" w:eastAsia="Arial" w:hAnsi="Arial"/>
          <w:sz w:val="18"/>
          <w:szCs w:val="18"/>
          <w:color w:val="auto"/>
        </w:rPr>
        <w:t>. Amgen's Repatha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(evolocumab) has already received regulatory approvals in jurisdictions including the U.S., the EU, and Japan,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captured a significant market share in certain jurisdictions. Amgen may obtain marketing approval for Repatha in one or more additional countries before Praluent is approved in those countries. Repatha has also received regulatory approval for cardiovascular risk reduction.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and gemcabene, which is being developed by Gemphire Therapeutics Inc.</w:t>
      </w:r>
    </w:p>
    <w:p>
      <w:pPr>
        <w:spacing w:after="0" w:line="255" w:lineRule="exact"/>
        <w:rPr>
          <w:sz w:val="20"/>
          <w:szCs w:val="20"/>
          <w:color w:val="auto"/>
        </w:rPr>
      </w:pPr>
    </w:p>
    <w:p>
      <w:pPr>
        <w:jc w:val="both"/>
        <w:ind w:firstLine="162"/>
        <w:spacing w:after="0" w:line="219" w:lineRule="auto"/>
        <w:rPr>
          <w:sz w:val="20"/>
          <w:szCs w:val="20"/>
          <w:color w:val="auto"/>
        </w:rPr>
      </w:pPr>
      <w:r>
        <w:rPr>
          <w:rFonts w:ascii="Arial" w:cs="Arial" w:eastAsia="Arial" w:hAnsi="Arial"/>
          <w:sz w:val="18"/>
          <w:szCs w:val="18"/>
          <w:i w:val="1"/>
          <w:iCs w:val="1"/>
          <w:color w:val="auto"/>
        </w:rPr>
        <w:t>Kevzara</w:t>
      </w:r>
      <w:r>
        <w:rPr>
          <w:rFonts w:ascii="Arial" w:cs="Arial" w:eastAsia="Arial" w:hAnsi="Arial"/>
          <w:sz w:val="18"/>
          <w:szCs w:val="18"/>
          <w:color w:val="auto"/>
        </w:rPr>
        <w:t>. Genentech/Roche and Chugai Pharmaceutical Co., Ltd. are marketing an antibody against IL-6R (Actemra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(tocilizumab))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rheumatoid arthritis that competes with Kevzara. In addition, several other companies, including Alder Biopharmaceuticals, Inc. (in collaboration with Vitaeris Inc. and CSL Limited), Ablynx NV, R-Pharm JSC, BIOCAD, Mycenax Biotech Inc., MICROBIO Group, and Bird Rock Bio, Inc. have antibodies against IL-6 or IL-6R in clinical development. Further, oral, small-molecule JAK inhibitors such as Pfizer's 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 Eli Lilly's Olumiant, Gilead Sciences, Inc.'s filgotinib, and AbbVie's upadacitinib may pose a competitive threat for Kevzara.</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other late-stage and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For cemiplimab, there are several competitors that are marketing or developing antibodies against PD-1 and/or PDL-1, including Bristol-Myers Squibb Company's Opdivo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(nivolumab), Merck &amp; Co., Inc.'s Keytruda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(pembrolizumab), Roche's Tecentriq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(atezolizumab), AstraZeneca's Imfinzi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(durvalumab), Pfizer's Bavencio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(avelumab), Novartis's PDR001, and Celgene Corporation/BeiGene Ltd.'s BGB-A317. Competitors to evinacumab include Ionis Pharmaceuticals, Inc./Akcea Therapeutics, Inc.’s AKCEA-ANGPTL3-LRx, a ligand conjugated antisense drug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41"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EYLEA and Dupixent, Praluent, and Kevzara, respectively.</w:t>
      </w:r>
    </w:p>
    <w:p>
      <w:pPr>
        <w:spacing w:after="0" w:line="27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w:t>
      </w:r>
    </w:p>
    <w:p>
      <w:pPr>
        <w:spacing w:after="0" w:line="225"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If we and Sanofi fail to coordinate our United States sales and marketing efforts effectively, sales of Dupixent, Praluent, or Kevzara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6"/>
          <w:szCs w:val="16"/>
          <w:i w:val="1"/>
          <w:iCs w:val="1"/>
          <w:color w:val="auto"/>
        </w:rPr>
        <w:t>e.g.</w:t>
      </w:r>
      <w:r>
        <w:rPr>
          <w:rFonts w:ascii="Arial" w:cs="Arial" w:eastAsia="Arial" w:hAnsi="Arial"/>
          <w:sz w:val="16"/>
          <w:szCs w:val="16"/>
          <w:color w:val="auto"/>
        </w:rPr>
        <w:t>, is responsible for regulatory filings and negotiations relating to such products and product candidates) in the United States,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may lead negotiations with payors relating to such products and product candidates. We also rely on Sanofi for sales, marketing, and distribution of Dupixent, Praluent, and Kevzara in countries outside the United States.</w:t>
      </w:r>
    </w:p>
    <w:p>
      <w:pPr>
        <w:spacing w:after="0" w:line="22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 obligations thereunder,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 Third Parties -</w:t>
      </w:r>
      <w:r>
        <w:rPr>
          <w:rFonts w:ascii="Arial" w:cs="Arial" w:eastAsia="Arial" w:hAnsi="Arial"/>
          <w:sz w:val="17"/>
          <w:szCs w:val="17"/>
          <w:i w:val="1"/>
          <w:iCs w:val="1"/>
          <w:color w:val="auto"/>
        </w:rPr>
        <w:t xml:space="preserve"> 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7"/>
          <w:szCs w:val="17"/>
          <w:color w:val="auto"/>
        </w:rPr>
        <w:t>" below.</w:t>
      </w:r>
    </w:p>
    <w:p>
      <w:pPr>
        <w:spacing w:after="0" w:line="23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sales of EYLEA in the United States, Bayer's sales of EYLEA in other countries, and sales of Dupixent, Praluent, and Kevzara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with Sanofi, pricing and reimbursement for Dupixent, Praluent, and Kevzara outside the United States is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 In addition, there are proposals to legalize the import of pharmaceuticals from outside the United States into the United States. If such proposals were implemented, our future revenues derived from sales of our marketed products could be reduced.</w:t>
      </w:r>
    </w:p>
    <w:p>
      <w:pPr>
        <w:spacing w:after="0" w:line="22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six months ended June 30, 2018, product sales to two customers accounted on a combined basis for 92%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will be materially harmed.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06"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If we fail to meet the stringent requirements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 result of noncompliance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and regulations described in this paragraph.</w:t>
      </w:r>
    </w:p>
    <w:p>
      <w:pPr>
        <w:spacing w:after="0" w:line="24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 by the comparable regulatory authorities in foreign countries before we can conduct clinical trials of or market that product or any other product in those countries.</w:t>
      </w:r>
    </w:p>
    <w:p>
      <w:pPr>
        <w:spacing w:after="0" w:line="22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Furthermore, some of our product candidates (such as cemiplimab)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are no longer actively dosing patients in the clinical study of fasinumab in chronic low back pain in patients with concomitant osteoarthritis of the knee and hip since this study was using only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0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42"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4"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Dupixent is being studied in additional indications, including atopic dermatitis in adolescent and pediatric patients, asthma, nasal polyps, and eosinophilic esophagitis. There is no guarantee that marketing approval of Dupixent in any of these indications will be successfully obtained. The side effects previously reported for Dupixent include hypersensitivity reactions, conjunctivitis and keratitis, injection-site reactions, eye and eyelid inflammation, and cold sores. These and other complications or side effects could harm further development and/or commercialization of Dupixent.</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EPO, as described in Note 11 to our Condensed Consolidated Financial Statements included in this report.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Note 11 to our Condensed Consolidated Financial Statements.</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and Kevzara (sarilumab), our late-stage antibody-based pipeline includes fasinumab, an antibody to NGF; cemiplimab, an antibody to PD-1, intended for the treatment of certain cancer indications including advanced CSCC; and evinacumab, an antibody to ANGPTL3.</w:t>
      </w:r>
    </w:p>
    <w:p>
      <w:pPr>
        <w:spacing w:after="0" w:line="24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19"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and Kevzara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manufacturing facilities would be inadequate to produce the active pharmaceutical ingredients of (a) our current marketed products, including EYLEA, Dupixent, Praluent, and Kevzara, and (b) our antibody-based product candidates in sufficient clinical quantities if our clinical pipeline advances as planned. In addition to expanding our internal capacity, we intend to rely on our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and Kevzara, and could also delay or require us to discontinue one or more of our clinical development programs. As a result, our business, prospects, operating results, and financial condition could be materially harmed.</w:t>
      </w:r>
    </w:p>
    <w:p>
      <w:pPr>
        <w:spacing w:after="0" w:line="24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or Kevzara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even write off such excess inventory, which could adversely affect our operating results.</w:t>
      </w:r>
    </w:p>
    <w:p>
      <w:pPr>
        <w:spacing w:after="0" w:line="23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currently manufacture all of our bulk drug materials at our manufacturing facilities in Rensselaer, New York and Limerick, Ireland. We would be unable to manufacture these materials if our Rensselaer and Limerick facilities were to cease production due to regulatory requirements or actions, business interruptions, labor shortages or disputes, contaminations, fire, natural disasters, acts of war or terrorism, or other problems.</w:t>
      </w:r>
    </w:p>
    <w:p>
      <w:pPr>
        <w:spacing w:after="0" w:line="22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3"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0"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3"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 xml:space="preserve">The current U.S. administration and Congress could carry out significant changes in legislation, regulation, and government policy (including with respect to the possible repeal of all or portions of the PPACA, possible government reimbursement changes and drug price control measures, and possible changes in the existing treaty and trade relationships with other countries), as evidenced by statements and recent actions of the current president and certain members of Congress (including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 extent of reimbursement from third-party payers, and</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such reimbursement may materially harm our business, prospects, operating results, and financial condition</w:t>
      </w:r>
      <w:r>
        <w:rPr>
          <w:rFonts w:ascii="Arial" w:cs="Arial" w:eastAsia="Arial" w:hAnsi="Arial"/>
          <w:sz w:val="16"/>
          <w:szCs w:val="16"/>
          <w:color w:val="auto"/>
        </w:rPr>
        <w:t>"). While it is not possible to predict</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For example, on June 23, 2016, the United Kingdom held a referendum in which voters approved an exit from the EU, commonly referred to as "Brexit." As a result of the referendum, the British government has begun negotiating the terms of the United Kingdom's future relationship with the EU. We do not know to what extent Brexit will impact the business and regulatory environment in the United Kingdom, the rest of the EU, or other countries. We have large-scale manufacturing operations in Limerick, Ireland and have also established an office in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On December 22, 2017, President Trump signed into law H.R.1., "An Act to provide for reconciliation pursuant to titles II and V of the concurrent resolution on the budget for fiscal year 2018" (also known as the "Tax Cuts and Jobs Act") (the Act). Most of the provisions of the Act went into effect on January 1, 2018. The Act includes a number of provisions that are expected to impact our operating results, cash flows, and financial condition, including reducing the U.S. federal corporate tax rate from 35% to 21%, changing the taxation of foreign earnings (including taxation of certain global intangible low-taxed income), allowing for a foreign-derived intangible income deduction and immediate expensing of qualified assets, repealing the deduction for domestic manufacturing, and imposing further limitations on the deductibility of executive compensation.</w:t>
      </w:r>
    </w:p>
    <w:p>
      <w:pPr>
        <w:spacing w:after="0" w:line="23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24"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General Data Protection Regulation (GDPR) that recently replaced the EU Data Protection Directive and is being enforced in the European Union.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3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rely heavily on funding from Sanofi to support certain research and development programs, including our immuno-oncology research and development programs. Sanofi has committed to reimburse us for up to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Dupixent, Praluent, Kevzara, and REGN3500, which Sanofi co-develops with us under our Antibody Collaboration, or for products or product candidates for which Sanofi is the principal controlling party under our IO Collaboration, we rely on Sanofi to lead much of the</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0"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 development efforts and assist with obtaining and maintaining regulatory approval. Following regulatory approval, we also rely on Sanofi to lead (i) the commercialization efforts of Dupixent, Praluent, Kevzara, and REGN3500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If Sanofi does not elect to co-develop the product candidates discovered under our IO Collaboration or opts out of their development, unless we enter into a collaboration agreement with another party, we would be required to fund and conduct on our own the clinical trials, regulatory activities, and the ensuing commercialization efforts to support those antibody-based products. For example, under our Antibody Collaboration, Sanofi elected not to continue co-development of fasinumab and trevogrumab, and decided not to opt in to the evinacumab and other programs. In addition, as previously reported, we will now be required to fund all of our antibody discovery activities and the research and preclinical development activities of our drug candidates (other than those funded under the IO Discovery and Development Agreement or other collaboration agreements), as Sanofi’s funding obligations under the Antibody Discovery Agreement have ceased.</w:t>
      </w:r>
    </w:p>
    <w:p>
      <w:pPr>
        <w:spacing w:after="0" w:line="243"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as well as cemiplimab and any other product candidates potentially commercialized under our IO Collaboration (see also "Risks Related to Commercialization of Products - </w:t>
      </w:r>
      <w:r>
        <w:rPr>
          <w:rFonts w:ascii="Arial" w:cs="Arial" w:eastAsia="Arial" w:hAnsi="Arial"/>
          <w:sz w:val="16"/>
          <w:szCs w:val="16"/>
          <w:i w:val="1"/>
          <w:iCs w:val="1"/>
          <w:color w:val="auto"/>
        </w:rPr>
        <w:t>If we need to establish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capabilities outside the United States and are unable to do so, our business, prospects, operating results, and financial condition may be adversely affected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above). Termination of the License and Collaboration Agreement or the IO License and Collaboration Agreement would create substantial new and additional risks to the successful development and commercialization of (i) Dupixent, Praluent, and Kevzara and (ii) cemiplimab and any other product candidate potentially commercialized under the IO License and Collaboration Agreement, respectively, particularly outside the United States.</w:t>
      </w:r>
    </w:p>
    <w:p>
      <w:pPr>
        <w:spacing w:after="0" w:line="22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7"/>
          <w:szCs w:val="17"/>
          <w:i w:val="1"/>
          <w:iCs w:val="1"/>
          <w:color w:val="auto"/>
        </w:rPr>
        <w:t>If we need to establish commercial capabilities outside</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and are unable to do so, our business, prospects, operating results, and financial condition may be adversely affected</w:t>
      </w:r>
      <w:r>
        <w:rPr>
          <w:rFonts w:ascii="Arial" w:cs="Arial" w:eastAsia="Arial" w:hAnsi="Arial"/>
          <w:sz w:val="17"/>
          <w:szCs w:val="17"/>
          <w:color w:val="auto"/>
        </w:rPr>
        <w:t>" above).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Bayer collaboration agreement would create substantial new and additional risks to the successful commercialization of EYLEA outside the United States.</w:t>
      </w:r>
    </w:p>
    <w:p>
      <w:pPr>
        <w:spacing w:after="0" w:line="24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and Kevzara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As of June 30, 2018, we had $917.9 million in cash and cash equivalents and $2,810.3 million in marketable securities (including $85.6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such declines may have an adverse effect on our financial condition and operating results.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product sales of our marketed products, in particular EYLEA and Dupixent, as well as our overall operating results;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Arial" w:cs="Arial" w:eastAsia="Arial" w:hAnsi="Arial"/>
          <w:sz w:val="17"/>
          <w:szCs w:val="17"/>
          <w:i w:val="1"/>
          <w:iCs w:val="1"/>
          <w:color w:val="auto"/>
        </w:rPr>
        <w:t>Our existing shareholders may be able</w:t>
      </w:r>
      <w:r>
        <w:rPr>
          <w:rFonts w:ascii="Arial" w:cs="Arial" w:eastAsia="Arial" w:hAnsi="Arial"/>
          <w:sz w:val="17"/>
          <w:szCs w:val="17"/>
          <w:color w:val="auto"/>
        </w:rPr>
        <w:t xml:space="preserve"> </w:t>
      </w:r>
      <w:r>
        <w:rPr>
          <w:rFonts w:ascii="Arial" w:cs="Arial" w:eastAsia="Arial" w:hAnsi="Arial"/>
          <w:sz w:val="17"/>
          <w:szCs w:val="17"/>
          <w:i w:val="1"/>
          <w:iCs w:val="1"/>
          <w:color w:val="auto"/>
        </w:rPr>
        <w:t>to exert significant influence over matters requiring shareholder approval and over our management</w:t>
      </w:r>
      <w:r>
        <w:rPr>
          <w:rFonts w:ascii="Arial" w:cs="Arial" w:eastAsia="Arial" w:hAnsi="Arial"/>
          <w:sz w:val="17"/>
          <w:szCs w:val="17"/>
          <w:color w:val="auto"/>
        </w:rPr>
        <w:t>"). As a result, the public float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June 30, 2018, our five largest shareholders plus Dr. Schleifer, our Chief Executive Officer, beneficially owned approximately 43.6% of our outstanding shares of Common Stock, assuming, in the case of our Chief Executive Officer, the conversion of his Class A Stock into Common Stock and the exercise of all options held by him which are exercisable within 60 days of June 30, 2018. As of June 30, 2018, Sanofi beneficially owned 23,758,936 shares of our Common Stock, representing approximately 22.4%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1,278,399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 influence over matters requiring shareholder approval and over our</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 and which currently remain available to be sold in accordance with the letter agreement). These restrictions on dispositions are subject to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2018, holders of Class A Stock held 15.3%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2018:</w:t>
      </w:r>
    </w:p>
    <w:p>
      <w:pPr>
        <w:spacing w:after="0" w:line="97"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9.7% of our outstanding shares of Common Stock, assuming conversion of their Class A Stock into Common Stock and the exercise of all options held by such persons which are exercisable within 60 days of June 30, 2018, and 20.5% of the combined voting power of our outstanding shares of Common Stock and Class A Stock, assuming the exercise of all options held by such persons which are exercisable within 60 days of June 30, 2018;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43.6% of our outstanding shares of Common Stock, assuming, in the case of our Chief Executive Officer, the conversion of his Class A Stock into Common Stock and the exercise of all options held by him which are exercisable within 60 days of June 30, 2018. In addition, these five shareholders plus our Chief Executive Officer held approximately 49.9% of the combined voting power of our outstanding shares of Common Stock and Class A Stock, assuming the exercise of all options held by our Chief Executive Officer which are exercisable within 60 days of June 30, 2018.</w:t>
      </w:r>
    </w:p>
    <w:p>
      <w:pPr>
        <w:spacing w:after="0" w:line="9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98"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cemiplimab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cemiplimab development costs under the IO License and Collaboration Agreement for the quarterly periods commencing on October 1, 2017 and ending on September 30, 2020 by selling up to 800,000 shares of our Common Stock directly or indirectly owned by Sanofi (of which 678,399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Similarly, under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5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one of our long-term incentive plans in the second quarter of 2018.</w:t>
      </w:r>
    </w:p>
    <w:p>
      <w:pPr>
        <w:spacing w:after="0" w:line="356"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(or Units) Purchased as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(or Units) that</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Purchased</w:t>
            </w:r>
          </w:p>
        </w:tc>
        <w:tc>
          <w:tcPr>
            <w:tcW w:w="1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Share (or Unit)</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358"/>
        </w:trPr>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6/1/2018–6/30/2018</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310.63</w:t>
            </w:r>
          </w:p>
        </w:tc>
        <w:tc>
          <w:tcPr>
            <w:tcW w:w="100" w:type="dxa"/>
            <w:vAlign w:val="bottom"/>
          </w:tcPr>
          <w:p>
            <w:pPr>
              <w:spacing w:after="0"/>
              <w:rPr>
                <w:sz w:val="24"/>
                <w:szCs w:val="24"/>
                <w:color w:val="auto"/>
              </w:rPr>
            </w:pP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table reflects shares of Common Stock we elected to purchase from Sanofi during the second quarter of 2018 pursuant to the terms of the Letter Agreement and in satisfaction Sanofi's funding obligation related to cemiplimab development costs incurred under the IO License and Collaboration Agreement. See Part I, Item 2. "Management's Discussion and Analysis of Financial Condition and Results of Operations - Collaboration Agreements - Collaborations with Sanofi" for further information.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(or Units) Purchased as</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of Shares (or Units) that</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Period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(or Units) Purchased</w:t>
            </w:r>
          </w:p>
        </w:tc>
        <w:tc>
          <w:tcPr>
            <w:tcW w:w="1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Share (or Unit)</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4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358"/>
        </w:trPr>
        <w:tc>
          <w:tcPr>
            <w:tcW w:w="400" w:type="dxa"/>
            <w:vAlign w:val="bottom"/>
          </w:tcPr>
          <w:p>
            <w:pPr>
              <w:spacing w:after="0"/>
              <w:rPr>
                <w:sz w:val="24"/>
                <w:szCs w:val="24"/>
                <w:color w:val="auto"/>
              </w:rPr>
            </w:pPr>
          </w:p>
        </w:tc>
        <w:tc>
          <w:tcPr>
            <w:tcW w:w="204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6/1/2018–6/30/2018</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121,601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309.31</w:t>
            </w:r>
          </w:p>
        </w:tc>
        <w:tc>
          <w:tcPr>
            <w:tcW w:w="100" w:type="dxa"/>
            <w:vAlign w:val="bottom"/>
          </w:tcPr>
          <w:p>
            <w:pPr>
              <w:spacing w:after="0"/>
              <w:rPr>
                <w:sz w:val="24"/>
                <w:szCs w:val="24"/>
                <w:color w:val="auto"/>
              </w:rPr>
            </w:pP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486"/>
        </w:trPr>
        <w:tc>
          <w:tcPr>
            <w:tcW w:w="202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6"/>
        </w:trPr>
        <w:tc>
          <w:tcPr>
            <w:tcW w:w="2020" w:type="dxa"/>
            <w:vAlign w:val="bottom"/>
            <w:gridSpan w:val="6"/>
          </w:tcPr>
          <w:p>
            <w:pPr>
              <w:spacing w:after="0"/>
              <w:rPr>
                <w:sz w:val="20"/>
                <w:szCs w:val="20"/>
                <w:color w:val="auto"/>
              </w:rPr>
            </w:pPr>
            <w:r>
              <w:rPr>
                <w:rFonts w:ascii="Arial" w:cs="Arial" w:eastAsia="Arial" w:hAnsi="Arial"/>
                <w:sz w:val="18"/>
                <w:szCs w:val="18"/>
                <w:color w:val="auto"/>
              </w:rPr>
              <w:t>(a)   Exhibits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2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8"/>
        </w:trPr>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960" w:type="dxa"/>
            <w:vAlign w:val="bottom"/>
            <w:gridSpan w:val="2"/>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w:anchor="page77">
              <w:r>
                <w:rPr>
                  <w:rFonts w:ascii="Arial" w:cs="Arial" w:eastAsia="Arial" w:hAnsi="Arial"/>
                  <w:sz w:val="18"/>
                  <w:szCs w:val="18"/>
                  <w:color w:val="0000FF"/>
                  <w:w w:val="91"/>
                </w:rPr>
                <w:t>Certification of Principal Executive Officer pursuant to Rule 13a-14(a) under the Securities Exchange Act of 1934.</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Pr>
          <w:p>
            <w:pPr>
              <w:spacing w:after="0"/>
              <w:rPr>
                <w:sz w:val="21"/>
                <w:szCs w:val="21"/>
                <w:color w:val="auto"/>
              </w:rPr>
            </w:pPr>
          </w:p>
        </w:tc>
      </w:tr>
      <w:tr>
        <w:trPr>
          <w:trHeight w:val="203"/>
        </w:trPr>
        <w:tc>
          <w:tcPr>
            <w:tcW w:w="1540" w:type="dxa"/>
            <w:vAlign w:val="bottom"/>
            <w:gridSpan w:val="4"/>
          </w:tcPr>
          <w:p>
            <w:pPr>
              <w:ind w:left="980"/>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0" w:type="dxa"/>
            <w:vAlign w:val="bottom"/>
            <w:gridSpan w:val="14"/>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of Principal Financial Officer pursuant to Rule 13a-14(a) under the Securities Exchange Act of 1934.</w:t>
              </w:r>
            </w:hyperlink>
          </w:p>
        </w:tc>
      </w:tr>
      <w:tr>
        <w:trPr>
          <w:trHeight w:val="20"/>
        </w:trPr>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34290</wp:posOffset>
            </wp:positionV>
            <wp:extent cx="6054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54725" cy="171450"/>
                    </a:xfrm>
                    <a:prstGeom prst="rect">
                      <a:avLst/>
                    </a:prstGeom>
                    <a:noFill/>
                  </pic:spPr>
                </pic:pic>
              </a:graphicData>
            </a:graphic>
          </wp:anchor>
        </w:drawing>
      </w:r>
    </w:p>
    <w:p>
      <w:pPr>
        <w:spacing w:after="0" w:line="47" w:lineRule="exact"/>
        <w:rPr>
          <w:sz w:val="20"/>
          <w:szCs w:val="20"/>
          <w:color w:val="auto"/>
        </w:rPr>
      </w:pPr>
    </w:p>
    <w:p>
      <w:pPr>
        <w:ind w:left="2020" w:hanging="1046"/>
        <w:spacing w:after="0"/>
        <w:tabs>
          <w:tab w:leader="none" w:pos="2020" w:val="left"/>
        </w:tabs>
        <w:numPr>
          <w:ilvl w:val="0"/>
          <w:numId w:val="22"/>
        </w:numPr>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63"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8640" w:type="dxa"/>
            <w:vAlign w:val="bottom"/>
          </w:tcPr>
          <w:p>
            <w:pPr>
              <w:ind w:left="180"/>
              <w:spacing w:after="0"/>
              <w:rPr>
                <w:sz w:val="20"/>
                <w:szCs w:val="20"/>
                <w:color w:val="auto"/>
              </w:rPr>
            </w:pPr>
            <w:r>
              <w:rPr>
                <w:rFonts w:ascii="Arial" w:cs="Arial" w:eastAsia="Arial" w:hAnsi="Arial"/>
                <w:sz w:val="18"/>
                <w:szCs w:val="18"/>
                <w:color w:val="auto"/>
              </w:rPr>
              <w:t>Interactive Data File</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8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6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880" w:type="dxa"/>
            <w:vAlign w:val="bottom"/>
          </w:tcPr>
          <w:p>
            <w:pPr>
              <w:ind w:left="20"/>
              <w:spacing w:after="0"/>
              <w:rPr>
                <w:sz w:val="20"/>
                <w:szCs w:val="20"/>
                <w:color w:val="auto"/>
              </w:rPr>
            </w:pPr>
            <w:r>
              <w:rPr>
                <w:rFonts w:ascii="Arial" w:cs="Arial" w:eastAsia="Arial" w:hAnsi="Arial"/>
                <w:sz w:val="18"/>
                <w:szCs w:val="18"/>
                <w:color w:val="auto"/>
              </w:rPr>
              <w:t>______</w:t>
            </w:r>
          </w:p>
        </w:tc>
        <w:tc>
          <w:tcPr>
            <w:tcW w:w="8640" w:type="dxa"/>
            <w:vAlign w:val="bottom"/>
          </w:tcPr>
          <w:p>
            <w:pPr>
              <w:spacing w:after="0"/>
              <w:rPr>
                <w:sz w:val="23"/>
                <w:szCs w:val="23"/>
                <w:color w:val="auto"/>
              </w:rPr>
            </w:pPr>
          </w:p>
        </w:tc>
      </w:tr>
      <w:tr>
        <w:trPr>
          <w:trHeight w:val="824"/>
        </w:trPr>
        <w:tc>
          <w:tcPr>
            <w:tcW w:w="880" w:type="dxa"/>
            <w:vAlign w:val="bottom"/>
          </w:tcPr>
          <w:p>
            <w:pPr>
              <w:spacing w:after="0"/>
              <w:rPr>
                <w:sz w:val="24"/>
                <w:szCs w:val="24"/>
                <w:color w:val="auto"/>
              </w:rPr>
            </w:pPr>
          </w:p>
        </w:tc>
        <w:tc>
          <w:tcPr>
            <w:tcW w:w="8640" w:type="dxa"/>
            <w:vAlign w:val="bottom"/>
          </w:tcPr>
          <w:p>
            <w:pPr>
              <w:ind w:left="378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August 2, 2018</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79" w:name="page80"/>
    <w:bookmarkEnd w:id="79"/>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2018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2, 2018</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2, 2018</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Ÿ"/>
      <w:numFmt w:val="bullet"/>
      <w:start w:val="1"/>
    </w:lvl>
  </w:abstractNum>
  <w:abstractNum w:abstractNumId="5">
    <w:nsid w:val="41A7C4C9"/>
    <w:multiLevelType w:val="hybridMultilevel"/>
    <w:lvl w:ilvl="0">
      <w:lvlJc w:val="left"/>
      <w:lvlText w:val="Ÿ"/>
      <w:numFmt w:val="bullet"/>
      <w:start w:val="1"/>
    </w:lvl>
  </w:abstractNum>
  <w:abstractNum w:abstractNumId="6">
    <w:nsid w:val="6B68079A"/>
    <w:multiLevelType w:val="hybridMultilevel"/>
    <w:lvl w:ilvl="0">
      <w:lvlJc w:val="left"/>
      <w:lvlText w:val="Ÿ"/>
      <w:numFmt w:val="bullet"/>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Ÿ"/>
      <w:numFmt w:val="bullet"/>
      <w:start w:val="1"/>
    </w:lvl>
  </w:abstractNum>
  <w:abstractNum w:abstractNumId="9">
    <w:nsid w:val="519B500D"/>
    <w:multiLevelType w:val="hybridMultilevel"/>
    <w:lvl w:ilvl="0">
      <w:lvlJc w:val="left"/>
      <w:lvlText w:val="Ÿ"/>
      <w:numFmt w:val="bullet"/>
      <w:start w:val="1"/>
    </w:lvl>
  </w:abstractNum>
  <w:abstractNum w:abstractNumId="10">
    <w:nsid w:val="431BD7B7"/>
    <w:multiLevelType w:val="hybridMultilevel"/>
    <w:lvl w:ilvl="0">
      <w:lvlJc w:val="left"/>
      <w:lvlText w:val="Ÿ"/>
      <w:numFmt w:val="bullet"/>
      <w:start w:val="1"/>
    </w:lvl>
  </w:abstractNum>
  <w:abstractNum w:abstractNumId="11">
    <w:nsid w:val="3F2DBA31"/>
    <w:multiLevelType w:val="hybridMultilevel"/>
    <w:lvl w:ilvl="0">
      <w:lvlJc w:val="left"/>
      <w:lvlText w:val="Ÿ"/>
      <w:numFmt w:val="bullet"/>
      <w:start w:val="1"/>
    </w:lvl>
  </w:abstractNum>
  <w:abstractNum w:abstractNumId="12">
    <w:nsid w:val="7C83E458"/>
    <w:multiLevelType w:val="hybridMultilevel"/>
    <w:lvl w:ilvl="0">
      <w:lvlJc w:val="left"/>
      <w:lvlText w:val="Ÿ"/>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Roman"/>
      <w:start w:val="4"/>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2019-12-28T20:35:47Z</dcterms:created>
  <dcterms:modified xsi:type="dcterms:W3CDTF">2019-12-28T20:35:47Z</dcterms:modified>
</cp:coreProperties>
</file>