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5, 2013</w:t>
      </w:r>
    </w:p>
    <w:p>
      <w:pPr>
        <w:spacing w:after="0" w:line="4"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74295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Regeneron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tbl>
      <w:tblPr>
        <w:tblLayout w:type="fixed"/>
        <w:tblInd w:w="1920" w:type="dxa"/>
        <w:tblCellMar>
          <w:top w:w="0" w:type="dxa"/>
          <w:left w:w="0" w:type="dxa"/>
          <w:bottom w:w="0" w:type="dxa"/>
          <w:right w:w="0" w:type="dxa"/>
        </w:tblCellMar>
      </w:tblPr>
      <w:tr>
        <w:trPr>
          <w:trHeight w:val="194"/>
        </w:trPr>
        <w:tc>
          <w:tcPr>
            <w:tcW w:w="4060" w:type="dxa"/>
            <w:vAlign w:val="bottom"/>
          </w:tcPr>
          <w:p>
            <w:pPr>
              <w:jc w:val="center"/>
              <w:ind w:right="2045"/>
              <w:spacing w:after="0"/>
              <w:rPr>
                <w:sz w:val="20"/>
                <w:szCs w:val="20"/>
                <w:color w:val="auto"/>
              </w:rPr>
            </w:pPr>
            <w:r>
              <w:rPr>
                <w:rFonts w:ascii="Arial" w:cs="Arial" w:eastAsia="Arial" w:hAnsi="Arial"/>
                <w:sz w:val="16"/>
                <w:szCs w:val="16"/>
                <w:b w:val="1"/>
                <w:bCs w:val="1"/>
                <w:color w:val="auto"/>
                <w:w w:val="95"/>
              </w:rPr>
              <w:t>New York</w:t>
            </w:r>
          </w:p>
        </w:tc>
        <w:tc>
          <w:tcPr>
            <w:tcW w:w="324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13-3444607</w:t>
            </w:r>
          </w:p>
        </w:tc>
      </w:tr>
      <w:tr>
        <w:trPr>
          <w:trHeight w:val="149"/>
        </w:trPr>
        <w:tc>
          <w:tcPr>
            <w:tcW w:w="4060" w:type="dxa"/>
            <w:vAlign w:val="bottom"/>
          </w:tcPr>
          <w:p>
            <w:pPr>
              <w:jc w:val="center"/>
              <w:ind w:right="20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5"/>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847-7000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Joseph J. LaRosa,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 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847-7000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With a copy to:</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J. Goldschmidt,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Skadden, Arps, Slate, Meagher &amp; Flom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Four Times Square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10036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(212) 735-3000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ind w:right="360"/>
        <w:spacing w:after="0" w:line="282" w:lineRule="auto"/>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 as determined by the Registrant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3" w:lineRule="exact"/>
        <w:rPr>
          <w:sz w:val="24"/>
          <w:szCs w:val="24"/>
          <w:color w:val="auto"/>
        </w:rPr>
      </w:pPr>
    </w:p>
    <w:p>
      <w:pPr>
        <w:ind w:right="48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1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12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6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120" w:firstLine="342"/>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540" w:type="dxa"/>
            <w:vAlign w:val="bottom"/>
            <w:gridSpan w:val="2"/>
          </w:tcPr>
          <w:p>
            <w:pPr>
              <w:spacing w:after="0"/>
              <w:rPr>
                <w:sz w:val="20"/>
                <w:szCs w:val="20"/>
                <w:color w:val="auto"/>
              </w:rPr>
            </w:pPr>
            <w:r>
              <w:rPr>
                <w:rFonts w:ascii="Arial" w:cs="Arial" w:eastAsia="Arial" w:hAnsi="Arial"/>
                <w:sz w:val="16"/>
                <w:szCs w:val="16"/>
                <w:color w:val="auto"/>
                <w:w w:val="95"/>
              </w:rPr>
              <w:t>Large accelerated filer</w:t>
            </w:r>
          </w:p>
        </w:tc>
        <w:tc>
          <w:tcPr>
            <w:tcW w:w="24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980" w:type="dxa"/>
            <w:vAlign w:val="bottom"/>
            <w:gridSpan w:val="2"/>
          </w:tcPr>
          <w:p>
            <w:pPr>
              <w:ind w:left="860"/>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11"/>
        </w:trPr>
        <w:tc>
          <w:tcPr>
            <w:tcW w:w="1540" w:type="dxa"/>
            <w:vAlign w:val="bottom"/>
            <w:gridSpan w:val="2"/>
          </w:tcPr>
          <w:p>
            <w:pPr>
              <w:spacing w:after="0"/>
              <w:rPr>
                <w:sz w:val="20"/>
                <w:szCs w:val="20"/>
                <w:color w:val="auto"/>
              </w:rPr>
            </w:pPr>
            <w:r>
              <w:rPr>
                <w:rFonts w:ascii="Arial" w:cs="Arial" w:eastAsia="Arial" w:hAnsi="Arial"/>
                <w:sz w:val="16"/>
                <w:szCs w:val="16"/>
                <w:color w:val="auto"/>
              </w:rPr>
              <w:t>Non-accelerated filer</w:t>
            </w:r>
          </w:p>
        </w:tc>
        <w:tc>
          <w:tcPr>
            <w:tcW w:w="5360" w:type="dxa"/>
            <w:vAlign w:val="bottom"/>
            <w:gridSpan w:val="5"/>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1360" w:type="dxa"/>
            <w:vAlign w:val="bottom"/>
          </w:tcPr>
          <w:p>
            <w:pPr>
              <w:spacing w:after="0"/>
              <w:rPr>
                <w:sz w:val="24"/>
                <w:szCs w:val="24"/>
                <w:color w:val="auto"/>
              </w:rPr>
            </w:pPr>
          </w:p>
        </w:tc>
        <w:tc>
          <w:tcPr>
            <w:tcW w:w="2980" w:type="dxa"/>
            <w:vAlign w:val="bottom"/>
            <w:gridSpan w:val="2"/>
          </w:tcPr>
          <w:p>
            <w:pPr>
              <w:ind w:left="860"/>
              <w:spacing w:after="0"/>
              <w:rPr>
                <w:sz w:val="20"/>
                <w:szCs w:val="20"/>
                <w:color w:val="auto"/>
              </w:rPr>
            </w:pPr>
            <w:r>
              <w:rPr>
                <w:rFonts w:ascii="Arial" w:cs="Arial" w:eastAsia="Arial" w:hAnsi="Arial"/>
                <w:sz w:val="16"/>
                <w:szCs w:val="16"/>
                <w:color w:val="auto"/>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260" w:type="dxa"/>
            <w:vAlign w:val="bottom"/>
            <w:gridSpan w:val="5"/>
          </w:tcPr>
          <w:p>
            <w:pPr>
              <w:ind w:left="160"/>
              <w:spacing w:after="0"/>
              <w:rPr>
                <w:sz w:val="20"/>
                <w:szCs w:val="20"/>
                <w:color w:val="auto"/>
              </w:rPr>
            </w:pPr>
            <w:r>
              <w:rPr>
                <w:rFonts w:ascii="Arial" w:cs="Arial" w:eastAsia="Arial" w:hAnsi="Arial"/>
                <w:sz w:val="16"/>
                <w:szCs w:val="16"/>
                <w:b w:val="1"/>
                <w:bCs w:val="1"/>
                <w:color w:val="auto"/>
              </w:rPr>
              <w:t>CALCULATION OF REGISTRATION FEE</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8"/>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60" w:type="dxa"/>
            <w:vAlign w:val="bottom"/>
          </w:tcPr>
          <w:p>
            <w:pPr>
              <w:jc w:val="center"/>
              <w:ind w:right="423"/>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5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8"/>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2"/>
              </w:rPr>
              <w:t>Aggregate</w:t>
            </w:r>
          </w:p>
        </w:tc>
        <w:tc>
          <w:tcPr>
            <w:tcW w:w="1380" w:type="dxa"/>
            <w:vAlign w:val="bottom"/>
          </w:tcPr>
          <w:p>
            <w:pPr>
              <w:jc w:val="center"/>
              <w:ind w:left="205"/>
              <w:spacing w:after="0" w:line="158" w:lineRule="exact"/>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center"/>
              <w:ind w:right="423"/>
              <w:spacing w:after="0"/>
              <w:rPr>
                <w:sz w:val="20"/>
                <w:szCs w:val="20"/>
                <w:color w:val="auto"/>
              </w:rPr>
            </w:pPr>
            <w:r>
              <w:rPr>
                <w:rFonts w:ascii="Arial" w:cs="Arial" w:eastAsia="Arial" w:hAnsi="Arial"/>
                <w:sz w:val="14"/>
                <w:szCs w:val="14"/>
                <w:b w:val="1"/>
                <w:bCs w:val="1"/>
                <w:color w:val="auto"/>
                <w:w w:val="91"/>
              </w:rPr>
              <w:t>Securities to be Registered(1)</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38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91"/>
              </w:rPr>
              <w:t>Registration Fee</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Common Stock, Preferred Stock, Debt Securities, Warrants</w:t>
            </w:r>
          </w:p>
        </w:tc>
        <w:tc>
          <w:tcPr>
            <w:tcW w:w="1060" w:type="dxa"/>
            <w:vAlign w:val="bottom"/>
            <w:tcBorders>
              <w:bottom w:val="single" w:sz="8" w:color="auto"/>
              <w:right w:val="single" w:sz="8" w:color="auto"/>
            </w:tcBorders>
            <w:gridSpan w:val="2"/>
          </w:tcPr>
          <w:p>
            <w:pPr>
              <w:spacing w:after="0"/>
              <w:rPr>
                <w:sz w:val="17"/>
                <w:szCs w:val="17"/>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6"/>
                <w:szCs w:val="16"/>
                <w:color w:val="auto"/>
              </w:rPr>
              <w:t>(2)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6"/>
                <w:szCs w:val="16"/>
                <w:color w:val="auto"/>
              </w:rPr>
              <w:t>(2)</w:t>
            </w:r>
          </w:p>
        </w:tc>
        <w:tc>
          <w:tcPr>
            <w:tcW w:w="1380" w:type="dxa"/>
            <w:vAlign w:val="bottom"/>
            <w:tcBorders>
              <w:bottom w:val="single" w:sz="8" w:color="auto"/>
            </w:tcBorders>
          </w:tcPr>
          <w:p>
            <w:pPr>
              <w:jc w:val="center"/>
              <w:ind w:left="185"/>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Securities registered hereunder may be sold separately, together or as units with other securities registered hereunder.</w:t>
      </w:r>
    </w:p>
    <w:p>
      <w:pPr>
        <w:spacing w:after="0" w:line="22" w:lineRule="exact"/>
        <w:rPr>
          <w:rFonts w:ascii="Arial" w:cs="Arial" w:eastAsia="Arial" w:hAnsi="Arial"/>
          <w:sz w:val="16"/>
          <w:szCs w:val="16"/>
          <w:color w:val="auto"/>
        </w:rPr>
      </w:pPr>
    </w:p>
    <w:p>
      <w:pPr>
        <w:ind w:left="340" w:right="120" w:hanging="332"/>
        <w:spacing w:after="0" w:line="270"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are registering an indeterminate aggregate principal amount and number of securities of each identified class of securities, which may be offered from time to time in unspecified numbers and at indeterminate prices, and as may be issuable upon conversion, redemption, repurchase, exchange or exercise of any securities registered hereunder, including under any applicable anti-dilution provisions. Separate consideration may or may not be received for securities that are issuable on exercise, conversion or exchange of other securities. In accordance with Rules 456(b) and 457(r) under the Securities Act, the registrant is deferring payment of the entire registration fee. Registration fees will be paid subsequently on a pay-as-you-go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06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stock, preferred stock or debt securities.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81"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2" w:lineRule="exact"/>
        <w:rPr>
          <w:sz w:val="20"/>
          <w:szCs w:val="20"/>
          <w:color w:val="auto"/>
        </w:rPr>
      </w:pPr>
    </w:p>
    <w:p>
      <w:pPr>
        <w:ind w:right="90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before you make your investment decision.</w:t>
      </w:r>
    </w:p>
    <w:p>
      <w:pPr>
        <w:spacing w:after="0" w:line="17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November 5, 2013.</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0" w:type="dxa"/>
            <w:vAlign w:val="bottom"/>
          </w:tcPr>
          <w:p>
            <w:pPr>
              <w:jc w:val="right"/>
              <w:ind w:right="455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4520" w:type="dxa"/>
            <w:vAlign w:val="bottom"/>
            <w:gridSpan w:val="1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80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45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Regarding Forward-Looking Statements</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 Regarding Trademarks</w:t>
              </w:r>
            </w:hyperlink>
          </w:p>
        </w:tc>
        <w:tc>
          <w:tcPr>
            <w:tcW w:w="2460" w:type="dxa"/>
            <w:vAlign w:val="bottom"/>
            <w:gridSpan w:val="4"/>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452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600" w:type="dxa"/>
            <w:vAlign w:val="bottom"/>
            <w:gridSpan w:val="11"/>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3340" w:type="dxa"/>
            <w:vAlign w:val="bottom"/>
            <w:gridSpan w:val="9"/>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52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 of Earnings to Fixed Charges</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Description of Securities</w:t>
              </w:r>
            </w:hyperlink>
          </w:p>
        </w:tc>
        <w:tc>
          <w:tcPr>
            <w:tcW w:w="740" w:type="dxa"/>
            <w:vAlign w:val="bottom"/>
            <w:tcBorders>
              <w:top w:val="single" w:sz="8" w:color="0000EE"/>
            </w:tcBorders>
            <w:gridSpan w:val="3"/>
          </w:tcPr>
          <w:p>
            <w:pPr>
              <w:spacing w:after="0"/>
              <w:rPr>
                <w:sz w:val="17"/>
                <w:szCs w:val="17"/>
                <w:color w:val="auto"/>
              </w:rPr>
            </w:pPr>
          </w:p>
        </w:tc>
        <w:tc>
          <w:tcPr>
            <w:tcW w:w="1980" w:type="dxa"/>
            <w:vAlign w:val="bottom"/>
            <w:gridSpan w:val="2"/>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52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Description of Debt Securities</w:t>
              </w:r>
            </w:hyperlink>
          </w:p>
        </w:tc>
        <w:tc>
          <w:tcPr>
            <w:tcW w:w="2320" w:type="dxa"/>
            <w:vAlign w:val="bottom"/>
            <w:gridSpan w:val="3"/>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Description of Warrants</w:t>
              </w:r>
            </w:hyperlink>
          </w:p>
        </w:tc>
        <w:tc>
          <w:tcPr>
            <w:tcW w:w="2780" w:type="dxa"/>
            <w:vAlign w:val="bottom"/>
            <w:gridSpan w:val="6"/>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Plan of Distribution</w:t>
              </w:r>
            </w:hyperlink>
          </w:p>
        </w:tc>
        <w:tc>
          <w:tcPr>
            <w:tcW w:w="3080" w:type="dxa"/>
            <w:vAlign w:val="bottom"/>
            <w:gridSpan w:val="8"/>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Legal Matters</w:t>
              </w:r>
            </w:hyperlink>
          </w:p>
        </w:tc>
        <w:tc>
          <w:tcPr>
            <w:tcW w:w="3500" w:type="dxa"/>
            <w:vAlign w:val="bottom"/>
            <w:gridSpan w:val="10"/>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Experts</w:t>
              </w:r>
            </w:hyperlink>
          </w:p>
        </w:tc>
        <w:tc>
          <w:tcPr>
            <w:tcW w:w="3960" w:type="dxa"/>
            <w:vAlign w:val="bottom"/>
            <w:gridSpan w:val="13"/>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Where You Can Find More Information</w:t>
              </w:r>
            </w:hyperlink>
          </w:p>
        </w:tc>
        <w:tc>
          <w:tcPr>
            <w:tcW w:w="1640" w:type="dxa"/>
            <w:vAlign w:val="bottom"/>
          </w:tcPr>
          <w:p>
            <w:pPr>
              <w:spacing w:after="0"/>
              <w:rPr>
                <w:sz w:val="17"/>
                <w:szCs w:val="17"/>
                <w:color w:val="auto"/>
              </w:rPr>
            </w:pPr>
          </w:p>
        </w:tc>
        <w:tc>
          <w:tcPr>
            <w:tcW w:w="6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7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24"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This prospectus, any accompanying prospectus supplements, and the documents incorporated by reference contain forward-looking statements that involve risks and uncertainties relating to future events and our future financial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ongoing regulatory obligations and oversight impacting our research and clinical programs and business; determinations by regulatory and administrative governmental authorities which may delay or restrict our ability to continue to develop or commercialize our products and product candidates and possible new indications for marketed products; competing drugs and product candidates that may be superior to our products and product candidates and possible new indications for marketed products; uncertainty of market acceptance and commercial success of our products and product candidates and possible new indications for marketed products; our ability to manufacture and manage supply chains for multiple products and product candidates; coverage and reimbursement determinations by third-party payers, including Medicare and Medicaid; unforeseen safety issues resulting from the administration of products and product candidates in patients, including serious complications or side effects in connection with the use of our product candidates in clinical trials; unanticipated expenses; the costs of developing, producing, and selling products; our ability to meet any of our financial projections or guidance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A list and description of risks, uncertainties, and other matters that should be considered in evaluating such forward-looking statements can be found in our Annual Report on Form 10-K for the fiscal year ended December 31, 2012 and in our Quarterly Report on Form 10-Q for the quarterly period ended September 30, 2013, in each case including in the sections thereof captioned “Item 1A. Risk Factors.” Any forward-looking statements are made by us based on management’s current beliefs and judgment, and the reader is cautioned not to rely on any such statements. We do not undertake any obligation to update publicly any forward-looking statement, whether as a result of new information, future events, or otherwise.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TRADEMARKS</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“ARCALYST</w:t>
      </w:r>
      <w:r>
        <w:rPr>
          <w:rFonts w:ascii="Arial" w:cs="Arial" w:eastAsia="Arial" w:hAnsi="Arial"/>
          <w:sz w:val="13"/>
          <w:szCs w:val="13"/>
          <w:color w:val="auto"/>
        </w:rPr>
        <w:t>®</w:t>
      </w:r>
      <w:r>
        <w:rPr>
          <w:rFonts w:ascii="Arial" w:cs="Arial" w:eastAsia="Arial" w:hAnsi="Arial"/>
          <w:sz w:val="16"/>
          <w:szCs w:val="16"/>
          <w:color w:val="auto"/>
        </w:rPr>
        <w:t>,” “EYLEA</w:t>
      </w:r>
      <w:r>
        <w:rPr>
          <w:rFonts w:ascii="Arial" w:cs="Arial" w:eastAsia="Arial" w:hAnsi="Arial"/>
          <w:sz w:val="13"/>
          <w:szCs w:val="13"/>
          <w:color w:val="auto"/>
        </w:rPr>
        <w:t>®</w:t>
      </w:r>
      <w:r>
        <w:rPr>
          <w:rFonts w:ascii="Arial" w:cs="Arial" w:eastAsia="Arial" w:hAnsi="Arial"/>
          <w:sz w:val="16"/>
          <w:szCs w:val="16"/>
          <w:color w:val="auto"/>
        </w:rPr>
        <w:t>,” “ZALTRAP</w:t>
      </w:r>
      <w:r>
        <w:rPr>
          <w:rFonts w:ascii="Arial" w:cs="Arial" w:eastAsia="Arial" w:hAnsi="Arial"/>
          <w:sz w:val="13"/>
          <w:szCs w:val="13"/>
          <w:color w:val="auto"/>
        </w:rPr>
        <w:t>®</w:t>
      </w:r>
      <w:r>
        <w:rPr>
          <w:rFonts w:ascii="Arial" w:cs="Arial" w:eastAsia="Arial" w:hAnsi="Arial"/>
          <w:sz w:val="16"/>
          <w:szCs w:val="16"/>
          <w:color w:val="auto"/>
        </w:rPr>
        <w:t>,” “VelocImmune</w:t>
      </w:r>
      <w:r>
        <w:rPr>
          <w:rFonts w:ascii="Arial" w:cs="Arial" w:eastAsia="Arial" w:hAnsi="Arial"/>
          <w:sz w:val="13"/>
          <w:szCs w:val="13"/>
          <w:color w:val="auto"/>
        </w:rPr>
        <w:t>®</w:t>
      </w:r>
      <w:r>
        <w:rPr>
          <w:rFonts w:ascii="Arial" w:cs="Arial" w:eastAsia="Arial" w:hAnsi="Arial"/>
          <w:sz w:val="16"/>
          <w:szCs w:val="16"/>
          <w:color w:val="auto"/>
        </w:rPr>
        <w:t>,” “VelociGene</w:t>
      </w:r>
      <w:r>
        <w:rPr>
          <w:rFonts w:ascii="Arial" w:cs="Arial" w:eastAsia="Arial" w:hAnsi="Arial"/>
          <w:sz w:val="13"/>
          <w:szCs w:val="13"/>
          <w:color w:val="auto"/>
        </w:rPr>
        <w:t>®</w:t>
      </w:r>
      <w:r>
        <w:rPr>
          <w:rFonts w:ascii="Arial" w:cs="Arial" w:eastAsia="Arial" w:hAnsi="Arial"/>
          <w:sz w:val="16"/>
          <w:szCs w:val="16"/>
          <w:color w:val="auto"/>
        </w:rPr>
        <w:t>,” “VelociMouse</w:t>
      </w:r>
      <w:r>
        <w:rPr>
          <w:rFonts w:ascii="Arial" w:cs="Arial" w:eastAsia="Arial" w:hAnsi="Arial"/>
          <w:sz w:val="13"/>
          <w:szCs w:val="13"/>
          <w:color w:val="auto"/>
        </w:rPr>
        <w:t>®</w:t>
      </w:r>
      <w:r>
        <w:rPr>
          <w:rFonts w:ascii="Arial" w:cs="Arial" w:eastAsia="Arial" w:hAnsi="Arial"/>
          <w:sz w:val="16"/>
          <w:szCs w:val="16"/>
          <w:color w:val="auto"/>
        </w:rPr>
        <w:t>,” “VelociMab</w:t>
      </w:r>
      <w:r>
        <w:rPr>
          <w:rFonts w:ascii="Arial" w:cs="Arial" w:eastAsia="Arial" w:hAnsi="Arial"/>
          <w:sz w:val="13"/>
          <w:szCs w:val="13"/>
          <w:color w:val="auto"/>
        </w:rPr>
        <w:t>®</w:t>
      </w:r>
      <w:r>
        <w:rPr>
          <w:rFonts w:ascii="Arial" w:cs="Arial" w:eastAsia="Arial" w:hAnsi="Arial"/>
          <w:sz w:val="16"/>
          <w:szCs w:val="16"/>
          <w:color w:val="auto"/>
        </w:rPr>
        <w:t>,” and “VelociSuite</w:t>
      </w:r>
      <w:r>
        <w:rPr>
          <w:rFonts w:ascii="Arial" w:cs="Arial" w:eastAsia="Arial" w:hAnsi="Arial"/>
          <w:sz w:val="13"/>
          <w:szCs w:val="13"/>
          <w:color w:val="auto"/>
        </w:rPr>
        <w:t>®</w:t>
      </w:r>
      <w:r>
        <w:rPr>
          <w:rFonts w:ascii="Arial" w:cs="Arial" w:eastAsia="Arial" w:hAnsi="Arial"/>
          <w:sz w:val="16"/>
          <w:szCs w:val="16"/>
          <w:color w:val="auto"/>
        </w:rPr>
        <w:t>” are our trademarks. Trademarks and trade names of other companies appearing in this prospectus are, to our knowledge, the property of their respective owners.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220" w:firstLine="443"/>
        <w:spacing w:after="0" w:line="264"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Regeneron Pharmaceuticals, Inc.</w:t>
      </w:r>
    </w:p>
    <w:p>
      <w:pPr>
        <w:spacing w:after="0" w:line="121" w:lineRule="exact"/>
        <w:rPr>
          <w:sz w:val="20"/>
          <w:szCs w:val="20"/>
          <w:color w:val="auto"/>
        </w:rPr>
      </w:pPr>
    </w:p>
    <w:p>
      <w:pPr>
        <w:ind w:left="200" w:right="920" w:firstLine="443"/>
        <w:spacing w:after="0" w:line="342" w:lineRule="auto"/>
        <w:rPr>
          <w:sz w:val="20"/>
          <w:szCs w:val="20"/>
          <w:color w:val="auto"/>
        </w:rPr>
      </w:pPr>
      <w:r>
        <w:rPr>
          <w:rFonts w:ascii="Arial" w:cs="Arial" w:eastAsia="Arial" w:hAnsi="Arial"/>
          <w:sz w:val="16"/>
          <w:szCs w:val="16"/>
          <w:color w:val="auto"/>
        </w:rPr>
        <w:t>Regeneron Pharmaceuticals, Inc. is a fully integrated biopharmaceutical company that discovers, invents, develops, manufactures, and commercializes medicines for the treatment of serious medical conditions. We currently have three marketed products:</w:t>
      </w:r>
    </w:p>
    <w:p>
      <w:pPr>
        <w:spacing w:after="0" w:line="29" w:lineRule="exact"/>
        <w:rPr>
          <w:sz w:val="20"/>
          <w:szCs w:val="20"/>
          <w:color w:val="auto"/>
        </w:rPr>
      </w:pPr>
    </w:p>
    <w:p>
      <w:pPr>
        <w:ind w:left="1060" w:right="60" w:hanging="431"/>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EYLEA</w:t>
      </w:r>
      <w:r>
        <w:rPr>
          <w:rFonts w:ascii="Arial" w:cs="Arial" w:eastAsia="Arial" w:hAnsi="Arial"/>
          <w:sz w:val="13"/>
          <w:szCs w:val="13"/>
          <w:color w:val="auto"/>
        </w:rPr>
        <w:t>®</w:t>
      </w:r>
      <w:r>
        <w:rPr>
          <w:rFonts w:ascii="Arial" w:cs="Arial" w:eastAsia="Arial" w:hAnsi="Arial"/>
          <w:sz w:val="16"/>
          <w:szCs w:val="16"/>
          <w:color w:val="auto"/>
        </w:rPr>
        <w:t xml:space="preserve"> (aflibercept) Injection, known in the scientific literature as VEGF Trap-Eye, which is available in the United States for the treatment of neovascular age-related macular degeneration (wet AMD) and macular edema following central retinal vein occlusion (CRVO), and in the United Kingdom, Germany, Switzerland, Australia, Japan, and certain other countries for the treatment of wet AMD.</w:t>
      </w:r>
    </w:p>
    <w:p>
      <w:pPr>
        <w:spacing w:after="0" w:line="39"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in the European Union (“EU”) and other regions. The European Commission approved EYLEA for the treatment of visual impairment due to macular edema secondary to CRVO in the third quarter of 2013. Bayer HealthCare has additional regulatory applications for EYLEA for the treatment of wet AMD and macular edema secondary to CRVO pending in other countries.</w:t>
      </w:r>
    </w:p>
    <w:p>
      <w:pPr>
        <w:spacing w:after="0" w:line="85" w:lineRule="exact"/>
        <w:rPr>
          <w:sz w:val="20"/>
          <w:szCs w:val="20"/>
          <w:color w:val="auto"/>
        </w:rPr>
      </w:pPr>
    </w:p>
    <w:p>
      <w:pPr>
        <w:ind w:left="1080" w:right="120"/>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EYLEA outside the United States, where, for countries other than Japan, the companies share equally the profits and losses from sales of EYLEA. In Japan, we are entitled to a royalty on sales of EYLEA. We maintain exclusive rights to EYLEA in the United States and are entitled to all profits from any such sales.</w:t>
      </w:r>
    </w:p>
    <w:p>
      <w:pPr>
        <w:spacing w:after="0" w:line="92" w:lineRule="exact"/>
        <w:rPr>
          <w:sz w:val="20"/>
          <w:szCs w:val="20"/>
          <w:color w:val="auto"/>
        </w:rPr>
      </w:pPr>
    </w:p>
    <w:p>
      <w:pPr>
        <w:ind w:left="1060" w:right="220" w:hanging="431"/>
        <w:spacing w:after="0" w:line="27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ZALTRAP</w:t>
      </w:r>
      <w:r>
        <w:rPr>
          <w:rFonts w:ascii="Arial" w:cs="Arial" w:eastAsia="Arial" w:hAnsi="Arial"/>
          <w:sz w:val="14"/>
          <w:szCs w:val="14"/>
          <w:color w:val="auto"/>
        </w:rPr>
        <w:t>®</w:t>
      </w:r>
      <w:r>
        <w:rPr>
          <w:rFonts w:ascii="Arial" w:cs="Arial" w:eastAsia="Arial" w:hAnsi="Arial"/>
          <w:sz w:val="17"/>
          <w:szCs w:val="17"/>
          <w:color w:val="auto"/>
        </w:rPr>
        <w:t xml:space="preserve"> (ziv-aflibercept) Injection for Intravenous Infusion, known in the scientific literature as VEGF Trap, which is available in the United States for treatment, in combination with 5-fluorouracil, leucovorin, irinotecan (FOLFIRI), of patients with metastatic colorectal cancer (mCRC) that is resistant to or has progressed following an oxaliplatin-containing regimen. In February 2013, the European Commission granted marketing authorization in the EU for ZALTRAP 25mg/ml concentrate for solution for infusion in combination with FOLFIRI chemotherapy in adults with mCRC that is resistant to or has progressed after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70" w:lineRule="exact"/>
        <w:rPr>
          <w:sz w:val="20"/>
          <w:szCs w:val="20"/>
          <w:color w:val="auto"/>
        </w:rPr>
      </w:pPr>
    </w:p>
    <w:p>
      <w:pPr>
        <w:ind w:left="1080" w:right="220"/>
        <w:spacing w:after="0" w:line="286" w:lineRule="auto"/>
        <w:rPr>
          <w:sz w:val="20"/>
          <w:szCs w:val="20"/>
          <w:color w:val="auto"/>
        </w:rPr>
      </w:pPr>
      <w:r>
        <w:rPr>
          <w:rFonts w:ascii="Arial" w:cs="Arial" w:eastAsia="Arial" w:hAnsi="Arial"/>
          <w:sz w:val="17"/>
          <w:szCs w:val="17"/>
          <w:color w:val="auto"/>
        </w:rPr>
        <w:t>We and Sanofi globally collaborate on the development and commercialization of ZALTRAP, and share profits and losses from commercialization of ZALTRAP, except for Japan, where we are entitled to a royalty on sales of ZALTRAP. ZALTRAP net product sales, which are recorded by Sanofi, commenced in the United States in August 2012 and in Europe in the first quarter of 2013.</w:t>
      </w:r>
    </w:p>
    <w:p>
      <w:pPr>
        <w:spacing w:after="0" w:line="71" w:lineRule="exact"/>
        <w:rPr>
          <w:sz w:val="20"/>
          <w:szCs w:val="20"/>
          <w:color w:val="auto"/>
        </w:rPr>
      </w:pPr>
    </w:p>
    <w:p>
      <w:pPr>
        <w:ind w:left="1060" w:hanging="431"/>
        <w:spacing w:after="0" w:line="27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ARCALYST</w:t>
      </w:r>
      <w:r>
        <w:rPr>
          <w:rFonts w:ascii="Arial" w:cs="Arial" w:eastAsia="Arial" w:hAnsi="Arial"/>
          <w:sz w:val="14"/>
          <w:szCs w:val="14"/>
          <w:color w:val="auto"/>
        </w:rPr>
        <w:t>®</w:t>
      </w:r>
      <w:r>
        <w:rPr>
          <w:rFonts w:ascii="Arial" w:cs="Arial" w:eastAsia="Arial" w:hAnsi="Arial"/>
          <w:sz w:val="17"/>
          <w:szCs w:val="17"/>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07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607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We have 15 product candidates in clinical development, all of which were discovered in our research laboratories. Our Trap-based clinical programs are:</w:t>
      </w:r>
    </w:p>
    <w:p>
      <w:pPr>
        <w:spacing w:after="0" w:line="76" w:lineRule="exact"/>
        <w:rPr>
          <w:sz w:val="20"/>
          <w:szCs w:val="20"/>
          <w:color w:val="auto"/>
        </w:rPr>
      </w:pPr>
    </w:p>
    <w:p>
      <w:pPr>
        <w:ind w:left="1060" w:right="16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EYLEA, which is in clinical trials for the treatment of diabetic macular edema (DME) in collaboration with Bayer HealthCare and macular edema following branch retinal vein occlusion (BRVO); and</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ZALTRAP, which is being studied in combination with our angiopoietin-2 inhibitor (nesvacumab) in oncology in collaboration with Sanofi.</w:t>
      </w:r>
    </w:p>
    <w:p>
      <w:pPr>
        <w:spacing w:after="0" w:line="248"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Our antibody-based clinical programs include 13 fully human monoclonal antibody product candidates. The following seven are being developed in collaboration with Sanofi:</w:t>
      </w:r>
    </w:p>
    <w:p>
      <w:pPr>
        <w:spacing w:after="0" w:line="76" w:lineRule="exact"/>
        <w:rPr>
          <w:sz w:val="20"/>
          <w:szCs w:val="20"/>
          <w:color w:val="auto"/>
        </w:rPr>
      </w:pPr>
    </w:p>
    <w:p>
      <w:pPr>
        <w:ind w:left="1060" w:right="4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Sarilumab (REGN88), an antibody to the interleukin-6 receptor (IL-6R), which is being developed in rheumatoid arthritis and non-infectious uveitis;</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Alirocumab (REGN727), an antibody to Proprotein Convertase Subtilisin/Kexin type 9 (PCSK9), which is being developed for low-density lipoprotein (LDL) cholesterol reduction;</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Dupilumab (REGN668), an antibody to the interleukin-4 receptor (IL-4R), which is being developed in atopic dermatitis, asthma, and nasal polyposis;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Enoticumab (REGN421), an antibody to Delta-like ligand-4 (Dll4), a novel angiogenesis target, which is being developed in oncology;</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Nesvacumab (REGN910), an antibody to angiopoietin-2 (Ang2), another novel angiogenesis target, which is being developed in oncology;</w:t>
      </w:r>
    </w:p>
    <w:p>
      <w:pPr>
        <w:spacing w:after="0" w:line="153" w:lineRule="exact"/>
        <w:rPr>
          <w:rFonts w:ascii="Arial" w:cs="Arial" w:eastAsia="Arial" w:hAnsi="Arial"/>
          <w:sz w:val="16"/>
          <w:szCs w:val="16"/>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REGN1033, an antibody to myostatin (GDF8), which is being developed in metabolic disorders;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REGN2009, an antibody in clinical development against an undisclosed target.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are developing the following six antibodies independently:</w:t>
      </w:r>
    </w:p>
    <w:p>
      <w:pPr>
        <w:spacing w:after="0" w:line="131" w:lineRule="exact"/>
        <w:rPr>
          <w:sz w:val="20"/>
          <w:szCs w:val="20"/>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REGN1193, an antibody in clinical development against an undisclosed target;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REGN1908-1909, an antibody combination in clinical development against an undisclosed target; and</w:t>
      </w:r>
    </w:p>
    <w:p>
      <w:pPr>
        <w:spacing w:after="0" w:line="130"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Fasinumab (REGN475), an antibody to Nerve Growth Factor (NGF), which is being developed for the treatment of pain and is currently on clinical hold by the U.S. Food and Drug Administration.</w:t>
      </w:r>
    </w:p>
    <w:p>
      <w:pPr>
        <w:spacing w:after="0" w:line="170"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187"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15"/>
          <w:szCs w:val="15"/>
          <w:color w:val="auto"/>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15"/>
          <w:szCs w:val="15"/>
          <w:i w:val="1"/>
          <w:iCs w:val="1"/>
          <w:color w:val="auto"/>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5"/>
          <w:szCs w:val="15"/>
          <w:i w:val="1"/>
          <w:iCs w:val="1"/>
          <w:color w:val="auto"/>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15"/>
          <w:szCs w:val="15"/>
          <w:i w:val="1"/>
          <w:iCs w:val="1"/>
          <w:color w:val="auto"/>
        </w:rPr>
        <w:t>®</w:t>
      </w:r>
      <w:r>
        <w:rPr>
          <w:rFonts w:ascii="Arial" w:cs="Arial" w:eastAsia="Arial" w:hAnsi="Arial"/>
          <w:sz w:val="18"/>
          <w:szCs w:val="18"/>
          <w:color w:val="auto"/>
        </w:rPr>
        <w:t>) may then be utilized to discover and produce new product candidates</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059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059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 xml:space="preserve">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We continue to invest in the development of enabling technologies to assist in our efforts to identify, develop, manufacture, and commercialize new product candidates.</w:t>
      </w:r>
    </w:p>
    <w:p>
      <w:pPr>
        <w:spacing w:after="0" w:line="124" w:lineRule="exact"/>
        <w:rPr>
          <w:sz w:val="20"/>
          <w:szCs w:val="20"/>
          <w:color w:val="auto"/>
        </w:rPr>
      </w:pPr>
    </w:p>
    <w:p>
      <w:pPr>
        <w:ind w:left="200" w:right="260" w:firstLine="443"/>
        <w:spacing w:after="0" w:line="312" w:lineRule="auto"/>
        <w:rPr>
          <w:sz w:val="20"/>
          <w:szCs w:val="20"/>
          <w:color w:val="auto"/>
        </w:rPr>
      </w:pPr>
      <w:r>
        <w:rPr>
          <w:rFonts w:ascii="Arial" w:cs="Arial" w:eastAsia="Arial" w:hAnsi="Arial"/>
          <w:sz w:val="16"/>
          <w:szCs w:val="16"/>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6"/>
          <w:szCs w:val="16"/>
          <w:i w:val="1"/>
          <w:iCs w:val="1"/>
          <w:color w:val="auto"/>
        </w:rPr>
        <w:t>www.regeneron.com</w:t>
      </w:r>
      <w:r>
        <w:rPr>
          <w:rFonts w:ascii="Arial" w:cs="Arial" w:eastAsia="Arial" w:hAnsi="Arial"/>
          <w:sz w:val="16"/>
          <w:szCs w:val="16"/>
          <w:color w:val="auto"/>
        </w:rPr>
        <w:t>. The information on, or accessible through, our website is not part of this prospectus and should not be relied upon in connection with making any investment decision with respect to the securities offered by this prospectus.</w:t>
      </w: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consider the specific risks described in our Annual Report on Form 10-K for the fiscal year ended December 31, 2012 and our Quarterly Report on Form 10-Q for the quarterly period ended September 30, 2013,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22 of this 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consolidated ratio of earnings to fixed charges for each of the years ended December 31, 2012, 2011, 2010, 2009, and 2008, and the nine months ended September 30, 2013 is set forth below. For purposes of computing these ratios, “earnings” consists of pretax income (loss) from continuing operations plus fixed charges and amortization of capitalized interest, excluding capitalized interest. “Fixed charges” consists of interest expense, capitalized interest, and an assumed interest component of rental charges. The ratio was calculated by dividing the sum of the earnings (as defined above) by the sum of the fixed charges (as defined 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Nine Months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60" w:type="dxa"/>
            <w:vAlign w:val="bottom"/>
          </w:tcPr>
          <w:p>
            <w:pPr>
              <w:spacing w:after="0"/>
              <w:rPr>
                <w:sz w:val="13"/>
                <w:szCs w:val="13"/>
                <w:color w:val="auto"/>
              </w:rPr>
            </w:pPr>
          </w:p>
        </w:tc>
        <w:tc>
          <w:tcPr>
            <w:tcW w:w="13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7"/>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138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5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9.64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the Company’s losses for the years ended December 31, 2011, 2010, 2009, and 2008, the ratio coverage was less than 1:1. To achieve a coverage ratio of 1:1, the Company would have had to generate additional earnings of the amounts shown in the table below.</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2010</w:t>
            </w:r>
          </w:p>
        </w:tc>
        <w:tc>
          <w:tcPr>
            <w:tcW w:w="112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00" w:type="dxa"/>
            <w:vAlign w:val="bottom"/>
            <w:gridSpan w:val="2"/>
          </w:tcPr>
          <w:p>
            <w:pPr>
              <w:jc w:val="center"/>
              <w:ind w:right="19"/>
              <w:spacing w:after="0" w:line="142" w:lineRule="exact"/>
              <w:rPr>
                <w:sz w:val="20"/>
                <w:szCs w:val="20"/>
                <w:color w:val="auto"/>
              </w:rPr>
            </w:pPr>
            <w:r>
              <w:rPr>
                <w:rFonts w:ascii="Arial" w:cs="Arial" w:eastAsia="Arial" w:hAnsi="Arial"/>
                <w:sz w:val="14"/>
                <w:szCs w:val="14"/>
                <w:i w:val="1"/>
                <w:iCs w:val="1"/>
                <w:color w:val="auto"/>
                <w:w w:val="93"/>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Coverage deficiency</w:t>
            </w:r>
          </w:p>
        </w:tc>
        <w:tc>
          <w:tcPr>
            <w:tcW w:w="3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$222,577</w:t>
            </w:r>
          </w:p>
        </w:tc>
        <w:tc>
          <w:tcPr>
            <w:tcW w:w="118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$110,850</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$72,448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$76,758</w:t>
            </w:r>
          </w:p>
        </w:tc>
      </w:tr>
      <w:tr>
        <w:trPr>
          <w:trHeight w:val="365"/>
        </w:trPr>
        <w:tc>
          <w:tcPr>
            <w:tcW w:w="3360" w:type="dxa"/>
            <w:vAlign w:val="bottom"/>
          </w:tcPr>
          <w:p>
            <w:pPr>
              <w:spacing w:after="0"/>
              <w:rPr>
                <w:sz w:val="24"/>
                <w:szCs w:val="24"/>
                <w:color w:val="auto"/>
              </w:rPr>
            </w:pPr>
          </w:p>
        </w:tc>
        <w:tc>
          <w:tcPr>
            <w:tcW w:w="2960" w:type="dxa"/>
            <w:vAlign w:val="bottom"/>
          </w:tcPr>
          <w:p>
            <w:pPr>
              <w:jc w:val="right"/>
              <w:ind w:right="930"/>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authorized capital stock consists of 160,000,000 shares of Common Stock, par value $0.001 per share, of which 97,389,765 shares were issued and outstanding as of October 28, 2013, 40,000,000 shares of Class A Stock, par value $0.001 per share, of which 2,028,871 shares were issued and outstanding as of October 28, 2013, and 30,000,000 shares of preferred stock, par value $0.01 per share, none of which were issued and outstanding as of October 28, 2013.</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 rights,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transferability.</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Class A Stock are entitled to ten votes per share and the holders of Common Stock are entitled to one vote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Class A Stock is subject to certain limitations on transfer that do not apply to the Common Stock.</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Dividends and Liquidation. </w:t>
      </w:r>
      <w:r>
        <w:rPr>
          <w:rFonts w:ascii="Arial" w:cs="Arial" w:eastAsia="Arial" w:hAnsi="Arial"/>
          <w:sz w:val="17"/>
          <w:szCs w:val="17"/>
          <w:color w:val="auto"/>
        </w:rPr>
        <w:t>Except as described in this paragraph, holders of Class A Stock and holders of our Common Stock have an equal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Optional Conversion Rights. </w:t>
      </w:r>
      <w:r>
        <w:rPr>
          <w:rFonts w:ascii="Arial" w:cs="Arial" w:eastAsia="Arial" w:hAnsi="Arial"/>
          <w:sz w:val="17"/>
          <w:szCs w:val="17"/>
          <w:color w:val="auto"/>
        </w:rPr>
        <w:t>Each share of Class A Stock may, at any time and at the option of the holder, be converted into one fully paid and</w:t>
      </w:r>
      <w:r>
        <w:rPr>
          <w:rFonts w:ascii="Arial" w:cs="Arial" w:eastAsia="Arial" w:hAnsi="Arial"/>
          <w:sz w:val="17"/>
          <w:szCs w:val="17"/>
          <w:i w:val="1"/>
          <w:iCs w:val="1"/>
          <w:color w:val="auto"/>
        </w:rPr>
        <w:t xml:space="preserve"> </w:t>
      </w:r>
      <w:r>
        <w:rPr>
          <w:rFonts w:ascii="Arial" w:cs="Arial" w:eastAsia="Arial" w:hAnsi="Arial"/>
          <w:sz w:val="17"/>
          <w:szCs w:val="17"/>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Holders of Class A Stock and Common Stock have no preemptive rights to subscribe for any additional securities of any class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may issue and there are no redemption provisions or sinking fund provisions applicable to either such class, nor are our shares of Class A Stock or the Common Stock subject to calls or assessments.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 Our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American Stock Transfer &amp; Trust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Restated Certificate of Incorporation allows us to issue up to 30,000,000 shares of preferred stock in one or more series and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As of October 28, 2013,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Restated Certificate of Incorporation relating to such series. A prospectus supplement relating to such series will describe the terms of the preferred stock of the series, including the following:</w:t>
      </w:r>
    </w:p>
    <w:p>
      <w:pPr>
        <w:spacing w:after="0" w:line="8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 global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187"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each series of preferred stock will be set forth in the prospectus supplement.</w:t>
      </w:r>
      <w:r>
        <w:rPr>
          <w:rFonts w:ascii="Arial" w:cs="Arial" w:eastAsia="Arial" w:hAnsi="Arial"/>
          <w:sz w:val="18"/>
          <w:szCs w:val="18"/>
          <w:i w:val="1"/>
          <w:iCs w:val="1"/>
          <w:color w:val="auto"/>
        </w:rPr>
        <w:t xml:space="preserve"> </w:t>
      </w: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Anti-Take-Over Effects. </w:t>
      </w:r>
      <w:r>
        <w:rPr>
          <w:rFonts w:ascii="Arial" w:cs="Arial" w:eastAsia="Arial" w:hAnsi="Arial"/>
          <w:sz w:val="18"/>
          <w:szCs w:val="18"/>
          <w:color w:val="auto"/>
        </w:rPr>
        <w:t>Our board of directors may authorize, without shareholder approval, the issuance of preferred stock with voting and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One of our shareholders has registration rights. Under the registration rights agreement between us and such shareholder, after December 20, 2017, such shareholder (and certain of its transferees) may request that we file registration statements under the Securities Act and, upon such request and subject to minimum size and other conditions,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For a description of anti-takeover effects of various provisions of our charter, by-laws, and the New York Business Corporation Law, please see “RISK FACTORS — Risks Related To Our Common Stock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anti-takeover effects of provisions of our charter, by-laws, and of New York corporate law, as</w:t>
      </w:r>
      <w:r>
        <w:rPr>
          <w:rFonts w:ascii="Arial" w:cs="Arial" w:eastAsia="Arial" w:hAnsi="Arial"/>
          <w:sz w:val="16"/>
          <w:szCs w:val="16"/>
          <w:color w:val="auto"/>
        </w:rPr>
        <w:t xml:space="preserve"> </w:t>
      </w:r>
      <w:r>
        <w:rPr>
          <w:rFonts w:ascii="Arial" w:cs="Arial" w:eastAsia="Arial" w:hAnsi="Arial"/>
          <w:sz w:val="16"/>
          <w:szCs w:val="16"/>
          <w:i w:val="1"/>
          <w:iCs w:val="1"/>
          <w:color w:val="auto"/>
        </w:rPr>
        <w:t>well as the contractual “standstill” provisions in our investor agreement with Sanofi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r>
        <w:rPr>
          <w:rFonts w:ascii="Arial" w:cs="Arial" w:eastAsia="Arial" w:hAnsi="Arial"/>
          <w:sz w:val="16"/>
          <w:szCs w:val="16"/>
          <w:color w:val="auto"/>
        </w:rPr>
        <w:t>” in our Quarterly Report on Form 10-Q for the quarterly period ended September 30, 2013.</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5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of 1939, as amended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7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900" w:right="38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pay dividends, make distributions in respect of our capital stock and the capital stock of our subsidiaries or transfer assets;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events of default that are in addition to those described in this prospectus or any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08" w:lineRule="auto"/>
        <w:rPr>
          <w:sz w:val="20"/>
          <w:szCs w:val="20"/>
          <w:color w:val="auto"/>
        </w:rPr>
      </w:pPr>
      <w:r>
        <w:rPr>
          <w:rFonts w:ascii="Arial" w:cs="Arial" w:eastAsia="Arial" w:hAnsi="Arial"/>
          <w:sz w:val="17"/>
          <w:szCs w:val="17"/>
          <w:color w:val="auto"/>
        </w:rPr>
        <w:t>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7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5620" w:right="3800" w:hanging="5045"/>
        <w:spacing w:after="0" w:line="449" w:lineRule="auto"/>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 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in respect of a series of debt securities, means any of the following:</w:t>
      </w:r>
    </w:p>
    <w:p>
      <w:pPr>
        <w:spacing w:after="0" w:line="7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pay interest when due and payable and our failure continues for 90 days and the time for payment has not been extended or deferred;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fail to pay the principal, or premium, if any, when due and payable and the time for payment has not been extended or delayed;</w:t>
      </w:r>
    </w:p>
    <w:p>
      <w:pPr>
        <w:spacing w:after="0" w:line="142" w:lineRule="exact"/>
        <w:rPr>
          <w:rFonts w:ascii="Arial" w:cs="Arial" w:eastAsia="Arial" w:hAnsi="Arial"/>
          <w:sz w:val="17"/>
          <w:szCs w:val="17"/>
          <w:color w:val="auto"/>
        </w:rPr>
      </w:pPr>
    </w:p>
    <w:p>
      <w:pPr>
        <w:ind w:left="900" w:right="8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15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8" w:lineRule="exact"/>
        <w:rPr>
          <w:sz w:val="20"/>
          <w:szCs w:val="20"/>
          <w:color w:val="auto"/>
        </w:rPr>
      </w:pPr>
    </w:p>
    <w:p>
      <w:pPr>
        <w:ind w:left="5620" w:right="4220" w:hanging="5045"/>
        <w:spacing w:after="0" w:line="449" w:lineRule="auto"/>
        <w:tabs>
          <w:tab w:leader="none" w:pos="8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 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18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92" w:lineRule="exact"/>
        <w:rPr>
          <w:sz w:val="20"/>
          <w:szCs w:val="20"/>
          <w:color w:val="auto"/>
        </w:rPr>
      </w:pPr>
    </w:p>
    <w:p>
      <w:pPr>
        <w:ind w:left="900" w:right="520" w:hanging="325"/>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5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 Consolidation, Merger or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7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securities purchasable upon exercise of the warrants will be separately transferable;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18 of this prospectus. We urge you to read the applicable warrant certificate, the applicable warrant agreement, and any applicable prospectus supplement in their entirety.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w:t>
      </w:r>
    </w:p>
    <w:p>
      <w:pPr>
        <w:spacing w:after="0" w:line="131" w:lineRule="exact"/>
        <w:rPr>
          <w:sz w:val="20"/>
          <w:szCs w:val="20"/>
          <w:color w:val="auto"/>
        </w:rPr>
      </w:pPr>
    </w:p>
    <w:p>
      <w:pPr>
        <w:ind w:left="900" w:right="2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as agent, but may position or resell a portion of the block, as principal, in order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a broker solicits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exchange for outstanding indebtedness;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131" w:lineRule="exact"/>
        <w:rPr>
          <w:sz w:val="20"/>
          <w:szCs w:val="20"/>
          <w:color w:val="auto"/>
        </w:rPr>
      </w:pPr>
    </w:p>
    <w:p>
      <w:pPr>
        <w:jc w:val="both"/>
        <w:ind w:left="900" w:right="14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 or agents and the amounts of securities underwritten or purchased by each of them,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7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8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121"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securities, preferred stock, or warrants on any securities exchange or on the National Association of Securities Dealers, Inc. automated quotation system; any such listing with respect to any particular debt securities, preferred stock, or warrants will be described in the applicable prospectus supplement or pricing supplement, as the case may be.</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8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2012 have been so incorporated in reliance on the report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under the Exchange Act. You may inspect without charge any documents filed by us at the SEC’s Public Reference Room at 100 F Street, N.E., Room 1580, Washington, D.C. 20549. You may obtain information on the operation of the Public Reference Room by calling the SEC at 1-800-SEC-0330. The SEC also maintains an Internet site,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 including Regeneron Pharmaceuticals, Inc. Our SEC filings are also available on our website at </w:t>
      </w:r>
      <w:r>
        <w:rPr>
          <w:rFonts w:ascii="Arial" w:cs="Arial" w:eastAsia="Arial" w:hAnsi="Arial"/>
          <w:sz w:val="17"/>
          <w:szCs w:val="17"/>
          <w:i w:val="1"/>
          <w:iCs w:val="1"/>
          <w:color w:val="auto"/>
        </w:rPr>
        <w:t>www.regeneron.com</w:t>
      </w:r>
      <w:r>
        <w:rPr>
          <w:rFonts w:ascii="Arial" w:cs="Arial" w:eastAsia="Arial" w:hAnsi="Arial"/>
          <w:sz w:val="17"/>
          <w:szCs w:val="17"/>
          <w:color w:val="auto"/>
        </w:rPr>
        <w:t>. Other than as specifically incorporated by reference into this prospectus, the information on, or accessible through, our website is not part of this prospectus and should not be relied upon in connection with making any investment decision with respect to the securities offered by this prospectus.</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9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2012, filed on February 15, 2013.</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our Definitive Proxy Statement on Schedule 14A filed on April 29, 2013 that are incorporated by reference into Part III of our Annual Report on Form 10-K for the fiscal year ended December 31, 2012, filed on February 15, 2013.</w:t>
      </w:r>
    </w:p>
    <w:p>
      <w:pPr>
        <w:spacing w:after="0" w:line="75" w:lineRule="exact"/>
        <w:rPr>
          <w:rFonts w:ascii="Arial" w:cs="Arial" w:eastAsia="Arial" w:hAnsi="Arial"/>
          <w:sz w:val="18"/>
          <w:szCs w:val="18"/>
          <w:color w:val="auto"/>
        </w:rPr>
      </w:pPr>
    </w:p>
    <w:p>
      <w:pPr>
        <w:ind w:left="900" w:right="58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Quarterly Reports on Form 10-Q for the quarterly period ended March 31, 2013, filed on May 3, 2013; for the quarterly period ended June 30, 2013, filed on August 6, 2013; and for the quarterly period ended September 30, 2013, filed on November 5, 2013.</w:t>
      </w:r>
    </w:p>
    <w:p>
      <w:pPr>
        <w:spacing w:after="0" w:line="51"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filed on April 9, 2013; May 6, 2013; May 20, 2013; June 20, 2013; August 6, 2013 (solely as to Item 8.01 and the exhibit incorporated by reference therein); and September 12,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set forth in a Registration Statement on Form 8-A, including any amendment or report filed for the purpose of updating such description (filing date October 15, 1996; Commission File No. 000-19034).</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580" w:hanging="428"/>
        <w:spacing w:after="0"/>
        <w:tabs>
          <w:tab w:leader="none" w:pos="5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847-7000</w:t>
      </w:r>
    </w:p>
    <w:p>
      <w:pPr>
        <w:spacing w:after="0" w:line="1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relating to the registration of the securities will be borne by the registrant. Such expenses are estimated to be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 to</w:t>
            </w:r>
          </w:p>
        </w:tc>
      </w:tr>
      <w:tr>
        <w:trPr>
          <w:trHeight w:val="171"/>
        </w:trPr>
        <w:tc>
          <w:tcPr>
            <w:tcW w:w="5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be paid*</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Printing Expenses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Trustees’ Fees and Expenses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 Exchange Listing Fee</w:t>
            </w:r>
          </w:p>
        </w:tc>
        <w:tc>
          <w:tcPr>
            <w:tcW w:w="24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Since multiple types of securities and an indeterminate amount of securities are covered by this registration statement, the expenses in connection</w:t>
      </w:r>
    </w:p>
    <w:p>
      <w:pPr>
        <w:spacing w:after="0" w:line="46" w:lineRule="exact"/>
        <w:rPr>
          <w:sz w:val="20"/>
          <w:szCs w:val="20"/>
          <w:color w:val="auto"/>
        </w:rPr>
      </w:pPr>
    </w:p>
    <w:p>
      <w:pPr>
        <w:ind w:left="580" w:right="80"/>
        <w:spacing w:after="0" w:line="250" w:lineRule="auto"/>
        <w:rPr>
          <w:sz w:val="20"/>
          <w:szCs w:val="20"/>
          <w:color w:val="auto"/>
        </w:rPr>
      </w:pPr>
      <w:r>
        <w:rPr>
          <w:rFonts w:ascii="Arial" w:cs="Arial" w:eastAsia="Arial" w:hAnsi="Arial"/>
          <w:sz w:val="18"/>
          <w:szCs w:val="18"/>
          <w:color w:val="auto"/>
        </w:rPr>
        <w:t>with the issuance and distribution of the securities are not currently determinable. The amounts shown are estimates of expenses payable by us in connection with the filing of this registration statement and one offering of securities hereunder, but do not limit the amount of securities that may be offered.</w:t>
      </w:r>
    </w:p>
    <w:p>
      <w:pPr>
        <w:spacing w:after="0" w:line="1"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Deferred in accordance with Rule 456(b) and Rule 457(r) of the Securities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stock exchange listing fee is based upon the principal amount of securities listed, if any, and is therefore not currently determinable.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Article VII of our Restated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Article IV of our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employment agreement with our President and Chief Executive Officer includes a provision indemnifying him to the fullest extent permitted by law in connection with his serving as an officer or director of the Company. Such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indemnification is in addition to and not in lieu of other indemnification rights. We maintain directors’ and officers’ liability insurance which insures against liabilities that our directors or officers may incur in such capacities.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to this registration statement are listed in the Index to Exhibits on page II-6 and are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117"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20" w:firstLine="8"/>
        <w:spacing w:after="0" w:line="273" w:lineRule="auto"/>
        <w:tabs>
          <w:tab w:leader="none" w:pos="2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right="160" w:firstLine="8"/>
        <w:spacing w:after="0" w:line="277"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right="160" w:firstLine="8"/>
        <w:spacing w:after="0" w:line="342"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23" w:lineRule="exact"/>
        <w:rPr>
          <w:rFonts w:ascii="Arial" w:cs="Arial" w:eastAsia="Arial" w:hAnsi="Arial"/>
          <w:sz w:val="16"/>
          <w:szCs w:val="16"/>
          <w:color w:val="auto"/>
        </w:rPr>
      </w:pPr>
    </w:p>
    <w:p>
      <w:pPr>
        <w:ind w:right="12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460" w:right="360" w:firstLine="4"/>
        <w:spacing w:after="0" w:line="277" w:lineRule="auto"/>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60" w:firstLine="4"/>
        <w:spacing w:after="0" w:line="273" w:lineRule="auto"/>
        <w:tabs>
          <w:tab w:leader="none" w:pos="67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 xml:space="preserve">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8" w:lineRule="exact"/>
        <w:rPr>
          <w:sz w:val="20"/>
          <w:szCs w:val="20"/>
          <w:color w:val="auto"/>
        </w:rPr>
      </w:pPr>
    </w:p>
    <w:p>
      <w:pPr>
        <w:ind w:right="40" w:firstLine="8"/>
        <w:spacing w:after="0" w:line="302"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rFonts w:ascii="Arial" w:cs="Arial" w:eastAsia="Arial" w:hAnsi="Arial"/>
          <w:sz w:val="16"/>
          <w:szCs w:val="16"/>
          <w:color w:val="auto"/>
        </w:rPr>
      </w:pPr>
    </w:p>
    <w:p>
      <w:pPr>
        <w:ind w:left="680" w:hanging="216"/>
        <w:spacing w:after="0"/>
        <w:tabs>
          <w:tab w:leader="none" w:pos="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80" w:firstLine="4"/>
        <w:spacing w:after="0" w:line="277" w:lineRule="auto"/>
        <w:tabs>
          <w:tab w:leader="none" w:pos="7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380" w:firstLine="4"/>
        <w:spacing w:after="0" w:line="277" w:lineRule="auto"/>
        <w:tabs>
          <w:tab w:leader="none" w:pos="7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8"/>
        <w:spacing w:after="0" w:line="302" w:lineRule="auto"/>
        <w:tabs>
          <w:tab w:leader="none" w:pos="2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right="40" w:firstLine="8"/>
        <w:spacing w:after="0" w:line="272" w:lineRule="auto"/>
        <w:tabs>
          <w:tab w:leader="none" w:pos="2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Town of Greenburgh, State of New York, on the 5</w:t>
      </w:r>
      <w:r>
        <w:rPr>
          <w:rFonts w:ascii="Arial" w:cs="Arial" w:eastAsia="Arial" w:hAnsi="Arial"/>
          <w:sz w:val="15"/>
          <w:szCs w:val="15"/>
          <w:color w:val="auto"/>
        </w:rPr>
        <w:t>th</w:t>
      </w:r>
      <w:r>
        <w:rPr>
          <w:rFonts w:ascii="Arial" w:cs="Arial" w:eastAsia="Arial" w:hAnsi="Arial"/>
          <w:sz w:val="18"/>
          <w:szCs w:val="18"/>
          <w:color w:val="auto"/>
        </w:rPr>
        <w:t xml:space="preserve"> day of November, 2013.</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Robert E. Landry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Senior Vice President, Finance and Chief</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the requirements of the Securities Act of 1933, as amended, this Registration Statement has been signed by the following persons in the capacities and on the dates stated. Each person whose signature appears below constitutes and appoints each of Robert E. Landry, Douglas S. McCorkle,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960" w:type="dxa"/>
            <w:vAlign w:val="bottom"/>
            <w:gridSpan w:val="3"/>
          </w:tcPr>
          <w:p>
            <w:pPr>
              <w:ind w:left="760"/>
              <w:spacing w:after="0"/>
              <w:rPr>
                <w:sz w:val="20"/>
                <w:szCs w:val="20"/>
                <w:color w:val="auto"/>
              </w:rPr>
            </w:pPr>
            <w:r>
              <w:rPr>
                <w:rFonts w:ascii="Arial" w:cs="Arial" w:eastAsia="Arial" w:hAnsi="Arial"/>
                <w:sz w:val="14"/>
                <w:szCs w:val="14"/>
                <w:b w:val="1"/>
                <w:bCs w:val="1"/>
                <w:color w:val="auto"/>
              </w:rPr>
              <w:t>Date</w:t>
            </w: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960" w:type="dxa"/>
            <w:vAlign w:val="bottom"/>
            <w:gridSpan w:val="3"/>
          </w:tcPr>
          <w:p>
            <w:pPr>
              <w:ind w:left="62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c>
          <w:tcPr>
            <w:tcW w:w="2240" w:type="dxa"/>
            <w:vAlign w:val="bottom"/>
          </w:tcPr>
          <w:p>
            <w:pPr>
              <w:spacing w:after="0"/>
              <w:rPr>
                <w:sz w:val="19"/>
                <w:szCs w:val="19"/>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E. Landry</w:t>
            </w:r>
          </w:p>
        </w:tc>
        <w:tc>
          <w:tcPr>
            <w:tcW w:w="2240" w:type="dxa"/>
            <w:vAlign w:val="bottom"/>
            <w:tcBorders>
              <w:bottom w:val="single" w:sz="8" w:color="auto"/>
            </w:tcBorders>
          </w:tcPr>
          <w:p>
            <w:pPr>
              <w:spacing w:after="0"/>
              <w:rPr>
                <w:sz w:val="24"/>
                <w:szCs w:val="24"/>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Senior Vice President, Finance and Chief Financial</w:t>
            </w:r>
          </w:p>
        </w:tc>
        <w:tc>
          <w:tcPr>
            <w:tcW w:w="1960" w:type="dxa"/>
            <w:vAlign w:val="bottom"/>
            <w:gridSpan w:val="3"/>
          </w:tcPr>
          <w:p>
            <w:pPr>
              <w:ind w:left="62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2"/>
          </w:tcPr>
          <w:p>
            <w:pPr>
              <w:spacing w:after="0"/>
              <w:rPr>
                <w:sz w:val="20"/>
                <w:szCs w:val="20"/>
                <w:color w:val="auto"/>
              </w:rPr>
            </w:pPr>
            <w:r>
              <w:rPr>
                <w:rFonts w:ascii="Arial" w:cs="Arial" w:eastAsia="Arial" w:hAnsi="Arial"/>
                <w:sz w:val="18"/>
                <w:szCs w:val="18"/>
                <w:color w:val="auto"/>
              </w:rPr>
              <w:t>Robert E. Landry</w:t>
            </w:r>
          </w:p>
        </w:tc>
        <w:tc>
          <w:tcPr>
            <w:tcW w:w="2240" w:type="dxa"/>
            <w:vAlign w:val="bottom"/>
          </w:tcPr>
          <w:p>
            <w:pPr>
              <w:spacing w:after="0"/>
              <w:rPr>
                <w:sz w:val="19"/>
                <w:szCs w:val="19"/>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Officer (Principal Financial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S. McCorkle</w:t>
            </w:r>
          </w:p>
        </w:tc>
        <w:tc>
          <w:tcPr>
            <w:tcW w:w="2240" w:type="dxa"/>
            <w:vAlign w:val="bottom"/>
            <w:tcBorders>
              <w:bottom w:val="single" w:sz="8" w:color="auto"/>
            </w:tcBorders>
          </w:tcPr>
          <w:p>
            <w:pPr>
              <w:spacing w:after="0"/>
              <w:rPr>
                <w:sz w:val="24"/>
                <w:szCs w:val="24"/>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Vice President, Controller, and Assistant Treasurer</w:t>
            </w:r>
          </w:p>
        </w:tc>
        <w:tc>
          <w:tcPr>
            <w:tcW w:w="1960" w:type="dxa"/>
            <w:vAlign w:val="bottom"/>
            <w:gridSpan w:val="3"/>
          </w:tcPr>
          <w:p>
            <w:pPr>
              <w:ind w:left="62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2"/>
          </w:tcPr>
          <w:p>
            <w:pPr>
              <w:spacing w:after="0"/>
              <w:rPr>
                <w:sz w:val="20"/>
                <w:szCs w:val="20"/>
                <w:color w:val="auto"/>
              </w:rPr>
            </w:pPr>
            <w:r>
              <w:rPr>
                <w:rFonts w:ascii="Arial" w:cs="Arial" w:eastAsia="Arial" w:hAnsi="Arial"/>
                <w:sz w:val="18"/>
                <w:szCs w:val="18"/>
                <w:color w:val="auto"/>
              </w:rPr>
              <w:t>Douglas S. McCorkle</w:t>
            </w:r>
          </w:p>
        </w:tc>
        <w:tc>
          <w:tcPr>
            <w:tcW w:w="2240" w:type="dxa"/>
            <w:vAlign w:val="bottom"/>
          </w:tcPr>
          <w:p>
            <w:pPr>
              <w:spacing w:after="0"/>
              <w:rPr>
                <w:sz w:val="19"/>
                <w:szCs w:val="19"/>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D. Yancopoulos</w:t>
            </w:r>
          </w:p>
        </w:tc>
        <w:tc>
          <w:tcPr>
            <w:tcW w:w="2240" w:type="dxa"/>
            <w:vAlign w:val="bottom"/>
            <w:tcBorders>
              <w:bottom w:val="single" w:sz="8" w:color="auto"/>
            </w:tcBorders>
          </w:tcPr>
          <w:p>
            <w:pPr>
              <w:spacing w:after="0"/>
              <w:rPr>
                <w:sz w:val="24"/>
                <w:szCs w:val="24"/>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Chief Scientific Officer, President, Regeneron</w:t>
            </w:r>
          </w:p>
        </w:tc>
        <w:tc>
          <w:tcPr>
            <w:tcW w:w="1960" w:type="dxa"/>
            <w:vAlign w:val="bottom"/>
            <w:gridSpan w:val="3"/>
          </w:tcPr>
          <w:p>
            <w:pPr>
              <w:ind w:left="62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2"/>
          </w:tcPr>
          <w:p>
            <w:pPr>
              <w:spacing w:after="0"/>
              <w:rPr>
                <w:sz w:val="20"/>
                <w:szCs w:val="20"/>
                <w:color w:val="auto"/>
              </w:rPr>
            </w:pPr>
            <w:r>
              <w:rPr>
                <w:rFonts w:ascii="Arial" w:cs="Arial" w:eastAsia="Arial" w:hAnsi="Arial"/>
                <w:sz w:val="18"/>
                <w:szCs w:val="18"/>
                <w:color w:val="auto"/>
                <w:w w:val="95"/>
              </w:rPr>
              <w:t>George D. Yancopoulos, M.D., Ph.D.</w:t>
            </w:r>
          </w:p>
        </w:tc>
        <w:tc>
          <w:tcPr>
            <w:tcW w:w="2240" w:type="dxa"/>
            <w:vAlign w:val="bottom"/>
          </w:tcPr>
          <w:p>
            <w:pPr>
              <w:spacing w:after="0"/>
              <w:rPr>
                <w:sz w:val="19"/>
                <w:szCs w:val="19"/>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Research Laboratories, and Director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 Roy Vagelos</w:t>
            </w:r>
          </w:p>
        </w:tc>
        <w:tc>
          <w:tcPr>
            <w:tcW w:w="2240" w:type="dxa"/>
            <w:vAlign w:val="bottom"/>
            <w:tcBorders>
              <w:bottom w:val="single" w:sz="8" w:color="auto"/>
            </w:tcBorders>
          </w:tcPr>
          <w:p>
            <w:pPr>
              <w:spacing w:after="0"/>
              <w:rPr>
                <w:sz w:val="24"/>
                <w:szCs w:val="24"/>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1960" w:type="dxa"/>
            <w:vAlign w:val="bottom"/>
            <w:gridSpan w:val="3"/>
          </w:tcPr>
          <w:p>
            <w:pPr>
              <w:ind w:left="62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2"/>
          </w:tcPr>
          <w:p>
            <w:pPr>
              <w:spacing w:after="0"/>
              <w:rPr>
                <w:sz w:val="20"/>
                <w:szCs w:val="20"/>
                <w:color w:val="auto"/>
              </w:rPr>
            </w:pPr>
            <w:r>
              <w:rPr>
                <w:rFonts w:ascii="Arial" w:cs="Arial" w:eastAsia="Arial" w:hAnsi="Arial"/>
                <w:sz w:val="18"/>
                <w:szCs w:val="18"/>
                <w:color w:val="auto"/>
              </w:rPr>
              <w:t>P. Roy Vagelos, M.D.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740" w:type="dxa"/>
            <w:vAlign w:val="bottom"/>
            <w:gridSpan w:val="3"/>
          </w:tcPr>
          <w:p>
            <w:pPr>
              <w:ind w:left="1540"/>
              <w:spacing w:after="0"/>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A. Baker</w:t>
            </w: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9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Charles A. Baker</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S. Brown</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Alfred G. Gilman, M.D.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L. Goldstein</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Joseph L. Goldstein, M.D.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Christine A. Poon</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Christine A. Poon</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Arthur F. Ryan</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Arthur F. Ryan</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Eric M. Shooter</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Eric M. Shooter, Ph.D.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L. Sing</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George L. Sing</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1"/>
        </w:trPr>
        <w:tc>
          <w:tcPr>
            <w:tcW w:w="2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Marc Tessier-Lavigne</w:t>
            </w:r>
          </w:p>
        </w:tc>
        <w:tc>
          <w:tcPr>
            <w:tcW w:w="2240" w:type="dxa"/>
            <w:vAlign w:val="bottom"/>
            <w:tcBorders>
              <w:bottom w:val="single" w:sz="8" w:color="auto"/>
            </w:tcBorders>
          </w:tcPr>
          <w:p>
            <w:pPr>
              <w:spacing w:after="0"/>
              <w:rPr>
                <w:sz w:val="24"/>
                <w:szCs w:val="24"/>
                <w:color w:val="auto"/>
              </w:rPr>
            </w:pPr>
          </w:p>
        </w:tc>
        <w:tc>
          <w:tcPr>
            <w:tcW w:w="3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740" w:type="dxa"/>
            <w:vAlign w:val="bottom"/>
            <w:gridSpan w:val="3"/>
          </w:tcPr>
          <w:p>
            <w:pPr>
              <w:ind w:left="1400"/>
              <w:spacing w:after="0"/>
              <w:rPr>
                <w:sz w:val="20"/>
                <w:szCs w:val="20"/>
                <w:color w:val="auto"/>
              </w:rPr>
            </w:pPr>
            <w:r>
              <w:rPr>
                <w:rFonts w:ascii="Arial" w:cs="Arial" w:eastAsia="Arial" w:hAnsi="Arial"/>
                <w:sz w:val="18"/>
                <w:szCs w:val="18"/>
                <w:color w:val="auto"/>
                <w:w w:val="89"/>
              </w:rPr>
              <w:t>November 5, 2013</w:t>
            </w:r>
          </w:p>
        </w:tc>
      </w:tr>
      <w:tr>
        <w:trPr>
          <w:trHeight w:val="224"/>
        </w:trPr>
        <w:tc>
          <w:tcPr>
            <w:tcW w:w="2840" w:type="dxa"/>
            <w:vAlign w:val="bottom"/>
            <w:gridSpan w:val="3"/>
          </w:tcPr>
          <w:p>
            <w:pPr>
              <w:spacing w:after="0"/>
              <w:rPr>
                <w:sz w:val="20"/>
                <w:szCs w:val="20"/>
                <w:color w:val="auto"/>
              </w:rPr>
            </w:pPr>
            <w:r>
              <w:rPr>
                <w:rFonts w:ascii="Arial" w:cs="Arial" w:eastAsia="Arial" w:hAnsi="Arial"/>
                <w:sz w:val="18"/>
                <w:szCs w:val="18"/>
                <w:color w:val="auto"/>
              </w:rPr>
              <w:t>Marc Tessier-Lavigne, Ph.D.</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840" w:type="dxa"/>
            <w:vAlign w:val="bottom"/>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jc w:val="right"/>
              <w:spacing w:after="0"/>
              <w:rPr>
                <w:sz w:val="20"/>
                <w:szCs w:val="20"/>
                <w:color w:val="auto"/>
              </w:rPr>
            </w:pPr>
            <w:r>
              <w:rPr>
                <w:rFonts w:ascii="Arial" w:cs="Arial" w:eastAsia="Arial" w:hAnsi="Arial"/>
                <w:sz w:val="14"/>
                <w:szCs w:val="14"/>
                <w:color w:val="auto"/>
              </w:rPr>
              <w:t>Exhibit</w:t>
            </w:r>
          </w:p>
        </w:tc>
        <w:tc>
          <w:tcPr>
            <w:tcW w:w="1084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Number</w:t>
            </w:r>
          </w:p>
        </w:tc>
        <w:tc>
          <w:tcPr>
            <w:tcW w:w="10840" w:type="dxa"/>
            <w:vAlign w:val="bottom"/>
          </w:tcPr>
          <w:p>
            <w:pPr>
              <w:spacing w:after="0"/>
              <w:rPr>
                <w:sz w:val="15"/>
                <w:szCs w:val="15"/>
                <w:color w:val="auto"/>
              </w:rPr>
            </w:pPr>
          </w:p>
        </w:tc>
      </w:tr>
      <w:tr>
        <w:trPr>
          <w:trHeight w:val="331"/>
        </w:trPr>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840" w:type="dxa"/>
            <w:vAlign w:val="bottom"/>
          </w:tcPr>
          <w:p>
            <w:pPr>
              <w:ind w:left="78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840" w:type="dxa"/>
            <w:vAlign w:val="bottom"/>
          </w:tcPr>
          <w:p>
            <w:pPr>
              <w:ind w:left="780"/>
              <w:spacing w:after="0"/>
              <w:rPr>
                <w:sz w:val="20"/>
                <w:szCs w:val="20"/>
                <w:color w:val="auto"/>
              </w:rPr>
            </w:pPr>
            <w:r>
              <w:rPr>
                <w:rFonts w:ascii="Arial" w:cs="Arial" w:eastAsia="Arial" w:hAnsi="Arial"/>
                <w:sz w:val="18"/>
                <w:szCs w:val="18"/>
                <w:color w:val="auto"/>
                <w:w w:val="93"/>
              </w:rPr>
              <w:t>Restated Certificate of Incorporation of Regeneron Pharmaceuticals, Inc. (incorporated by reference to Exhibit 3.1 to the Form 10-K for</w:t>
            </w:r>
          </w:p>
        </w:tc>
      </w:tr>
      <w:tr>
        <w:trPr>
          <w:trHeight w:val="230"/>
        </w:trPr>
        <w:tc>
          <w:tcPr>
            <w:tcW w:w="480" w:type="dxa"/>
            <w:vAlign w:val="bottom"/>
          </w:tcPr>
          <w:p>
            <w:pPr>
              <w:spacing w:after="0"/>
              <w:rPr>
                <w:sz w:val="20"/>
                <w:szCs w:val="20"/>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rPr>
              <w:t>Regeneron Pharmaceuticals, Inc. for the year ended December 31, 2007, filed on February 27, 2008).</w:t>
            </w:r>
          </w:p>
        </w:tc>
      </w:tr>
      <w:tr>
        <w:trPr>
          <w:trHeight w:val="310"/>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10840" w:type="dxa"/>
            <w:vAlign w:val="bottom"/>
          </w:tcPr>
          <w:p>
            <w:pPr>
              <w:ind w:left="780"/>
              <w:spacing w:after="0"/>
              <w:rPr>
                <w:sz w:val="20"/>
                <w:szCs w:val="20"/>
                <w:color w:val="auto"/>
              </w:rPr>
            </w:pPr>
            <w:r>
              <w:rPr>
                <w:rFonts w:ascii="Arial" w:cs="Arial" w:eastAsia="Arial" w:hAnsi="Arial"/>
                <w:sz w:val="18"/>
                <w:szCs w:val="18"/>
                <w:color w:val="auto"/>
                <w:w w:val="92"/>
              </w:rPr>
              <w:t>By-Laws of Regeneron Pharmaceuticals, Inc. (incorporated by reference to Exhibit 99.1 to the Form 8-K for Regeneron Pharmaceuticals,</w:t>
            </w:r>
          </w:p>
        </w:tc>
      </w:tr>
      <w:tr>
        <w:trPr>
          <w:trHeight w:val="230"/>
        </w:trPr>
        <w:tc>
          <w:tcPr>
            <w:tcW w:w="480" w:type="dxa"/>
            <w:vAlign w:val="bottom"/>
          </w:tcPr>
          <w:p>
            <w:pPr>
              <w:spacing w:after="0"/>
              <w:rPr>
                <w:sz w:val="20"/>
                <w:szCs w:val="20"/>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rPr>
              <w:t>Inc., filed on November 13, 2007).</w:t>
            </w:r>
          </w:p>
        </w:tc>
      </w:tr>
      <w:tr>
        <w:trPr>
          <w:trHeight w:val="310"/>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0840" w:type="dxa"/>
            <w:vAlign w:val="bottom"/>
          </w:tcPr>
          <w:p>
            <w:pPr>
              <w:ind w:left="780"/>
              <w:spacing w:after="0"/>
              <w:rPr>
                <w:sz w:val="20"/>
                <w:szCs w:val="20"/>
                <w:color w:val="auto"/>
              </w:rPr>
            </w:pPr>
            <w:r>
              <w:rPr>
                <w:rFonts w:ascii="Arial" w:cs="Arial" w:eastAsia="Arial" w:hAnsi="Arial"/>
                <w:sz w:val="18"/>
                <w:szCs w:val="18"/>
                <w:color w:val="auto"/>
                <w:w w:val="91"/>
              </w:rPr>
              <w:t>Specimen Common Stock Certificate (incorporated by reference to Exhibit 4.16 to the Form S-3 for Regeneron Pharmaceuticals, Inc., filed</w:t>
            </w:r>
          </w:p>
        </w:tc>
      </w:tr>
      <w:tr>
        <w:trPr>
          <w:trHeight w:val="230"/>
        </w:trPr>
        <w:tc>
          <w:tcPr>
            <w:tcW w:w="480" w:type="dxa"/>
            <w:vAlign w:val="bottom"/>
          </w:tcPr>
          <w:p>
            <w:pPr>
              <w:spacing w:after="0"/>
              <w:rPr>
                <w:sz w:val="20"/>
                <w:szCs w:val="20"/>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rPr>
              <w:t>on February 9, 2005).</w:t>
            </w:r>
          </w:p>
        </w:tc>
      </w:tr>
      <w:tr>
        <w:trPr>
          <w:trHeight w:val="310"/>
        </w:trPr>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840" w:type="dxa"/>
            <w:vAlign w:val="bottom"/>
          </w:tcPr>
          <w:p>
            <w:pPr>
              <w:ind w:left="780"/>
              <w:spacing w:after="0"/>
              <w:rPr>
                <w:sz w:val="20"/>
                <w:szCs w:val="20"/>
                <w:color w:val="auto"/>
              </w:rPr>
            </w:pPr>
            <w:r>
              <w:rPr>
                <w:rFonts w:ascii="Arial" w:cs="Arial" w:eastAsia="Arial" w:hAnsi="Arial"/>
                <w:sz w:val="18"/>
                <w:szCs w:val="18"/>
                <w:color w:val="auto"/>
                <w:w w:val="90"/>
              </w:rPr>
              <w:t>Specimen Preferred Stock Certificate and Form of Certificate of Designation, Preferences and Rights with respect to any series of Preferred</w:t>
            </w:r>
          </w:p>
        </w:tc>
      </w:tr>
      <w:tr>
        <w:trPr>
          <w:trHeight w:val="230"/>
        </w:trPr>
        <w:tc>
          <w:tcPr>
            <w:tcW w:w="480" w:type="dxa"/>
            <w:vAlign w:val="bottom"/>
          </w:tcPr>
          <w:p>
            <w:pPr>
              <w:spacing w:after="0"/>
              <w:rPr>
                <w:sz w:val="20"/>
                <w:szCs w:val="20"/>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rPr>
              <w:t>Stock issued hereunder.</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0840" w:type="dxa"/>
            <w:vAlign w:val="bottom"/>
          </w:tcPr>
          <w:p>
            <w:pPr>
              <w:ind w:left="780"/>
              <w:spacing w:after="0"/>
              <w:rPr>
                <w:sz w:val="20"/>
                <w:szCs w:val="20"/>
                <w:color w:val="auto"/>
              </w:rPr>
            </w:pPr>
            <w:r>
              <w:rPr>
                <w:rFonts w:ascii="Arial" w:cs="Arial" w:eastAsia="Arial" w:hAnsi="Arial"/>
                <w:sz w:val="18"/>
                <w:szCs w:val="18"/>
                <w:color w:val="auto"/>
              </w:rPr>
              <w:t>Form of Indenture.</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840" w:type="dxa"/>
            <w:vAlign w:val="bottom"/>
          </w:tcPr>
          <w:p>
            <w:pPr>
              <w:ind w:left="780"/>
              <w:spacing w:after="0"/>
              <w:rPr>
                <w:sz w:val="20"/>
                <w:szCs w:val="20"/>
                <w:color w:val="auto"/>
              </w:rPr>
            </w:pPr>
            <w:r>
              <w:rPr>
                <w:rFonts w:ascii="Arial" w:cs="Arial" w:eastAsia="Arial" w:hAnsi="Arial"/>
                <w:sz w:val="18"/>
                <w:szCs w:val="18"/>
                <w:color w:val="auto"/>
              </w:rPr>
              <w:t>Form of any Debt Security.</w:t>
            </w:r>
          </w:p>
        </w:tc>
      </w:tr>
      <w:tr>
        <w:trPr>
          <w:trHeight w:val="324"/>
        </w:trPr>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0840" w:type="dxa"/>
            <w:vAlign w:val="bottom"/>
          </w:tcPr>
          <w:p>
            <w:pPr>
              <w:ind w:left="780"/>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10840" w:type="dxa"/>
            <w:vAlign w:val="bottom"/>
          </w:tcPr>
          <w:p>
            <w:pPr>
              <w:ind w:left="780"/>
              <w:spacing w:after="0"/>
              <w:rPr>
                <w:sz w:val="20"/>
                <w:szCs w:val="20"/>
                <w:color w:val="auto"/>
              </w:rPr>
            </w:pPr>
            <w:r>
              <w:rPr>
                <w:rFonts w:ascii="Arial" w:cs="Arial" w:eastAsia="Arial" w:hAnsi="Arial"/>
                <w:sz w:val="18"/>
                <w:szCs w:val="18"/>
                <w:color w:val="auto"/>
              </w:rPr>
              <w:t>Opinion of Skadden, Arps, Slate, Meagher &amp; Flom LLP.</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12.1</w:t>
            </w:r>
          </w:p>
        </w:tc>
        <w:tc>
          <w:tcPr>
            <w:tcW w:w="10840" w:type="dxa"/>
            <w:vAlign w:val="bottom"/>
          </w:tcPr>
          <w:p>
            <w:pPr>
              <w:ind w:left="780"/>
              <w:spacing w:after="0"/>
              <w:rPr>
                <w:sz w:val="20"/>
                <w:szCs w:val="20"/>
                <w:color w:val="auto"/>
              </w:rPr>
            </w:pPr>
            <w:r>
              <w:rPr>
                <w:rFonts w:ascii="Arial" w:cs="Arial" w:eastAsia="Arial" w:hAnsi="Arial"/>
                <w:sz w:val="18"/>
                <w:szCs w:val="18"/>
                <w:color w:val="auto"/>
              </w:rPr>
              <w:t>Statement re: Ratio of Earnings to Fixed Charges.</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23.1</w:t>
            </w:r>
          </w:p>
        </w:tc>
        <w:tc>
          <w:tcPr>
            <w:tcW w:w="10840" w:type="dxa"/>
            <w:vAlign w:val="bottom"/>
          </w:tcPr>
          <w:p>
            <w:pPr>
              <w:ind w:left="78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23.2</w:t>
            </w:r>
          </w:p>
        </w:tc>
        <w:tc>
          <w:tcPr>
            <w:tcW w:w="10840" w:type="dxa"/>
            <w:vAlign w:val="bottom"/>
          </w:tcPr>
          <w:p>
            <w:pPr>
              <w:ind w:left="780"/>
              <w:spacing w:after="0"/>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324"/>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24.1</w:t>
            </w:r>
          </w:p>
        </w:tc>
        <w:tc>
          <w:tcPr>
            <w:tcW w:w="10840" w:type="dxa"/>
            <w:vAlign w:val="bottom"/>
          </w:tcPr>
          <w:p>
            <w:pPr>
              <w:ind w:left="780"/>
              <w:spacing w:after="0"/>
              <w:rPr>
                <w:sz w:val="20"/>
                <w:szCs w:val="20"/>
                <w:color w:val="auto"/>
              </w:rPr>
            </w:pPr>
            <w:r>
              <w:rPr>
                <w:rFonts w:ascii="Arial" w:cs="Arial" w:eastAsia="Arial" w:hAnsi="Arial"/>
                <w:sz w:val="18"/>
                <w:szCs w:val="18"/>
                <w:color w:val="auto"/>
              </w:rPr>
              <w:t>Power of Attorney (included on signature page hereto).</w:t>
            </w:r>
          </w:p>
        </w:tc>
      </w:tr>
      <w:tr>
        <w:trPr>
          <w:trHeight w:val="310"/>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25.1</w:t>
            </w:r>
          </w:p>
        </w:tc>
        <w:tc>
          <w:tcPr>
            <w:tcW w:w="10840" w:type="dxa"/>
            <w:vAlign w:val="bottom"/>
          </w:tcPr>
          <w:p>
            <w:pPr>
              <w:ind w:left="780"/>
              <w:spacing w:after="0"/>
              <w:rPr>
                <w:sz w:val="20"/>
                <w:szCs w:val="20"/>
                <w:color w:val="auto"/>
              </w:rPr>
            </w:pPr>
            <w:r>
              <w:rPr>
                <w:rFonts w:ascii="Arial" w:cs="Arial" w:eastAsia="Arial" w:hAnsi="Arial"/>
                <w:sz w:val="18"/>
                <w:szCs w:val="18"/>
                <w:color w:val="auto"/>
                <w:w w:val="92"/>
              </w:rPr>
              <w:t>Form T-1 Statement of Eligibility under the Trust Indenture Act of 1939, as amended, of U.S. Bank National Association, as trustee under</w:t>
            </w:r>
          </w:p>
        </w:tc>
      </w:tr>
      <w:tr>
        <w:trPr>
          <w:trHeight w:val="230"/>
        </w:trPr>
        <w:tc>
          <w:tcPr>
            <w:tcW w:w="480" w:type="dxa"/>
            <w:vAlign w:val="bottom"/>
          </w:tcPr>
          <w:p>
            <w:pPr>
              <w:spacing w:after="0"/>
              <w:rPr>
                <w:sz w:val="20"/>
                <w:szCs w:val="20"/>
                <w:color w:val="auto"/>
              </w:rPr>
            </w:pPr>
          </w:p>
        </w:tc>
        <w:tc>
          <w:tcPr>
            <w:tcW w:w="10840" w:type="dxa"/>
            <w:vAlign w:val="bottom"/>
          </w:tcPr>
          <w:p>
            <w:pPr>
              <w:ind w:left="780"/>
              <w:spacing w:after="0"/>
              <w:rPr>
                <w:sz w:val="20"/>
                <w:szCs w:val="20"/>
                <w:color w:val="auto"/>
              </w:rPr>
            </w:pPr>
            <w:r>
              <w:rPr>
                <w:rFonts w:ascii="Arial" w:cs="Arial" w:eastAsia="Arial" w:hAnsi="Arial"/>
                <w:sz w:val="18"/>
                <w:szCs w:val="18"/>
                <w:color w:val="auto"/>
              </w:rPr>
              <w:t>the Indenture.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To be filed by amendment or as an exhibit to a document to be incorporated by reference herein in connection with an offering of the offered securities.</w:t>
      </w:r>
    </w:p>
    <w:p>
      <w:pPr>
        <w:sectPr>
          <w:pgSz w:w="11900" w:h="16838" w:orient="portrait"/>
          <w:cols w:equalWidth="0" w:num="1">
            <w:col w:w="11320"/>
          </w:cols>
          <w:pgMar w:left="240" w:top="45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4.5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REGENERON PHARMACEUTICALS, INC.,</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34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w w:val="98"/>
              </w:rPr>
              <w:t>DATED AS OF</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2013</w:t>
            </w:r>
          </w:p>
        </w:tc>
      </w:tr>
      <w:tr>
        <w:trPr>
          <w:trHeight w:val="20"/>
        </w:trPr>
        <w:tc>
          <w:tcPr>
            <w:tcW w:w="1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8960" w:type="dxa"/>
            <w:vAlign w:val="bottom"/>
          </w:tcPr>
          <w:p>
            <w:pPr>
              <w:jc w:val="center"/>
              <w:ind w:right="50"/>
              <w:spacing w:after="0"/>
              <w:rPr>
                <w:sz w:val="20"/>
                <w:szCs w:val="20"/>
                <w:color w:val="auto"/>
              </w:rPr>
            </w:pPr>
            <w:r>
              <w:rPr>
                <w:rFonts w:ascii="Arial" w:cs="Arial" w:eastAsia="Arial" w:hAnsi="Arial"/>
                <w:sz w:val="18"/>
                <w:szCs w:val="18"/>
                <w:color w:val="auto"/>
                <w:w w:val="95"/>
              </w:rPr>
              <w:t>TABLE OF CONTENTS</w:t>
            </w:r>
            <w:r>
              <w:rPr>
                <w:rFonts w:ascii="Arial" w:cs="Arial" w:eastAsia="Arial" w:hAnsi="Arial"/>
                <w:sz w:val="15"/>
                <w:szCs w:val="15"/>
                <w:color w:val="auto"/>
                <w:w w:val="95"/>
              </w:rPr>
              <w:t>1</w:t>
            </w:r>
          </w:p>
        </w:tc>
        <w:tc>
          <w:tcPr>
            <w:tcW w:w="10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8960" w:type="dxa"/>
            <w:vAlign w:val="bottom"/>
          </w:tcPr>
          <w:p>
            <w:pPr>
              <w:jc w:val="center"/>
              <w:ind w:right="30"/>
              <w:spacing w:after="0"/>
              <w:rPr>
                <w:sz w:val="20"/>
                <w:szCs w:val="20"/>
                <w:color w:val="auto"/>
              </w:rPr>
            </w:pPr>
            <w:r>
              <w:rPr>
                <w:rFonts w:ascii="Arial" w:cs="Arial" w:eastAsia="Arial" w:hAnsi="Arial"/>
                <w:sz w:val="18"/>
                <w:szCs w:val="18"/>
                <w:color w:val="auto"/>
                <w:w w:val="96"/>
              </w:rPr>
              <w:t>ARTICLE 1</w:t>
            </w:r>
          </w:p>
        </w:tc>
        <w:tc>
          <w:tcPr>
            <w:tcW w:w="106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30"/>
              <w:spacing w:after="0"/>
              <w:rPr>
                <w:sz w:val="20"/>
                <w:szCs w:val="20"/>
                <w:color w:val="auto"/>
              </w:rPr>
            </w:pPr>
            <w:r>
              <w:rPr>
                <w:rFonts w:ascii="Arial" w:cs="Arial" w:eastAsia="Arial" w:hAnsi="Arial"/>
                <w:sz w:val="18"/>
                <w:szCs w:val="18"/>
                <w:color w:val="auto"/>
                <w:w w:val="98"/>
              </w:rPr>
              <w:t>DEFINITIONS</w:t>
            </w:r>
          </w:p>
        </w:tc>
        <w:tc>
          <w:tcPr>
            <w:tcW w:w="106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w w:val="96"/>
              </w:rPr>
              <w:t>SECTION 1.01DEFINITIONS OF TERMS</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490"/>
              <w:spacing w:after="0"/>
              <w:rPr>
                <w:sz w:val="20"/>
                <w:szCs w:val="20"/>
                <w:color w:val="auto"/>
              </w:rPr>
            </w:pPr>
            <w:r>
              <w:rPr>
                <w:rFonts w:ascii="Arial" w:cs="Arial" w:eastAsia="Arial" w:hAnsi="Arial"/>
                <w:sz w:val="18"/>
                <w:szCs w:val="18"/>
                <w:color w:val="auto"/>
                <w:w w:val="98"/>
              </w:rPr>
              <w:t>ARTICLE 2</w:t>
            </w:r>
          </w:p>
        </w:tc>
        <w:tc>
          <w:tcPr>
            <w:tcW w:w="106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470"/>
              <w:spacing w:after="0"/>
              <w:rPr>
                <w:sz w:val="20"/>
                <w:szCs w:val="20"/>
                <w:color w:val="auto"/>
              </w:rPr>
            </w:pPr>
            <w:r>
              <w:rPr>
                <w:rFonts w:ascii="Arial" w:cs="Arial" w:eastAsia="Arial" w:hAnsi="Arial"/>
                <w:sz w:val="18"/>
                <w:szCs w:val="18"/>
                <w:color w:val="auto"/>
                <w:w w:val="95"/>
              </w:rPr>
              <w:t>ISSUE, DESCRIPTION, TERMS, EXECUTION, REGISTRATION AND EXCHANGE OF SECURITIES</w:t>
            </w:r>
          </w:p>
        </w:tc>
        <w:tc>
          <w:tcPr>
            <w:tcW w:w="1060" w:type="dxa"/>
            <w:vAlign w:val="bottom"/>
          </w:tcPr>
          <w:p>
            <w:pPr>
              <w:spacing w:after="0"/>
              <w:rPr>
                <w:sz w:val="24"/>
                <w:szCs w:val="24"/>
                <w:color w:val="auto"/>
              </w:rPr>
            </w:pP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2.01DESIGNATION AND TERMS OF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2.02FORM OF SECURITIES AND TRUSTEE’S CERTIFICATE</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2.03DENOMINATIONS: PROVISIONS FOR PAYMENT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8"/>
              </w:rPr>
              <w:t>SECTION 2.04EXECUTION AND AUTHENTICATIONS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6"/>
              </w:rPr>
              <w:t>SECTION 2.05REGISTRATION OF TRANSFER AND EXCHANGE</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8960" w:type="dxa"/>
            <w:vAlign w:val="bottom"/>
          </w:tcPr>
          <w:p>
            <w:pPr>
              <w:ind w:left="160"/>
              <w:spacing w:after="0"/>
              <w:rPr>
                <w:sz w:val="20"/>
                <w:szCs w:val="20"/>
                <w:color w:val="auto"/>
              </w:rPr>
            </w:pPr>
            <w:r>
              <w:rPr>
                <w:rFonts w:ascii="Arial" w:cs="Arial" w:eastAsia="Arial" w:hAnsi="Arial"/>
                <w:sz w:val="18"/>
                <w:szCs w:val="18"/>
                <w:color w:val="auto"/>
              </w:rPr>
              <w:t>TEMPORARY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2.07MUTILATED, DESTROYED, LOST OR STOLEN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896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6"/>
              </w:rPr>
              <w:t>SECTION 2.09BENEFITS OF INDENTURE</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8960" w:type="dxa"/>
            <w:vAlign w:val="bottom"/>
          </w:tcPr>
          <w:p>
            <w:pPr>
              <w:ind w:left="160"/>
              <w:spacing w:after="0"/>
              <w:rPr>
                <w:sz w:val="20"/>
                <w:szCs w:val="20"/>
                <w:color w:val="auto"/>
              </w:rPr>
            </w:pPr>
            <w:r>
              <w:rPr>
                <w:rFonts w:ascii="Arial" w:cs="Arial" w:eastAsia="Arial" w:hAnsi="Arial"/>
                <w:sz w:val="18"/>
                <w:szCs w:val="18"/>
                <w:color w:val="auto"/>
              </w:rPr>
              <w:t>AUTHENTICATING AGENT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2.11</w:t>
            </w:r>
          </w:p>
        </w:tc>
        <w:tc>
          <w:tcPr>
            <w:tcW w:w="8960" w:type="dxa"/>
            <w:vAlign w:val="bottom"/>
          </w:tcPr>
          <w:p>
            <w:pPr>
              <w:ind w:left="160"/>
              <w:spacing w:after="0"/>
              <w:rPr>
                <w:sz w:val="20"/>
                <w:szCs w:val="20"/>
                <w:color w:val="auto"/>
              </w:rPr>
            </w:pPr>
            <w:r>
              <w:rPr>
                <w:rFonts w:ascii="Arial" w:cs="Arial" w:eastAsia="Arial" w:hAnsi="Arial"/>
                <w:sz w:val="18"/>
                <w:szCs w:val="18"/>
                <w:color w:val="auto"/>
              </w:rPr>
              <w:t>GLOBAL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490"/>
              <w:spacing w:after="0"/>
              <w:rPr>
                <w:sz w:val="20"/>
                <w:szCs w:val="20"/>
                <w:color w:val="auto"/>
              </w:rPr>
            </w:pPr>
            <w:r>
              <w:rPr>
                <w:rFonts w:ascii="Arial" w:cs="Arial" w:eastAsia="Arial" w:hAnsi="Arial"/>
                <w:sz w:val="18"/>
                <w:szCs w:val="18"/>
                <w:color w:val="auto"/>
                <w:w w:val="98"/>
              </w:rPr>
              <w:t>ARTICLE 3</w:t>
            </w:r>
          </w:p>
        </w:tc>
        <w:tc>
          <w:tcPr>
            <w:tcW w:w="106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470"/>
              <w:spacing w:after="0"/>
              <w:rPr>
                <w:sz w:val="20"/>
                <w:szCs w:val="20"/>
                <w:color w:val="auto"/>
              </w:rPr>
            </w:pPr>
            <w:r>
              <w:rPr>
                <w:rFonts w:ascii="Arial" w:cs="Arial" w:eastAsia="Arial" w:hAnsi="Arial"/>
                <w:sz w:val="18"/>
                <w:szCs w:val="18"/>
                <w:color w:val="auto"/>
                <w:w w:val="96"/>
              </w:rPr>
              <w:t>REDEMPTION OF SECURITIES AND SINKING FUND PROVISIONS</w:t>
            </w:r>
          </w:p>
        </w:tc>
        <w:tc>
          <w:tcPr>
            <w:tcW w:w="1060" w:type="dxa"/>
            <w:vAlign w:val="bottom"/>
          </w:tcPr>
          <w:p>
            <w:pPr>
              <w:spacing w:after="0"/>
              <w:rPr>
                <w:sz w:val="24"/>
                <w:szCs w:val="24"/>
                <w:color w:val="auto"/>
              </w:rPr>
            </w:pP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8960" w:type="dxa"/>
            <w:vAlign w:val="bottom"/>
          </w:tcPr>
          <w:p>
            <w:pPr>
              <w:ind w:left="160"/>
              <w:spacing w:after="0"/>
              <w:rPr>
                <w:sz w:val="20"/>
                <w:szCs w:val="20"/>
                <w:color w:val="auto"/>
              </w:rPr>
            </w:pPr>
            <w:r>
              <w:rPr>
                <w:rFonts w:ascii="Arial" w:cs="Arial" w:eastAsia="Arial" w:hAnsi="Arial"/>
                <w:sz w:val="18"/>
                <w:szCs w:val="18"/>
                <w:color w:val="auto"/>
              </w:rPr>
              <w:t>REDEMPTION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3.02NOTICE OF REDEMPTION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3.03PAYMENT UPON REDEMPTION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3.04</w:t>
            </w:r>
          </w:p>
        </w:tc>
        <w:tc>
          <w:tcPr>
            <w:tcW w:w="8960" w:type="dxa"/>
            <w:vAlign w:val="bottom"/>
          </w:tcPr>
          <w:p>
            <w:pPr>
              <w:ind w:left="160"/>
              <w:spacing w:after="0"/>
              <w:rPr>
                <w:sz w:val="20"/>
                <w:szCs w:val="20"/>
                <w:color w:val="auto"/>
              </w:rPr>
            </w:pPr>
            <w:r>
              <w:rPr>
                <w:rFonts w:ascii="Arial" w:cs="Arial" w:eastAsia="Arial" w:hAnsi="Arial"/>
                <w:sz w:val="18"/>
                <w:szCs w:val="18"/>
                <w:color w:val="auto"/>
              </w:rPr>
              <w:t>SINKING FUND</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6"/>
              </w:rPr>
              <w:t>SECTION 3.05SATISFACTION OF SINKING FUND PAYMENTS WITH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260" w:type="dxa"/>
            <w:vAlign w:val="bottom"/>
            <w:gridSpan w:val="2"/>
          </w:tcPr>
          <w:p>
            <w:pPr>
              <w:spacing w:after="0"/>
              <w:rPr>
                <w:sz w:val="20"/>
                <w:szCs w:val="20"/>
                <w:color w:val="auto"/>
              </w:rPr>
            </w:pPr>
            <w:r>
              <w:rPr>
                <w:rFonts w:ascii="Arial" w:cs="Arial" w:eastAsia="Arial" w:hAnsi="Arial"/>
                <w:sz w:val="18"/>
                <w:szCs w:val="18"/>
                <w:color w:val="auto"/>
                <w:w w:val="95"/>
              </w:rPr>
              <w:t>SECTION 3.06REDEMPTION OF SECURITIES FOR SINKING FUND</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490"/>
              <w:spacing w:after="0"/>
              <w:rPr>
                <w:sz w:val="20"/>
                <w:szCs w:val="20"/>
                <w:color w:val="auto"/>
              </w:rPr>
            </w:pPr>
            <w:r>
              <w:rPr>
                <w:rFonts w:ascii="Arial" w:cs="Arial" w:eastAsia="Arial" w:hAnsi="Arial"/>
                <w:sz w:val="18"/>
                <w:szCs w:val="18"/>
                <w:color w:val="auto"/>
                <w:w w:val="98"/>
              </w:rPr>
              <w:t>ARTICLE 4</w:t>
            </w:r>
          </w:p>
        </w:tc>
        <w:tc>
          <w:tcPr>
            <w:tcW w:w="106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960" w:type="dxa"/>
            <w:vAlign w:val="bottom"/>
          </w:tcPr>
          <w:p>
            <w:pPr>
              <w:jc w:val="center"/>
              <w:ind w:right="490"/>
              <w:spacing w:after="0"/>
              <w:rPr>
                <w:sz w:val="20"/>
                <w:szCs w:val="20"/>
                <w:color w:val="auto"/>
              </w:rPr>
            </w:pPr>
            <w:r>
              <w:rPr>
                <w:rFonts w:ascii="Arial" w:cs="Arial" w:eastAsia="Arial" w:hAnsi="Arial"/>
                <w:sz w:val="18"/>
                <w:szCs w:val="18"/>
                <w:color w:val="auto"/>
                <w:w w:val="98"/>
              </w:rPr>
              <w:t>COVENANTS</w:t>
            </w:r>
          </w:p>
        </w:tc>
        <w:tc>
          <w:tcPr>
            <w:tcW w:w="1060" w:type="dxa"/>
            <w:vAlign w:val="bottom"/>
          </w:tcPr>
          <w:p>
            <w:pPr>
              <w:spacing w:after="0"/>
              <w:rPr>
                <w:sz w:val="24"/>
                <w:szCs w:val="24"/>
                <w:color w:val="auto"/>
              </w:rPr>
            </w:pPr>
          </w:p>
        </w:tc>
      </w:tr>
      <w:tr>
        <w:trPr>
          <w:trHeight w:val="310"/>
        </w:trPr>
        <w:tc>
          <w:tcPr>
            <w:tcW w:w="10260" w:type="dxa"/>
            <w:vAlign w:val="bottom"/>
            <w:gridSpan w:val="2"/>
          </w:tcPr>
          <w:p>
            <w:pPr>
              <w:spacing w:after="0"/>
              <w:rPr>
                <w:sz w:val="20"/>
                <w:szCs w:val="20"/>
                <w:color w:val="auto"/>
              </w:rPr>
            </w:pPr>
            <w:r>
              <w:rPr>
                <w:rFonts w:ascii="Arial" w:cs="Arial" w:eastAsia="Arial" w:hAnsi="Arial"/>
                <w:sz w:val="18"/>
                <w:szCs w:val="18"/>
                <w:color w:val="auto"/>
                <w:w w:val="96"/>
              </w:rPr>
              <w:t>SECTION 4.01PAYMENT OF PRINCIPAL, PREMIUM AND 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7"/>
              </w:rPr>
              <w:t>SECTION 4.02MAINTENANCE OF OFFICE OR AGENCY</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8960" w:type="dxa"/>
            <w:vAlign w:val="bottom"/>
          </w:tcPr>
          <w:p>
            <w:pPr>
              <w:ind w:left="160"/>
              <w:spacing w:after="0"/>
              <w:rPr>
                <w:sz w:val="20"/>
                <w:szCs w:val="20"/>
                <w:color w:val="auto"/>
              </w:rPr>
            </w:pPr>
            <w:r>
              <w:rPr>
                <w:rFonts w:ascii="Arial" w:cs="Arial" w:eastAsia="Arial" w:hAnsi="Arial"/>
                <w:sz w:val="18"/>
                <w:szCs w:val="18"/>
                <w:color w:val="auto"/>
              </w:rPr>
              <w:t>PAYING AGENTS</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6"/>
              </w:rPr>
              <w:t>SECTION 4.04APPOINTMENT TO FILL VACANCY IN OFFICE OF TRUSTEE</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w w:val="97"/>
              </w:rPr>
              <w:t>SECTION 4.05COMPLIANCE WITH CONSOLIDATION PROVISIONS</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896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4"/>
          <w:szCs w:val="14"/>
          <w:color w:val="auto"/>
        </w:rPr>
      </w:pPr>
      <w:r>
        <w:rPr>
          <w:rFonts w:ascii="Arial" w:cs="Arial" w:eastAsia="Arial" w:hAnsi="Arial"/>
          <w:sz w:val="16"/>
          <w:szCs w:val="16"/>
          <w:color w:val="auto"/>
        </w:rPr>
        <w:t>This Table of Contents does not constitute part of the Indenture and shall not have any bearing on the interpretation of any of its terms or provisions.</w:t>
      </w:r>
    </w:p>
    <w:p>
      <w:pPr>
        <w:spacing w:after="0" w:line="180" w:lineRule="exact"/>
        <w:rPr>
          <w:rFonts w:ascii="Arial" w:cs="Arial" w:eastAsia="Arial" w:hAnsi="Arial"/>
          <w:sz w:val="14"/>
          <w:szCs w:val="14"/>
          <w:color w:val="auto"/>
        </w:rPr>
      </w:pPr>
    </w:p>
    <w:p>
      <w:pPr>
        <w:ind w:left="5680"/>
        <w:spacing w:after="0"/>
        <w:rPr>
          <w:rFonts w:ascii="Arial" w:cs="Arial" w:eastAsia="Arial" w:hAnsi="Arial"/>
          <w:sz w:val="14"/>
          <w:szCs w:val="14"/>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8"/>
              </w:rPr>
              <w:t>ARTICLE 5</w:t>
            </w:r>
          </w:p>
        </w:tc>
        <w:tc>
          <w:tcPr>
            <w:tcW w:w="1300" w:type="dxa"/>
            <w:vAlign w:val="bottom"/>
          </w:tcPr>
          <w:p>
            <w:pPr>
              <w:spacing w:after="0"/>
              <w:rPr>
                <w:sz w:val="20"/>
                <w:szCs w:val="20"/>
                <w:color w:val="auto"/>
              </w:rPr>
            </w:pPr>
          </w:p>
        </w:tc>
      </w:tr>
      <w:tr>
        <w:trPr>
          <w:trHeight w:val="324"/>
        </w:trPr>
        <w:tc>
          <w:tcPr>
            <w:tcW w:w="10020" w:type="dxa"/>
            <w:vAlign w:val="bottom"/>
          </w:tcPr>
          <w:p>
            <w:pPr>
              <w:jc w:val="center"/>
              <w:ind w:left="890"/>
              <w:spacing w:after="0"/>
              <w:rPr>
                <w:sz w:val="20"/>
                <w:szCs w:val="20"/>
                <w:color w:val="auto"/>
              </w:rPr>
            </w:pPr>
            <w:r>
              <w:rPr>
                <w:rFonts w:ascii="Arial" w:cs="Arial" w:eastAsia="Arial" w:hAnsi="Arial"/>
                <w:sz w:val="18"/>
                <w:szCs w:val="18"/>
                <w:color w:val="auto"/>
                <w:w w:val="96"/>
              </w:rPr>
              <w:t>SECURITYHOLDERS’ LISTS AND REPORTS BY THE COMPANY AND THE TRUSTEE</w:t>
            </w:r>
          </w:p>
        </w:tc>
        <w:tc>
          <w:tcPr>
            <w:tcW w:w="1300" w:type="dxa"/>
            <w:vAlign w:val="bottom"/>
          </w:tcPr>
          <w:p>
            <w:pPr>
              <w:spacing w:after="0"/>
              <w:rPr>
                <w:sz w:val="24"/>
                <w:szCs w:val="24"/>
                <w:color w:val="auto"/>
              </w:rPr>
            </w:pPr>
          </w:p>
        </w:tc>
      </w:tr>
      <w:tr>
        <w:trPr>
          <w:trHeight w:val="310"/>
        </w:trPr>
        <w:tc>
          <w:tcPr>
            <w:tcW w:w="10020" w:type="dxa"/>
            <w:vAlign w:val="bottom"/>
          </w:tcPr>
          <w:p>
            <w:pPr>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5.03   REPORTS BY THE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SECTION 5.04   REPORTS BY THE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8"/>
              </w:rPr>
              <w:t>ARTICLE 6</w:t>
            </w:r>
          </w:p>
        </w:tc>
        <w:tc>
          <w:tcPr>
            <w:tcW w:w="1300" w:type="dxa"/>
            <w:vAlign w:val="bottom"/>
          </w:tcPr>
          <w:p>
            <w:pPr>
              <w:spacing w:after="0"/>
              <w:rPr>
                <w:sz w:val="24"/>
                <w:szCs w:val="24"/>
                <w:color w:val="auto"/>
              </w:rPr>
            </w:pPr>
          </w:p>
        </w:tc>
      </w:tr>
      <w:tr>
        <w:trPr>
          <w:trHeight w:val="324"/>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5"/>
              </w:rPr>
              <w:t>REMEDIES OF THE TRUSTEE AND SECURITYHOLDERS ON EVENT OF DEFAULT</w:t>
            </w:r>
          </w:p>
        </w:tc>
        <w:tc>
          <w:tcPr>
            <w:tcW w:w="1300" w:type="dxa"/>
            <w:vAlign w:val="bottom"/>
          </w:tcPr>
          <w:p>
            <w:pPr>
              <w:spacing w:after="0"/>
              <w:rPr>
                <w:sz w:val="24"/>
                <w:szCs w:val="24"/>
                <w:color w:val="auto"/>
              </w:rPr>
            </w:pPr>
          </w:p>
        </w:tc>
      </w:tr>
      <w:tr>
        <w:trPr>
          <w:trHeight w:val="310"/>
        </w:trPr>
        <w:tc>
          <w:tcPr>
            <w:tcW w:w="1002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6.03   APPLICATION OF MONEYS COLLECTED</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6.04   LIMITATION ON SUITS</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6.06   CONTROL BY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SECTION 6.07   UNDERTAKING TO PAY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8"/>
              </w:rPr>
              <w:t>ARTICLE 7</w:t>
            </w:r>
          </w:p>
        </w:tc>
        <w:tc>
          <w:tcPr>
            <w:tcW w:w="1300" w:type="dxa"/>
            <w:vAlign w:val="bottom"/>
          </w:tcPr>
          <w:p>
            <w:pPr>
              <w:spacing w:after="0"/>
              <w:rPr>
                <w:sz w:val="24"/>
                <w:szCs w:val="24"/>
                <w:color w:val="auto"/>
              </w:rPr>
            </w:pPr>
          </w:p>
        </w:tc>
      </w:tr>
      <w:tr>
        <w:trPr>
          <w:trHeight w:val="324"/>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5"/>
              </w:rPr>
              <w:t>CONCERNING THE TRUSTEE</w:t>
            </w:r>
          </w:p>
        </w:tc>
        <w:tc>
          <w:tcPr>
            <w:tcW w:w="1300" w:type="dxa"/>
            <w:vAlign w:val="bottom"/>
          </w:tcPr>
          <w:p>
            <w:pPr>
              <w:spacing w:after="0"/>
              <w:rPr>
                <w:sz w:val="24"/>
                <w:szCs w:val="24"/>
                <w:color w:val="auto"/>
              </w:rPr>
            </w:pPr>
          </w:p>
        </w:tc>
      </w:tr>
      <w:tr>
        <w:trPr>
          <w:trHeight w:val="310"/>
        </w:trPr>
        <w:tc>
          <w:tcPr>
            <w:tcW w:w="10020" w:type="dxa"/>
            <w:vAlign w:val="bottom"/>
          </w:tcPr>
          <w:p>
            <w:pPr>
              <w:spacing w:after="0"/>
              <w:rPr>
                <w:sz w:val="20"/>
                <w:szCs w:val="20"/>
                <w:color w:val="auto"/>
              </w:rPr>
            </w:pPr>
            <w:r>
              <w:rPr>
                <w:rFonts w:ascii="Arial" w:cs="Arial" w:eastAsia="Arial" w:hAnsi="Arial"/>
                <w:sz w:val="18"/>
                <w:szCs w:val="18"/>
                <w:color w:val="auto"/>
              </w:rPr>
              <w:t>SECTION 7.01   CERTAIN DUTIES AND RESPONSIBILITIES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7.02   CERTAIN RIGHTS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7.04   MAY HOLD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7.05   MONEYS HELD IN TRUST</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7.06   COMPENSATION AND REIMBURSEMENT</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7.07   RELIANCE ON OFFICERS’ CERTIFICATE</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7.08   DISQUALIFICATION; CONFLICTING INTERESTS</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7.09   CORPORATE TRUSTEE REQUIRED; ELIGIBILITY</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7.10   RESIGNATION AND REMOVAL; APPOINTMENT OF SUCCESSOR</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7.11   ACCEPTANCE OF APPOINTMENT BY SUCCESSOR</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7.12   MERGER, CONVERSION, CONSOLIDATION OR SUCCESSION TO BUSINESS</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7.13   PREFERENTIAL COLLECTION OF CLAIMS AGAINST THE COMPANY</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SECTION 7.14   NOTICE OF DEFAULT</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8"/>
              </w:rPr>
              <w:t>ARTICLE 8</w:t>
            </w:r>
          </w:p>
        </w:tc>
        <w:tc>
          <w:tcPr>
            <w:tcW w:w="1300" w:type="dxa"/>
            <w:vAlign w:val="bottom"/>
          </w:tcPr>
          <w:p>
            <w:pPr>
              <w:spacing w:after="0"/>
              <w:rPr>
                <w:sz w:val="24"/>
                <w:szCs w:val="24"/>
                <w:color w:val="auto"/>
              </w:rPr>
            </w:pPr>
          </w:p>
        </w:tc>
      </w:tr>
      <w:tr>
        <w:trPr>
          <w:trHeight w:val="324"/>
        </w:trPr>
        <w:tc>
          <w:tcPr>
            <w:tcW w:w="10020" w:type="dxa"/>
            <w:vAlign w:val="bottom"/>
          </w:tcPr>
          <w:p>
            <w:pPr>
              <w:jc w:val="center"/>
              <w:ind w:left="870"/>
              <w:spacing w:after="0"/>
              <w:rPr>
                <w:sz w:val="20"/>
                <w:szCs w:val="20"/>
                <w:color w:val="auto"/>
              </w:rPr>
            </w:pPr>
            <w:r>
              <w:rPr>
                <w:rFonts w:ascii="Arial" w:cs="Arial" w:eastAsia="Arial" w:hAnsi="Arial"/>
                <w:sz w:val="18"/>
                <w:szCs w:val="18"/>
                <w:color w:val="auto"/>
                <w:w w:val="96"/>
              </w:rPr>
              <w:t>CONCERNING THE SECURITYHOLDERS</w:t>
            </w:r>
          </w:p>
        </w:tc>
        <w:tc>
          <w:tcPr>
            <w:tcW w:w="1300" w:type="dxa"/>
            <w:vAlign w:val="bottom"/>
          </w:tcPr>
          <w:p>
            <w:pPr>
              <w:spacing w:after="0"/>
              <w:rPr>
                <w:sz w:val="24"/>
                <w:szCs w:val="24"/>
                <w:color w:val="auto"/>
              </w:rPr>
            </w:pPr>
          </w:p>
        </w:tc>
      </w:tr>
      <w:tr>
        <w:trPr>
          <w:trHeight w:val="310"/>
        </w:trPr>
        <w:tc>
          <w:tcPr>
            <w:tcW w:w="10020" w:type="dxa"/>
            <w:vAlign w:val="bottom"/>
          </w:tcPr>
          <w:p>
            <w:pPr>
              <w:spacing w:after="0"/>
              <w:rPr>
                <w:sz w:val="20"/>
                <w:szCs w:val="20"/>
                <w:color w:val="auto"/>
              </w:rPr>
            </w:pPr>
            <w:r>
              <w:rPr>
                <w:rFonts w:ascii="Arial" w:cs="Arial" w:eastAsia="Arial" w:hAnsi="Arial"/>
                <w:sz w:val="18"/>
                <w:szCs w:val="18"/>
                <w:color w:val="auto"/>
              </w:rPr>
              <w:t>SECTION 8.01   EVIDENCE OF ACTION BY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8.02   PROOF OF EXECUTION BY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8.03   WHO MAY BE DEEMED OWNERS</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SECTION 8.04   CERTAIN SECURITIES OWNED BY COMPANY DISREGARDED</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SECTION 8.05   ACTIONS BINDING ON FUTURE SECURITYHOLDERS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8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8"/>
              </w:rPr>
              <w:t>ARTICLE 9</w:t>
            </w:r>
          </w:p>
        </w:tc>
        <w:tc>
          <w:tcPr>
            <w:tcW w:w="134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30"/>
              <w:spacing w:after="0"/>
              <w:rPr>
                <w:sz w:val="20"/>
                <w:szCs w:val="20"/>
                <w:color w:val="auto"/>
              </w:rPr>
            </w:pPr>
            <w:r>
              <w:rPr>
                <w:rFonts w:ascii="Arial" w:cs="Arial" w:eastAsia="Arial" w:hAnsi="Arial"/>
                <w:sz w:val="18"/>
                <w:szCs w:val="18"/>
                <w:color w:val="auto"/>
                <w:w w:val="96"/>
              </w:rPr>
              <w:t>SUPPLEMENTAL INDENTURES</w:t>
            </w:r>
          </w:p>
        </w:tc>
        <w:tc>
          <w:tcPr>
            <w:tcW w:w="134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120"/>
              <w:spacing w:after="0"/>
              <w:rPr>
                <w:sz w:val="20"/>
                <w:szCs w:val="20"/>
                <w:color w:val="auto"/>
              </w:rPr>
            </w:pPr>
            <w:r>
              <w:rPr>
                <w:rFonts w:ascii="Arial" w:cs="Arial" w:eastAsia="Arial" w:hAnsi="Arial"/>
                <w:sz w:val="18"/>
                <w:szCs w:val="18"/>
                <w:color w:val="auto"/>
              </w:rPr>
              <w:t>SUPPLEMENTAL INDENTURES WITHOUT THE CONSENT OF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120"/>
              <w:spacing w:after="0"/>
              <w:rPr>
                <w:sz w:val="20"/>
                <w:szCs w:val="20"/>
                <w:color w:val="auto"/>
              </w:rPr>
            </w:pPr>
            <w:r>
              <w:rPr>
                <w:rFonts w:ascii="Arial" w:cs="Arial" w:eastAsia="Arial" w:hAnsi="Arial"/>
                <w:sz w:val="18"/>
                <w:szCs w:val="18"/>
                <w:color w:val="auto"/>
              </w:rPr>
              <w:t>SECURITIES AFFECTED BY SUPPLEMENTAL INDENTURES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6"/>
              </w:rPr>
              <w:t>ARTICLE 10</w:t>
            </w:r>
          </w:p>
        </w:tc>
        <w:tc>
          <w:tcPr>
            <w:tcW w:w="134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5"/>
              </w:rPr>
              <w:t>SUCCESSOR ENTITY</w:t>
            </w:r>
          </w:p>
        </w:tc>
        <w:tc>
          <w:tcPr>
            <w:tcW w:w="134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10.01</w:t>
            </w:r>
          </w:p>
        </w:tc>
        <w:tc>
          <w:tcPr>
            <w:tcW w:w="8640" w:type="dxa"/>
            <w:vAlign w:val="bottom"/>
          </w:tcPr>
          <w:p>
            <w:pPr>
              <w:ind w:left="120"/>
              <w:spacing w:after="0"/>
              <w:rPr>
                <w:sz w:val="20"/>
                <w:szCs w:val="20"/>
                <w:color w:val="auto"/>
              </w:rPr>
            </w:pPr>
            <w:r>
              <w:rPr>
                <w:rFonts w:ascii="Arial" w:cs="Arial" w:eastAsia="Arial" w:hAnsi="Arial"/>
                <w:sz w:val="18"/>
                <w:szCs w:val="18"/>
                <w:color w:val="auto"/>
              </w:rPr>
              <w:t>COMPANY MAY CONSOLIDATE, ETC.</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10.02</w:t>
            </w:r>
          </w:p>
        </w:tc>
        <w:tc>
          <w:tcPr>
            <w:tcW w:w="8640" w:type="dxa"/>
            <w:vAlign w:val="bottom"/>
          </w:tcPr>
          <w:p>
            <w:pPr>
              <w:ind w:left="120"/>
              <w:spacing w:after="0"/>
              <w:rPr>
                <w:sz w:val="20"/>
                <w:szCs w:val="20"/>
                <w:color w:val="auto"/>
              </w:rPr>
            </w:pPr>
            <w:r>
              <w:rPr>
                <w:rFonts w:ascii="Arial" w:cs="Arial" w:eastAsia="Arial" w:hAnsi="Arial"/>
                <w:sz w:val="18"/>
                <w:szCs w:val="18"/>
                <w:color w:val="auto"/>
              </w:rPr>
              <w:t>SUCCESSOR ENTITY SUBSTITUTED</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10.03</w:t>
            </w:r>
          </w:p>
        </w:tc>
        <w:tc>
          <w:tcPr>
            <w:tcW w:w="8640" w:type="dxa"/>
            <w:vAlign w:val="bottom"/>
          </w:tcPr>
          <w:p>
            <w:pPr>
              <w:ind w:left="120"/>
              <w:spacing w:after="0"/>
              <w:rPr>
                <w:sz w:val="20"/>
                <w:szCs w:val="20"/>
                <w:color w:val="auto"/>
              </w:rPr>
            </w:pPr>
            <w:r>
              <w:rPr>
                <w:rFonts w:ascii="Arial" w:cs="Arial" w:eastAsia="Arial" w:hAnsi="Arial"/>
                <w:sz w:val="18"/>
                <w:szCs w:val="18"/>
                <w:color w:val="auto"/>
              </w:rPr>
              <w:t>EVIDENCE OF CONSOLIDATION, ETC. TO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6"/>
              </w:rPr>
              <w:t>ARTICLE 11</w:t>
            </w:r>
          </w:p>
        </w:tc>
        <w:tc>
          <w:tcPr>
            <w:tcW w:w="134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5"/>
              </w:rPr>
              <w:t>SATISFACTION AND DISCHARGE</w:t>
            </w:r>
          </w:p>
        </w:tc>
        <w:tc>
          <w:tcPr>
            <w:tcW w:w="134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11.01</w:t>
            </w:r>
          </w:p>
        </w:tc>
        <w:tc>
          <w:tcPr>
            <w:tcW w:w="8640" w:type="dxa"/>
            <w:vAlign w:val="bottom"/>
          </w:tcPr>
          <w:p>
            <w:pPr>
              <w:ind w:left="120"/>
              <w:spacing w:after="0"/>
              <w:rPr>
                <w:sz w:val="20"/>
                <w:szCs w:val="20"/>
                <w:color w:val="auto"/>
              </w:rPr>
            </w:pPr>
            <w:r>
              <w:rPr>
                <w:rFonts w:ascii="Arial" w:cs="Arial" w:eastAsia="Arial" w:hAnsi="Arial"/>
                <w:sz w:val="18"/>
                <w:szCs w:val="18"/>
                <w:color w:val="auto"/>
              </w:rPr>
              <w:t>SATISFACTION AND DISCHARGE OF INDENTURE</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11.02</w:t>
            </w:r>
          </w:p>
        </w:tc>
        <w:tc>
          <w:tcPr>
            <w:tcW w:w="8640" w:type="dxa"/>
            <w:vAlign w:val="bottom"/>
          </w:tcPr>
          <w:p>
            <w:pPr>
              <w:ind w:left="120"/>
              <w:spacing w:after="0"/>
              <w:rPr>
                <w:sz w:val="20"/>
                <w:szCs w:val="20"/>
                <w:color w:val="auto"/>
              </w:rPr>
            </w:pPr>
            <w:r>
              <w:rPr>
                <w:rFonts w:ascii="Arial" w:cs="Arial" w:eastAsia="Arial" w:hAnsi="Arial"/>
                <w:sz w:val="18"/>
                <w:szCs w:val="18"/>
                <w:color w:val="auto"/>
              </w:rPr>
              <w:t>DEFEASANCE UPON DEPOSIT OF MONEYS OR U.S. GOVERNMENT OBLIGATIONS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11.03</w:t>
            </w:r>
          </w:p>
        </w:tc>
        <w:tc>
          <w:tcPr>
            <w:tcW w:w="8640" w:type="dxa"/>
            <w:vAlign w:val="bottom"/>
          </w:tcPr>
          <w:p>
            <w:pPr>
              <w:ind w:left="120"/>
              <w:spacing w:after="0"/>
              <w:rPr>
                <w:sz w:val="20"/>
                <w:szCs w:val="20"/>
                <w:color w:val="auto"/>
              </w:rPr>
            </w:pPr>
            <w:r>
              <w:rPr>
                <w:rFonts w:ascii="Arial" w:cs="Arial" w:eastAsia="Arial" w:hAnsi="Arial"/>
                <w:sz w:val="18"/>
                <w:szCs w:val="18"/>
                <w:color w:val="auto"/>
              </w:rPr>
              <w:t>DEPOSITED MONEYS TO BE HELD IN TRUST</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11.04</w:t>
            </w:r>
          </w:p>
        </w:tc>
        <w:tc>
          <w:tcPr>
            <w:tcW w:w="8640" w:type="dxa"/>
            <w:vAlign w:val="bottom"/>
          </w:tcPr>
          <w:p>
            <w:pPr>
              <w:ind w:left="120"/>
              <w:spacing w:after="0"/>
              <w:rPr>
                <w:sz w:val="20"/>
                <w:szCs w:val="20"/>
                <w:color w:val="auto"/>
              </w:rPr>
            </w:pPr>
            <w:r>
              <w:rPr>
                <w:rFonts w:ascii="Arial" w:cs="Arial" w:eastAsia="Arial" w:hAnsi="Arial"/>
                <w:sz w:val="18"/>
                <w:szCs w:val="18"/>
                <w:color w:val="auto"/>
              </w:rPr>
              <w:t>PAYMENT OF MONEYS HELD BY PAYING AGENTS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11.05</w:t>
            </w:r>
          </w:p>
        </w:tc>
        <w:tc>
          <w:tcPr>
            <w:tcW w:w="8640" w:type="dxa"/>
            <w:vAlign w:val="bottom"/>
          </w:tcPr>
          <w:p>
            <w:pPr>
              <w:ind w:left="120"/>
              <w:spacing w:after="0"/>
              <w:rPr>
                <w:sz w:val="20"/>
                <w:szCs w:val="20"/>
                <w:color w:val="auto"/>
              </w:rPr>
            </w:pPr>
            <w:r>
              <w:rPr>
                <w:rFonts w:ascii="Arial" w:cs="Arial" w:eastAsia="Arial" w:hAnsi="Arial"/>
                <w:sz w:val="18"/>
                <w:szCs w:val="18"/>
                <w:color w:val="auto"/>
              </w:rPr>
              <w:t>REPAYMENT TO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6"/>
              </w:rPr>
              <w:t>ARTICLE 12</w:t>
            </w:r>
          </w:p>
        </w:tc>
        <w:tc>
          <w:tcPr>
            <w:tcW w:w="134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5"/>
              </w:rPr>
              <w:t>IMMUNITY OF INCORPORATORS, STOCKHOLDERS, OFFICERS AND DIRECTORS</w:t>
            </w:r>
          </w:p>
        </w:tc>
        <w:tc>
          <w:tcPr>
            <w:tcW w:w="134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12.01</w:t>
            </w:r>
          </w:p>
        </w:tc>
        <w:tc>
          <w:tcPr>
            <w:tcW w:w="8640" w:type="dxa"/>
            <w:vAlign w:val="bottom"/>
          </w:tcPr>
          <w:p>
            <w:pPr>
              <w:ind w:left="120"/>
              <w:spacing w:after="0"/>
              <w:rPr>
                <w:sz w:val="20"/>
                <w:szCs w:val="20"/>
                <w:color w:val="auto"/>
              </w:rPr>
            </w:pPr>
            <w:r>
              <w:rPr>
                <w:rFonts w:ascii="Arial" w:cs="Arial" w:eastAsia="Arial" w:hAnsi="Arial"/>
                <w:sz w:val="18"/>
                <w:szCs w:val="18"/>
                <w:color w:val="auto"/>
              </w:rPr>
              <w:t>NO RECOURSE</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340" w:type="dxa"/>
            <w:vAlign w:val="bottom"/>
          </w:tcPr>
          <w:p>
            <w:pPr>
              <w:spacing w:after="0"/>
              <w:rPr>
                <w:sz w:val="20"/>
                <w:szCs w:val="20"/>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6"/>
              </w:rPr>
              <w:t>ARTICLE 13</w:t>
            </w:r>
          </w:p>
        </w:tc>
        <w:tc>
          <w:tcPr>
            <w:tcW w:w="134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8640" w:type="dxa"/>
            <w:vAlign w:val="bottom"/>
          </w:tcPr>
          <w:p>
            <w:pPr>
              <w:jc w:val="center"/>
              <w:ind w:right="250"/>
              <w:spacing w:after="0"/>
              <w:rPr>
                <w:sz w:val="20"/>
                <w:szCs w:val="20"/>
                <w:color w:val="auto"/>
              </w:rPr>
            </w:pPr>
            <w:r>
              <w:rPr>
                <w:rFonts w:ascii="Arial" w:cs="Arial" w:eastAsia="Arial" w:hAnsi="Arial"/>
                <w:sz w:val="18"/>
                <w:szCs w:val="18"/>
                <w:color w:val="auto"/>
                <w:w w:val="96"/>
              </w:rPr>
              <w:t>MISCELLANEOUS PROVISIONS</w:t>
            </w:r>
          </w:p>
        </w:tc>
        <w:tc>
          <w:tcPr>
            <w:tcW w:w="134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13.01</w:t>
            </w:r>
          </w:p>
        </w:tc>
        <w:tc>
          <w:tcPr>
            <w:tcW w:w="8640" w:type="dxa"/>
            <w:vAlign w:val="bottom"/>
          </w:tcPr>
          <w:p>
            <w:pPr>
              <w:ind w:left="120"/>
              <w:spacing w:after="0"/>
              <w:rPr>
                <w:sz w:val="20"/>
                <w:szCs w:val="20"/>
                <w:color w:val="auto"/>
              </w:rPr>
            </w:pPr>
            <w:r>
              <w:rPr>
                <w:rFonts w:ascii="Arial" w:cs="Arial" w:eastAsia="Arial" w:hAnsi="Arial"/>
                <w:sz w:val="18"/>
                <w:szCs w:val="18"/>
                <w:color w:val="auto"/>
              </w:rPr>
              <w:t>EFFECT ON SUCCESSORS AND ASSIGNS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13.02</w:t>
            </w:r>
          </w:p>
        </w:tc>
        <w:tc>
          <w:tcPr>
            <w:tcW w:w="8640" w:type="dxa"/>
            <w:vAlign w:val="bottom"/>
          </w:tcPr>
          <w:p>
            <w:pPr>
              <w:ind w:left="120"/>
              <w:spacing w:after="0"/>
              <w:rPr>
                <w:sz w:val="20"/>
                <w:szCs w:val="20"/>
                <w:color w:val="auto"/>
              </w:rPr>
            </w:pPr>
            <w:r>
              <w:rPr>
                <w:rFonts w:ascii="Arial" w:cs="Arial" w:eastAsia="Arial" w:hAnsi="Arial"/>
                <w:sz w:val="18"/>
                <w:szCs w:val="18"/>
                <w:color w:val="auto"/>
              </w:rPr>
              <w:t>ACTIONS BY SUCCESSOR</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13.03</w:t>
            </w:r>
          </w:p>
        </w:tc>
        <w:tc>
          <w:tcPr>
            <w:tcW w:w="8640" w:type="dxa"/>
            <w:vAlign w:val="bottom"/>
          </w:tcPr>
          <w:p>
            <w:pPr>
              <w:ind w:left="120"/>
              <w:spacing w:after="0"/>
              <w:rPr>
                <w:sz w:val="20"/>
                <w:szCs w:val="20"/>
                <w:color w:val="auto"/>
              </w:rPr>
            </w:pPr>
            <w:r>
              <w:rPr>
                <w:rFonts w:ascii="Arial" w:cs="Arial" w:eastAsia="Arial" w:hAnsi="Arial"/>
                <w:sz w:val="18"/>
                <w:szCs w:val="18"/>
                <w:color w:val="auto"/>
              </w:rPr>
              <w:t>SURRENDER OF COMPANY POWERS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13.04</w:t>
            </w:r>
          </w:p>
        </w:tc>
        <w:tc>
          <w:tcPr>
            <w:tcW w:w="8640" w:type="dxa"/>
            <w:vAlign w:val="bottom"/>
          </w:tcPr>
          <w:p>
            <w:pPr>
              <w:ind w:left="120"/>
              <w:spacing w:after="0"/>
              <w:rPr>
                <w:sz w:val="20"/>
                <w:szCs w:val="20"/>
                <w:color w:val="auto"/>
              </w:rPr>
            </w:pPr>
            <w:r>
              <w:rPr>
                <w:rFonts w:ascii="Arial" w:cs="Arial" w:eastAsia="Arial" w:hAnsi="Arial"/>
                <w:sz w:val="18"/>
                <w:szCs w:val="18"/>
                <w:color w:val="auto"/>
              </w:rPr>
              <w:t>NOTICES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13.05</w:t>
            </w:r>
          </w:p>
        </w:tc>
        <w:tc>
          <w:tcPr>
            <w:tcW w:w="8640" w:type="dxa"/>
            <w:vAlign w:val="bottom"/>
          </w:tcPr>
          <w:p>
            <w:pPr>
              <w:ind w:left="120"/>
              <w:spacing w:after="0"/>
              <w:rPr>
                <w:sz w:val="20"/>
                <w:szCs w:val="20"/>
                <w:color w:val="auto"/>
              </w:rPr>
            </w:pPr>
            <w:r>
              <w:rPr>
                <w:rFonts w:ascii="Arial" w:cs="Arial" w:eastAsia="Arial" w:hAnsi="Arial"/>
                <w:sz w:val="18"/>
                <w:szCs w:val="18"/>
                <w:color w:val="auto"/>
              </w:rPr>
              <w:t>GOVERNING LAW; WAIVER OF JURY TRIAL</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13.06</w:t>
            </w:r>
          </w:p>
        </w:tc>
        <w:tc>
          <w:tcPr>
            <w:tcW w:w="8640" w:type="dxa"/>
            <w:vAlign w:val="bottom"/>
          </w:tcPr>
          <w:p>
            <w:pPr>
              <w:ind w:left="120"/>
              <w:spacing w:after="0"/>
              <w:rPr>
                <w:sz w:val="20"/>
                <w:szCs w:val="20"/>
                <w:color w:val="auto"/>
              </w:rPr>
            </w:pPr>
            <w:r>
              <w:rPr>
                <w:rFonts w:ascii="Arial" w:cs="Arial" w:eastAsia="Arial" w:hAnsi="Arial"/>
                <w:sz w:val="18"/>
                <w:szCs w:val="18"/>
                <w:color w:val="auto"/>
              </w:rPr>
              <w:t>CERTIFICATES AND OPINIONS AS TO CONDITIONS PRECEDENT</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13.07</w:t>
            </w:r>
          </w:p>
        </w:tc>
        <w:tc>
          <w:tcPr>
            <w:tcW w:w="8640" w:type="dxa"/>
            <w:vAlign w:val="bottom"/>
          </w:tcPr>
          <w:p>
            <w:pPr>
              <w:ind w:left="120"/>
              <w:spacing w:after="0"/>
              <w:rPr>
                <w:sz w:val="20"/>
                <w:szCs w:val="20"/>
                <w:color w:val="auto"/>
              </w:rPr>
            </w:pPr>
            <w:r>
              <w:rPr>
                <w:rFonts w:ascii="Arial" w:cs="Arial" w:eastAsia="Arial" w:hAnsi="Arial"/>
                <w:sz w:val="18"/>
                <w:szCs w:val="18"/>
                <w:color w:val="auto"/>
              </w:rPr>
              <w:t>PAYMENTS ON BUSINESS DAYS</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13.08</w:t>
            </w:r>
          </w:p>
        </w:tc>
        <w:tc>
          <w:tcPr>
            <w:tcW w:w="8640" w:type="dxa"/>
            <w:vAlign w:val="bottom"/>
          </w:tcPr>
          <w:p>
            <w:pPr>
              <w:ind w:left="120"/>
              <w:spacing w:after="0"/>
              <w:rPr>
                <w:sz w:val="20"/>
                <w:szCs w:val="20"/>
                <w:color w:val="auto"/>
              </w:rPr>
            </w:pPr>
            <w:r>
              <w:rPr>
                <w:rFonts w:ascii="Arial" w:cs="Arial" w:eastAsia="Arial" w:hAnsi="Arial"/>
                <w:sz w:val="18"/>
                <w:szCs w:val="18"/>
                <w:color w:val="auto"/>
              </w:rPr>
              <w:t>CONFLICT WITH TRUST INDENTURE ACT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13.09</w:t>
            </w:r>
          </w:p>
        </w:tc>
        <w:tc>
          <w:tcPr>
            <w:tcW w:w="86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13.10</w:t>
            </w:r>
          </w:p>
        </w:tc>
        <w:tc>
          <w:tcPr>
            <w:tcW w:w="8640" w:type="dxa"/>
            <w:vAlign w:val="bottom"/>
          </w:tcPr>
          <w:p>
            <w:pPr>
              <w:ind w:left="120"/>
              <w:spacing w:after="0"/>
              <w:rPr>
                <w:sz w:val="20"/>
                <w:szCs w:val="20"/>
                <w:color w:val="auto"/>
              </w:rPr>
            </w:pPr>
            <w:r>
              <w:rPr>
                <w:rFonts w:ascii="Arial" w:cs="Arial" w:eastAsia="Arial" w:hAnsi="Arial"/>
                <w:sz w:val="18"/>
                <w:szCs w:val="18"/>
                <w:color w:val="auto"/>
              </w:rPr>
              <w:t>SEPARABILITY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82" w:right="339" w:bottom="1440" w:gutter="0" w:footer="0" w:header="0"/>
        </w:sectPr>
      </w:pPr>
    </w:p>
    <w:bookmarkStart w:id="38" w:name="page39"/>
    <w:bookmarkEnd w:id="38"/>
    <w:p>
      <w:pPr>
        <w:jc w:val="center"/>
        <w:ind w:right="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14</w:t>
      </w:r>
    </w:p>
    <w:p>
      <w:pPr>
        <w:spacing w:after="0" w:line="11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SUBORDINATION OF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SECTION 14.01   SUBORDINATION TERMS</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38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tabs>
          <w:tab w:leader="none" w:pos="2920" w:val="left"/>
        </w:tabs>
        <w:rPr>
          <w:sz w:val="20"/>
          <w:szCs w:val="20"/>
          <w:color w:val="auto"/>
        </w:rPr>
      </w:pPr>
      <w:r>
        <w:rPr>
          <w:rFonts w:ascii="Arial" w:cs="Arial" w:eastAsia="Arial" w:hAnsi="Arial"/>
          <w:sz w:val="18"/>
          <w:szCs w:val="18"/>
          <w:color w:val="auto"/>
        </w:rPr>
        <w:t>INDENTURE, dated as of</w:t>
      </w:r>
      <w:r>
        <w:rPr>
          <w:sz w:val="20"/>
          <w:szCs w:val="20"/>
          <w:color w:val="auto"/>
        </w:rPr>
        <w:tab/>
      </w:r>
      <w:r>
        <w:rPr>
          <w:rFonts w:ascii="Arial" w:cs="Arial" w:eastAsia="Arial" w:hAnsi="Arial"/>
          <w:sz w:val="16"/>
          <w:szCs w:val="16"/>
          <w:color w:val="auto"/>
        </w:rPr>
        <w:t>, 2013, among REGENERON PHARMACEUTICALS, INC., a New York corporation (the “Company”), and U.S.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Bank National Association, as trustee (the “Trustee”): 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9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all things necessary to make this Indenture a valid agreement of the Company, in accordance with its terms, have been done.</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by the Trustee pursuant to Section 2.10.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“CERTIFICATE” means a certificate signed by any Officer. The Certificate need not comply with the provisions of Section 13.06.</w:t>
      </w:r>
    </w:p>
    <w:p>
      <w:pPr>
        <w:sectPr>
          <w:pgSz w:w="11900" w:h="16838" w:orient="portrait"/>
          <w:cols w:equalWidth="0" w:num="1">
            <w:col w:w="11420"/>
          </w:cols>
          <w:pgMar w:left="240" w:top="274" w:right="239" w:bottom="1440" w:gutter="0" w:footer="0" w:header="0"/>
        </w:sectPr>
      </w:pPr>
    </w:p>
    <w:bookmarkStart w:id="40" w:name="page41"/>
    <w:bookmarkEnd w:id="40"/>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means Regeneron Pharmaceuticals, Inc., a corporation duly organized and existing under the laws of the State of New York, and, subject to the provisions of Article Ten, shall also include its successors and assigns.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ORDER” means a written order signed in the name of the Company by an Officer and delivered to the Trustee.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administered, which office at the date hereof is located at 21 South Street, 3rd Floor, Morristown, New Jersey 07960.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means any event, act or condition that with notice or lapse of time, or both, would constitute an Event of Default.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“GLOBAL SECURITY”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“GOVERNMENTAL OBLIGATIONS”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a Company Order, a Board Resolution or in an indenture supplemental hereto with respect to such series as the fixed date on which an installment of interest with respect to Securities of that series is due and payable.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“OBLIGOR” on the Securities means the Company and any successor obligor on the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“OFFICER” means, with respect to the Company, the chairman of the Board of Directors, a chief executive officer, a president, a chief operating officer, any senior vice president, any vice president or a chief financial officer, the treasurer or any assistant treasurer, the controller or any assistant controller or the secretary or any assistant secretary.</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“OFFICERS’ CERTIFICATE” means a certificate signed by any two Officers. Each such certificate shall include the statements provided for in Section 13.06, if and to the extent required by the provisions thereof.</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“OPINION OF COUNSEL” means an opinion in writing subject to customary exceptions of legal counsel, who may be an employee of or counsel for the Company, that is delivered to the Trustee in accordance with the terms hereof. Each such opinion shall include the statements provided for in Section 13.06, if and to the extent required by the provisions thereof.</w:t>
      </w:r>
    </w:p>
    <w:p>
      <w:pPr>
        <w:spacing w:after="0" w:line="18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 Securities in lieu of or in substitution for which other Securities shall have been authenticated and delivered pursuant to the terms of Section 2.07.</w:t>
      </w:r>
    </w:p>
    <w:p>
      <w:pPr>
        <w:spacing w:after="0" w:line="222"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“PERSON”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“RESPONSIBLE OFFICER”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with respect to any of the foregoing, who shall have direct responsibility for the administration of the Indenture.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“SECURITYHOLDER”, “holder of Securities”, “registered holder”, or other similar term, means the Person or Persons in whose name or names a particular Security shall be registered on the books of the Company kept for that purpose in accordance with the terms of this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shall have the meanings as set forth in Section 2.05.</w:t>
      </w:r>
    </w:p>
    <w:p>
      <w:pPr>
        <w:spacing w:after="0" w:line="225"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2" w:name="page43"/>
    <w:bookmarkEnd w:id="42"/>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“TRUSTEE” means U.S. Bank National Association,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INDENTURE ACT” means the Trust Indenture Act of 1939, as amended.</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u w:val="single" w:color="auto"/>
          <w:color w:val="auto"/>
        </w:rPr>
        <w:t>ISSUE, DESCRIPTION, TERMS, EXECUTION, REGISTRATION AND EXCHANGE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9" w:lineRule="auto"/>
        <w:tabs>
          <w:tab w:leader="none" w:pos="11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Company Order or pursuant to one or more indentures supplemental hereto. Prior to the initial issuance of Securities of any series, there shall be established and set forth in a Company Order, or established in one or more indentures supplemental hereto:</w:t>
      </w:r>
    </w:p>
    <w:p>
      <w:pPr>
        <w:spacing w:after="0" w:line="78" w:lineRule="exact"/>
        <w:rPr>
          <w:rFonts w:ascii="Arial" w:cs="Arial" w:eastAsia="Arial" w:hAnsi="Arial"/>
          <w:sz w:val="18"/>
          <w:szCs w:val="18"/>
          <w:color w:val="auto"/>
        </w:rPr>
      </w:pPr>
    </w:p>
    <w:p>
      <w:pPr>
        <w:ind w:left="1560" w:hanging="219"/>
        <w:spacing w:after="0"/>
        <w:tabs>
          <w:tab w:leader="none" w:pos="1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ind w:left="460" w:right="340" w:firstLine="881"/>
        <w:spacing w:after="0" w:line="264" w:lineRule="auto"/>
        <w:tabs>
          <w:tab w:leader="none" w:pos="160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73" w:lineRule="exact"/>
        <w:rPr>
          <w:rFonts w:ascii="Arial" w:cs="Arial" w:eastAsia="Arial" w:hAnsi="Arial"/>
          <w:sz w:val="18"/>
          <w:szCs w:val="18"/>
          <w:color w:val="auto"/>
        </w:rPr>
      </w:pPr>
    </w:p>
    <w:p>
      <w:pPr>
        <w:ind w:left="460" w:right="460" w:firstLine="881"/>
        <w:spacing w:after="0" w:line="277" w:lineRule="auto"/>
        <w:tabs>
          <w:tab w:leader="none" w:pos="165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128" w:lineRule="exact"/>
        <w:rPr>
          <w:rFonts w:ascii="Arial" w:cs="Arial" w:eastAsia="Arial" w:hAnsi="Arial"/>
          <w:sz w:val="17"/>
          <w:szCs w:val="17"/>
          <w:color w:val="auto"/>
        </w:rPr>
      </w:pPr>
    </w:p>
    <w:p>
      <w:pPr>
        <w:ind w:left="460" w:right="40" w:firstLine="881"/>
        <w:spacing w:after="0" w:line="264" w:lineRule="auto"/>
        <w:tabs>
          <w:tab w:leader="none" w:pos="15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left="460" w:right="160" w:firstLine="881"/>
        <w:spacing w:after="0" w:line="277" w:lineRule="auto"/>
        <w:tabs>
          <w:tab w:leader="none" w:pos="16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3" w:name="page44"/>
    <w:bookmarkEnd w:id="43"/>
    <w:p>
      <w:pPr>
        <w:ind w:left="700" w:right="60" w:firstLine="851"/>
        <w:spacing w:after="0" w:line="259" w:lineRule="auto"/>
        <w:tabs>
          <w:tab w:leader="none" w:pos="1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8" w:lineRule="exact"/>
        <w:rPr>
          <w:rFonts w:ascii="Arial" w:cs="Arial" w:eastAsia="Arial" w:hAnsi="Arial"/>
          <w:sz w:val="18"/>
          <w:szCs w:val="18"/>
          <w:color w:val="auto"/>
        </w:rPr>
      </w:pPr>
    </w:p>
    <w:p>
      <w:pPr>
        <w:ind w:left="1860" w:hanging="309"/>
        <w:spacing w:after="0"/>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left="700" w:right="240" w:firstLine="851"/>
        <w:spacing w:after="0" w:line="277" w:lineRule="auto"/>
        <w:tabs>
          <w:tab w:leader="none" w:pos="18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62" w:lineRule="exact"/>
        <w:rPr>
          <w:rFonts w:ascii="Arial" w:cs="Arial" w:eastAsia="Arial" w:hAnsi="Arial"/>
          <w:sz w:val="18"/>
          <w:szCs w:val="18"/>
          <w:color w:val="auto"/>
        </w:rPr>
      </w:pPr>
    </w:p>
    <w:p>
      <w:pPr>
        <w:ind w:left="1860" w:hanging="309"/>
        <w:spacing w:after="0"/>
        <w:tabs>
          <w:tab w:leader="none" w:pos="1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the Securities are issuable as a Global Security and, in such case, the terms and the identity of the Depositary for such</w:t>
      </w:r>
    </w:p>
    <w:p>
      <w:pPr>
        <w:spacing w:after="0" w:line="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left="700" w:right="40" w:firstLine="851"/>
        <w:spacing w:after="0" w:line="259" w:lineRule="auto"/>
        <w:tabs>
          <w:tab w:leader="none" w:pos="19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Securities will be convertible into or exchangeable for shares of common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8" w:lineRule="exact"/>
        <w:rPr>
          <w:rFonts w:ascii="Arial" w:cs="Arial" w:eastAsia="Arial" w:hAnsi="Arial"/>
          <w:sz w:val="18"/>
          <w:szCs w:val="18"/>
          <w:color w:val="auto"/>
        </w:rPr>
      </w:pPr>
    </w:p>
    <w:p>
      <w:pPr>
        <w:ind w:left="700" w:right="340" w:firstLine="851"/>
        <w:spacing w:after="0" w:line="277" w:lineRule="auto"/>
        <w:tabs>
          <w:tab w:leader="none" w:pos="1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62" w:lineRule="exact"/>
        <w:rPr>
          <w:rFonts w:ascii="Arial" w:cs="Arial" w:eastAsia="Arial" w:hAnsi="Arial"/>
          <w:sz w:val="18"/>
          <w:szCs w:val="18"/>
          <w:color w:val="auto"/>
        </w:rPr>
      </w:pPr>
    </w:p>
    <w:p>
      <w:pPr>
        <w:ind w:left="700" w:right="620" w:firstLine="851"/>
        <w:spacing w:after="0" w:line="277" w:lineRule="auto"/>
        <w:tabs>
          <w:tab w:leader="none" w:pos="19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or financial covenants provided for with respect to the Securities of the series;</w:t>
      </w:r>
    </w:p>
    <w:p>
      <w:pPr>
        <w:spacing w:after="0" w:line="62" w:lineRule="exact"/>
        <w:rPr>
          <w:rFonts w:ascii="Arial" w:cs="Arial" w:eastAsia="Arial" w:hAnsi="Arial"/>
          <w:sz w:val="18"/>
          <w:szCs w:val="18"/>
          <w:color w:val="auto"/>
        </w:rPr>
      </w:pPr>
    </w:p>
    <w:p>
      <w:pPr>
        <w:ind w:left="1900" w:hanging="349"/>
        <w:spacing w:after="0"/>
        <w:tabs>
          <w:tab w:leader="none" w:pos="1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other than dollars, the coin or currency in which the Securities of the series are denominated (including, but not limited to, foreign</w:t>
      </w:r>
    </w:p>
    <w:p>
      <w:pPr>
        <w:spacing w:after="0" w:line="4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102" w:lineRule="exact"/>
        <w:rPr>
          <w:rFonts w:ascii="Arial" w:cs="Arial" w:eastAsia="Arial" w:hAnsi="Arial"/>
          <w:sz w:val="16"/>
          <w:szCs w:val="16"/>
          <w:color w:val="auto"/>
        </w:rPr>
      </w:pPr>
    </w:p>
    <w:p>
      <w:pPr>
        <w:ind w:left="700" w:right="60" w:firstLine="851"/>
        <w:spacing w:after="0" w:line="308" w:lineRule="auto"/>
        <w:tabs>
          <w:tab w:leader="none" w:pos="195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8" w:lineRule="exact"/>
        <w:rPr>
          <w:rFonts w:ascii="Arial" w:cs="Arial" w:eastAsia="Arial" w:hAnsi="Arial"/>
          <w:sz w:val="17"/>
          <w:szCs w:val="17"/>
          <w:color w:val="auto"/>
        </w:rPr>
      </w:pPr>
    </w:p>
    <w:p>
      <w:pPr>
        <w:ind w:left="2000" w:hanging="449"/>
        <w:spacing w:after="0"/>
        <w:tabs>
          <w:tab w:leader="none" w:pos="2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117" w:lineRule="exact"/>
        <w:rPr>
          <w:rFonts w:ascii="Arial" w:cs="Arial" w:eastAsia="Arial" w:hAnsi="Arial"/>
          <w:sz w:val="18"/>
          <w:szCs w:val="18"/>
          <w:color w:val="auto"/>
        </w:rPr>
      </w:pPr>
    </w:p>
    <w:p>
      <w:pPr>
        <w:ind w:left="2040" w:hanging="489"/>
        <w:spacing w:after="0"/>
        <w:tabs>
          <w:tab w:leader="none" w:pos="2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subordination terms, if any, of the Securities of the series; and</w:t>
      </w:r>
    </w:p>
    <w:p>
      <w:pPr>
        <w:spacing w:after="0" w:line="117" w:lineRule="exact"/>
        <w:rPr>
          <w:rFonts w:ascii="Arial" w:cs="Arial" w:eastAsia="Arial" w:hAnsi="Arial"/>
          <w:sz w:val="18"/>
          <w:szCs w:val="18"/>
          <w:color w:val="auto"/>
        </w:rPr>
      </w:pPr>
    </w:p>
    <w:p>
      <w:pPr>
        <w:ind w:left="700" w:right="300" w:firstLine="851"/>
        <w:spacing w:after="0" w:line="277" w:lineRule="auto"/>
        <w:tabs>
          <w:tab w:leader="none" w:pos="19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terms of the Securities of such series (which terms shall not be inconsistent with the provisions of the Trust Indenture Act, but may modify, amend, supplement or delete any of the terms of this Indenture with respect to such series).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Company Order or in any indentures supplemental hereto.</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Securities of any series and the Trustee’s certificate of authentication to be borne by such Securities shall be substantially of the tenor and purport as set forth in one or more indentures supplemental hereto or as provided in a Company Order,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Securities shall be issuable as registered Securities and in the denominations of one thousand U.S. dollars ($1,000) or any integral multiple thereof, subject to Section 2.01(x). The Securities of a particular series shall bear interest payable on the dates and at the rate specified with respect to that series.</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3"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9" w:lineRule="exact"/>
        <w:rPr>
          <w:sz w:val="20"/>
          <w:szCs w:val="20"/>
          <w:color w:val="auto"/>
        </w:rPr>
      </w:pPr>
    </w:p>
    <w:p>
      <w:pPr>
        <w:ind w:left="700" w:firstLine="851"/>
        <w:spacing w:after="0" w:line="286" w:lineRule="auto"/>
        <w:tabs>
          <w:tab w:leader="none" w:pos="17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5" w:name="page46"/>
    <w:bookmarkEnd w:id="45"/>
    <w:p>
      <w:pPr>
        <w:ind w:left="700" w:firstLine="851"/>
        <w:spacing w:after="0" w:line="259" w:lineRule="auto"/>
        <w:tabs>
          <w:tab w:leader="none" w:pos="1823"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otherwise set forth in a Company Order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93"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Securities shall be signed on behalf of the Company by one of its Officers. Signatures may be in the form of a manual or facsimile signature.</w:t>
      </w:r>
    </w:p>
    <w:p>
      <w:pPr>
        <w:spacing w:after="0" w:line="23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86"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6" w:name="page47"/>
    <w:bookmarkEnd w:id="46"/>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73" w:lineRule="exact"/>
        <w:rPr>
          <w:sz w:val="20"/>
          <w:szCs w:val="20"/>
          <w:color w:val="auto"/>
        </w:rPr>
      </w:pPr>
    </w:p>
    <w:p>
      <w:pPr>
        <w:ind w:firstLine="921"/>
        <w:spacing w:after="0" w:line="276" w:lineRule="auto"/>
        <w:tabs>
          <w:tab w:leader="none" w:pos="116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a Company Order (the “Security Registrar”).</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sz w:val="20"/>
          <w:szCs w:val="20"/>
          <w:color w:val="auto"/>
        </w:rPr>
      </w:pPr>
    </w:p>
    <w:p>
      <w:pPr>
        <w:ind w:right="20" w:firstLine="921"/>
        <w:spacing w:after="0" w:line="279" w:lineRule="auto"/>
        <w:tabs>
          <w:tab w:leader="none" w:pos="1168"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as provided pursuant to Section 2.01 pursuant to a Company Order,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1" w:lineRule="exact"/>
        <w:rPr>
          <w:rFonts w:ascii="Arial" w:cs="Arial" w:eastAsia="Arial" w:hAnsi="Arial"/>
          <w:sz w:val="17"/>
          <w:szCs w:val="17"/>
          <w:color w:val="auto"/>
        </w:rPr>
      </w:pPr>
    </w:p>
    <w:p>
      <w:pPr>
        <w:ind w:right="60" w:firstLine="921"/>
        <w:spacing w:after="0" w:line="257" w:lineRule="auto"/>
        <w:tabs>
          <w:tab w:leader="none" w:pos="11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5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56"/>
        <w:spacing w:after="0" w:line="297"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3" w:lineRule="auto"/>
        <w:tabs>
          <w:tab w:leader="none" w:pos="11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56" w:lineRule="exact"/>
        <w:rPr>
          <w:rFonts w:ascii="Arial" w:cs="Arial" w:eastAsia="Arial" w:hAnsi="Arial"/>
          <w:sz w:val="16"/>
          <w:szCs w:val="16"/>
          <w:color w:val="auto"/>
        </w:rPr>
      </w:pPr>
    </w:p>
    <w:p>
      <w:pPr>
        <w:ind w:right="60" w:firstLine="921"/>
        <w:spacing w:after="0" w:line="264"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73" w:lineRule="exact"/>
        <w:rPr>
          <w:rFonts w:ascii="Arial" w:cs="Arial" w:eastAsia="Arial" w:hAnsi="Arial"/>
          <w:sz w:val="18"/>
          <w:szCs w:val="18"/>
          <w:color w:val="auto"/>
        </w:rPr>
      </w:pPr>
    </w:p>
    <w:p>
      <w:pPr>
        <w:ind w:firstLine="921"/>
        <w:spacing w:after="0" w:line="287" w:lineRule="auto"/>
        <w:tabs>
          <w:tab w:leader="none" w:pos="11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(i)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(ii) an Event of Default has occurred and is continuing or (iii) the Company executes and delivers to the Trustee and the Registrar a Company Order stating that such Global Security shall be so exchangeable,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REDEMPTION OF SECURITIES AND SINKING FUND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1" w:lineRule="auto"/>
        <w:tabs>
          <w:tab w:leader="none" w:pos="1168"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w:t>
      </w:r>
    </w:p>
    <w:p>
      <w:pPr>
        <w:spacing w:after="0" w:line="17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0" w:lineRule="exact"/>
        <w:rPr>
          <w:sz w:val="20"/>
          <w:szCs w:val="20"/>
          <w:color w:val="auto"/>
        </w:rPr>
      </w:pPr>
    </w:p>
    <w:p>
      <w:pPr>
        <w:ind w:right="20" w:firstLine="921"/>
        <w:spacing w:after="0" w:line="287" w:lineRule="auto"/>
        <w:tabs>
          <w:tab w:leader="none" w:pos="1168"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30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Company Order,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9"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50" w:name="page51"/>
    <w:bookmarkEnd w:id="50"/>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54" w:lineRule="exact"/>
        <w:rPr>
          <w:sz w:val="20"/>
          <w:szCs w:val="20"/>
          <w:color w:val="auto"/>
        </w:rPr>
      </w:pPr>
    </w:p>
    <w:p>
      <w:pPr>
        <w:ind w:right="80" w:firstLine="921"/>
        <w:spacing w:after="0" w:line="286" w:lineRule="auto"/>
        <w:tabs>
          <w:tab w:leader="none" w:pos="11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 less than 30 days prior to each sinking fund payment date for any series of Securities (unless a shorter period shall be satisfactory to the Trustee), the Company will deliver a Company Order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Company Order, deliver to the Trustee any Securities to be so delivered. Not less than 20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88" w:lineRule="auto"/>
        <w:tabs>
          <w:tab w:leader="none" w:pos="2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Company Order,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64" w:lineRule="auto"/>
        <w:tabs>
          <w:tab w:leader="none" w:pos="1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ind w:left="460" w:right="20" w:firstLine="881"/>
        <w:spacing w:after="0" w:line="264"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left="460" w:right="180" w:firstLine="881"/>
        <w:spacing w:after="0" w:line="277" w:lineRule="auto"/>
        <w:tabs>
          <w:tab w:leader="none" w:pos="16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62" w:lineRule="exact"/>
        <w:rPr>
          <w:rFonts w:ascii="Arial" w:cs="Arial" w:eastAsia="Arial" w:hAnsi="Arial"/>
          <w:sz w:val="18"/>
          <w:szCs w:val="18"/>
          <w:color w:val="auto"/>
        </w:rPr>
      </w:pPr>
    </w:p>
    <w:p>
      <w:pPr>
        <w:ind w:left="460" w:right="420" w:firstLine="881"/>
        <w:spacing w:after="0" w:line="277" w:lineRule="auto"/>
        <w:tabs>
          <w:tab w:leader="none" w:pos="1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(1)(ii) above, upon the written request of the Trustee, forthwith pay to the Trustee all sums so held in trust by such paying agent;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right="40" w:firstLine="921"/>
        <w:spacing w:after="0" w:line="255" w:lineRule="auto"/>
        <w:tabs>
          <w:tab w:leader="none" w:pos="1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52" w:name="page53"/>
    <w:bookmarkEnd w:id="52"/>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73" w:lineRule="exact"/>
        <w:rPr>
          <w:sz w:val="20"/>
          <w:szCs w:val="20"/>
          <w:color w:val="auto"/>
        </w:rPr>
      </w:pPr>
    </w:p>
    <w:p>
      <w:pPr>
        <w:ind w:right="60" w:firstLine="921"/>
        <w:spacing w:after="0" w:line="297" w:lineRule="auto"/>
        <w:tabs>
          <w:tab w:leader="none" w:pos="11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Except as otherwise provided as contemplated by Section 2.01 with respect to any series of Securities, the Company shall furnish to the Trustee annually, within 120 days after the end of each fiscal year, a brief certificate from the principal executive officer, principal financial officer, principal accounting officer or vice president and treasurer as to his or her knowledge of the Company’s compliance with all conditions and covenants under this Indenture (which compliance shall be determined without regard to any period of grace or requirement of notice provided under this Indenture) and of any Default or Event of Default that occurred during the prior fiscal year, specifying each such Default or Event of Default and the nature and status thereof of which such person may have knowledge. Such certificates need not comply with Section 13.06 of this Indenture.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u w:val="single" w:color="auto"/>
          <w:color w:val="auto"/>
        </w:rPr>
        <w:t>SECURITYHOLDERS’ LISTS AND REPORTS BY THE COMPANY AND THE TRUSTEE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921"/>
        <w:spacing w:after="0" w:line="264"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117" w:lineRule="exact"/>
        <w:rPr>
          <w:rFonts w:ascii="Arial" w:cs="Arial" w:eastAsia="Arial" w:hAnsi="Arial"/>
          <w:sz w:val="18"/>
          <w:szCs w:val="18"/>
          <w:color w:val="auto"/>
        </w:rPr>
      </w:pPr>
    </w:p>
    <w:p>
      <w:pPr>
        <w:ind w:right="220" w:firstLine="921"/>
        <w:spacing w:after="0" w:line="286" w:lineRule="auto"/>
        <w:tabs>
          <w:tab w:leader="none" w:pos="1168"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Company shall file with the Trustee and the Securities and Exchange Commission, and transmit to Securityholders,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Securities and Exchange Commission.</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59"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 long as any Securities are outstanding, the Trustee shall transmit to Securityholders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Securityholders a brief report which complies with the provisions of such Section 313(a).</w:t>
      </w:r>
    </w:p>
    <w:p>
      <w:pPr>
        <w:spacing w:after="0" w:line="78" w:lineRule="exact"/>
        <w:rPr>
          <w:rFonts w:ascii="Arial" w:cs="Arial" w:eastAsia="Arial" w:hAnsi="Arial"/>
          <w:sz w:val="18"/>
          <w:szCs w:val="18"/>
          <w:color w:val="auto"/>
        </w:rPr>
      </w:pPr>
    </w:p>
    <w:p>
      <w:pPr>
        <w:ind w:right="120" w:firstLine="921"/>
        <w:spacing w:after="0" w:line="259"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at the time of the transmission to the Securityholders of Securities of any report pursuant to the provisions of this Section 5.04, file a copy of such report with each stock exchange upon which the Securities are listed, if any, and also with the Securities and Exchange Commission in respect of a Security listed and registered on a national securities exchange, if any. The Company agrees to notify the Trustee when, as and if the Securities become listed on any stock exchange or any delisting thereof.</w:t>
      </w:r>
    </w:p>
    <w:p>
      <w:pPr>
        <w:spacing w:after="0" w:line="78" w:lineRule="exact"/>
        <w:rPr>
          <w:rFonts w:ascii="Arial" w:cs="Arial" w:eastAsia="Arial" w:hAnsi="Arial"/>
          <w:sz w:val="18"/>
          <w:szCs w:val="18"/>
          <w:color w:val="auto"/>
        </w:rPr>
      </w:pPr>
    </w:p>
    <w:p>
      <w:pPr>
        <w:ind w:firstLine="921"/>
        <w:spacing w:after="0" w:line="277"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will reimburse the Trustee for all expenses incurred in the preparation and transmission of any report pursuant to the provisions of this Section 5.04 and of Section 5.03.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u w:val="single" w:color="auto"/>
          <w:color w:val="auto"/>
        </w:rPr>
        <w:t>REMEDIES OF THE TRUSTEE AND SECURITYHOLDERS ON EVENT OF DEFAULT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0" w:right="40" w:firstLine="921"/>
        <w:spacing w:after="0" w:line="277" w:lineRule="auto"/>
        <w:tabs>
          <w:tab w:leader="none" w:pos="11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62" w:lineRule="exact"/>
        <w:rPr>
          <w:rFonts w:ascii="Arial" w:cs="Arial" w:eastAsia="Arial" w:hAnsi="Arial"/>
          <w:sz w:val="18"/>
          <w:szCs w:val="18"/>
          <w:color w:val="auto"/>
        </w:rPr>
      </w:pPr>
    </w:p>
    <w:p>
      <w:pPr>
        <w:ind w:left="660" w:right="40" w:firstLine="422"/>
        <w:spacing w:after="0" w:line="259" w:lineRule="auto"/>
        <w:tabs>
          <w:tab w:leader="none" w:pos="1304"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8" w:lineRule="exact"/>
        <w:rPr>
          <w:rFonts w:ascii="Arial" w:cs="Arial" w:eastAsia="Arial" w:hAnsi="Arial"/>
          <w:sz w:val="18"/>
          <w:szCs w:val="18"/>
          <w:color w:val="auto"/>
        </w:rPr>
      </w:pPr>
    </w:p>
    <w:p>
      <w:pPr>
        <w:ind w:left="660" w:right="100" w:firstLine="422"/>
        <w:spacing w:after="0" w:line="302" w:lineRule="auto"/>
        <w:tabs>
          <w:tab w:leader="none" w:pos="1354"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46" w:lineRule="exact"/>
        <w:rPr>
          <w:rFonts w:ascii="Arial" w:cs="Arial" w:eastAsia="Arial" w:hAnsi="Arial"/>
          <w:sz w:val="16"/>
          <w:szCs w:val="16"/>
          <w:color w:val="auto"/>
        </w:rPr>
      </w:pPr>
    </w:p>
    <w:p>
      <w:pPr>
        <w:ind w:left="660" w:right="40" w:firstLine="422"/>
        <w:spacing w:after="0" w:line="273" w:lineRule="auto"/>
        <w:tabs>
          <w:tab w:leader="none" w:pos="1404"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70" w:lineRule="exact"/>
        <w:rPr>
          <w:rFonts w:ascii="Arial" w:cs="Arial" w:eastAsia="Arial" w:hAnsi="Arial"/>
          <w:sz w:val="17"/>
          <w:szCs w:val="17"/>
          <w:color w:val="auto"/>
        </w:rPr>
      </w:pPr>
    </w:p>
    <w:p>
      <w:pPr>
        <w:jc w:val="both"/>
        <w:ind w:left="660" w:right="160" w:firstLine="422"/>
        <w:spacing w:after="0" w:line="291" w:lineRule="auto"/>
        <w:tabs>
          <w:tab w:leader="none" w:pos="1394"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960" w:hanging="307"/>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02" w:lineRule="exact"/>
        <w:rPr>
          <w:rFonts w:ascii="Arial" w:cs="Arial" w:eastAsia="Arial" w:hAnsi="Arial"/>
          <w:sz w:val="18"/>
          <w:szCs w:val="18"/>
          <w:color w:val="auto"/>
        </w:rPr>
      </w:pPr>
    </w:p>
    <w:p>
      <w:pPr>
        <w:ind w:left="660" w:right="80" w:firstLine="422"/>
        <w:spacing w:after="0" w:line="264" w:lineRule="auto"/>
        <w:tabs>
          <w:tab w:leader="none" w:pos="1344"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3" w:lineRule="exact"/>
        <w:rPr>
          <w:rFonts w:ascii="Arial" w:cs="Arial" w:eastAsia="Arial" w:hAnsi="Arial"/>
          <w:sz w:val="18"/>
          <w:szCs w:val="18"/>
          <w:color w:val="auto"/>
        </w:rPr>
      </w:pPr>
    </w:p>
    <w:p>
      <w:pPr>
        <w:ind w:left="-40" w:firstLine="921"/>
        <w:spacing w:after="0" w:line="272" w:lineRule="auto"/>
        <w:tabs>
          <w:tab w:leader="none" w:pos="1128"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69" w:lineRule="exact"/>
        <w:rPr>
          <w:rFonts w:ascii="Arial" w:cs="Arial" w:eastAsia="Arial" w:hAnsi="Arial"/>
          <w:sz w:val="17"/>
          <w:szCs w:val="17"/>
          <w:color w:val="auto"/>
        </w:rPr>
      </w:pPr>
    </w:p>
    <w:p>
      <w:pPr>
        <w:ind w:left="-40" w:right="60" w:firstLine="921"/>
        <w:spacing w:after="0" w:line="288" w:lineRule="auto"/>
        <w:tabs>
          <w:tab w:leader="none" w:pos="1128" w:val="left"/>
        </w:tabs>
        <w:numPr>
          <w:ilvl w:val="1"/>
          <w:numId w:val="58"/>
        </w:numPr>
        <w:rPr>
          <w:rFonts w:ascii="Arial" w:cs="Arial" w:eastAsia="Arial" w:hAnsi="Arial"/>
          <w:sz w:val="16"/>
          <w:szCs w:val="16"/>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70" w:right="2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such rescission and annulment shall extend to or shall affect any subsequent default or impair any right consequent thereon.</w:t>
      </w:r>
    </w:p>
    <w:p>
      <w:pPr>
        <w:spacing w:after="0" w:line="117" w:lineRule="exact"/>
        <w:rPr>
          <w:sz w:val="20"/>
          <w:szCs w:val="20"/>
          <w:color w:val="auto"/>
        </w:rPr>
      </w:pPr>
    </w:p>
    <w:p>
      <w:pPr>
        <w:ind w:left="-20" w:right="200" w:firstLine="921"/>
        <w:spacing w:after="0" w:line="257" w:lineRule="auto"/>
        <w:tabs>
          <w:tab w:leader="none" w:pos="11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20" w:right="60" w:firstLine="921"/>
        <w:spacing w:after="0" w:line="289" w:lineRule="auto"/>
        <w:tabs>
          <w:tab w:leader="none" w:pos="1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58" w:lineRule="exact"/>
        <w:rPr>
          <w:rFonts w:ascii="Arial" w:cs="Arial" w:eastAsia="Arial" w:hAnsi="Arial"/>
          <w:sz w:val="16"/>
          <w:szCs w:val="16"/>
          <w:color w:val="auto"/>
        </w:rPr>
      </w:pPr>
    </w:p>
    <w:p>
      <w:pPr>
        <w:ind w:left="-20" w:right="60" w:firstLine="921"/>
        <w:spacing w:after="0" w:line="257" w:lineRule="auto"/>
        <w:tabs>
          <w:tab w:leader="none" w:pos="11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80" w:lineRule="exact"/>
        <w:rPr>
          <w:rFonts w:ascii="Arial" w:cs="Arial" w:eastAsia="Arial" w:hAnsi="Arial"/>
          <w:sz w:val="18"/>
          <w:szCs w:val="18"/>
          <w:color w:val="auto"/>
        </w:rPr>
      </w:pPr>
    </w:p>
    <w:p>
      <w:pPr>
        <w:ind w:left="-20" w:right="20" w:firstLine="921"/>
        <w:spacing w:after="0" w:line="289" w:lineRule="auto"/>
        <w:tabs>
          <w:tab w:leader="none" w:pos="1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58" w:lineRule="exact"/>
        <w:rPr>
          <w:rFonts w:ascii="Arial" w:cs="Arial" w:eastAsia="Arial" w:hAnsi="Arial"/>
          <w:sz w:val="16"/>
          <w:szCs w:val="16"/>
          <w:color w:val="auto"/>
        </w:rPr>
      </w:pPr>
    </w:p>
    <w:p>
      <w:pPr>
        <w:jc w:val="both"/>
        <w:ind w:left="-20" w:firstLine="921"/>
        <w:spacing w:after="0" w:line="302" w:lineRule="auto"/>
        <w:tabs>
          <w:tab w:leader="none" w:pos="11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56" w:name="page57"/>
    <w:bookmarkEnd w:id="56"/>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FIRST: To the payment of all indebtedness of the Company to which such series of Securities is subordinated to the extent required by Section 7.06 and Article Fourteen;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57" w:name="page58"/>
    <w:bookmarkEnd w:id="5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59"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firstLine="921"/>
        <w:spacing w:after="0" w:line="279" w:lineRule="auto"/>
        <w:tabs>
          <w:tab w:leader="none" w:pos="11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8.04, shall have the right to direct the time, method and place of conducting any proceeding for any remedy available to the Trustee, or exercising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or power conferred on the Trustee with respect to such series; provided, however, that such direction shall not be in conflict with any rule of law or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Indenture. Subject to the provisions of Section 7.01, the Trustee shall have the right to decline to follow any such direction if the Trustee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by a Responsible Officer or officers of the Trustee, determine that the proceeding so directed, subject to the Trustee’s duties under the Trust Indenture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would involve the Trustee in personal liability or might be unduly prejudicial to the Securityholders not involved in the proceeding. The holders of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majority in aggregate principal amount of the Securities of any series at the time Outstanding affected thereby, determined in accordance with Section 8.04,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on behalf of the holders of all of the Securities of such series waive any past default in the performance of any of the covenants contained herein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established pursuant to Section 2.01 with respect to such series and its consequences, except a default in the payment of the principal of, or premium,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interest on, any of the Securities of that series as and when the same shall become due by the terms of such Securities otherwise than by acceleration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such default has been cured and a sum sufficient to pay all matured installments of interest and principal and any premium has been deposited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(in accordance with Section 6.01(3)). Upon any such waiver, the default covered thereby shall be deemed to be cured for all purposes of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 the Trustee and the holders of the Securities of such series shall be restored to their former positions and rights hereunder, respectively; but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such waiver shall extend to any subsequent or other default or impair any right consequent thereon.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3" w:lineRule="auto"/>
        <w:tabs>
          <w:tab w:leader="none" w:pos="11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70" w:lineRule="exact"/>
        <w:rPr>
          <w:rFonts w:ascii="Arial" w:cs="Arial" w:eastAsia="Arial" w:hAnsi="Arial"/>
          <w:sz w:val="17"/>
          <w:szCs w:val="17"/>
          <w:color w:val="auto"/>
        </w:rPr>
      </w:pPr>
    </w:p>
    <w:p>
      <w:pPr>
        <w:ind w:left="-20" w:right="100" w:firstLine="921"/>
        <w:spacing w:after="0" w:line="264" w:lineRule="auto"/>
        <w:tabs>
          <w:tab w:leader="none" w:pos="11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 prior to the occurrence of an Event of Default with respect to the Securities of a series and after the curing or waiving of all such Events of Default with respect to that series that may have occurred:</w:t>
      </w:r>
    </w:p>
    <w:p>
      <w:pPr>
        <w:spacing w:after="0" w:line="73" w:lineRule="exact"/>
        <w:rPr>
          <w:rFonts w:ascii="Arial" w:cs="Arial" w:eastAsia="Arial" w:hAnsi="Arial"/>
          <w:sz w:val="18"/>
          <w:szCs w:val="18"/>
          <w:color w:val="auto"/>
        </w:rPr>
      </w:pPr>
    </w:p>
    <w:p>
      <w:pPr>
        <w:ind w:left="680" w:right="180" w:firstLine="422"/>
        <w:spacing w:after="0" w:line="259" w:lineRule="auto"/>
        <w:tabs>
          <w:tab w:leader="none" w:pos="14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w:t>
      </w:r>
    </w:p>
    <w:p>
      <w:pPr>
        <w:spacing w:after="0" w:line="78" w:lineRule="exact"/>
        <w:rPr>
          <w:rFonts w:ascii="Arial" w:cs="Arial" w:eastAsia="Arial" w:hAnsi="Arial"/>
          <w:sz w:val="18"/>
          <w:szCs w:val="18"/>
          <w:color w:val="auto"/>
        </w:rPr>
      </w:pPr>
    </w:p>
    <w:p>
      <w:pPr>
        <w:ind w:left="680" w:right="180" w:firstLine="422"/>
        <w:spacing w:after="0" w:line="257" w:lineRule="auto"/>
        <w:tabs>
          <w:tab w:leader="none" w:pos="13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80" w:lineRule="exact"/>
        <w:rPr>
          <w:rFonts w:ascii="Arial" w:cs="Arial" w:eastAsia="Arial" w:hAnsi="Arial"/>
          <w:sz w:val="18"/>
          <w:szCs w:val="18"/>
          <w:color w:val="auto"/>
        </w:rPr>
      </w:pPr>
    </w:p>
    <w:p>
      <w:pPr>
        <w:ind w:left="680" w:right="580" w:firstLine="422"/>
        <w:spacing w:after="0" w:line="277" w:lineRule="auto"/>
        <w:tabs>
          <w:tab w:leader="none" w:pos="139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680" w:right="40" w:firstLine="422"/>
        <w:spacing w:after="0" w:line="259" w:lineRule="auto"/>
        <w:tabs>
          <w:tab w:leader="none" w:pos="140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ind w:left="680" w:right="100" w:firstLine="422"/>
        <w:spacing w:after="0" w:line="259" w:lineRule="auto"/>
        <w:tabs>
          <w:tab w:leader="none" w:pos="13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60" w:top="270" w:right="239" w:bottom="1440" w:gutter="0" w:footer="0" w:header="0"/>
        </w:sectPr>
      </w:pPr>
    </w:p>
    <w:bookmarkStart w:id="59" w:name="page60"/>
    <w:bookmarkEnd w:id="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provided in Section 7.01:</w:t>
      </w:r>
    </w:p>
    <w:p>
      <w:pPr>
        <w:spacing w:after="0" w:line="117" w:lineRule="exact"/>
        <w:rPr>
          <w:sz w:val="20"/>
          <w:szCs w:val="20"/>
          <w:color w:val="auto"/>
        </w:rPr>
      </w:pPr>
    </w:p>
    <w:p>
      <w:pPr>
        <w:ind w:right="180" w:firstLine="921"/>
        <w:spacing w:after="0" w:line="264"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3" w:lineRule="exact"/>
        <w:rPr>
          <w:rFonts w:ascii="Arial" w:cs="Arial" w:eastAsia="Arial" w:hAnsi="Arial"/>
          <w:sz w:val="18"/>
          <w:szCs w:val="18"/>
          <w:color w:val="auto"/>
        </w:rPr>
      </w:pPr>
    </w:p>
    <w:p>
      <w:pPr>
        <w:ind w:right="760" w:firstLine="921"/>
        <w:spacing w:after="0" w:line="308" w:lineRule="auto"/>
        <w:tabs>
          <w:tab w:leader="none" w:pos="116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38" w:lineRule="exact"/>
        <w:rPr>
          <w:rFonts w:ascii="Arial" w:cs="Arial" w:eastAsia="Arial" w:hAnsi="Arial"/>
          <w:sz w:val="17"/>
          <w:szCs w:val="17"/>
          <w:color w:val="auto"/>
        </w:rPr>
      </w:pPr>
    </w:p>
    <w:p>
      <w:pPr>
        <w:ind w:firstLine="921"/>
        <w:spacing w:after="0" w:line="273" w:lineRule="auto"/>
        <w:tabs>
          <w:tab w:leader="none" w:pos="116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70" w:lineRule="exact"/>
        <w:rPr>
          <w:rFonts w:ascii="Arial" w:cs="Arial" w:eastAsia="Arial" w:hAnsi="Arial"/>
          <w:sz w:val="17"/>
          <w:szCs w:val="17"/>
          <w:color w:val="auto"/>
        </w:rPr>
      </w:pPr>
    </w:p>
    <w:p>
      <w:pPr>
        <w:ind w:right="40" w:firstLine="921"/>
        <w:spacing w:after="0" w:line="277"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80" w:firstLine="921"/>
        <w:spacing w:after="0" w:line="291"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59" w:lineRule="exact"/>
        <w:rPr>
          <w:rFonts w:ascii="Arial" w:cs="Arial" w:eastAsia="Arial" w:hAnsi="Arial"/>
          <w:sz w:val="16"/>
          <w:szCs w:val="16"/>
          <w:color w:val="auto"/>
        </w:rPr>
      </w:pPr>
    </w:p>
    <w:p>
      <w:pPr>
        <w:ind w:right="300" w:firstLine="921"/>
        <w:spacing w:after="0" w:line="264"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no event shall the Trustee be liable for any consequential loss or damage of any kind (including but not limited to lost profits), even if the Trustee has been advised of the likelihood of such loss or damage and regardless of the form of action.</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the Trustee shall not be deemed to have knowledge of any Default or Event of Default except (1) any Event of Default occurring pursuant to Sections 6.01(1)(i), 6.01(1)(ii)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7"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17" w:lineRule="exact"/>
        <w:rPr>
          <w:rFonts w:ascii="Arial" w:cs="Arial" w:eastAsia="Arial" w:hAnsi="Arial"/>
          <w:sz w:val="18"/>
          <w:szCs w:val="18"/>
          <w:color w:val="auto"/>
        </w:rPr>
      </w:pPr>
    </w:p>
    <w:p>
      <w:pPr>
        <w:ind w:right="60" w:firstLine="921"/>
        <w:spacing w:after="0" w:line="291" w:lineRule="auto"/>
        <w:tabs>
          <w:tab w:leader="none" w:pos="116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w:t>
      </w:r>
    </w:p>
    <w:p>
      <w:pPr>
        <w:spacing w:after="0"/>
        <w:rPr>
          <w:rFonts w:ascii="Arial" w:cs="Arial" w:eastAsia="Arial" w:hAnsi="Arial"/>
          <w:sz w:val="16"/>
          <w:szCs w:val="16"/>
          <w:color w:val="auto"/>
        </w:rPr>
      </w:pPr>
      <w:r>
        <w:rPr>
          <w:rFonts w:ascii="Arial" w:cs="Arial" w:eastAsia="Arial" w:hAnsi="Arial"/>
          <w:sz w:val="18"/>
          <w:szCs w:val="18"/>
          <w:color w:val="auto"/>
        </w:rPr>
        <w:t>Section 2.01, or for the use or application of any moneys received by any paying agent other than the Trustee.</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8" w:lineRule="auto"/>
        <w:tabs>
          <w:tab w:leader="none" w:pos="116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61" w:lineRule="exact"/>
        <w:rPr>
          <w:rFonts w:ascii="Arial" w:cs="Arial" w:eastAsia="Arial" w:hAnsi="Arial"/>
          <w:sz w:val="16"/>
          <w:szCs w:val="16"/>
          <w:color w:val="auto"/>
        </w:rPr>
      </w:pPr>
    </w:p>
    <w:p>
      <w:pPr>
        <w:ind w:right="140" w:firstLine="921"/>
        <w:spacing w:after="0" w:line="302" w:lineRule="auto"/>
        <w:tabs>
          <w:tab w:leader="none" w:pos="116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to compensate and indemnify the Trustee and to pay or reimburse the Trustee for reasonable expenses, disbursements and advances shall (i) survive resignation or removal of the Trustee and termination of the Indenture, and (ii)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7.07 </w:t>
      </w:r>
      <w:r>
        <w:rPr>
          <w:rFonts w:ascii="Arial" w:cs="Arial" w:eastAsia="Arial" w:hAnsi="Arial"/>
          <w:sz w:val="18"/>
          <w:szCs w:val="18"/>
          <w:u w:val="single" w:color="auto"/>
          <w:color w:val="auto"/>
        </w:rPr>
        <w:t>RELIANCE ON OFFICERS’ CERTIFICATE</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64" w:lineRule="auto"/>
        <w:tabs>
          <w:tab w:leader="none" w:pos="11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receiving such notice of resignation, the Company shall promptly appoint a successor trustee with respect to Securities of such series by written instrument. If no successor trustee shall have been so appointed and have accepted appointment within 60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85" w:lineRule="exact"/>
        <w:rPr>
          <w:sz w:val="20"/>
          <w:szCs w:val="20"/>
          <w:color w:val="auto"/>
        </w:rPr>
      </w:pPr>
    </w:p>
    <w:p>
      <w:pPr>
        <w:ind w:left="1180" w:hanging="259"/>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700" w:firstLine="422"/>
        <w:spacing w:after="0" w:line="277" w:lineRule="auto"/>
        <w:tabs>
          <w:tab w:leader="none" w:pos="14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62" w:name="page63"/>
    <w:bookmarkEnd w:id="62"/>
    <w:p>
      <w:pPr>
        <w:ind w:left="700" w:right="40" w:firstLine="422"/>
        <w:spacing w:after="0" w:line="277" w:lineRule="auto"/>
        <w:tabs>
          <w:tab w:leader="none" w:pos="1414"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cease to be eligible in accordance with the provisions of Section 7.09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ind w:left="700" w:right="100" w:firstLine="422"/>
        <w:spacing w:after="0" w:line="264" w:lineRule="auto"/>
        <w:tabs>
          <w:tab w:leader="none" w:pos="14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64" w:lineRule="exact"/>
        <w:rPr>
          <w:sz w:val="20"/>
          <w:szCs w:val="20"/>
          <w:color w:val="auto"/>
        </w:rPr>
      </w:pPr>
    </w:p>
    <w:p>
      <w:pPr>
        <w:ind w:right="240" w:firstLine="921"/>
        <w:spacing w:after="0" w:line="264"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in writing and may appoint a successor Trustee for such series with the consent of the Company.</w:t>
      </w:r>
    </w:p>
    <w:p>
      <w:pPr>
        <w:spacing w:after="0" w:line="73" w:lineRule="exact"/>
        <w:rPr>
          <w:rFonts w:ascii="Arial" w:cs="Arial" w:eastAsia="Arial" w:hAnsi="Arial"/>
          <w:sz w:val="18"/>
          <w:szCs w:val="18"/>
          <w:color w:val="auto"/>
        </w:rPr>
      </w:pPr>
    </w:p>
    <w:p>
      <w:pPr>
        <w:ind w:right="120" w:firstLine="921"/>
        <w:spacing w:after="0" w:line="308" w:lineRule="auto"/>
        <w:tabs>
          <w:tab w:leader="none" w:pos="1168"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38"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93" w:lineRule="auto"/>
        <w:tabs>
          <w:tab w:leader="none" w:pos="11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 written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6" w:lineRule="exact"/>
        <w:rPr>
          <w:rFonts w:ascii="Arial" w:cs="Arial" w:eastAsia="Arial" w:hAnsi="Arial"/>
          <w:sz w:val="16"/>
          <w:szCs w:val="16"/>
          <w:color w:val="auto"/>
        </w:rPr>
      </w:pPr>
    </w:p>
    <w:p>
      <w:pPr>
        <w:ind w:firstLine="921"/>
        <w:spacing w:after="0" w:line="287" w:lineRule="auto"/>
        <w:tabs>
          <w:tab w:leader="none" w:pos="11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63" w:name="page64"/>
    <w:bookmarkEnd w:id="6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70" w:lineRule="exact"/>
        <w:rPr>
          <w:sz w:val="20"/>
          <w:szCs w:val="20"/>
          <w:color w:val="auto"/>
        </w:rPr>
      </w:pPr>
    </w:p>
    <w:p>
      <w:pPr>
        <w:ind w:right="300" w:firstLine="921"/>
        <w:spacing w:after="0" w:line="308" w:lineRule="auto"/>
        <w:tabs>
          <w:tab w:leader="none" w:pos="11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38" w:lineRule="exact"/>
        <w:rPr>
          <w:rFonts w:ascii="Arial" w:cs="Arial" w:eastAsia="Arial" w:hAnsi="Arial"/>
          <w:sz w:val="17"/>
          <w:szCs w:val="17"/>
          <w:color w:val="auto"/>
        </w:rPr>
      </w:pPr>
    </w:p>
    <w:p>
      <w:pPr>
        <w:ind w:right="200" w:firstLine="921"/>
        <w:spacing w:after="0" w:line="277" w:lineRule="auto"/>
        <w:tabs>
          <w:tab w:leader="none" w:pos="11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ind w:right="180" w:firstLine="921"/>
        <w:spacing w:after="0" w:line="259" w:lineRule="auto"/>
        <w:tabs>
          <w:tab w:leader="none" w:pos="11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to which its assets may be sold, or any corporation resulting from any merger, conversion or consolidation or sale of assets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unless such Default or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8</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Whenever in this Indenture it is provided that the Securityholders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Securityholders of such specified percentage or majority have joined therein may be evidenced by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w:t>
      </w:r>
    </w:p>
    <w:p>
      <w:pPr>
        <w:spacing w:after="0" w:line="18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the Company shall solicit from the Securityholders of any series any request, demand, authorization, direction, notice, consent, waiver or other action, the Company may, at its option, as evidenced by a Company Order,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38" w:lineRule="exact"/>
        <w:rPr>
          <w:sz w:val="20"/>
          <w:szCs w:val="20"/>
          <w:color w:val="auto"/>
        </w:rPr>
      </w:pPr>
    </w:p>
    <w:p>
      <w:pPr>
        <w:ind w:left="1180" w:hanging="259"/>
        <w:spacing w:after="0"/>
        <w:tabs>
          <w:tab w:leader="none" w:pos="1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140" w:lineRule="exact"/>
        <w:rPr>
          <w:rFonts w:ascii="Arial" w:cs="Arial" w:eastAsia="Arial" w:hAnsi="Arial"/>
          <w:sz w:val="16"/>
          <w:szCs w:val="16"/>
          <w:color w:val="auto"/>
        </w:rPr>
      </w:pPr>
    </w:p>
    <w:p>
      <w:pPr>
        <w:ind w:left="1180" w:hanging="259"/>
        <w:spacing w:after="0"/>
        <w:tabs>
          <w:tab w:leader="none" w:pos="1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ownership of Securities shall be proved by the Security Register of such Securities or by a certificate of the Security Registrar thereof.</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3" w:lineRule="exact"/>
        <w:rPr>
          <w:sz w:val="20"/>
          <w:szCs w:val="20"/>
          <w:color w:val="auto"/>
        </w:rPr>
      </w:pPr>
    </w:p>
    <w:p>
      <w:pPr>
        <w:ind w:right="340" w:firstLine="921"/>
        <w:spacing w:after="0" w:line="279" w:lineRule="auto"/>
        <w:tabs>
          <w:tab w:leader="none" w:pos="116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63" w:lineRule="exact"/>
        <w:rPr>
          <w:rFonts w:ascii="Arial" w:cs="Arial" w:eastAsia="Arial" w:hAnsi="Arial"/>
          <w:sz w:val="17"/>
          <w:szCs w:val="17"/>
          <w:color w:val="auto"/>
        </w:rPr>
      </w:pPr>
    </w:p>
    <w:p>
      <w:pPr>
        <w:ind w:left="1180" w:hanging="259"/>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comply with Article Ten;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66" w:name="page67"/>
    <w:bookmarkEnd w:id="66"/>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3" w:lineRule="exact"/>
        <w:rPr>
          <w:sz w:val="20"/>
          <w:szCs w:val="20"/>
          <w:color w:val="auto"/>
        </w:rPr>
      </w:pPr>
    </w:p>
    <w:p>
      <w:pPr>
        <w:ind w:right="920" w:firstLine="921"/>
        <w:spacing w:after="0" w:line="277"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right="520" w:firstLine="921"/>
        <w:spacing w:after="0" w:line="277"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herein or in any series of Securities that does not adversely affect the rights of any Securityholder of such series of Securities in any material respect;</w:t>
      </w:r>
    </w:p>
    <w:p>
      <w:pPr>
        <w:spacing w:after="0" w:line="62"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117" w:lineRule="exact"/>
        <w:rPr>
          <w:rFonts w:ascii="Arial" w:cs="Arial" w:eastAsia="Arial" w:hAnsi="Arial"/>
          <w:sz w:val="18"/>
          <w:szCs w:val="18"/>
          <w:color w:val="auto"/>
        </w:rPr>
      </w:pPr>
    </w:p>
    <w:p>
      <w:pPr>
        <w:ind w:right="60" w:firstLine="921"/>
        <w:spacing w:after="0" w:line="264" w:lineRule="auto"/>
        <w:tabs>
          <w:tab w:leader="none" w:pos="1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7.10(5);</w:t>
      </w:r>
    </w:p>
    <w:p>
      <w:pPr>
        <w:spacing w:after="0" w:line="73" w:lineRule="exact"/>
        <w:rPr>
          <w:rFonts w:ascii="Arial" w:cs="Arial" w:eastAsia="Arial" w:hAnsi="Arial"/>
          <w:sz w:val="18"/>
          <w:szCs w:val="18"/>
          <w:color w:val="auto"/>
        </w:rPr>
      </w:pPr>
    </w:p>
    <w:p>
      <w:pPr>
        <w:ind w:right="40" w:firstLine="921"/>
        <w:spacing w:after="0" w:line="342" w:lineRule="auto"/>
        <w:tabs>
          <w:tab w:leader="none" w:pos="12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supplement any of the provisions of this Indenture to such extent as shall be necessary to permit or facilitate the defeasance and discharge of any series of Securities; provided that any such action shall not adversely affect the rights of the Securityholders of such series of Securities;</w:t>
      </w:r>
    </w:p>
    <w:p>
      <w:pPr>
        <w:spacing w:after="0" w:line="15" w:lineRule="exact"/>
        <w:rPr>
          <w:rFonts w:ascii="Arial" w:cs="Arial" w:eastAsia="Arial" w:hAnsi="Arial"/>
          <w:sz w:val="16"/>
          <w:szCs w:val="16"/>
          <w:color w:val="auto"/>
        </w:rPr>
      </w:pPr>
    </w:p>
    <w:p>
      <w:pPr>
        <w:ind w:left="1260" w:hanging="339"/>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 or</w:t>
      </w:r>
    </w:p>
    <w:p>
      <w:pPr>
        <w:spacing w:after="0" w:line="117" w:lineRule="exact"/>
        <w:rPr>
          <w:rFonts w:ascii="Arial" w:cs="Arial" w:eastAsia="Arial" w:hAnsi="Arial"/>
          <w:sz w:val="18"/>
          <w:szCs w:val="18"/>
          <w:color w:val="auto"/>
        </w:rPr>
      </w:pPr>
    </w:p>
    <w:p>
      <w:pPr>
        <w:ind w:right="180" w:firstLine="921"/>
        <w:spacing w:after="0" w:line="277" w:lineRule="auto"/>
        <w:tabs>
          <w:tab w:leader="none" w:pos="12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any requirements of the Securities and Exchange Commission or any successor in connection with the qualification of this Indenture under the Trust Indenture Act.</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consent (evidenced as provided in Section 8.01) of the holders of not less than a majority in aggregate principal amount of the Securities of each series affected by such supplemental indenture or indentures at the time Outstanding voting separately, the Company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such series under this Indenture; provided, however, that no such supplemental indenture shall, without the consent of the holder of each Outstanding Security of such series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67" w:name="page68"/>
    <w:bookmarkEnd w:id="67"/>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Upon the request of the Company, accompanied by a Company Order authorizing the execution of any such supplemental indenture, and upon the delivery to the Trustee of evidence of the consent of Securityholders required to consent thereto,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Officers’ Certificate and an Opinion of Counsel as conclusive evidence that any supplemental indenture executed pursuant to this Article is authorized or permitted by, and conforms to, the terms of this Article and with respect to Section 9.01(6), does not adversely affect the rights of any Securityholder of any series in any material respect, and that it is proper for the Trustee under the provisions of this Article to join in the execution thereof; provided, however, that such Officers’ Certificate and an Opinion of Counsel need not be provided in connection with the execution of a supplemental indenture that establishes the terms of a series of Securities pursuant to Section 2.01 hereof.</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SUCCESSOR ENTITY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Except as provided pursuant to Section 2.01 and established and set forth in a Company Order, or established in one or more indentures supplemental hereto,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302" w:lineRule="auto"/>
        <w:tabs>
          <w:tab w:leader="none" w:pos="1168"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right="200" w:firstLine="921"/>
        <w:spacing w:after="0" w:line="277"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right="380" w:firstLine="921"/>
        <w:spacing w:after="0" w:line="264"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EVIDENCE OF CONSOLIDATION, ETC. TO TRUSTEE</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DEFEASANCE UPON DEPOSIT OF MONEYS OR U.S. GOVERNMENT OBLIGATIONS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4.05 and Section 5.03 with respect to Securities of any series (and, if so specified pursuant to Section 2.01, any other restrictive covenant added for the benefit of such series pursuant to Section 2.01) at any time after the applicable conditions set forth below have been satisfied (such action under clauses (a) or (b) of this paragraph in no circumstance may be construed as an Event of Default under Section 6.01):</w:t>
      </w:r>
    </w:p>
    <w:p>
      <w:pPr>
        <w:spacing w:after="0" w:line="85" w:lineRule="exact"/>
        <w:rPr>
          <w:sz w:val="20"/>
          <w:szCs w:val="20"/>
          <w:color w:val="auto"/>
        </w:rPr>
      </w:pPr>
    </w:p>
    <w:p>
      <w:pPr>
        <w:ind w:right="20" w:firstLine="921"/>
        <w:spacing w:after="0" w:line="255"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an amount, or (ii) Government Obligations that through the payment of interest and principal in respect thereof in accordance with their terms will provide, not later than one day before the due date of any payment, money in an amount, or (iii) a combination of (i) and (ii), sufficient to pay and discharge each installment of principal (including any mandatory sinking fund payments) of and premium, if any, and interest on, the Outstanding Securities of such series on the dates such installments of interest or principal and premium are due;</w:t>
      </w:r>
    </w:p>
    <w:p>
      <w:pPr>
        <w:spacing w:after="0" w:line="85" w:lineRule="exact"/>
        <w:rPr>
          <w:rFonts w:ascii="Arial" w:cs="Arial" w:eastAsia="Arial" w:hAnsi="Arial"/>
          <w:sz w:val="18"/>
          <w:szCs w:val="18"/>
          <w:color w:val="auto"/>
        </w:rPr>
      </w:pPr>
    </w:p>
    <w:p>
      <w:pPr>
        <w:ind w:firstLine="921"/>
        <w:spacing w:after="0" w:line="277"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62" w:lineRule="exact"/>
        <w:rPr>
          <w:rFonts w:ascii="Arial" w:cs="Arial" w:eastAsia="Arial" w:hAnsi="Arial"/>
          <w:sz w:val="18"/>
          <w:szCs w:val="18"/>
          <w:color w:val="auto"/>
        </w:rPr>
      </w:pPr>
    </w:p>
    <w:p>
      <w:pPr>
        <w:ind w:right="140" w:firstLine="921"/>
        <w:spacing w:after="0" w:line="257"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 payment of the principal of and premium, if any, and interest on such Securities when such payments are due and (B) Sections 7.06 and 11.05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u w:val="single" w:color="auto"/>
          <w:color w:val="auto"/>
        </w:rPr>
        <w:t>IMMUNITY OF INCORPORATORS, STOCKHOLDERS, OFFICERS AND DIRECTORS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of the Company, either directly or through the Company or any such predecessor or successor corporation of the Company,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of the Company,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thereof.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Regeneron Pharmaceuticals, Inc., 777 Old Saw Mill River Road, Tarrytown, New York 10591 or by facsimile or other electronic means as the Trustee agrees to accept.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This Indenture and each Security (including any guarantee thereof) shall be deemed to be a contract made under the internal laws of the State of New York, and for all purposes shall be construed in accordance with the laws of said State, except to the extent that the Trust Indenture Act is applicable.</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5" w:lineRule="auto"/>
        <w:tabs>
          <w:tab w:leader="none" w:pos="11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4.06)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72" w:name="page73"/>
    <w:bookmarkEnd w:id="72"/>
    <w:p>
      <w:pPr>
        <w:ind w:firstLine="921"/>
        <w:spacing w:after="0" w:line="255" w:lineRule="auto"/>
        <w:tabs>
          <w:tab w:leader="none" w:pos="1168"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Except as provided pursuant to Section 2.01 pursuant to a Company Order,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may be subordinated in the manner contemplated by Section 2.01.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all as of the day and year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920"/>
          </w:cols>
          <w:pgMar w:left="700" w:top="274" w:right="12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680" w:type="dxa"/>
            <w:vAlign w:val="bottom"/>
            <w:gridSpan w:val="2"/>
          </w:tcPr>
          <w:p>
            <w:pPr>
              <w:ind w:left="1720"/>
              <w:spacing w:after="0"/>
              <w:rPr>
                <w:sz w:val="20"/>
                <w:szCs w:val="20"/>
                <w:color w:val="auto"/>
              </w:rPr>
            </w:pPr>
            <w:r>
              <w:rPr>
                <w:rFonts w:ascii="Arial" w:cs="Arial" w:eastAsia="Arial" w:hAnsi="Arial"/>
                <w:sz w:val="18"/>
                <w:szCs w:val="18"/>
                <w:color w:val="auto"/>
              </w:rPr>
              <w:t xml:space="preserve">CROSS-REFERENCE TABLE </w:t>
            </w:r>
            <w:r>
              <w:rPr>
                <w:rFonts w:ascii="Arial" w:cs="Arial" w:eastAsia="Arial" w:hAnsi="Arial"/>
                <w:sz w:val="15"/>
                <w:szCs w:val="15"/>
                <w:color w:val="auto"/>
              </w:rPr>
              <w:t>(1)</w:t>
            </w:r>
          </w:p>
        </w:tc>
      </w:tr>
      <w:tr>
        <w:trPr>
          <w:trHeight w:val="373"/>
        </w:trPr>
        <w:tc>
          <w:tcPr>
            <w:tcW w:w="2740" w:type="dxa"/>
            <w:vAlign w:val="bottom"/>
            <w:gridSpan w:val="2"/>
          </w:tcPr>
          <w:p>
            <w:pPr>
              <w:spacing w:after="0"/>
              <w:rPr>
                <w:sz w:val="20"/>
                <w:szCs w:val="20"/>
                <w:color w:val="auto"/>
              </w:rPr>
            </w:pPr>
            <w:r>
              <w:rPr>
                <w:rFonts w:ascii="Arial" w:cs="Arial" w:eastAsia="Arial" w:hAnsi="Arial"/>
                <w:sz w:val="14"/>
                <w:szCs w:val="14"/>
                <w:color w:val="auto"/>
                <w:w w:val="98"/>
              </w:rPr>
              <w:t>SECTION OF TRUST INDENTURE ACT OF</w:t>
            </w:r>
          </w:p>
        </w:tc>
        <w:tc>
          <w:tcPr>
            <w:tcW w:w="6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7"/>
        </w:trPr>
        <w:tc>
          <w:tcPr>
            <w:tcW w:w="2740" w:type="dxa"/>
            <w:vAlign w:val="bottom"/>
            <w:gridSpan w:val="2"/>
          </w:tcPr>
          <w:p>
            <w:pPr>
              <w:spacing w:after="0"/>
              <w:rPr>
                <w:sz w:val="20"/>
                <w:szCs w:val="20"/>
                <w:color w:val="auto"/>
              </w:rPr>
            </w:pPr>
            <w:r>
              <w:rPr>
                <w:rFonts w:ascii="Arial" w:cs="Arial" w:eastAsia="Arial" w:hAnsi="Arial"/>
                <w:sz w:val="14"/>
                <w:szCs w:val="14"/>
                <w:color w:val="auto"/>
              </w:rPr>
              <w:t>1939, AS AMENDED</w:t>
            </w:r>
          </w:p>
        </w:tc>
        <w:tc>
          <w:tcPr>
            <w:tcW w:w="69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SECTION OF INDENTURE</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310(a)</w:t>
            </w:r>
          </w:p>
        </w:tc>
        <w:tc>
          <w:tcPr>
            <w:tcW w:w="698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7.09</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310(b)</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7.08</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7.10</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310(c)</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Inapplicable</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311(a)</w:t>
            </w:r>
          </w:p>
        </w:tc>
        <w:tc>
          <w:tcPr>
            <w:tcW w:w="8680" w:type="dxa"/>
            <w:vAlign w:val="bottom"/>
            <w:gridSpan w:val="2"/>
            <w:shd w:val="clear" w:color="auto" w:fill="CCEEFF"/>
          </w:tcPr>
          <w:p>
            <w:pPr>
              <w:jc w:val="center"/>
              <w:ind w:left="6890"/>
              <w:spacing w:after="0"/>
              <w:rPr>
                <w:sz w:val="20"/>
                <w:szCs w:val="20"/>
                <w:color w:val="auto"/>
              </w:rPr>
            </w:pPr>
            <w:r>
              <w:rPr>
                <w:rFonts w:ascii="Arial" w:cs="Arial" w:eastAsia="Arial" w:hAnsi="Arial"/>
                <w:sz w:val="18"/>
                <w:szCs w:val="18"/>
                <w:color w:val="auto"/>
                <w:w w:val="85"/>
              </w:rPr>
              <w:t>7.13</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311(b)</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7.13</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311(c)</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Inapplicable</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312(a)</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5.01</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5.02(a)</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312(b)</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5.02(c)</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312(c)</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5.02(c)</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313(a)</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5.04(a)</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313(b)</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5.04(b)</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313(c)</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5.04(a)</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5.04(b)</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313(d)</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5.04(c)</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314(a)</w:t>
            </w:r>
          </w:p>
        </w:tc>
        <w:tc>
          <w:tcPr>
            <w:tcW w:w="8680" w:type="dxa"/>
            <w:vAlign w:val="bottom"/>
            <w:gridSpan w:val="2"/>
            <w:shd w:val="clear" w:color="auto" w:fill="CCEEFF"/>
          </w:tcPr>
          <w:p>
            <w:pPr>
              <w:jc w:val="center"/>
              <w:ind w:left="6890"/>
              <w:spacing w:after="0"/>
              <w:rPr>
                <w:sz w:val="20"/>
                <w:szCs w:val="20"/>
                <w:color w:val="auto"/>
              </w:rPr>
            </w:pPr>
            <w:r>
              <w:rPr>
                <w:rFonts w:ascii="Arial" w:cs="Arial" w:eastAsia="Arial" w:hAnsi="Arial"/>
                <w:sz w:val="18"/>
                <w:szCs w:val="18"/>
                <w:color w:val="auto"/>
                <w:w w:val="85"/>
              </w:rPr>
              <w:t>5.03</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13.12</w:t>
            </w:r>
          </w:p>
        </w:tc>
        <w:tc>
          <w:tcPr>
            <w:tcW w:w="69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314(b)</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Inapplicable</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314(c)</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13.06(a)</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314(d)</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Inapplicable</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314(e)</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13.06(b)</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314(f)</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Inapplicable</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315(a)</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7.01(a)</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7.01(b)</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315(b)</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7.14</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315(c)</w:t>
            </w:r>
          </w:p>
        </w:tc>
        <w:tc>
          <w:tcPr>
            <w:tcW w:w="8680" w:type="dxa"/>
            <w:vAlign w:val="bottom"/>
            <w:gridSpan w:val="2"/>
            <w:shd w:val="clear" w:color="auto" w:fill="CCEEFF"/>
          </w:tcPr>
          <w:p>
            <w:pPr>
              <w:jc w:val="center"/>
              <w:ind w:left="6890"/>
              <w:spacing w:after="0"/>
              <w:rPr>
                <w:sz w:val="20"/>
                <w:szCs w:val="20"/>
                <w:color w:val="auto"/>
              </w:rPr>
            </w:pPr>
            <w:r>
              <w:rPr>
                <w:rFonts w:ascii="Arial" w:cs="Arial" w:eastAsia="Arial" w:hAnsi="Arial"/>
                <w:sz w:val="18"/>
                <w:szCs w:val="18"/>
                <w:color w:val="auto"/>
                <w:w w:val="85"/>
              </w:rPr>
              <w:t>7.01</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315(d)</w:t>
            </w:r>
          </w:p>
        </w:tc>
        <w:tc>
          <w:tcPr>
            <w:tcW w:w="69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7.01(b)</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315(e)</w:t>
            </w:r>
          </w:p>
        </w:tc>
        <w:tc>
          <w:tcPr>
            <w:tcW w:w="8680" w:type="dxa"/>
            <w:vAlign w:val="bottom"/>
            <w:gridSpan w:val="2"/>
            <w:shd w:val="clear" w:color="auto" w:fill="CCEEFF"/>
          </w:tcPr>
          <w:p>
            <w:pPr>
              <w:jc w:val="center"/>
              <w:ind w:left="6890"/>
              <w:spacing w:after="0"/>
              <w:rPr>
                <w:sz w:val="20"/>
                <w:szCs w:val="20"/>
                <w:color w:val="auto"/>
              </w:rPr>
            </w:pPr>
            <w:r>
              <w:rPr>
                <w:rFonts w:ascii="Arial" w:cs="Arial" w:eastAsia="Arial" w:hAnsi="Arial"/>
                <w:sz w:val="18"/>
                <w:szCs w:val="18"/>
                <w:color w:val="auto"/>
                <w:w w:val="85"/>
              </w:rPr>
              <w:t>6.07</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316(a)</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6.06</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8.04</w:t>
            </w:r>
          </w:p>
        </w:tc>
        <w:tc>
          <w:tcPr>
            <w:tcW w:w="69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316(b)</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6.04</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316(c)</w:t>
            </w:r>
          </w:p>
        </w:tc>
        <w:tc>
          <w:tcPr>
            <w:tcW w:w="8680" w:type="dxa"/>
            <w:vAlign w:val="bottom"/>
            <w:gridSpan w:val="2"/>
            <w:shd w:val="clear" w:color="auto" w:fill="CCEEFF"/>
          </w:tcPr>
          <w:p>
            <w:pPr>
              <w:jc w:val="center"/>
              <w:ind w:left="6890"/>
              <w:spacing w:after="0"/>
              <w:rPr>
                <w:sz w:val="20"/>
                <w:szCs w:val="20"/>
                <w:color w:val="auto"/>
              </w:rPr>
            </w:pPr>
            <w:r>
              <w:rPr>
                <w:rFonts w:ascii="Arial" w:cs="Arial" w:eastAsia="Arial" w:hAnsi="Arial"/>
                <w:sz w:val="18"/>
                <w:szCs w:val="18"/>
                <w:color w:val="auto"/>
                <w:w w:val="85"/>
              </w:rPr>
              <w:t>8.01</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317(a)</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85"/>
              </w:rPr>
              <w:t>6.02</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317(b)</w:t>
            </w:r>
          </w:p>
        </w:tc>
        <w:tc>
          <w:tcPr>
            <w:tcW w:w="8680" w:type="dxa"/>
            <w:vAlign w:val="bottom"/>
            <w:gridSpan w:val="2"/>
            <w:shd w:val="clear" w:color="auto" w:fill="CCEEFF"/>
          </w:tcPr>
          <w:p>
            <w:pPr>
              <w:jc w:val="center"/>
              <w:ind w:left="6890"/>
              <w:spacing w:after="0"/>
              <w:rPr>
                <w:sz w:val="20"/>
                <w:szCs w:val="20"/>
                <w:color w:val="auto"/>
              </w:rPr>
            </w:pPr>
            <w:r>
              <w:rPr>
                <w:rFonts w:ascii="Arial" w:cs="Arial" w:eastAsia="Arial" w:hAnsi="Arial"/>
                <w:sz w:val="18"/>
                <w:szCs w:val="18"/>
                <w:color w:val="auto"/>
                <w:w w:val="85"/>
              </w:rPr>
              <w:t>4.03</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318(a)</w:t>
            </w:r>
          </w:p>
        </w:tc>
        <w:tc>
          <w:tcPr>
            <w:tcW w:w="8680" w:type="dxa"/>
            <w:vAlign w:val="bottom"/>
            <w:gridSpan w:val="2"/>
          </w:tcPr>
          <w:p>
            <w:pPr>
              <w:jc w:val="center"/>
              <w:ind w:left="6890"/>
              <w:spacing w:after="0"/>
              <w:rPr>
                <w:sz w:val="20"/>
                <w:szCs w:val="20"/>
                <w:color w:val="auto"/>
              </w:rPr>
            </w:pPr>
            <w:r>
              <w:rPr>
                <w:rFonts w:ascii="Arial" w:cs="Arial" w:eastAsia="Arial" w:hAnsi="Arial"/>
                <w:sz w:val="18"/>
                <w:szCs w:val="18"/>
                <w:color w:val="auto"/>
                <w:w w:val="93"/>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760" w:hanging="452"/>
        <w:spacing w:after="0" w:line="277"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780" w:type="dxa"/>
            <w:vAlign w:val="bottom"/>
            <w:gridSpan w:val="2"/>
          </w:tcPr>
          <w:p>
            <w:pPr>
              <w:ind w:left="160"/>
              <w:spacing w:after="0"/>
              <w:rPr>
                <w:sz w:val="20"/>
                <w:szCs w:val="20"/>
                <w:color w:val="auto"/>
              </w:rPr>
            </w:pPr>
            <w:r>
              <w:rPr>
                <w:rFonts w:ascii="Arial" w:cs="Arial" w:eastAsia="Arial" w:hAnsi="Arial"/>
                <w:sz w:val="18"/>
                <w:szCs w:val="18"/>
                <w:color w:val="auto"/>
                <w:w w:val="97"/>
              </w:rPr>
              <w:t>Regeneron Pharmaceuticals, Inc.</w:t>
            </w:r>
          </w:p>
        </w:tc>
      </w:tr>
      <w:tr>
        <w:trPr>
          <w:trHeight w:val="190"/>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S-3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acted as special counsel to Regeneron Pharmaceuticals, Inc., a New York corporation (the “Company”), in connection with the registration statement on Form S-3 (the “Registration Statement”) to be filed by the Company with the Securities and Exchange Commission (the “Commission”) on the date hereof under the Securities Act of 1933, as amended (the “Act”). The Registration Statement relates to the issuance and sale by the Company from time to time, pursuant to Rule 415 of the rules and regulations promulgated under the Act, of an unspecified amount of securities of the Company for unspecified aggregate proceeds, consisting of: (i) shares of common stock of the Company, $0.001 par value (the “Common Stock”); (ii) shares of preferred stock of the Company, $0.01 par value, to be issued in one or more series (the “Preferred Stock”); (iii) senior debt securities, senior subordinated debt securities, subordinated debt securities or junior subordinated debt securities, which may be convertible or non-convertible (the “Debt Securities”) to be issued in one or more series under the indenture proposed to be entered into between the Company and U.S. Bank National Association (the “Trustee”), the form of which is filed as an exhibit to the Registration Statement (the “Indenture”); and (iv) warrants for the purchase of Common Stock, Preferred Stock or Debt Securities (the “Warrants”) pursuant to one or more warrant agreements (each, a “Warrant Agreement”) proposed to be entered into between the Company and warrant agents to be named therein (a “Warrant Agent” or “Warrant Agents”). The Common Stock, Preferred Stock, Debt Securities and Warrants are collectively referred to herein as the “Offered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delivered in accordance with the requirements of Item 601(b)(5) of Regulation S-K under the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Registration Statement relating to the Offered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form of the Indenture between the Company and the Trustee;</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00" w:right="4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Company, as certified by the Secretary of State of the State of New York (the “Certificate of Incorporation”);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By-Laws of the Company, as amended and in effect on the date hereof, and as certified by the Secretary of the Company (the “By-Laws”);</w:t>
      </w:r>
    </w:p>
    <w:p>
      <w:pPr>
        <w:spacing w:after="0" w:line="15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resolutions adopted on November 4, 2013 by the Board of Directors of the Company relating to the registration of the Offered Securities and related matters;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Statement of Eligibility and Qualification on Form T-1 under the Trust Indenture Act of 1939, as amended (the “Trust Indenture Act”), of the Trustee, filed as an exhibit to the Registration Statement.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set forth below.</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including endorsements, the authenticity of all documents submitted to us as originals, the conformity to original documents of all documents submitted to us as facsimile, electronic, certified, conformed or photostatic copies and the authenticity of the originals of such copies. In making our examination of executed documents or documents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We have also assumed that the Indenture and any supplemental indenture pursuant to the Indenture establishing the terms of any Debt Securities will be duly authorized, executed and delivered by the Trustee and that any Debt Securities that may be issued pursuant to the Indenture will be manually signed or countersigned, as the case may be, by duly authorized officers of the Trustee. In addition, we have assumed that the terms of the Offered Securities will have been established so as not to, and that the execution and delivery by the Company of, and the performance of its obligations under, the Indenture, any supplemental indenture to be entered into in connection with the issuance of Debt Securities, any Warrant Agreement to be entered into in connection with the issuance of Warrants and the Offered Securities, will not, violate, conflict with or constitute a default under (i) any agreement or instrument to which the Company or its properties are subject (other than the exhibits to the Registration Statement), (ii) any law, rule or regulation to which the Company or its properties is subject, (iii) any judicial or regulatory order or decree of any governmental authority; or (iv) any consent, approval, license, authorization or validation of, or filing, recording or registration with, any governmental authority. In addition, we have assumed that the Indenture will be executed and delivered in substantially the form reviewed by us. As to any facts material to the opinions expressed herein which were not independently established or verified, we have relied upon oral or written statements and representations of officers and other representatives of the Company and others and of public officials.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opinion set forth below is limited to the laws of the State of New York that, in our experience, are normally applicable to transactions of the type contemplated by the Registration Statement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non-Opined on Law on the opinions herein stated.</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Offered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and subject to the foregoing and to the limitations, qualifications, exceptions and assumptions set forth herein, we are of the opinion that:</w:t>
      </w:r>
    </w:p>
    <w:p>
      <w:pPr>
        <w:spacing w:after="0" w:line="154" w:lineRule="exact"/>
        <w:rPr>
          <w:sz w:val="20"/>
          <w:szCs w:val="20"/>
          <w:color w:val="auto"/>
        </w:rPr>
      </w:pPr>
    </w:p>
    <w:p>
      <w:pPr>
        <w:ind w:left="900" w:right="20" w:hanging="446"/>
        <w:spacing w:after="0" w:line="285"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With respect to any series of Debt Securities to be offered by the Company pursuant to the Registration Statement (the “Offered Debt Securities”), when (i) the Registration Statement (including all necessary post-effective amendments) has become effective under the Act and the Indenture has been qualified under the Trust Indenture Act; (ii) an appropriate prospectus supplement with respect to the Offered Debt Securities has been prepared, delivered and filed in compliance with the Act and the applicable rules and regulations thereunder; (iii) if the Offered Debt Securities are to be sold pursuant to a firm commitment underwritten offering, the underwriting agreement with respect to the Offered Debt Securities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sale and terms of the Offered Debt Securities and related matters; (v) the Indenture and any supplemental indenture in respect of such Offered Debt Securities have been duly authorized, executed and delivered by each party thereto; (vi) the terms of the Offered Debt Securities and of their issuance and sale have been duly established in conformity with the Indenture and any supplemental indenture, officers’ certificate or board resolution to be entered into or adopted in connection with the issuance of such Offered Debt Securities so as not to violate any applicable law, the Certificate of Incorporation or By-Laws or result in a default under or breach of any agreement or instrument binding upon the Company, and so as to comply with any requirement or restriction imposed by any court or governmental body having jurisdiction over the Company; and (vii) the Offered Debt Securities have been issued in a form that complies with the Indenture and have been duly executed and authenticated in accordance with the provisions of the Indenture and any supplemental indenture, officers’ certificate or board resolution to be entered into or adopted in connection with the issuance of such Offered Debt Securities and duly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20" w:right="80"/>
        <w:spacing w:after="0" w:line="284" w:lineRule="auto"/>
        <w:rPr>
          <w:sz w:val="20"/>
          <w:szCs w:val="20"/>
          <w:color w:val="auto"/>
        </w:rPr>
      </w:pPr>
      <w:r>
        <w:rPr>
          <w:rFonts w:ascii="Arial" w:cs="Arial" w:eastAsia="Arial" w:hAnsi="Arial"/>
          <w:sz w:val="16"/>
          <w:szCs w:val="16"/>
          <w:color w:val="auto"/>
        </w:rPr>
        <w:t>delivered to the purchasers thereof upon payment of the agreed-upon consideration therefor, the Offered Debt Securities (including any Debt Securities duly issued upon conversion, exchange or exercise of any Debt Securities or Preferred Stock), when issued and sold in accordance with the Indenture and any supplemental indenture, officers’ certificate or board resolution to be entered into or adopted in connection with the issuance of such Offered Debt Securities and the applicable underwriting agreement, if any,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w:t>
      </w:r>
    </w:p>
    <w:p>
      <w:pPr>
        <w:spacing w:after="0" w:line="3" w:lineRule="exact"/>
        <w:rPr>
          <w:sz w:val="20"/>
          <w:szCs w:val="20"/>
          <w:color w:val="auto"/>
        </w:rPr>
      </w:pPr>
    </w:p>
    <w:p>
      <w:pPr>
        <w:ind w:left="920" w:right="120" w:hanging="7"/>
        <w:spacing w:after="0" w:line="252" w:lineRule="auto"/>
        <w:tabs>
          <w:tab w:leader="none" w:pos="1175" w:val="left"/>
        </w:tabs>
        <w:numPr>
          <w:ilvl w:val="1"/>
          <w:numId w:val="83"/>
        </w:numPr>
        <w:rPr>
          <w:rFonts w:ascii="Arial" w:cs="Arial" w:eastAsia="Arial" w:hAnsi="Arial"/>
          <w:sz w:val="18"/>
          <w:szCs w:val="18"/>
          <w:color w:val="auto"/>
        </w:rPr>
      </w:pPr>
      <w:r>
        <w:rPr>
          <w:rFonts w:ascii="Arial" w:cs="Arial" w:eastAsia="Arial" w:hAnsi="Arial"/>
          <w:sz w:val="18"/>
          <w:szCs w:val="18"/>
          <w:color w:val="auto"/>
        </w:rPr>
        <w:t>general principles of equity (regardless of whether enforceability is considered in a proceeding at law or in equity), (c) public policy considerations which may limit the rights of parties to obtain remedies, (d) waivers of any usury defense contained in the Indenture or Offered Debt Securities which may be unenforceable, (e) requirements that a claim with respect to any Offered Debt Securities denominated in a currency, currency unit or composite currency other than United States dollars (or a judgment denominated other than in United States dollars in respect of such claim) be converted into United States dollars at a rate of exchange prevailing on a date determined pursuant to applicable law, and (f) governmental authority to limit, delay or prohibit the making of payments outside the United States or in foreign currencies, currency units or composite currencies.</w:t>
      </w:r>
    </w:p>
    <w:p>
      <w:pPr>
        <w:spacing w:after="0" w:line="98"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With respect to the shares of any Common Stock to be offered by the Company (the “Offered Common Stock”), when (i) the Registration Statement (including all necessary post-effective amendments) has become effective under the Act; (ii) an appropriate prospectus supplement with respect to the Offered Common Stock has been prepared, delivered and filed in compliance with the Act and the applicable rules and regulations thereunder; (iii) if the Offered Common Stock is to be sold pursuant to a firm commitment underwritten offering, the underwriting agreement with respect to the Offered Common Stock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of the Offered Common Stock and related matters; and (v) certificates in the form required under New York corporate law representing the shares of Offered Common Stock are duly executed, countersigned, registered and delivered upon payment of the agreed upon consideration therefor, the shares of Offered Common Stock (including any Common Stock duly issued upon conversion, exchange or exercise of any Preferred Stock, Debt Securities or Warrants), when issued and sold in accordance with the applicable underwriting agreement, if any, or any other duly authorized, executed and delivered valid and binding purchase or agency agreement, will be duly authorized, validly issued, fully paid and nonassessable, provided that the consideration therefore is not less than $0.001 per share of Common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900" w:hanging="446"/>
        <w:spacing w:after="0" w:line="285"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 respect to the shares of any series of Preferred Stock to be offered by the Company (the “Offered Preferred Stock”), when (i) the Registration Statement (including all necessary post-effective amendments) has become effective under the Act; (ii) an appropriate prospectus supplement with respect to the Offered Preferred Stock has been prepared, delivered and filed in compliance with the Act and the applicable rules and regulations thereunder; (iii) if the Offered Preferred Stock is to be sold pursuant to a firm commitment underwritten offering, the underwriting agreement with respect to the Offered Preferred Stock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sale and terms of the Offered Preferred Stock and related matters, including the adoption of a Certificate of Designation for the Offered Preferred Stock in accordance with the applicable provisions of the corporate laws of the State of New York (the “Certificate of Designation”); (v) the filing of the Certificate of Designation with the Secretary of State of the State of New York has duly occurred; (vi) the terms of the Offered Preferred Stock and of their issuance and sale have been duly established in conformity with the Certificate of Incorporation, including the Certificate of Designation relating to the Offered Preferred Stock, and the By-laws of the Company so as not to violate any applicable law, the Certificate of Incorporation or By-laws or result in a default under or breach of any agreement or instrument binding upon the Company and so as to comply with any requirement or restriction imposed by any court or governmental body having jurisdiction over the Company; and (vii) certificates in the form required under New York corporate law representing the shares of Offered Preferred Stock are duly executed, countersigned, registered and delivered upon payment of the agreed-upon consideration therefor, the shares of the Offered Preferred Stock (including any Preferred Stock duly issued upon conversion, exchange or exercise of any Preferred Stock, Debt Securities or Warrants), when issued and sold in accordance with the applicable underwriting agreement, if any, or any other duly authorized, executed and delivered valid and binding purchase or agency agreement, will be duly authorized, validly issued, fully paid and nonassessable, provided that the consideration therefore is not less than $0.01 per share of Preferred Stock.</w:t>
      </w:r>
    </w:p>
    <w:p>
      <w:pPr>
        <w:spacing w:after="0" w:line="75" w:lineRule="exact"/>
        <w:rPr>
          <w:rFonts w:ascii="Arial" w:cs="Arial" w:eastAsia="Arial" w:hAnsi="Arial"/>
          <w:sz w:val="16"/>
          <w:szCs w:val="16"/>
          <w:color w:val="auto"/>
        </w:rPr>
      </w:pPr>
    </w:p>
    <w:p>
      <w:pPr>
        <w:ind w:left="900" w:right="120" w:hanging="446"/>
        <w:spacing w:after="0" w:line="272"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 respect to any Warrants to be offered by the Company (the “Offered Warrants”), when (i) the Registration Statement (including all necessary post-effective amendments) has become effective under the Act; (ii) an appropriate prospectus supplement with respect to the Offered Warrants has been prepared, delivered and filed in compliance with the Act and the applicable rules and regulations thereunder; (iii) if the Offered Warrants are to be sold pursuant to a firm commitment underwritten offering, the underwriting agreement with respect to the Offered Warrants has been duly authorized, executed and delivered by the Company and the other parties thereto; (iv) the Board of Directors of the Company, including any appropriate committee appointed thereby, and appropriate officers of the Company have taken all necessary corporate action to approve the issuance and terms of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Offered Warrants and the Offered Securities of the Company into which the Offered Warrants are exercisable, the consideration to be received therefor and related matters; (v) a Warrant Agreement relating to the Offered Warrants has been duly authorized, executed and delivered by the Company and the other parties thereto; (vi) the terms of the Offered Warrants and of their issuance and sale have been duly established in conformity with the applicable Warrant Agreement so as not to violate any applicable law, the Certificate of Incorporation or By-laws or result in a default under or breach of any agreement or instrument binding upon the Company, and so as to comply with any requirement or restriction imposed by any court or governmental body having jurisdiction over the Company and the applicable Warrant Agent; and (vii) the Offered Warrants have been duly executed, delivered and countersigned in accordance with the provisions of the applicable Warrant Agreement and duly issued and sold in the applicable form to be filed as an exhibit to the Registration Statement or any amendment thereto and in the manner contemplated in the Registration Statement or any prospectus supplement relating thereto, the Offered Warrants, when issued and sold in accordance with the applicable Warrant Agreement and the applicable underwriting agreement or any other duly authorized, executed and delivered valid and binding purchase or agency agreement, will be duly authorized and validly issued and will constitute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16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We also hereby consent to the use of our name under the heading “Legal Matters” in the prospectus which forms a part of the Registration Statement. In giving this consent, we do not thereby admit that we are within the category of persons whose consent is required under Section 7 of the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Skadden, Arps, Slate, Meagher &amp; Flom LLP</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Pretax income (loss) from continuing operations</w:t>
            </w:r>
          </w:p>
        </w:tc>
        <w:tc>
          <w:tcPr>
            <w:tcW w:w="9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515,207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414,421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(222,892)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(104,468)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(71,952)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(76,778)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charges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Amortization of capitalized interest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552,541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462,726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(198,699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(92,753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(66,890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(66,691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34,776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Assumed interest component of rental charges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2,596</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9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74"/>
              </w:rPr>
              <w:t>(A)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Due to the Company’s losses for the years ended December 31, 2011, 2010, 2009, and 2008, the ratio coverage was less than 1:1. To achieve a coverage ratio of 1:1, the Company would have had to generate additional earnings of the amounts shown in the table below.</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7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Coverage deficiency</w:t>
            </w:r>
          </w:p>
        </w:tc>
        <w:tc>
          <w:tcPr>
            <w:tcW w:w="2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$222,577</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$110,850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$72,448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$76,758</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15, 2013 relating to the financial statements and the effectiveness of internal control over financial reporting, which appears in Regeneron Pharmaceuticals, Inc.’s Annual Report on Form 10-K for the year ended December 31, 2012.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2013</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hanging="452"/>
        <w:spacing w:after="0"/>
        <w:tabs>
          <w:tab w:leader="none" w:pos="460" w:val="left"/>
        </w:tabs>
        <w:numPr>
          <w:ilvl w:val="0"/>
          <w:numId w:val="87"/>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I.R.S. Employer</w:t>
      </w:r>
    </w:p>
    <w:p>
      <w:pPr>
        <w:ind w:left="5180"/>
        <w:spacing w:after="0"/>
        <w:rPr>
          <w:sz w:val="20"/>
          <w:szCs w:val="20"/>
          <w:color w:val="auto"/>
        </w:rPr>
      </w:pPr>
      <w:r>
        <w:rPr>
          <w:rFonts w:ascii="Arial" w:cs="Arial" w:eastAsia="Arial" w:hAnsi="Arial"/>
          <w:sz w:val="14"/>
          <w:szCs w:val="14"/>
          <w:b w:val="1"/>
          <w:bCs w:val="1"/>
          <w:color w:val="auto"/>
        </w:rPr>
        <w:t>Identification No.</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220" w:type="dxa"/>
            <w:vAlign w:val="bottom"/>
          </w:tcPr>
          <w:p>
            <w:pPr>
              <w:jc w:val="center"/>
              <w:ind w:right="3754"/>
              <w:spacing w:after="0"/>
              <w:rPr>
                <w:sz w:val="20"/>
                <w:szCs w:val="20"/>
                <w:color w:val="auto"/>
              </w:rPr>
            </w:pPr>
            <w:r>
              <w:rPr>
                <w:rFonts w:ascii="Arial" w:cs="Arial" w:eastAsia="Arial" w:hAnsi="Arial"/>
                <w:sz w:val="18"/>
                <w:szCs w:val="18"/>
                <w:b w:val="1"/>
                <w:bCs w:val="1"/>
                <w:color w:val="auto"/>
                <w:w w:val="92"/>
              </w:rPr>
              <w:t>800 Nicollet Mall</w:t>
            </w:r>
          </w:p>
        </w:tc>
        <w:tc>
          <w:tcPr>
            <w:tcW w:w="1060" w:type="dxa"/>
            <w:vAlign w:val="bottom"/>
          </w:tcPr>
          <w:p>
            <w:pPr>
              <w:spacing w:after="0"/>
              <w:rPr>
                <w:sz w:val="18"/>
                <w:szCs w:val="18"/>
                <w:color w:val="auto"/>
              </w:rPr>
            </w:pPr>
          </w:p>
        </w:tc>
      </w:tr>
      <w:tr>
        <w:trPr>
          <w:trHeight w:val="225"/>
        </w:trPr>
        <w:tc>
          <w:tcPr>
            <w:tcW w:w="6220" w:type="dxa"/>
            <w:vAlign w:val="bottom"/>
          </w:tcPr>
          <w:p>
            <w:pPr>
              <w:jc w:val="center"/>
              <w:ind w:right="3754"/>
              <w:spacing w:after="0"/>
              <w:rPr>
                <w:sz w:val="20"/>
                <w:szCs w:val="20"/>
                <w:color w:val="auto"/>
              </w:rPr>
            </w:pPr>
            <w:r>
              <w:rPr>
                <w:rFonts w:ascii="Arial" w:cs="Arial" w:eastAsia="Arial" w:hAnsi="Arial"/>
                <w:sz w:val="18"/>
                <w:szCs w:val="18"/>
                <w:b w:val="1"/>
                <w:bCs w:val="1"/>
                <w:color w:val="auto"/>
                <w:w w:val="91"/>
              </w:rPr>
              <w:t>Minneapolis, Minnesota</w:t>
            </w:r>
          </w:p>
        </w:tc>
        <w:tc>
          <w:tcPr>
            <w:tcW w:w="1060" w:type="dxa"/>
            <w:vAlign w:val="bottom"/>
          </w:tcPr>
          <w:p>
            <w:pPr>
              <w:jc w:val="right"/>
              <w:ind w:right="19"/>
              <w:spacing w:after="0"/>
              <w:rPr>
                <w:sz w:val="20"/>
                <w:szCs w:val="20"/>
                <w:color w:val="auto"/>
              </w:rPr>
            </w:pPr>
            <w:r>
              <w:rPr>
                <w:rFonts w:ascii="Arial" w:cs="Arial" w:eastAsia="Arial" w:hAnsi="Arial"/>
                <w:sz w:val="18"/>
                <w:szCs w:val="18"/>
                <w:b w:val="1"/>
                <w:bCs w:val="1"/>
                <w:color w:val="auto"/>
              </w:rPr>
              <w:t>55402</w:t>
            </w:r>
          </w:p>
        </w:tc>
      </w:tr>
      <w:tr>
        <w:trPr>
          <w:trHeight w:val="186"/>
        </w:trPr>
        <w:tc>
          <w:tcPr>
            <w:tcW w:w="6220" w:type="dxa"/>
            <w:vAlign w:val="bottom"/>
          </w:tcPr>
          <w:p>
            <w:pPr>
              <w:jc w:val="center"/>
              <w:ind w:right="375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90"/>
              </w:rPr>
              <w:t>Rick Barnes</w:t>
            </w:r>
          </w:p>
        </w:tc>
        <w:tc>
          <w:tcPr>
            <w:tcW w:w="1060" w:type="dxa"/>
            <w:vAlign w:val="bottom"/>
          </w:tcPr>
          <w:p>
            <w:pPr>
              <w:spacing w:after="0"/>
              <w:rPr>
                <w:sz w:val="24"/>
                <w:szCs w:val="24"/>
                <w:color w:val="auto"/>
              </w:rPr>
            </w:pPr>
          </w:p>
        </w:tc>
      </w:tr>
      <w:tr>
        <w:trPr>
          <w:trHeight w:val="216"/>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89"/>
              </w:rPr>
              <w:t>U.S. Bank National Association</w:t>
            </w:r>
          </w:p>
        </w:tc>
        <w:tc>
          <w:tcPr>
            <w:tcW w:w="1060" w:type="dxa"/>
            <w:vAlign w:val="bottom"/>
          </w:tcPr>
          <w:p>
            <w:pPr>
              <w:spacing w:after="0"/>
              <w:rPr>
                <w:sz w:val="18"/>
                <w:szCs w:val="18"/>
                <w:color w:val="auto"/>
              </w:rPr>
            </w:pPr>
          </w:p>
        </w:tc>
      </w:tr>
      <w:tr>
        <w:trPr>
          <w:trHeight w:val="216"/>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91"/>
              </w:rPr>
              <w:t>21 South Street, 3</w:t>
            </w:r>
            <w:r>
              <w:rPr>
                <w:rFonts w:ascii="Arial" w:cs="Arial" w:eastAsia="Arial" w:hAnsi="Arial"/>
                <w:sz w:val="15"/>
                <w:szCs w:val="15"/>
                <w:b w:val="1"/>
                <w:bCs w:val="1"/>
                <w:color w:val="auto"/>
                <w:w w:val="91"/>
              </w:rPr>
              <w:t>rd</w:t>
            </w:r>
            <w:r>
              <w:rPr>
                <w:rFonts w:ascii="Arial" w:cs="Arial" w:eastAsia="Arial" w:hAnsi="Arial"/>
                <w:sz w:val="18"/>
                <w:szCs w:val="18"/>
                <w:b w:val="1"/>
                <w:bCs w:val="1"/>
                <w:color w:val="auto"/>
                <w:w w:val="91"/>
              </w:rPr>
              <w:t xml:space="preserve"> Floor</w:t>
            </w:r>
          </w:p>
        </w:tc>
        <w:tc>
          <w:tcPr>
            <w:tcW w:w="1060" w:type="dxa"/>
            <w:vAlign w:val="bottom"/>
          </w:tcPr>
          <w:p>
            <w:pPr>
              <w:spacing w:after="0"/>
              <w:rPr>
                <w:sz w:val="18"/>
                <w:szCs w:val="18"/>
                <w:color w:val="auto"/>
              </w:rPr>
            </w:pPr>
          </w:p>
        </w:tc>
      </w:tr>
      <w:tr>
        <w:trPr>
          <w:trHeight w:val="216"/>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91"/>
              </w:rPr>
              <w:t>Morristown, New Jersey 07960</w:t>
            </w:r>
          </w:p>
        </w:tc>
        <w:tc>
          <w:tcPr>
            <w:tcW w:w="1060" w:type="dxa"/>
            <w:vAlign w:val="bottom"/>
          </w:tcPr>
          <w:p>
            <w:pPr>
              <w:spacing w:after="0"/>
              <w:rPr>
                <w:sz w:val="18"/>
                <w:szCs w:val="18"/>
                <w:color w:val="auto"/>
              </w:rPr>
            </w:pPr>
          </w:p>
        </w:tc>
      </w:tr>
      <w:tr>
        <w:trPr>
          <w:trHeight w:val="212"/>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90"/>
              </w:rPr>
              <w:t>(973) 898-7161</w:t>
            </w:r>
          </w:p>
        </w:tc>
        <w:tc>
          <w:tcPr>
            <w:tcW w:w="1060" w:type="dxa"/>
            <w:vAlign w:val="bottom"/>
          </w:tcPr>
          <w:p>
            <w:pPr>
              <w:spacing w:after="0"/>
              <w:rPr>
                <w:sz w:val="18"/>
                <w:szCs w:val="18"/>
                <w:color w:val="auto"/>
              </w:rPr>
            </w:pPr>
          </w:p>
        </w:tc>
      </w:tr>
      <w:tr>
        <w:trPr>
          <w:trHeight w:val="186"/>
        </w:trPr>
        <w:tc>
          <w:tcPr>
            <w:tcW w:w="6220" w:type="dxa"/>
            <w:vAlign w:val="bottom"/>
          </w:tcPr>
          <w:p>
            <w:pPr>
              <w:jc w:val="center"/>
              <w:ind w:left="1714"/>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7220" w:type="dxa"/>
            <w:vAlign w:val="bottom"/>
            <w:gridSpan w:val="3"/>
          </w:tcPr>
          <w:p>
            <w:pPr>
              <w:jc w:val="center"/>
              <w:ind w:right="4108"/>
              <w:spacing w:after="0"/>
              <w:rPr>
                <w:sz w:val="20"/>
                <w:szCs w:val="20"/>
                <w:color w:val="auto"/>
              </w:rPr>
            </w:pPr>
            <w:r>
              <w:rPr>
                <w:rFonts w:ascii="Arial" w:cs="Arial" w:eastAsia="Arial" w:hAnsi="Arial"/>
                <w:sz w:val="18"/>
                <w:szCs w:val="18"/>
                <w:b w:val="1"/>
                <w:bCs w:val="1"/>
                <w:color w:val="auto"/>
                <w:w w:val="88"/>
              </w:rPr>
              <w:t>(Issuer with respect to the Securities)</w:t>
            </w:r>
          </w:p>
        </w:tc>
      </w:tr>
      <w:tr>
        <w:trPr>
          <w:trHeight w:val="331"/>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70"/>
        </w:trPr>
        <w:tc>
          <w:tcPr>
            <w:tcW w:w="4200" w:type="dxa"/>
            <w:vAlign w:val="bottom"/>
          </w:tcPr>
          <w:p>
            <w:pPr>
              <w:jc w:val="center"/>
              <w:ind w:left="1499"/>
              <w:spacing w:after="0"/>
              <w:rPr>
                <w:sz w:val="20"/>
                <w:szCs w:val="20"/>
                <w:color w:val="auto"/>
              </w:rPr>
            </w:pPr>
            <w:r>
              <w:rPr>
                <w:rFonts w:ascii="Arial" w:cs="Arial" w:eastAsia="Arial" w:hAnsi="Arial"/>
                <w:sz w:val="18"/>
                <w:szCs w:val="18"/>
                <w:b w:val="1"/>
                <w:bCs w:val="1"/>
                <w:color w:val="auto"/>
                <w:w w:val="95"/>
              </w:rPr>
              <w:t>New York</w:t>
            </w:r>
          </w:p>
        </w:tc>
        <w:tc>
          <w:tcPr>
            <w:tcW w:w="7220" w:type="dxa"/>
            <w:vAlign w:val="bottom"/>
            <w:gridSpan w:val="3"/>
          </w:tcPr>
          <w:p>
            <w:pPr>
              <w:jc w:val="right"/>
              <w:ind w:right="2268"/>
              <w:spacing w:after="0"/>
              <w:rPr>
                <w:sz w:val="20"/>
                <w:szCs w:val="20"/>
                <w:color w:val="auto"/>
              </w:rPr>
            </w:pPr>
            <w:r>
              <w:rPr>
                <w:rFonts w:ascii="Arial" w:cs="Arial" w:eastAsia="Arial" w:hAnsi="Arial"/>
                <w:sz w:val="18"/>
                <w:szCs w:val="18"/>
                <w:b w:val="1"/>
                <w:bCs w:val="1"/>
                <w:color w:val="auto"/>
              </w:rPr>
              <w:t>13-3444607</w:t>
            </w:r>
          </w:p>
        </w:tc>
      </w:tr>
      <w:tr>
        <w:trPr>
          <w:trHeight w:val="149"/>
        </w:trPr>
        <w:tc>
          <w:tcPr>
            <w:tcW w:w="420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200" w:type="dxa"/>
            <w:vAlign w:val="bottom"/>
          </w:tcPr>
          <w:p>
            <w:pPr>
              <w:jc w:val="center"/>
              <w:ind w:left="1499"/>
              <w:spacing w:after="0"/>
              <w:rPr>
                <w:sz w:val="20"/>
                <w:szCs w:val="20"/>
                <w:color w:val="auto"/>
              </w:rPr>
            </w:pPr>
            <w:r>
              <w:rPr>
                <w:rFonts w:ascii="Arial" w:cs="Arial" w:eastAsia="Arial" w:hAnsi="Arial"/>
                <w:sz w:val="18"/>
                <w:szCs w:val="18"/>
                <w:b w:val="1"/>
                <w:bCs w:val="1"/>
                <w:color w:val="auto"/>
                <w:w w:val="93"/>
              </w:rPr>
              <w:t>777 Old Saw Mill River Road</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5"/>
        </w:trPr>
        <w:tc>
          <w:tcPr>
            <w:tcW w:w="4200" w:type="dxa"/>
            <w:vAlign w:val="bottom"/>
          </w:tcPr>
          <w:p>
            <w:pPr>
              <w:jc w:val="center"/>
              <w:ind w:left="1519"/>
              <w:spacing w:after="0"/>
              <w:rPr>
                <w:sz w:val="20"/>
                <w:szCs w:val="20"/>
                <w:color w:val="auto"/>
              </w:rPr>
            </w:pPr>
            <w:r>
              <w:rPr>
                <w:rFonts w:ascii="Arial" w:cs="Arial" w:eastAsia="Arial" w:hAnsi="Arial"/>
                <w:sz w:val="18"/>
                <w:szCs w:val="18"/>
                <w:b w:val="1"/>
                <w:bCs w:val="1"/>
                <w:color w:val="auto"/>
                <w:w w:val="93"/>
              </w:rPr>
              <w:t>Tarrytown, New York</w:t>
            </w:r>
          </w:p>
        </w:tc>
        <w:tc>
          <w:tcPr>
            <w:tcW w:w="7220" w:type="dxa"/>
            <w:vAlign w:val="bottom"/>
            <w:gridSpan w:val="3"/>
          </w:tcPr>
          <w:p>
            <w:pPr>
              <w:jc w:val="right"/>
              <w:ind w:right="2468"/>
              <w:spacing w:after="0"/>
              <w:rPr>
                <w:sz w:val="20"/>
                <w:szCs w:val="20"/>
                <w:color w:val="auto"/>
              </w:rPr>
            </w:pPr>
            <w:r>
              <w:rPr>
                <w:rFonts w:ascii="Arial" w:cs="Arial" w:eastAsia="Arial" w:hAnsi="Arial"/>
                <w:sz w:val="18"/>
                <w:szCs w:val="18"/>
                <w:b w:val="1"/>
                <w:bCs w:val="1"/>
                <w:color w:val="auto"/>
              </w:rPr>
              <w:t>10591</w:t>
            </w:r>
          </w:p>
        </w:tc>
      </w:tr>
      <w:tr>
        <w:trPr>
          <w:trHeight w:val="186"/>
        </w:trPr>
        <w:tc>
          <w:tcPr>
            <w:tcW w:w="4200" w:type="dxa"/>
            <w:vAlign w:val="bottom"/>
          </w:tcPr>
          <w:p>
            <w:pPr>
              <w:jc w:val="center"/>
              <w:ind w:left="14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520" w:type="dxa"/>
            <w:vAlign w:val="bottom"/>
          </w:tcPr>
          <w:p>
            <w:pPr>
              <w:jc w:val="center"/>
              <w:ind w:right="948"/>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3"/>
        </w:trPr>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00" w:type="dxa"/>
            <w:vAlign w:val="bottom"/>
            <w:gridSpan w:val="2"/>
          </w:tcPr>
          <w:p>
            <w:pPr>
              <w:jc w:val="center"/>
              <w:ind w:right="4448"/>
              <w:spacing w:after="0"/>
              <w:rPr>
                <w:sz w:val="20"/>
                <w:szCs w:val="20"/>
                <w:color w:val="auto"/>
              </w:rPr>
            </w:pPr>
            <w:r>
              <w:rPr>
                <w:rFonts w:ascii="Arial" w:cs="Arial" w:eastAsia="Arial" w:hAnsi="Arial"/>
                <w:sz w:val="14"/>
                <w:szCs w:val="14"/>
                <w:b w:val="1"/>
                <w:bCs w:val="1"/>
                <w:color w:val="auto"/>
                <w:w w:val="94"/>
              </w:rPr>
              <w:t>(Title of the Indenture Securities)</w:t>
            </w:r>
          </w:p>
        </w:tc>
      </w:tr>
      <w:tr>
        <w:trPr>
          <w:trHeight w:val="215"/>
        </w:trPr>
        <w:tc>
          <w:tcPr>
            <w:tcW w:w="4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18"/>
                <w:szCs w:val="18"/>
                <w:color w:val="auto"/>
              </w:rPr>
            </w:pPr>
          </w:p>
        </w:tc>
      </w:tr>
      <w:tr>
        <w:trPr>
          <w:trHeight w:val="48"/>
        </w:trPr>
        <w:tc>
          <w:tcPr>
            <w:tcW w:w="4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80" w:right="5640" w:hanging="967"/>
        <w:spacing w:after="0" w:line="402" w:lineRule="auto"/>
        <w:tabs>
          <w:tab w:leader="none" w:pos="1472"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9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2013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Town of Morristown, State of New Jersey on the 5th of November, 2013.</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Rick Barnes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86" w:name="page87"/>
    <w:bookmarkEnd w:id="86"/>
    <w:p>
      <w:pPr>
        <w:jc w:val="center"/>
        <w:ind w:right="3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848995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172085</wp:posOffset>
            </wp:positionV>
            <wp:extent cx="471805" cy="514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18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100330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225" w:lineRule="exact"/>
        <w:rPr>
          <w:sz w:val="20"/>
          <w:szCs w:val="20"/>
          <w:color w:val="auto"/>
        </w:rPr>
      </w:pPr>
    </w:p>
    <w:p>
      <w:pPr>
        <w:ind w:firstLine="4"/>
        <w:spacing w:after="0" w:line="308" w:lineRule="auto"/>
        <w:tabs>
          <w:tab w:leader="none" w:pos="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80" w:firstLine="4"/>
        <w:spacing w:after="0" w:line="277" w:lineRule="auto"/>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5360" w:right="40"/>
        <w:spacing w:after="0" w:line="259" w:lineRule="auto"/>
        <w:rPr>
          <w:sz w:val="20"/>
          <w:szCs w:val="20"/>
          <w:color w:val="auto"/>
        </w:rPr>
      </w:pPr>
      <w:r>
        <w:rPr>
          <w:rFonts w:ascii="Arial" w:cs="Arial" w:eastAsia="Arial" w:hAnsi="Arial"/>
          <w:sz w:val="18"/>
          <w:szCs w:val="18"/>
          <w:color w:val="auto"/>
        </w:rPr>
        <w:t>IN TESTIMONY WHEREOF, today, February 27, 2013,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-240665</wp:posOffset>
            </wp:positionV>
            <wp:extent cx="1355090" cy="13379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55090" cy="133794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85090</wp:posOffset>
            </wp:positionV>
            <wp:extent cx="1903730" cy="7200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0373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-130175</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700" w:top="270" w:right="379" w:bottom="1440" w:gutter="0" w:footer="0" w:header="0"/>
        </w:sectPr>
      </w:pPr>
    </w:p>
    <w:bookmarkStart w:id="87" w:name="page88"/>
    <w:bookmarkEnd w:id="87"/>
    <w:p>
      <w:pPr>
        <w:jc w:val="center"/>
        <w:ind w:right="3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917575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171450</wp:posOffset>
            </wp:positionV>
            <wp:extent cx="497205" cy="5829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720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National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91440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225" w:lineRule="exact"/>
        <w:rPr>
          <w:sz w:val="20"/>
          <w:szCs w:val="20"/>
          <w:color w:val="auto"/>
        </w:rPr>
      </w:pPr>
    </w:p>
    <w:p>
      <w:pPr>
        <w:ind w:right="560" w:firstLine="4"/>
        <w:spacing w:after="0" w:line="342" w:lineRule="auto"/>
        <w:tabs>
          <w:tab w:leader="none" w:pos="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23" w:lineRule="exact"/>
        <w:rPr>
          <w:rFonts w:ascii="Arial" w:cs="Arial" w:eastAsia="Arial" w:hAnsi="Arial"/>
          <w:sz w:val="16"/>
          <w:szCs w:val="16"/>
          <w:color w:val="auto"/>
        </w:rPr>
      </w:pPr>
    </w:p>
    <w:p>
      <w:pPr>
        <w:ind w:firstLine="4"/>
        <w:spacing w:after="0" w:line="264" w:lineRule="auto"/>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8" w:lineRule="exact"/>
        <w:rPr>
          <w:sz w:val="20"/>
          <w:szCs w:val="20"/>
          <w:color w:val="auto"/>
        </w:rPr>
      </w:pPr>
    </w:p>
    <w:p>
      <w:pPr>
        <w:ind w:left="5360" w:right="60"/>
        <w:spacing w:after="0" w:line="259" w:lineRule="auto"/>
        <w:rPr>
          <w:sz w:val="20"/>
          <w:szCs w:val="20"/>
          <w:color w:val="auto"/>
        </w:rPr>
      </w:pPr>
      <w:r>
        <w:rPr>
          <w:rFonts w:ascii="Arial" w:cs="Arial" w:eastAsia="Arial" w:hAnsi="Arial"/>
          <w:sz w:val="18"/>
          <w:szCs w:val="18"/>
          <w:color w:val="auto"/>
        </w:rPr>
        <w:t>IN TESTIMONY WHEREOF, today, February 27, 2013,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-240030</wp:posOffset>
            </wp:positionV>
            <wp:extent cx="1355090" cy="1355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5090" cy="135509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127635</wp:posOffset>
            </wp:positionV>
            <wp:extent cx="1766570" cy="643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665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-130175</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700" w:top="270" w:right="35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Rick Barnes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6/30/2013</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6/30/2013</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6,618,511</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74,478,321</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79,268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226,554,158</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4,958,016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13,125,133</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23,519,520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349,332,927</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260,085,043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2,946,249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639,343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27,488,313</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4,836,320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13,040,945</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309,036,213</w:t>
            </w:r>
          </w:p>
        </w:tc>
        <w:tc>
          <w:tcPr>
            <w:tcW w:w="100" w:type="dxa"/>
            <w:vAlign w:val="bottom"/>
            <w:shd w:val="clear" w:color="auto" w:fill="CCEEFF"/>
          </w:tcPr>
          <w:p>
            <w:pPr>
              <w:spacing w:after="0"/>
              <w:rPr>
                <w:sz w:val="18"/>
                <w:szCs w:val="18"/>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14,216,132</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24,513,966</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6000" w:type="dxa"/>
            <w:vAlign w:val="bottom"/>
            <w:gridSpan w:val="3"/>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1,548,416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40,296,714</w:t>
            </w: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349,332,927</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upperLetter"/>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lvl w:ilvl="1">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1)"/>
      <w:numFmt w:val="decimal"/>
      <w:start w:val="914"/>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1)"/>
      <w:numFmt w:val="lowerRoman"/>
      <w:start w:val="1"/>
    </w:lvl>
  </w:abstractNum>
  <w:abstractNum w:abstractNumId="35">
    <w:nsid w:val="5FF87E05"/>
    <w:multiLevelType w:val="hybridMultilevel"/>
    <w:lvl w:ilvl="0">
      <w:lvlJc w:val="left"/>
      <w:lvlText w:val="(%1)"/>
      <w:numFmt w:val="decimal"/>
      <w:start w:val="2"/>
    </w:lvl>
    <w:lvl w:ilvl="1">
      <w:lvlJc w:val="left"/>
      <w:lvlText w:val="%2."/>
      <w:numFmt w:val="upperLetter"/>
      <w:start w:val="1"/>
    </w:lvl>
  </w:abstractNum>
  <w:abstractNum w:abstractNumId="36">
    <w:nsid w:val="2F305DEF"/>
    <w:multiLevelType w:val="hybridMultilevel"/>
    <w:lvl w:ilvl="0">
      <w:lvlJc w:val="left"/>
      <w:lvlText w:val="(%1)"/>
      <w:numFmt w:val="decimal"/>
      <w:start w:val="5"/>
    </w:lvl>
    <w:lvl w:ilvl="1">
      <w:lvlJc w:val="left"/>
      <w:lvlText w:val="(%2)"/>
      <w:numFmt w:val="lowerRoman"/>
      <w:start w:val="1"/>
    </w:lvl>
  </w:abstractNum>
  <w:abstractNum w:abstractNumId="37">
    <w:nsid w:val="25A70BF7"/>
    <w:multiLevelType w:val="hybridMultilevel"/>
    <w:lvl w:ilvl="0">
      <w:lvlJc w:val="left"/>
      <w:lvlText w:val="(%1)"/>
      <w:numFmt w:val="upperLetter"/>
      <w:start w:val="2"/>
    </w:lvl>
  </w:abstractNum>
  <w:abstractNum w:abstractNumId="38">
    <w:nsid w:val="1DBABF00"/>
    <w:multiLevelType w:val="hybridMultilevel"/>
    <w:lvl w:ilvl="0">
      <w:lvlJc w:val="left"/>
      <w:lvlText w:val="1"/>
      <w:numFmt w:val="bullet"/>
      <w:start w:val="1"/>
    </w:lvl>
  </w:abstractNum>
  <w:abstractNum w:abstractNumId="39">
    <w:nsid w:val="4AD084E9"/>
    <w:multiLevelType w:val="hybridMultilevel"/>
    <w:lvl w:ilvl="0">
      <w:lvlJc w:val="left"/>
      <w:lvlText w:val="(%1)"/>
      <w:numFmt w:val="decimal"/>
      <w:start w:val="1"/>
    </w:lvl>
    <w:lvl w:ilvl="1">
      <w:lvlJc w:val="left"/>
      <w:lvlText w:val="(%2)"/>
      <w:numFmt w:val="lowerRoman"/>
      <w:start w:val="1"/>
    </w:lvl>
  </w:abstractNum>
  <w:abstractNum w:abstractNumId="40">
    <w:nsid w:val="1F48EAA1"/>
    <w:multiLevelType w:val="hybridMultilevel"/>
    <w:lvl w:ilvl="0">
      <w:lvlJc w:val="left"/>
      <w:lvlText w:val="(%1)"/>
      <w:numFmt w:val="lowerRoman"/>
      <w:start w:val="8"/>
    </w:lvl>
  </w:abstractNum>
  <w:abstractNum w:abstractNumId="41">
    <w:nsid w:val="1381823A"/>
    <w:multiLevelType w:val="hybridMultilevel"/>
    <w:lvl w:ilvl="0">
      <w:lvlJc w:val="left"/>
      <w:lvlText w:val="(%1)"/>
      <w:numFmt w:val="lowerRoman"/>
      <w:start w:val="1"/>
    </w:lvl>
  </w:abstractNum>
  <w:abstractNum w:abstractNumId="42">
    <w:nsid w:val="5DB70AE5"/>
    <w:multiLevelType w:val="hybridMultilevel"/>
    <w:lvl w:ilvl="0">
      <w:lvlJc w:val="left"/>
      <w:lvlText w:val="(%1)"/>
      <w:numFmt w:val="lowerRoman"/>
      <w:start w:val="2"/>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2"/>
    </w:lvl>
  </w:abstractNum>
  <w:abstractNum w:abstractNumId="45">
    <w:nsid w:val="15014ACB"/>
    <w:multiLevelType w:val="hybridMultilevel"/>
    <w:lvl w:ilvl="0">
      <w:lvlJc w:val="left"/>
      <w:lvlText w:val="(%1)"/>
      <w:numFmt w:val="decimal"/>
      <w:start w:val="3"/>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2"/>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1)"/>
      <w:numFmt w:val="decimal"/>
      <w:start w:val="2"/>
    </w:lvl>
  </w:abstractNum>
  <w:abstractNum w:abstractNumId="51">
    <w:nsid w:val="168E121F"/>
    <w:multiLevelType w:val="hybridMultilevel"/>
    <w:lvl w:ilvl="0">
      <w:lvlJc w:val="left"/>
      <w:lvlText w:val="(%1)"/>
      <w:numFmt w:val="lowerRoman"/>
      <w:start w:val="1"/>
    </w:lvl>
  </w:abstractNum>
  <w:abstractNum w:abstractNumId="52">
    <w:nsid w:val="1EBA5D23"/>
    <w:multiLevelType w:val="hybridMultilevel"/>
    <w:lvl w:ilvl="0">
      <w:lvlJc w:val="left"/>
      <w:lvlText w:val="(%1)"/>
      <w:numFmt w:val="decimal"/>
      <w:start w:val="1"/>
    </w:lvl>
    <w:lvl w:ilvl="1">
      <w:lvlJc w:val="left"/>
      <w:lvlText w:val="(%2)"/>
      <w:numFmt w:val="lowerRoman"/>
      <w:start w:val="1"/>
    </w:lvl>
  </w:abstractNum>
  <w:abstractNum w:abstractNumId="53">
    <w:nsid w:val="661E3F1E"/>
    <w:multiLevelType w:val="hybridMultilevel"/>
    <w:lvl w:ilvl="0">
      <w:lvlJc w:val="left"/>
      <w:lvlText w:val="(%1)"/>
      <w:numFmt w:val="decimal"/>
      <w:start w:val="3"/>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57">
    <w:nsid w:val="51D9C564"/>
    <w:multiLevelType w:val="hybridMultilevel"/>
    <w:lvl w:ilvl="0">
      <w:lvlJc w:val="left"/>
      <w:lvlText w:val="(%1)"/>
      <w:numFmt w:val="lowerRoman"/>
      <w:start w:val="4"/>
    </w:lvl>
    <w:lvl w:ilvl="1">
      <w:lvlJc w:val="left"/>
      <w:lvlText w:val="(%2)"/>
      <w:numFmt w:val="decimal"/>
      <w:start w:val="1"/>
    </w:lvl>
    <w:lvl w:ilvl="2">
      <w:lvlJc w:val="left"/>
      <w:lvlText w:val="(%3)"/>
      <w:numFmt w:val="lowerRoman"/>
      <w:start w:val="5"/>
    </w:lvl>
  </w:abstractNum>
  <w:abstractNum w:abstractNumId="58">
    <w:nsid w:val="613EFDC5"/>
    <w:multiLevelType w:val="hybridMultilevel"/>
    <w:lvl w:ilvl="0">
      <w:lvlJc w:val="left"/>
      <w:lvlText w:val="(%1)"/>
      <w:numFmt w:val="decimal"/>
      <w:start w:val="4"/>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1"/>
    </w:lvl>
    <w:lvl w:ilvl="1">
      <w:lvlJc w:val="left"/>
      <w:lvlText w:val="(%2)"/>
      <w:numFmt w:val="upperLetter"/>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2"/>
    </w:lvl>
    <w:lvl w:ilvl="1">
      <w:lvlJc w:val="left"/>
      <w:lvlText w:val="(%2)"/>
      <w:numFmt w:val="upperLetter"/>
      <w:start w:val="1"/>
    </w:lvl>
  </w:abstractNum>
  <w:abstractNum w:abstractNumId="67">
    <w:nsid w:val="4962813B"/>
    <w:multiLevelType w:val="hybridMultilevel"/>
    <w:lvl w:ilvl="0">
      <w:lvlJc w:val="left"/>
      <w:lvlText w:val="(%1)"/>
      <w:numFmt w:val="upperLetter"/>
      <w:start w:val="2"/>
    </w:lvl>
  </w:abstractNum>
  <w:abstractNum w:abstractNumId="68">
    <w:nsid w:val="60B6DF70"/>
    <w:multiLevelType w:val="hybridMultilevel"/>
    <w:lvl w:ilvl="0">
      <w:lvlJc w:val="left"/>
      <w:lvlText w:val="(%1)"/>
      <w:numFmt w:val="decimal"/>
      <w:start w:val="3"/>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3"/>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5"/>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2"/>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lowerRoman"/>
      <w:start w:val="1"/>
    </w:lvl>
  </w:abstractNum>
  <w:abstractNum w:abstractNumId="80">
    <w:nsid w:val="76272110"/>
    <w:multiLevelType w:val="hybridMultilevel"/>
    <w:lvl w:ilvl="0">
      <w:lvlJc w:val="left"/>
      <w:lvlText w:val="(%1)"/>
      <w:numFmt w:val="lowerRoman"/>
      <w:start w:val="3"/>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lvl w:ilvl="1">
      <w:lvlJc w:val="left"/>
      <w:lvlText w:val="(%2)"/>
      <w:numFmt w:val="lowerLetter"/>
      <w:start w:val="2"/>
    </w:lvl>
  </w:abstractNum>
  <w:abstractNum w:abstractNumId="83">
    <w:nsid w:val="14E17E33"/>
    <w:multiLevelType w:val="hybridMultilevel"/>
    <w:lvl w:ilvl="0">
      <w:lvlJc w:val="left"/>
      <w:lvlText w:val="%1."/>
      <w:numFmt w:val="decimal"/>
      <w:start w:val="2"/>
    </w:lvl>
    <w:lvl w:ilvl="1">
      <w:lvlJc w:val="left"/>
      <w:lvlText w:val="%2"/>
      <w:numFmt w:val="lowerLetter"/>
      <w:start w:val="1"/>
    </w:lvl>
  </w:abstractNum>
  <w:abstractNum w:abstractNumId="84">
    <w:nsid w:val="3222E7CD"/>
    <w:multiLevelType w:val="hybridMultilevel"/>
    <w:lvl w:ilvl="0">
      <w:lvlJc w:val="left"/>
      <w:lvlText w:val="%1."/>
      <w:numFmt w:val="decimal"/>
      <w:start w:val="3"/>
    </w:lvl>
  </w:abstractNum>
  <w:abstractNum w:abstractNumId="85">
    <w:nsid w:val="74DE0EE3"/>
    <w:multiLevelType w:val="hybridMultilevel"/>
    <w:lvl w:ilvl="0">
      <w:lvlJc w:val="left"/>
      <w:lvlText w:val="(%1)"/>
      <w:numFmt w:val="upperLetter"/>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2"/>
    </w:lvl>
  </w:abstractNum>
  <w:abstractNum w:abstractNumId="89">
    <w:nsid w:val="4A2AC315"/>
    <w:multiLevelType w:val="hybridMultilevel"/>
    <w:lvl w:ilvl="0">
      <w:lvlJc w:val="left"/>
      <w:lvlText w:val="*"/>
      <w:numFmt w:val="bullet"/>
      <w:start w:val="1"/>
    </w:lvl>
    <w:lvl w:ilvl="1">
      <w:lvlJc w:val="left"/>
      <w:lvlText w:val="%2."/>
      <w:numFmt w:val="decimal"/>
      <w:start w:val="1"/>
    </w:lvl>
  </w:abstractNum>
  <w:abstractNum w:abstractNumId="90">
    <w:nsid w:val="39EE015C"/>
    <w:multiLevelType w:val="hybridMultilevel"/>
    <w:lvl w:ilvl="0">
      <w:lvlJc w:val="left"/>
      <w:lvlText w:val="**"/>
      <w:numFmt w:val="bullet"/>
      <w:start w:val="1"/>
    </w:lvl>
    <w:lvl w:ilvl="1">
      <w:lvlJc w:val="left"/>
      <w:lvlText w:val="%2"/>
      <w:numFmt w:val="decimal"/>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2019-12-06T04:27:19Z</dcterms:created>
  <dcterms:modified xsi:type="dcterms:W3CDTF">2019-12-06T04:27:19Z</dcterms:modified>
</cp:coreProperties>
</file>