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16, 2014</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208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New York</w:t>
            </w:r>
          </w:p>
        </w:tc>
        <w:tc>
          <w:tcPr>
            <w:tcW w:w="5220" w:type="dxa"/>
            <w:vAlign w:val="bottom"/>
            <w:gridSpan w:val="3"/>
          </w:tcPr>
          <w:p>
            <w:pPr>
              <w:jc w:val="center"/>
              <w:ind w:left="3994"/>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2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Incorporation or Organization)</w:t>
            </w:r>
          </w:p>
        </w:tc>
        <w:tc>
          <w:tcPr>
            <w:tcW w:w="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3"/>
              </w:rPr>
              <w:t>777 Old Saw Mill River Road</w:t>
            </w:r>
          </w:p>
        </w:tc>
      </w:tr>
      <w:tr>
        <w:trPr>
          <w:trHeight w:val="212"/>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4"/>
              </w:rPr>
              <w:t>Tarrytown, NY 10591-6707</w:t>
            </w:r>
          </w:p>
        </w:tc>
      </w:tr>
      <w:tr>
        <w:trPr>
          <w:trHeight w:val="186"/>
        </w:trPr>
        <w:tc>
          <w:tcPr>
            <w:tcW w:w="2080" w:type="dxa"/>
            <w:vAlign w:val="bottom"/>
          </w:tcPr>
          <w:p>
            <w:pPr>
              <w:spacing w:after="0"/>
              <w:rPr>
                <w:sz w:val="16"/>
                <w:szCs w:val="16"/>
                <w:color w:val="auto"/>
              </w:rPr>
            </w:pPr>
          </w:p>
        </w:tc>
        <w:tc>
          <w:tcPr>
            <w:tcW w:w="5220" w:type="dxa"/>
            <w:vAlign w:val="bottom"/>
            <w:gridSpan w:val="3"/>
          </w:tcPr>
          <w:p>
            <w:pPr>
              <w:jc w:val="center"/>
              <w:ind w:right="1708"/>
              <w:spacing w:after="0"/>
              <w:rPr>
                <w:sz w:val="20"/>
                <w:szCs w:val="20"/>
                <w:color w:val="auto"/>
              </w:rPr>
            </w:pPr>
            <w:r>
              <w:rPr>
                <w:rFonts w:ascii="Arial" w:cs="Arial" w:eastAsia="Arial" w:hAnsi="Arial"/>
                <w:sz w:val="14"/>
                <w:szCs w:val="14"/>
                <w:b w:val="1"/>
                <w:bCs w:val="1"/>
                <w:color w:val="auto"/>
                <w:w w:val="93"/>
              </w:rPr>
              <w:t>(Address of Principal Executive Offices) (Zip Code)</w:t>
            </w:r>
          </w:p>
        </w:tc>
      </w:tr>
      <w:tr>
        <w:trPr>
          <w:trHeight w:val="336"/>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2080" w:type="dxa"/>
            <w:vAlign w:val="bottom"/>
          </w:tcPr>
          <w:p>
            <w:pPr>
              <w:spacing w:after="0"/>
              <w:rPr>
                <w:sz w:val="24"/>
                <w:szCs w:val="24"/>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89"/>
              </w:rPr>
              <w:t>Regeneron Pharmaceuticals, Inc.</w:t>
            </w:r>
          </w:p>
        </w:tc>
      </w:tr>
      <w:tr>
        <w:trPr>
          <w:trHeight w:val="212"/>
        </w:trPr>
        <w:tc>
          <w:tcPr>
            <w:tcW w:w="2080" w:type="dxa"/>
            <w:vAlign w:val="bottom"/>
          </w:tcPr>
          <w:p>
            <w:pPr>
              <w:spacing w:after="0"/>
              <w:rPr>
                <w:sz w:val="18"/>
                <w:szCs w:val="18"/>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91"/>
              </w:rPr>
              <w:t>2014 Long-Term Incentive Plan</w:t>
            </w:r>
          </w:p>
        </w:tc>
      </w:tr>
      <w:tr>
        <w:trPr>
          <w:trHeight w:val="186"/>
        </w:trPr>
        <w:tc>
          <w:tcPr>
            <w:tcW w:w="2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Goldschmidt,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Four Times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17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gridSpan w:val="2"/>
          </w:tcPr>
          <w:p>
            <w:pPr>
              <w:ind w:left="600"/>
              <w:spacing w:after="0"/>
              <w:rPr>
                <w:sz w:val="20"/>
                <w:szCs w:val="20"/>
                <w:color w:val="auto"/>
              </w:rPr>
            </w:pPr>
            <w:r>
              <w:rPr>
                <w:rFonts w:ascii="Arial" w:cs="Arial" w:eastAsia="Arial" w:hAnsi="Arial"/>
                <w:sz w:val="18"/>
                <w:szCs w:val="18"/>
                <w:color w:val="auto"/>
                <w:w w:val="99"/>
              </w:rPr>
              <w:t>Accelerated filer</w:t>
            </w:r>
          </w:p>
        </w:tc>
        <w:tc>
          <w:tcPr>
            <w:tcW w:w="104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gridSpan w:val="5"/>
          </w:tcPr>
          <w:p>
            <w:pPr>
              <w:ind w:left="4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Title of Securities</w:t>
            </w:r>
          </w:p>
        </w:tc>
        <w:tc>
          <w:tcPr>
            <w:tcW w:w="9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2"/>
              </w:rPr>
              <w:t>Aggregate</w:t>
            </w:r>
          </w:p>
        </w:tc>
        <w:tc>
          <w:tcPr>
            <w:tcW w:w="30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 be Registered</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Registered (1)(2)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3"/>
              </w:rPr>
              <w:t>per Share (2)(3)</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6"/>
              </w:rPr>
              <w:t>Offering Price (2)(3)</w:t>
            </w:r>
          </w:p>
        </w:tc>
        <w:tc>
          <w:tcPr>
            <w:tcW w:w="156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auto"/>
                <w:w w:val="93"/>
              </w:rPr>
              <w:t>Registration Fee (2)(3)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150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8"/>
              </w:rPr>
              <w:t>37,045,648</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8"/>
                <w:szCs w:val="18"/>
                <w:color w:val="auto"/>
                <w:w w:val="90"/>
              </w:rPr>
              <w:t>$308.675</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$3,704,100,000.00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$477,088.08</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65" w:orient="portrait"/>
          <w:cols w:equalWidth="0" w:num="1">
            <w:col w:w="11420"/>
          </w:cols>
          <w:pgMar w:left="240" w:top="229" w:right="239" w:bottom="0" w:gutter="0" w:footer="0" w:header="0"/>
        </w:sect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also registers, in addition to the</w:t>
      </w:r>
    </w:p>
    <w:p>
      <w:pPr>
        <w:sectPr>
          <w:pgSz w:w="11900" w:h="16865" w:orient="portrait"/>
          <w:cols w:equalWidth="0" w:num="1">
            <w:col w:w="11420"/>
          </w:cols>
          <w:pgMar w:left="240" w:top="229" w:right="239" w:bottom="0" w:gutter="0" w:footer="0" w:header="0"/>
          <w:type w:val="continuous"/>
        </w:sectPr>
      </w:pPr>
    </w:p>
    <w:bookmarkStart w:id="1" w:name="page2"/>
    <w:bookmarkEnd w:id="1"/>
    <w:p>
      <w:pPr>
        <w:ind w:left="452" w:right="120"/>
        <w:spacing w:after="0" w:line="286" w:lineRule="auto"/>
        <w:rPr>
          <w:sz w:val="20"/>
          <w:szCs w:val="20"/>
          <w:color w:val="auto"/>
        </w:rPr>
      </w:pPr>
      <w:r>
        <w:rPr>
          <w:rFonts w:ascii="Arial" w:cs="Arial" w:eastAsia="Arial" w:hAnsi="Arial"/>
          <w:sz w:val="16"/>
          <w:szCs w:val="16"/>
          <w:color w:val="auto"/>
        </w:rPr>
        <w:t>number of shares stated above, an indeterminate number of additional shares of Common Stock, par value $0.001 per share (“Common Stock”), of the Registrant which may become issuable under the Regeneron Pharmaceuticals, Inc. 2014 Long-Term Incentive Plan (the “2014 Plan”) in connection with certain corporate transactions or events, including any recapitalization, reorganization, merger, consolidation, spin-off, stock dividend, stock split or any other similar transaction effected which results in an increase in the number of the outstanding shares of Common Stock.</w:t>
      </w:r>
    </w:p>
    <w:p>
      <w:pPr>
        <w:spacing w:after="0" w:line="2" w:lineRule="exact"/>
        <w:rPr>
          <w:sz w:val="20"/>
          <w:szCs w:val="20"/>
          <w:color w:val="auto"/>
        </w:rPr>
      </w:pPr>
    </w:p>
    <w:p>
      <w:pPr>
        <w:ind w:left="452" w:hanging="452"/>
        <w:spacing w:after="0" w:line="281"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described in the Explanatory Note below, the number of shares being registered hereunder consists of (i) 12,000,000 shares of Common Stock newly available for issuance under the 2014 Plan being registered for the first time and (ii) 25,045,648 shares of Common Stock previously registered by the Registrant under the Registrant’s Second Amended and Restated 2000 Long-Term Incentive Plan (the “2000 Plan”) on the Registrant’s Registration Statement on Form S-8 (Registration No. 333-174863) filed with the Securities and Exchange Commission (the “Commission”) on June 13, 2011 (the “Prior Registration Statement”). A post-effective amendment to the Prior Registration Statement to deregister the 25,045,648 shares of Common Stock previously registered by the Registrant is being filed contemporaneously with the filing of this Registration Statement.</w:t>
      </w:r>
    </w:p>
    <w:p>
      <w:pPr>
        <w:spacing w:after="0" w:line="4" w:lineRule="exact"/>
        <w:rPr>
          <w:rFonts w:ascii="Arial" w:cs="Arial" w:eastAsia="Arial" w:hAnsi="Arial"/>
          <w:sz w:val="16"/>
          <w:szCs w:val="16"/>
          <w:color w:val="auto"/>
        </w:rPr>
      </w:pPr>
    </w:p>
    <w:p>
      <w:pPr>
        <w:ind w:left="452" w:right="40" w:hanging="452"/>
        <w:spacing w:after="0" w:line="270" w:lineRule="auto"/>
        <w:tabs>
          <w:tab w:leader="none" w:pos="452"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in accordance with paragraphs (c) and (h) of Rule 457 under the Securities Act solely for the purpose of calculating the registration fee based upon the average of the high and low sales prices per share of Common Stock as reported on the Nasdaq Global Market on June 13, 2014. In accordance with Instruction E to the General Instructions to Form S-8 and the principles set forth in Interpretation 89 under Section G of the Manual of Publicly Available Telephone Interpretations (July 1997) of the Division of Corporate Finance of the Commission, the Registrant is paying registration fees solely with respect to the 12,000,000 shares of Common Stock being newly registered. Registration fees with respect to the previously registered 25,045,648 shares of Common Stock were paid in connection with prior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At the 2014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the “</w:t>
      </w:r>
      <w:r>
        <w:rPr>
          <w:rFonts w:ascii="Arial" w:cs="Arial" w:eastAsia="Arial" w:hAnsi="Arial"/>
          <w:sz w:val="18"/>
          <w:szCs w:val="18"/>
          <w:u w:val="single" w:color="auto"/>
          <w:color w:val="auto"/>
        </w:rPr>
        <w:t>Company</w:t>
      </w:r>
      <w:r>
        <w:rPr>
          <w:rFonts w:ascii="Arial" w:cs="Arial" w:eastAsia="Arial" w:hAnsi="Arial"/>
          <w:sz w:val="18"/>
          <w:szCs w:val="18"/>
          <w:color w:val="auto"/>
        </w:rPr>
        <w:t>” or the “</w:t>
      </w:r>
      <w:r>
        <w:rPr>
          <w:rFonts w:ascii="Arial" w:cs="Arial" w:eastAsia="Arial" w:hAnsi="Arial"/>
          <w:sz w:val="18"/>
          <w:szCs w:val="18"/>
          <w:u w:val="single" w:color="auto"/>
          <w:color w:val="auto"/>
        </w:rPr>
        <w:t>Registrant</w:t>
      </w:r>
      <w:r>
        <w:rPr>
          <w:rFonts w:ascii="Arial" w:cs="Arial" w:eastAsia="Arial" w:hAnsi="Arial"/>
          <w:sz w:val="18"/>
          <w:szCs w:val="18"/>
          <w:color w:val="auto"/>
        </w:rPr>
        <w:t>”) held on June 13, 2014 (the “</w:t>
      </w:r>
      <w:r>
        <w:rPr>
          <w:rFonts w:ascii="Arial" w:cs="Arial" w:eastAsia="Arial" w:hAnsi="Arial"/>
          <w:sz w:val="18"/>
          <w:szCs w:val="18"/>
          <w:u w:val="single" w:color="auto"/>
          <w:color w:val="auto"/>
        </w:rPr>
        <w:t>Approval Date</w:t>
      </w:r>
      <w:r>
        <w:rPr>
          <w:rFonts w:ascii="Arial" w:cs="Arial" w:eastAsia="Arial" w:hAnsi="Arial"/>
          <w:sz w:val="18"/>
          <w:szCs w:val="18"/>
          <w:color w:val="auto"/>
        </w:rPr>
        <w:t>”), the Company’s shareholders approved the Regeneron Pharmaceuticals, Inc. 2014 Long-Term Incentive Plan (the “</w:t>
      </w:r>
      <w:r>
        <w:rPr>
          <w:rFonts w:ascii="Arial" w:cs="Arial" w:eastAsia="Arial" w:hAnsi="Arial"/>
          <w:sz w:val="18"/>
          <w:szCs w:val="18"/>
          <w:u w:val="single" w:color="auto"/>
          <w:color w:val="auto"/>
        </w:rPr>
        <w:t>2014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 the 2014 Plan, there are available for issuance:</w:t>
      </w:r>
    </w:p>
    <w:p>
      <w:pPr>
        <w:spacing w:after="0" w:line="131" w:lineRule="exact"/>
        <w:rPr>
          <w:sz w:val="20"/>
          <w:szCs w:val="20"/>
          <w:color w:val="auto"/>
        </w:rPr>
      </w:pPr>
    </w:p>
    <w:p>
      <w:pPr>
        <w:ind w:left="1480" w:right="100" w:hanging="567"/>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12,000,000 shares (the “</w:t>
      </w:r>
      <w:r>
        <w:rPr>
          <w:rFonts w:ascii="Arial" w:cs="Arial" w:eastAsia="Arial" w:hAnsi="Arial"/>
          <w:sz w:val="18"/>
          <w:szCs w:val="18"/>
          <w:u w:val="single" w:color="auto"/>
          <w:color w:val="auto"/>
        </w:rPr>
        <w:t>New Shares</w:t>
      </w:r>
      <w:r>
        <w:rPr>
          <w:rFonts w:ascii="Arial" w:cs="Arial" w:eastAsia="Arial" w:hAnsi="Arial"/>
          <w:sz w:val="18"/>
          <w:szCs w:val="18"/>
          <w:color w:val="auto"/>
        </w:rPr>
        <w:t>”) of Regeneron common stock, par value $0.001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newly available for issuance under the 2014 Plan;</w:t>
      </w:r>
    </w:p>
    <w:p>
      <w:pPr>
        <w:spacing w:after="0" w:line="75"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4,456,631 shares of Common Stock (the “</w:t>
      </w:r>
      <w:r>
        <w:rPr>
          <w:rFonts w:ascii="Arial" w:cs="Arial" w:eastAsia="Arial" w:hAnsi="Arial"/>
          <w:sz w:val="18"/>
          <w:szCs w:val="18"/>
          <w:u w:val="single" w:color="auto"/>
          <w:color w:val="auto"/>
        </w:rPr>
        <w:t>Rollover Shares</w:t>
      </w:r>
      <w:r>
        <w:rPr>
          <w:rFonts w:ascii="Arial" w:cs="Arial" w:eastAsia="Arial" w:hAnsi="Arial"/>
          <w:sz w:val="18"/>
          <w:szCs w:val="18"/>
          <w:color w:val="auto"/>
        </w:rPr>
        <w:t>”) rolled over into the 2014 Plan from the Regeneron Pharmaceuticals, Inc. Second Amended and Restated 2000 Long-Term Incentive Plan (the “</w:t>
      </w:r>
      <w:r>
        <w:rPr>
          <w:rFonts w:ascii="Arial" w:cs="Arial" w:eastAsia="Arial" w:hAnsi="Arial"/>
          <w:sz w:val="18"/>
          <w:szCs w:val="18"/>
          <w:u w:val="single" w:color="auto"/>
          <w:color w:val="auto"/>
        </w:rPr>
        <w:t>2000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28,702 shares of Common Stock (the “</w:t>
      </w:r>
      <w:r>
        <w:rPr>
          <w:rFonts w:ascii="Arial" w:cs="Arial" w:eastAsia="Arial" w:hAnsi="Arial"/>
          <w:sz w:val="18"/>
          <w:szCs w:val="18"/>
          <w:u w:val="single" w:color="auto"/>
          <w:color w:val="auto"/>
        </w:rPr>
        <w:t>Returned Shares</w:t>
      </w:r>
      <w:r>
        <w:rPr>
          <w:rFonts w:ascii="Arial" w:cs="Arial" w:eastAsia="Arial" w:hAnsi="Arial"/>
          <w:sz w:val="18"/>
          <w:szCs w:val="18"/>
          <w:color w:val="auto"/>
        </w:rPr>
        <w:t>”) underlying previously granted awards under the 2000 Plan and subsequently returned to the 2000 Plan in accordance with its terms, which have been rolled over into the 2014 Plan; and</w:t>
      </w:r>
    </w:p>
    <w:p>
      <w:pPr>
        <w:spacing w:after="0" w:line="75" w:lineRule="exact"/>
        <w:rPr>
          <w:rFonts w:ascii="Arial" w:cs="Arial" w:eastAsia="Arial" w:hAnsi="Arial"/>
          <w:sz w:val="18"/>
          <w:szCs w:val="18"/>
          <w:color w:val="auto"/>
        </w:rPr>
      </w:pPr>
    </w:p>
    <w:p>
      <w:pPr>
        <w:ind w:left="1480" w:right="60" w:hanging="567"/>
        <w:spacing w:after="0" w:line="272"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up to an additional 20,560,315 shares of Common Stock (the “</w:t>
      </w:r>
      <w:r>
        <w:rPr>
          <w:rFonts w:ascii="Arial" w:cs="Arial" w:eastAsia="Arial" w:hAnsi="Arial"/>
          <w:sz w:val="17"/>
          <w:szCs w:val="17"/>
          <w:u w:val="single" w:color="auto"/>
          <w:color w:val="auto"/>
        </w:rPr>
        <w:t>Carryover Shares</w:t>
      </w:r>
      <w:r>
        <w:rPr>
          <w:rFonts w:ascii="Arial" w:cs="Arial" w:eastAsia="Arial" w:hAnsi="Arial"/>
          <w:sz w:val="17"/>
          <w:szCs w:val="17"/>
          <w:color w:val="auto"/>
        </w:rPr>
        <w:t>”) subject to outstanding awards under the 2000 Plan as of the date immediately preceding the Approval Date that (A) remain unissued upon the cancellation, surrender, exchange or termination of any such award for any reason whatsoever or are forfeited, (B) are delivered (or deliverable) pursuant to an exercise of an option to purchase Common Stock and received (or retained) by the Company (whether by actual delivery or attestation) in payment of the option exercise price or (C) are received (or retained) by the Company (whether by actual delivery, attestation or otherwise) in connection with the exercise, vesting or delivery of such award granted under the 2000 Plan in respect of tax withholding or other similar tax obligation, which will become issuable under the 2014 Plan.</w:t>
      </w:r>
    </w:p>
    <w:p>
      <w:pPr>
        <w:spacing w:after="0" w:line="17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The Rollover Shares, the Returned Shares and the Carryover Shares are collectively referred to in this Registration Statement on Form S-8 (this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as the “</w:t>
      </w:r>
      <w:r>
        <w:rPr>
          <w:rFonts w:ascii="Arial" w:cs="Arial" w:eastAsia="Arial" w:hAnsi="Arial"/>
          <w:sz w:val="16"/>
          <w:szCs w:val="16"/>
          <w:u w:val="single" w:color="auto"/>
          <w:color w:val="auto"/>
        </w:rPr>
        <w:t>Reallocated Shares</w:t>
      </w:r>
      <w:r>
        <w:rPr>
          <w:rFonts w:ascii="Arial" w:cs="Arial" w:eastAsia="Arial" w:hAnsi="Arial"/>
          <w:sz w:val="16"/>
          <w:szCs w:val="16"/>
          <w:color w:val="auto"/>
        </w:rPr>
        <w:t>.” In accordance with Instruction E to the General Instructions to Form S-8 and the principles set forth in Interpretation 89 under Section G of the Manual of Publicly Available Telephone Interpretations (July 1997) of the Division of Corporate Finance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 purpose of this Registration Statement is to (i) register the New Shares and (ii) carry forward and reallocate to this Registration Statement the Reallocated Shares that were previously registered by the Company under the 2000 Plan pursuant to the Registration Statement on Form S-8 (Registration No. 333-174863) filed with the Commission on June 13, 2011 (the “</w:t>
      </w:r>
      <w:r>
        <w:rPr>
          <w:rFonts w:ascii="Arial" w:cs="Arial" w:eastAsia="Arial" w:hAnsi="Arial"/>
          <w:sz w:val="16"/>
          <w:szCs w:val="16"/>
          <w:u w:val="single" w:color="auto"/>
          <w:color w:val="auto"/>
        </w:rPr>
        <w:t>Prior Registration Statement</w:t>
      </w:r>
      <w:r>
        <w:rPr>
          <w:rFonts w:ascii="Arial" w:cs="Arial" w:eastAsia="Arial" w:hAnsi="Arial"/>
          <w:sz w:val="16"/>
          <w:szCs w:val="16"/>
          <w:color w:val="auto"/>
        </w:rPr>
        <w:t>”). A post-effective amendment to the Prior Registration Statement to deregister the Reallocated Shares is being filed contemporaneously with the filing of this Registration Statement. No additional awards may be made under the 2000 Plan and new awards may only be made under the 2014 Plan.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320" w:firstLine="921"/>
        <w:spacing w:after="0" w:line="302" w:lineRule="auto"/>
        <w:tabs>
          <w:tab w:leader="none" w:pos="1048"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documents containing the information specified in Part I have been sent or given to employees as specified by Rule 428(b)(1). Such documents are not being filed with the Commission either as part of this Registration Statement or as prospectuses or prospectus supplements pursuant to Rule 424. Such documents and the documents incorporated by reference in this Registration Statement pursuant to Item 3 of Part II of this Form, taken together, constitute a prospectus that meets the requirements of Section 10(a)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ectPr>
          <w:pgSz w:w="11900" w:h="16838" w:orient="portrait"/>
          <w:cols w:equalWidth="0" w:num="1">
            <w:col w:w="11380"/>
          </w:cols>
          <w:pgMar w:left="240" w:top="270"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filed with the Commission:</w:t>
      </w:r>
    </w:p>
    <w:p>
      <w:pPr>
        <w:spacing w:after="0" w:line="14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 Report on Form 10-K for the year ended December 31, 2013 (filed with the Commission on February 13, 2014) (the “</w:t>
      </w:r>
      <w:r>
        <w:rPr>
          <w:rFonts w:ascii="Arial" w:cs="Arial" w:eastAsia="Arial" w:hAnsi="Arial"/>
          <w:sz w:val="16"/>
          <w:szCs w:val="16"/>
          <w:u w:val="single" w:color="auto"/>
          <w:color w:val="auto"/>
        </w:rPr>
        <w:t>2013 Form 10-K</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the Registrant’s Definitive Proxy Statement on Schedule 14A that are incorporated by reference into Part III of the 2013 Form 10-K (filed with the Commission on April 24,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March 31, 2014 (filed with the Commission on May 8, 2014);</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Reports on Form 8-K filed with the Commission on January 13, 2014; January 16, 2014; February 5, 2014; April 9, 2014; May 19, 2014; and May 23, 2014, respectively; and</w:t>
      </w:r>
    </w:p>
    <w:p>
      <w:pPr>
        <w:spacing w:after="0" w:line="75"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Common Stock contained in the Registration Statement on Form 8-A, filed with the Commission under Section 12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on February 20, 1991, including any amendment or report filed for the purpose of updating such description.</w:t>
      </w:r>
    </w:p>
    <w:p>
      <w:pPr>
        <w:spacing w:after="0" w:line="18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14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Article Seven of the Company’s Restated Certificate of Incorporation provides that, to the fullest extent permitted by the New York Business Corporation Law, no director or officer shall be personally liable to the Company or its shareholders for monetary damages for any breach of fiduciary duty in such capacity.</w:t>
      </w:r>
    </w:p>
    <w:p>
      <w:pPr>
        <w:spacing w:after="0" w:line="181" w:lineRule="exact"/>
        <w:rPr>
          <w:sz w:val="20"/>
          <w:szCs w:val="20"/>
          <w:color w:val="auto"/>
        </w:rPr>
      </w:pPr>
    </w:p>
    <w:p>
      <w:pPr>
        <w:jc w:val="both"/>
        <w:ind w:right="300" w:firstLine="913"/>
        <w:spacing w:after="0" w:line="259"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members of its board of directors and its officers against actions or proceedings, or the threat thereof, by or in the right of the corporation. In order to receive indemnification such director or officer must have (i) acted in good faith for a purpose which he reasonably believed to be in the best interests of the corporation and, (ii) in the case of a criminal proceeding, also had no reasonable belief that such conduct was unlawful.</w:t>
      </w:r>
    </w:p>
    <w:p>
      <w:pPr>
        <w:sectPr>
          <w:pgSz w:w="11900" w:h="16838" w:orient="portrait"/>
          <w:cols w:equalWidth="0" w:num="1">
            <w:col w:w="11400"/>
          </w:cols>
          <w:pgMar w:left="240" w:top="270" w:right="259" w:bottom="1440" w:gutter="0" w:footer="0" w:header="0"/>
        </w:sectPr>
      </w:pPr>
    </w:p>
    <w:bookmarkStart w:id="4" w:name="page5"/>
    <w:bookmarkEnd w:id="4"/>
    <w:p>
      <w:pPr>
        <w:ind w:right="3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for a purpose that they reasonably believed to be in the best interests of the Company.</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Company’s employment agreement with its President and Chief Executive Officer includes a provision indemnifying him to the fullest extent permitted by law in connection with his serving as an officer or director of the Company. Such indemnification is in addition to and not in lieu of other indemnification rights. The Company maintains directors’ and officers’ liability insurance which insures against liabilities that directors or officers of the Company may incur in such capacities.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Exhibit Index below filed as part of this Registration Statement. Each such exhibit is incorporated herein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1160" w:hanging="239"/>
        <w:spacing w:after="0"/>
        <w:tabs>
          <w:tab w:leader="none" w:pos="116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60" w:hanging="567"/>
        <w:spacing w:after="0" w:line="272"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480" w:right="10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15(d) of the Exchange Act (15 U.S.C. 78m or 78o(d)) that are incorporated by reference in the Registration Statement.</w:t>
      </w:r>
    </w:p>
    <w:p>
      <w:pPr>
        <w:spacing w:after="0" w:line="87" w:lineRule="exact"/>
        <w:rPr>
          <w:sz w:val="20"/>
          <w:szCs w:val="20"/>
          <w:color w:val="auto"/>
        </w:rPr>
      </w:pPr>
    </w:p>
    <w:p>
      <w:pPr>
        <w:jc w:val="both"/>
        <w:ind w:left="900" w:right="36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400"/>
          </w:cols>
          <w:pgMar w:left="240" w:top="274" w:right="259" w:bottom="1440" w:gutter="0" w:footer="0" w:header="0"/>
        </w:sectPr>
      </w:pPr>
    </w:p>
    <w:bookmarkStart w:id="5" w:name="page6"/>
    <w:bookmarkEnd w:id="5"/>
    <w:p>
      <w:pPr>
        <w:ind w:left="-921" w:right="180" w:firstLine="921"/>
        <w:spacing w:after="0" w:line="257" w:lineRule="auto"/>
        <w:tabs>
          <w:tab w:leader="none" w:pos="244"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921" w:firstLine="921"/>
        <w:spacing w:after="0" w:line="291"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419"/>
          </w:cols>
          <w:pgMar w:left="1161" w:top="274" w:right="31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Greenburgh, State of New York, on June 16,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Leonard S. Schleifer, Robert E. Landry, Douglas S. McCorkle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16,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LEONARD S. SCHLEIFER</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President, Chief Executive Officer, and</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 (Principal Executive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E. LANDRY</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Senior Vice President, Finance and Chief Financial Officer</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Robert E. Landry</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(Principal Financial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S. McCORKLE</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Vice President, Controller, and Assistant Treasurer (Principal</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Douglas S. McCorkle</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Accounting Officer)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D. YANCOPOULOS</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w w:val="96"/>
              </w:rPr>
              <w:t>Chief Scientific Officer, President, Regeneron Laboratories, and</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 ROY VAGELOS</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Chairman of the Board</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CHARLES A. BAKER</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 BROWN</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ALFRED G. GILMAN</w:t>
            </w:r>
          </w:p>
        </w:tc>
        <w:tc>
          <w:tcPr>
            <w:tcW w:w="554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13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Alfred G. Gilman, M.D., Ph.D.</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ectPr>
          <w:pgSz w:w="11900" w:h="16838" w:orient="portrait"/>
          <w:cols w:equalWidth="0" w:num="1">
            <w:col w:w="11360"/>
          </w:cols>
          <w:pgMar w:left="240" w:top="270" w:right="299" w:bottom="1440" w:gutter="0" w:footer="0" w:header="0"/>
        </w:sectPr>
      </w:pPr>
    </w:p>
    <w:bookmarkStart w:id="7" w:name="page8"/>
    <w:bookmarkEnd w:id="7"/>
    <w:p>
      <w:pPr>
        <w:ind w:left="1820"/>
        <w:spacing w:after="0"/>
        <w:rPr>
          <w:sz w:val="20"/>
          <w:szCs w:val="20"/>
          <w:color w:val="auto"/>
        </w:rPr>
      </w:pPr>
      <w:r>
        <w:rPr>
          <w:rFonts w:ascii="Arial" w:cs="Arial" w:eastAsia="Arial" w:hAnsi="Arial"/>
          <w:sz w:val="13"/>
          <w:szCs w:val="13"/>
          <w:b w:val="1"/>
          <w:bCs w:val="1"/>
          <w:u w:val="single" w:color="auto"/>
          <w:color w:val="auto"/>
        </w:rPr>
        <w:t>Signature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JOSEPH L.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L. Goldstein,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A.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Ingram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Christine A. Poon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7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F. Ryan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75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George L. Sing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MARC TESSIER-LAVIGNE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675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Marc Tessier-Lavigne, Ph.D.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-397510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tabs>
          <w:tab w:leader="none" w:pos="3320" w:val="left"/>
        </w:tabs>
        <w:rPr>
          <w:sz w:val="20"/>
          <w:szCs w:val="20"/>
          <w:color w:val="auto"/>
        </w:rPr>
      </w:pP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16, 2014</w:t>
      </w:r>
    </w:p>
    <w:p>
      <w:pPr>
        <w:sectPr>
          <w:pgSz w:w="11900" w:h="16838" w:orient="portrait"/>
          <w:cols w:equalWidth="0" w:num="3">
            <w:col w:w="4100" w:space="720"/>
            <w:col w:w="1540" w:space="720"/>
            <w:col w:w="4000"/>
          </w:cols>
          <w:pgMar w:left="240" w:top="265" w:right="5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900" w:type="dxa"/>
            <w:vAlign w:val="bottom"/>
            <w:gridSpan w:val="2"/>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5900" w:type="dxa"/>
            <w:vAlign w:val="bottom"/>
            <w:gridSpan w:val="2"/>
          </w:tcPr>
          <w:p>
            <w:pPr>
              <w:ind w:left="5200"/>
              <w:spacing w:after="0" w:line="151" w:lineRule="exact"/>
              <w:rPr>
                <w:sz w:val="20"/>
                <w:szCs w:val="20"/>
                <w:color w:val="auto"/>
              </w:rPr>
            </w:pPr>
            <w:r>
              <w:rPr>
                <w:rFonts w:ascii="Arial" w:cs="Arial" w:eastAsia="Arial" w:hAnsi="Arial"/>
                <w:sz w:val="14"/>
                <w:szCs w:val="14"/>
                <w:b w:val="1"/>
                <w:bCs w:val="1"/>
                <w:color w:val="auto"/>
                <w:w w:val="88"/>
              </w:rPr>
              <w:t>Description</w:t>
            </w:r>
          </w:p>
        </w:tc>
      </w:tr>
      <w:tr>
        <w:trPr>
          <w:trHeight w:val="20"/>
        </w:trPr>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00"/>
        <w:spacing w:after="0"/>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Restated Certificate of Incorporation of the Registrant (incorporated herein by reference to Exhibit 3.1 to the Registrant’s Annual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10-K for the fiscal year ended December 31, 2007 filed with the Commission on February 27, 2008).</w:t>
      </w:r>
    </w:p>
    <w:p>
      <w:pPr>
        <w:spacing w:after="0" w:line="103" w:lineRule="exact"/>
        <w:rPr>
          <w:sz w:val="20"/>
          <w:szCs w:val="20"/>
          <w:color w:val="auto"/>
        </w:rPr>
      </w:pPr>
    </w:p>
    <w:p>
      <w:pPr>
        <w:ind w:left="720" w:right="540" w:hanging="625"/>
        <w:spacing w:after="0" w:line="277" w:lineRule="auto"/>
        <w:tabs>
          <w:tab w:leader="none" w:pos="7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By-Laws of the Registrant (incorporated herein by reference to Exhibit 99.1 to the Registrant’s Current Report on Form 8-K filed with the Commission on November 13, 2007).</w:t>
      </w:r>
    </w:p>
    <w:p>
      <w:pPr>
        <w:spacing w:after="0" w:line="62"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Skadden, Arps, Slate, Meagher &amp; Flom LLP.</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Skadden, Arps, Slate, Meagher &amp; Flom LLP (contained in Exhibit 5.1 to this Registration Statement).</w:t>
      </w:r>
    </w:p>
    <w:p>
      <w:pPr>
        <w:spacing w:after="0" w:line="117"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of Attorney (included on the signature page of this Registration Statement).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Regeneron Pharmaceuticals, Inc. 2014 Long-Term Incentive Plan.</w:t>
      </w:r>
    </w:p>
    <w:p>
      <w:pPr>
        <w:sectPr>
          <w:pgSz w:w="11900" w:h="16838" w:orient="portrait"/>
          <w:cols w:equalWidth="0" w:num="1">
            <w:col w:w="11220"/>
          </w:cols>
          <w:pgMar w:left="240" w:top="27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225"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June 16,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acted as special counsel to Regeneron Pharmaceuticals, Inc., a New York corporation (the “Company”), in connection with the Registration Statement on Form S-8 of the Company (the “Registration Statement”) to be filed with the Securities and Exchange Commission (the “Commission”) under the Securities Act of 1933, as amended (the “Act”), on the date hereof, relating to the registration of 37,045,648 shares (the “Shares”) of the Company’s common stock, par value $0.001 per share (the “Common Stock”), issuable pursuant to the Company’s 2014 Long-Term Incentive Plan (the “Plan”).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Act.</w:t>
      </w:r>
    </w:p>
    <w:p>
      <w:pPr>
        <w:spacing w:after="0" w:line="22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Registration Statement in the form filed with the Commission on the date hereof; (ii) the Plan; (iii) the Restated Certificate of Incorporation of the Company, as amended to date and currently in effect and as certified by the Secretary of State of the State of New York; (iv) the By-Laws of the Company, as amended to date and currently in effect and as certified by the Secretary of the Company; (v) a specimen certificate representing the Common Stock; (vi) certain resolutions adopted on April 4, 2014 by the Board of Directors of the Company relating to the Plan, the filing of the Registration Statement and certain related matters; and (vii) the Final Report of the Inspector of Election for the Company’s 2014 Annual Meeting of Shareholders, reflecting approval of the Plan (Proposal No. 4) by a majority of the votes cast in person or by proxy at such meeting.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set forth below.</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w:t>
      </w:r>
    </w:p>
    <w:p>
      <w:pPr>
        <w:sectPr>
          <w:pgSz w:w="11900" w:h="16838" w:orient="portrait"/>
          <w:cols w:equalWidth="0" w:num="1">
            <w:col w:w="11420"/>
          </w:cols>
          <w:pgMar w:left="240" w:top="121" w:right="239" w:bottom="1440" w:gutter="0" w:footer="0" w:header="0"/>
        </w:sectPr>
      </w:pPr>
    </w:p>
    <w:bookmarkStart w:id="10" w:name="page11"/>
    <w:bookmarkEnd w:id="10"/>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have also assumed the due authorization by all requisite action, corporate or other, and the execution and delivery by such parties of such documents and the validity and binding effect thereof on such parties. As to any facts material to the opinion expressed herein that we did not independently establish or verify, we have relied upon statements and representations of officers and other representatives of the Company and others and of public officials.</w:t>
      </w:r>
    </w:p>
    <w:p>
      <w:pPr>
        <w:spacing w:after="0" w:line="14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rendering the opinion set forth below, we have assumed that the certificates evidencing the Shares will be manually signed by one of the authorized officers of the transfer agent and registrar for the Common Stock and registered by such transfer agent and registrar and will conform to the specimen certificate examined by us evidencing the Common Stock. We have also assumed that each award agreement setting forth the terms of each grant of options or other award under the Plan will be consistent with the Plan, duly authorized, and if applicable, validly executed and delivered by the parties thereto, and that the Shares will be issued in accordance with the terms of the Plan for consideration in an amount at least equal to the par value of such Shares.</w:t>
      </w:r>
    </w:p>
    <w:p>
      <w:pPr>
        <w:spacing w:after="0" w:line="15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Members of our firm are admitted to the bar in the State of New York, and we do not express any opinion with respect to the law of any jurisdiction other than the corporate laws of the State of New York, and we do not express any opinion as to the effect of any other laws on the opinion stated herein.</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and subject to the foregoing, we are of the opinion that the Shares have been duly authorized by the Company and, when the Shares are issued and paid for in full in accordance with the terms and conditions of the Plan and any applicable award agreement, the Shares will be validly issued, fully paid and nonassessable.</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Skadden, Arps, Slate, Meagher &amp; Flom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13, 2014 relating to the financial statements and the effectiveness of internal control over financial reporting, which appears in Regeneron Pharmaceuticals, Inc.’s Annual Report on Form 10-K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2014</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LONG-TERM INCENTIVE PLAN</w:t>
      </w:r>
    </w:p>
    <w:p>
      <w:pPr>
        <w:spacing w:after="0" w:line="23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Purpose; Establishment</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Regeneron Pharmaceuticals, Inc. 2014 Long-Term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intended to promote the interests of the Company (as defined below) and its shareholders by providing officers, other employees of the Company (including directors who are also employees of the Company) and consultants to the Company with appropriate incentives and rewards to encourage them to enter into and continue in the employ or service of the Company and to acquire a proprietary interest in the long-term success of the Company; to compensate the Company’s nonemployee directors and provide incentives to such nonemployee directors that are directly linked to increases in stock value; and to reward the performance of individual officers, other employees, consultants and nonemployee directors of the Company in fulfilling their personal responsibilities for long-term achievements.</w:t>
      </w:r>
    </w:p>
    <w:p>
      <w:pPr>
        <w:spacing w:after="0" w:line="16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Plan was adopted and approved by the Board of Directors (defined below) on April 4, 2014 and became effective as of such date, subject to the approval of the shareholders of the Company.</w:t>
      </w:r>
    </w:p>
    <w:p>
      <w:pPr>
        <w:spacing w:after="0" w:line="3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used in the Plan, in addition to the terms defined elsewhere in the Plan, the following definitions shall have the respective meanings indicated below:</w:t>
      </w:r>
    </w:p>
    <w:p>
      <w:pPr>
        <w:spacing w:after="0" w:line="76" w:lineRule="exact"/>
        <w:rPr>
          <w:sz w:val="20"/>
          <w:szCs w:val="20"/>
          <w:color w:val="auto"/>
        </w:rPr>
      </w:pPr>
    </w:p>
    <w:p>
      <w:pPr>
        <w:ind w:left="900" w:right="2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if, at the time of granting of an Award (A) the Company, directly or indirectly, owns at least 50% of the combined voting power of all classes of stock of such entity or at least 50% of the ownership interests in such entity or (B) such entity, directly or indirectly, owns at least 50% of the combined voting power of all classes of stock of the Company.</w:t>
      </w:r>
    </w:p>
    <w:p>
      <w:pPr>
        <w:spacing w:after="0" w:line="86"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written agreement between the Company and a Participant evidencing an Award (or, if no written agreement is entered into, a notice issued by the Company evidencing an Award).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shall mean any Option, Restricted Stock, Phantom Stock, Stock Bonus or Other Award granted pursuant to the terms of the Plan.</w:t>
      </w:r>
    </w:p>
    <w:p>
      <w:pPr>
        <w:spacing w:after="0" w:line="142"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Owned</w:t>
      </w:r>
      <w:r>
        <w:rPr>
          <w:rFonts w:ascii="Arial" w:cs="Arial" w:eastAsia="Arial" w:hAnsi="Arial"/>
          <w:sz w:val="18"/>
          <w:szCs w:val="18"/>
          <w:color w:val="auto"/>
        </w:rPr>
        <w:t>” shall have the meaning afforded to such terms in accordance with Rule 13d-3 under the Exchange Act.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Regeneron Pharmaceuticals, Inc.</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the event set forth in any one of the following paragraphs shall have occurred after the Effective Date:</w:t>
      </w:r>
    </w:p>
    <w:p>
      <w:pPr>
        <w:spacing w:after="0" w:line="75"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(not including in the securities Beneficially Owned by such Person any securities acquired directly from the Company) representing 20% or more of the Company’s then outstanding securities, excluding any Person who is an officer or director of the Company or who becomes such a Beneficial Owner in connection with a transaction described in clause (A) of paragraph (3) below; or</w:t>
      </w:r>
    </w:p>
    <w:p>
      <w:pPr>
        <w:sectPr>
          <w:pgSz w:w="11900" w:h="16838" w:orient="portrait"/>
          <w:cols w:equalWidth="0" w:num="1">
            <w:col w:w="11420"/>
          </w:cols>
          <w:pgMar w:left="240" w:top="121" w:right="239" w:bottom="1440" w:gutter="0" w:footer="0" w:header="0"/>
        </w:sectPr>
      </w:pPr>
    </w:p>
    <w:bookmarkStart w:id="13" w:name="page14"/>
    <w:bookmarkEnd w:id="13"/>
    <w:p>
      <w:pPr>
        <w:ind w:left="1026" w:right="100" w:hanging="567"/>
        <w:spacing w:after="0" w:line="255"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026" w:hanging="567"/>
        <w:spacing w:after="0" w:line="253"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directly or indirectly held subsidiary of the Company with any entity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102" w:lineRule="exact"/>
        <w:rPr>
          <w:rFonts w:ascii="Arial" w:cs="Arial" w:eastAsia="Arial" w:hAnsi="Arial"/>
          <w:sz w:val="18"/>
          <w:szCs w:val="18"/>
          <w:color w:val="auto"/>
        </w:rPr>
      </w:pPr>
    </w:p>
    <w:p>
      <w:pPr>
        <w:ind w:left="1026" w:hanging="567"/>
        <w:spacing w:after="0" w:line="30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Persons in substantially the same proportions as their ownership of the Company immediately prior to such sale or disposition.</w:t>
      </w:r>
    </w:p>
    <w:p>
      <w:pPr>
        <w:spacing w:after="0" w:line="59" w:lineRule="exact"/>
        <w:rPr>
          <w:rFonts w:ascii="Arial" w:cs="Arial" w:eastAsia="Arial" w:hAnsi="Arial"/>
          <w:sz w:val="16"/>
          <w:szCs w:val="16"/>
          <w:color w:val="auto"/>
        </w:rPr>
      </w:pPr>
    </w:p>
    <w:p>
      <w:pPr>
        <w:ind w:left="446" w:right="420" w:hanging="446"/>
        <w:spacing w:after="0" w:line="277"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set forth in the Agreement, or if no such definition is set forth in the Agreement, shall be determined by the Committee in its reasonable discretion.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from time to time, and any regulations promulgated thereunder.</w:t>
      </w:r>
    </w:p>
    <w:p>
      <w:pPr>
        <w:spacing w:after="0" w:line="142" w:lineRule="exact"/>
        <w:rPr>
          <w:rFonts w:ascii="Arial" w:cs="Arial" w:eastAsia="Arial" w:hAnsi="Arial"/>
          <w:sz w:val="17"/>
          <w:szCs w:val="17"/>
          <w:color w:val="auto"/>
        </w:rPr>
      </w:pPr>
    </w:p>
    <w:p>
      <w:pPr>
        <w:ind w:left="446" w:right="60" w:hanging="446"/>
        <w:spacing w:after="0" w:line="259"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 meaning of Rule 16b-3 and who meets such other applicable independence standards imposed by law, regulation or listing standard.</w:t>
      </w:r>
    </w:p>
    <w:p>
      <w:pPr>
        <w:spacing w:after="0" w:line="92" w:lineRule="exact"/>
        <w:rPr>
          <w:rFonts w:ascii="Arial" w:cs="Arial" w:eastAsia="Arial" w:hAnsi="Arial"/>
          <w:sz w:val="18"/>
          <w:szCs w:val="18"/>
          <w:color w:val="auto"/>
        </w:rPr>
      </w:pPr>
    </w:p>
    <w:p>
      <w:pPr>
        <w:ind w:left="446" w:right="200" w:hanging="446"/>
        <w:spacing w:after="0" w:line="277"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Regeneron Pharmaceuticals, Inc., a New York corporation, and, where appropriate (but specifically not for purposes of Section 2(f)), each of its Affiliates.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common stock of the Company, par value $0.001 per share.</w:t>
      </w:r>
    </w:p>
    <w:p>
      <w:pPr>
        <w:spacing w:after="0" w:line="15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6"/>
          </w:cols>
          <w:pgMar w:left="694" w:top="274" w:right="279" w:bottom="1440" w:gutter="0" w:footer="0" w:header="0"/>
        </w:sectPr>
      </w:pPr>
    </w:p>
    <w:bookmarkStart w:id="14" w:name="page15"/>
    <w:bookmarkEnd w:id="14"/>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set forth in Section 162(m) of the Code.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April 4, 2014.</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30" w:lineRule="exact"/>
        <w:rPr>
          <w:rFonts w:ascii="Arial" w:cs="Arial" w:eastAsia="Arial" w:hAnsi="Arial"/>
          <w:sz w:val="18"/>
          <w:szCs w:val="18"/>
          <w:color w:val="auto"/>
        </w:rPr>
      </w:pPr>
    </w:p>
    <w:p>
      <w:pPr>
        <w:ind w:left="446" w:hanging="446"/>
        <w:spacing w:after="0" w:line="276" w:lineRule="auto"/>
        <w:tabs>
          <w:tab w:leader="none" w:pos="4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77" w:lineRule="exact"/>
        <w:rPr>
          <w:rFonts w:ascii="Arial" w:cs="Arial" w:eastAsia="Arial" w:hAnsi="Arial"/>
          <w:sz w:val="17"/>
          <w:szCs w:val="17"/>
          <w:color w:val="auto"/>
        </w:rPr>
      </w:pPr>
    </w:p>
    <w:p>
      <w:pPr>
        <w:ind w:left="446" w:right="560" w:hanging="446"/>
        <w:spacing w:after="0" w:line="277"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an “incentive stock option” within the meaning of Section 422 of the Code, or any successor provision, and that is designated by the Committee as an Incentive Stock Option.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member of the Board of Directors who is not an employee of the Company.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other than an Incentive Stock Option.</w:t>
      </w:r>
    </w:p>
    <w:p>
      <w:pPr>
        <w:spacing w:after="0" w:line="130"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option to purchase shares of Company Stock granted pursuant to Section 7 (or, with respect to a Nonemployee Director, pursuant to Section 12 hereof).</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Award</w:t>
      </w:r>
      <w:r>
        <w:rPr>
          <w:rFonts w:ascii="Arial" w:cs="Arial" w:eastAsia="Arial" w:hAnsi="Arial"/>
          <w:sz w:val="18"/>
          <w:szCs w:val="18"/>
          <w:color w:val="auto"/>
        </w:rPr>
        <w:t>” shall mean an award granted pursuant to Section 11 hereof.</w:t>
      </w:r>
    </w:p>
    <w:p>
      <w:pPr>
        <w:spacing w:after="0" w:line="130" w:lineRule="exact"/>
        <w:rPr>
          <w:rFonts w:ascii="Arial" w:cs="Arial" w:eastAsia="Arial" w:hAnsi="Arial"/>
          <w:sz w:val="18"/>
          <w:szCs w:val="18"/>
          <w:color w:val="auto"/>
        </w:rPr>
      </w:pPr>
    </w:p>
    <w:p>
      <w:pPr>
        <w:ind w:left="446" w:right="220" w:hanging="446"/>
        <w:spacing w:after="0" w:line="308" w:lineRule="auto"/>
        <w:tabs>
          <w:tab w:leader="none" w:pos="4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shall mean an employee or consultant of the Company or a Nonemployee Director to whom an Award is granted pursuant to the Plan, or upon the death of such individual, his or her successors, heirs, executors and administrators, as the case may be.</w:t>
      </w:r>
    </w:p>
    <w:p>
      <w:pPr>
        <w:spacing w:after="0" w:line="51" w:lineRule="exact"/>
        <w:rPr>
          <w:rFonts w:ascii="Arial" w:cs="Arial" w:eastAsia="Arial" w:hAnsi="Arial"/>
          <w:sz w:val="17"/>
          <w:szCs w:val="17"/>
          <w:color w:val="auto"/>
        </w:rPr>
      </w:pPr>
    </w:p>
    <w:p>
      <w:pPr>
        <w:ind w:left="446" w:right="60" w:hanging="446"/>
        <w:spacing w:after="0" w:line="302" w:lineRule="auto"/>
        <w:tabs>
          <w:tab w:leader="none" w:pos="4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an entity owned, directly or indirectly, by the shareholders of the Company in substantially the same proportions as their ownership of stock of the Company.</w:t>
      </w:r>
    </w:p>
    <w:p>
      <w:pPr>
        <w:spacing w:after="0" w:line="59" w:lineRule="exact"/>
        <w:rPr>
          <w:rFonts w:ascii="Arial" w:cs="Arial" w:eastAsia="Arial" w:hAnsi="Arial"/>
          <w:sz w:val="16"/>
          <w:szCs w:val="16"/>
          <w:color w:val="auto"/>
        </w:rPr>
      </w:pPr>
    </w:p>
    <w:p>
      <w:pPr>
        <w:ind w:left="446" w:right="160" w:hanging="446"/>
        <w:spacing w:after="0" w:line="277"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w:t>
      </w:r>
      <w:r>
        <w:rPr>
          <w:rFonts w:ascii="Arial" w:cs="Arial" w:eastAsia="Arial" w:hAnsi="Arial"/>
          <w:sz w:val="18"/>
          <w:szCs w:val="18"/>
          <w:color w:val="auto"/>
        </w:rPr>
        <w:t>” shall mean the right, granted pursuant to Section 9, to receive in cash or shares the Fair Market Value of a share of Company Stock.</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share of Company Stock which is granted pursuant to the terms of Section 8 hereof and which is subject to the restrictions set forth in Section 8(c) and/or 8(d).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shall mean the Rule 16b-3 promulgated under the Exchange Act, as amended from time to time.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15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6"/>
          </w:cols>
          <w:pgMar w:left="694" w:top="274" w:right="339" w:bottom="1440" w:gutter="0" w:footer="0" w:header="0"/>
        </w:sectPr>
      </w:pPr>
    </w:p>
    <w:bookmarkStart w:id="15" w:name="page16"/>
    <w:bookmarkEnd w:id="15"/>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Stock Bonus</w:t>
      </w:r>
      <w:r>
        <w:rPr>
          <w:rFonts w:ascii="Arial" w:cs="Arial" w:eastAsia="Arial" w:hAnsi="Arial"/>
          <w:sz w:val="18"/>
          <w:szCs w:val="18"/>
          <w:color w:val="auto"/>
        </w:rPr>
        <w:t>” shall mean a bonus payable in shares of Company Stock granted pursuant to Section 10.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within the meaning of Section 424(f)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shall mean the date established by the Committee on which a share of Restricted Stock or Phantom Stock vests.</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Subject to the subsequent provisions of this Section 3, including the adjustment provisions contained herein, the maximum number of shares of Company Stock that may be delivered pursuant to Awards made under the Plan shall equal the sum of: (1) 16,456,631 shares of Company Stock; (2) the shares of Company Stock subject to outstanding awards under the Regeneron Pharmaceuticals, Inc. Second Amended and Restated 2000 Long-Term Incentive Plan (the “</w:t>
      </w:r>
      <w:r>
        <w:rPr>
          <w:rFonts w:ascii="Arial" w:cs="Arial" w:eastAsia="Arial" w:hAnsi="Arial"/>
          <w:sz w:val="17"/>
          <w:szCs w:val="17"/>
          <w:u w:val="single" w:color="auto"/>
          <w:color w:val="auto"/>
        </w:rPr>
        <w:t>2000 Plan</w:t>
      </w:r>
      <w:r>
        <w:rPr>
          <w:rFonts w:ascii="Arial" w:cs="Arial" w:eastAsia="Arial" w:hAnsi="Arial"/>
          <w:sz w:val="17"/>
          <w:szCs w:val="17"/>
          <w:color w:val="auto"/>
        </w:rPr>
        <w:t>”) as of April 17, 2014 that (i) remain unissued upon the cancellation, surrender, exchange or termination of any such award for any reason whatsoever or are forfeited, (ii) are delivered (or deliverable) pursuant to an exercise of an option to purchase Company Stock and received (or retained) by the Company (whether by actual delivery or attestation) in payment of the option exercise price or (iii) are received (or retained) by the Company (whether by actual delivery, attestation or otherwise) in connection with the exercise, vesting or delivery of such award granted under the 2000 Plan in respect of tax withholding or other similar tax obligation; and (3) any shares of Company Stock that again become available for Awards pursuant to Section 3(e) below. Notwithstanding the foregoing, the maximum number of shares of Company Stock that may be issued pursuant to Incentive Stock Options during the term of the Plan shall be 16,456,631 shares.</w:t>
      </w:r>
    </w:p>
    <w:p>
      <w:pPr>
        <w:spacing w:after="0" w:line="32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Individual Limitation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 the extent required by Section 162(m) of the Code, the total number of shares of Company Stock subject to Awards (including Awards which may be payable in cash but denominated as shares of Company Stock, i.e., Phantom Stock) awarded to any Participant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6 shall not exceed 1,000,000 (subject to adjustment as provided herein).</w:t>
      </w:r>
    </w:p>
    <w:p>
      <w:pPr>
        <w:spacing w:after="0" w:line="32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 otherwise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 w:name="page17"/>
    <w:bookmarkEnd w:id="16"/>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w:t>
      </w:r>
    </w:p>
    <w:p>
      <w:pPr>
        <w:ind w:right="20" w:firstLine="8"/>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number of shares of Company Stock that may be issued pursuant to Incentive Stock Options during the term of the Plan, (5) the number of Awards that do not need to comply with the conditions of Section 31 hereof, and (6) the maximum number of shares subject to Awards which may be awarded to any Participant during any tax year of the Company shall be equitably adjusted as necessary to prevent the dilution or enlargement of the rights of Participants without change in the aggregate purchase price; provided that, with respect to Incentive Stock Options, such adjustment shall be made in accordance with Section 424 of the Code.</w:t>
      </w:r>
    </w:p>
    <w:p>
      <w:pPr>
        <w:spacing w:after="0" w:line="34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the outstanding shares of Company Stock shall be changed into or exchanged for any other class or series of capital stock or cash, securities or other property pursuant to a recapitalization, reclassification, merger, consolidation, combination or similar transaction (“</w:t>
      </w:r>
      <w:r>
        <w:rPr>
          <w:rFonts w:ascii="Arial" w:cs="Arial" w:eastAsia="Arial" w:hAnsi="Arial"/>
          <w:sz w:val="16"/>
          <w:szCs w:val="16"/>
          <w:u w:val="single" w:color="auto"/>
          <w:color w:val="auto"/>
        </w:rPr>
        <w:t>Transaction</w:t>
      </w:r>
      <w:r>
        <w:rPr>
          <w:rFonts w:ascii="Arial" w:cs="Arial" w:eastAsia="Arial" w:hAnsi="Arial"/>
          <w:sz w:val="16"/>
          <w:szCs w:val="16"/>
          <w:color w:val="auto"/>
        </w:rPr>
        <w:t>”),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 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31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Reuse of Shares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(2) any shares delivered (or deliverable) to the Participant pursuant to an Option exercise and received (or retained) by the Company (whether by actual delivery or attestation) in payment of the Option Exercise Price upon a Participant’s exercise of an Option as permitted under Section 7(c)(3) hereof; and (3) any shares received (or retained) by the Company (whether by actual delivery, attestation or otherwise) in connection with the exercise, vesting or delivery of an Award in respect of tax withholding or other similar tax obligations.</w:t>
      </w:r>
    </w:p>
    <w:p>
      <w:pPr>
        <w:spacing w:after="0" w:line="34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7" w:name="page18"/>
    <w:bookmarkEnd w:id="17"/>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 (b) 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1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Committee may delegate to one or more of the Company’s executive officers (or, in the case of ministerial duties only, other employees) all or any portion of the Committee’s authority, powers, responsibilities and administrative duties under the Plan, with such conditions and limitations as are required under applicable law or as the Committee may otherwise prescribe; provided, however, that only the Committee is authorized to grant Awards to, or make decisions or interpretations with respect to Awards granted to, Participants who are either (i) subject to potential liability under Section 16(b) of the Exchange Act with respect to transactions involving equity securities of the Company or (ii) Covered Employees. A record of all actions taken by any executive officer (or other employee) to whom the Committee has delegated a portion of its powers or responsibilities shall periodically be filed with the minutes of the meetings of the Committee and shall be made available for review by the Committee upon request.</w:t>
      </w:r>
    </w:p>
    <w:p>
      <w:pPr>
        <w:spacing w:after="0" w:line="32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to the Company,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such Nonemployee Director, employee, service provider or consultant shall not entitle such person to a grant of an Award at any future time.</w:t>
      </w:r>
    </w:p>
    <w:p>
      <w:pPr>
        <w:spacing w:after="0" w:line="32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Awards Under the Plan; Agreement; Performance Goals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Committee may grant Options, shares of Restricted Stock,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Company Stock required to be issued to a Participant under the Plan shall be evidenced in such manner as the Committee may in its sole discretion deem appropriate, including book-entry registration or delivery of stock certificates. References in the Plan or in any Agreement to stock certificates shall be deemed to refer to book-entry registration in the case of any Company Stock evidenced in such manner and the provisions regarding stock certificates shall be applicable to Company Stock evidenced in book-entry form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Notwithstanding anything to the contrary contained in the Plan, any Award granted under the Plan may be (but is not required to be) subject to vesting based on the attainment by the Company of performance goals pre-established by the Committee, based on one or more of the following criteria: (1) total shareholder return; (2) return on equity; (3) return on invested capital; (4) cash flows; (5) earnings per share of Company Stock; (6) net income (before or after taxes); (7) earnings before interest, taxes, depreciation and amortization; (8) revenues; (9) return on assets; (10) market share; (11) cost reduction goals;</w:t>
      </w:r>
    </w:p>
    <w:p>
      <w:pPr>
        <w:spacing w:after="0" w:line="2" w:lineRule="exact"/>
        <w:rPr>
          <w:sz w:val="20"/>
          <w:szCs w:val="20"/>
          <w:color w:val="auto"/>
        </w:rPr>
      </w:pPr>
    </w:p>
    <w:p>
      <w:pPr>
        <w:ind w:right="20" w:firstLine="8"/>
        <w:spacing w:after="0" w:line="284" w:lineRule="auto"/>
        <w:tabs>
          <w:tab w:leader="none" w:pos="3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initiation or completion of clinical trials; (13) 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 collaborations, or the completion of other corporate transactions; (17) any combination of, or a specified increase in, any of the foregoing; and (18) such other criteria as the shareholders of the Company may approve. These performance goals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 Section 162(m) of the Code (including, without limitation, compliance with any requirements for shareholder approval), the Committee may adjust, modify or amend the aforementioned business criteria. To the extent an Award is intended to constitute qualified performance-based compensation for purposes of Section 162(m) of the Code, no amount shall be paid under any Award subject to such criteria, nor shall any such Award be released from applicable restrictions (as the case may be),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w:t>
      </w:r>
    </w:p>
    <w:p>
      <w:pPr>
        <w:spacing w:after="0" w:line="3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Option shall be clearly identified in the applicable Agreement as either an Incentive Stock Option or a Nonqualified Stock Option.</w:t>
      </w:r>
    </w:p>
    <w:p>
      <w:pPr>
        <w:spacing w:after="0" w:line="37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Each Agreement with respect to an Option shall set forth the amount (the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payable by the grantee to the Company upon exercise of the Option. The Option Exercise Price per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determined by the Committee; provided, however, that the Option Exercise Price shall in no event be less than the Fair Market Value of a share of Company Stock on the date the Option is granted. Without limitation of the authority set forth in Section 3(c) or 3(d) hereof, no Option (or stock appreciation right) shall be settled, canceled, forfeited, exchanged or surrendered in exchange or otherwise in consideration for a new Option (or stock appreciation right) with an Option Exercise Price (or stock appreciation right exercise price) that is less than that of such settled, canceled, forfeited, exchanged or surrendered Option (or stock appreciation right), nor shall any Option (or stock appreciation right) be settled, canceled, forfeited, exchanged or surrendered in exchange or otherwise in consideration for a cash payment from the Company in excess of the difference between the Option Exercise Price of such Option (or the exercise price of such stock appreciation right) and the Fair Market Value of the shares of Company Stock subject to such Option (or stock appreciation right) on the day of such payment.</w:t>
      </w:r>
    </w:p>
    <w:p>
      <w:pPr>
        <w:spacing w:after="0" w:line="34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13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Unless the applicable Agreement provides otherwise, an Option shall become cumulatively exercisable as to 25% of the shares covered thereby on each of the first, second, third, and fourth anniversaries of the date of grant. The Committee shall determine the expiration date of each Option; provided, however, that no Incentive Stock Option shall be exercisable more than ten (10) years after the date of grant.</w:t>
      </w:r>
    </w:p>
    <w:p>
      <w:pPr>
        <w:spacing w:after="0" w:line="92"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the extent that an Option to purchase shares is not exercised by a Participant when it becomes 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92" w:lineRule="exact"/>
        <w:rPr>
          <w:rFonts w:ascii="Arial" w:cs="Arial" w:eastAsia="Arial" w:hAnsi="Arial"/>
          <w:sz w:val="18"/>
          <w:szCs w:val="18"/>
          <w:color w:val="auto"/>
        </w:rPr>
      </w:pPr>
    </w:p>
    <w:p>
      <w:pPr>
        <w:ind w:left="1480" w:right="40" w:hanging="567"/>
        <w:spacing w:after="0" w:line="269" w:lineRule="auto"/>
        <w:tabs>
          <w:tab w:leader="none" w:pos="14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 Option shall be exercised by delivering notice as specified in the Agreement on the form of notice provided by the Company. Payment for the exercise price of the shares of Company Stock purchased upon the exercise of an Option shall be made on the effective date of such exercise by one or a combination of the following means: (A) in cash or by personal check, certified check, bank cashier’s check or wire transfer; (B) in shares of Company Stock owned by the Participant for at least six months prior to the date of exercise and valued at their Fair Market Value on the effective date of such exercise; or (C) by any such other methods as the Committee may from time to time authorize (which shall include the use of a broker-assisted cashless exercise procedure and the payment of the exercise price by authorizing the Company to retain shares of Company Stock that otherwise would be distributed to the Participant upon exercise of the Option). In the case of a Participant who is subject to Section 16 of the Exchange Act, the Company may require that the method of making such payment be in compliance with Section 16 of the Exchange Act and the rules and regulations thereunder. Any 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85" w:lineRule="exact"/>
        <w:rPr>
          <w:rFonts w:ascii="Arial" w:cs="Arial" w:eastAsia="Arial" w:hAnsi="Arial"/>
          <w:sz w:val="17"/>
          <w:szCs w:val="17"/>
          <w:color w:val="auto"/>
        </w:rPr>
      </w:pPr>
    </w:p>
    <w:p>
      <w:pPr>
        <w:ind w:left="1480" w:right="120" w:hanging="567"/>
        <w:spacing w:after="0" w:line="26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Certificates (if any) for shares of Company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0" w:name="page21"/>
    <w:bookmarkEnd w:id="20"/>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on Incentive Stock Options</w:t>
      </w:r>
    </w:p>
    <w:p>
      <w:pPr>
        <w:spacing w:after="0" w:line="130" w:lineRule="exact"/>
        <w:rPr>
          <w:rFonts w:ascii="Arial" w:cs="Arial" w:eastAsia="Arial" w:hAnsi="Arial"/>
          <w:sz w:val="18"/>
          <w:szCs w:val="18"/>
          <w:color w:val="auto"/>
        </w:rPr>
      </w:pPr>
    </w:p>
    <w:p>
      <w:pPr>
        <w:ind w:left="1026" w:right="120" w:hanging="567"/>
        <w:spacing w:after="0" w:line="259"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92" w:lineRule="exact"/>
        <w:rPr>
          <w:rFonts w:ascii="Arial" w:cs="Arial" w:eastAsia="Arial" w:hAnsi="Arial"/>
          <w:sz w:val="18"/>
          <w:szCs w:val="18"/>
          <w:color w:val="auto"/>
        </w:rPr>
      </w:pPr>
    </w:p>
    <w:p>
      <w:pPr>
        <w:ind w:left="1026" w:hanging="567"/>
        <w:spacing w:after="0" w:line="257"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336"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130" w:lineRule="exact"/>
        <w:rPr>
          <w:rFonts w:ascii="Arial" w:cs="Arial" w:eastAsia="Arial" w:hAnsi="Arial"/>
          <w:sz w:val="18"/>
          <w:szCs w:val="18"/>
          <w:color w:val="auto"/>
        </w:rPr>
      </w:pPr>
    </w:p>
    <w:p>
      <w:pPr>
        <w:ind w:left="1026" w:right="40" w:hanging="567"/>
        <w:spacing w:after="0" w:line="257"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that the employment of a Participant with the Company shall terminate for any reason other than (A) Cause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93" w:lineRule="exact"/>
        <w:rPr>
          <w:rFonts w:ascii="Arial" w:cs="Arial" w:eastAsia="Arial" w:hAnsi="Arial"/>
          <w:sz w:val="18"/>
          <w:szCs w:val="18"/>
          <w:color w:val="auto"/>
        </w:rPr>
      </w:pPr>
    </w:p>
    <w:p>
      <w:pPr>
        <w:ind w:left="1026" w:right="40" w:hanging="567"/>
        <w:spacing w:after="0" w:line="289" w:lineRule="auto"/>
        <w:tabs>
          <w:tab w:leader="none" w:pos="1026"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their respective terms. Unless the applicable Agreement provides otherwise, cessation of active employment or service due to 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72" w:lineRule="exact"/>
        <w:rPr>
          <w:rFonts w:ascii="Arial" w:cs="Arial" w:eastAsia="Arial" w:hAnsi="Arial"/>
          <w:sz w:val="16"/>
          <w:szCs w:val="16"/>
          <w:color w:val="auto"/>
        </w:rPr>
      </w:pPr>
    </w:p>
    <w:p>
      <w:pPr>
        <w:ind w:left="1026" w:right="20" w:hanging="567"/>
        <w:spacing w:after="0" w:line="277"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of the termination of a Participant’s employment for Cause, all outstanding Options granted to such Participant shall expire at the commencement of business on the date of such termination.</w:t>
      </w:r>
    </w:p>
    <w:p>
      <w:pPr>
        <w:spacing w:after="0" w:line="319" w:lineRule="exact"/>
        <w:rPr>
          <w:rFonts w:ascii="Arial" w:cs="Arial" w:eastAsia="Arial" w:hAnsi="Arial"/>
          <w:sz w:val="18"/>
          <w:szCs w:val="18"/>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Acceleration of Exercise Date Upon Change in Control</w:t>
      </w:r>
    </w:p>
    <w:p>
      <w:pPr>
        <w:spacing w:after="0" w:line="117" w:lineRule="exact"/>
        <w:rPr>
          <w:sz w:val="20"/>
          <w:szCs w:val="20"/>
          <w:color w:val="auto"/>
        </w:rPr>
      </w:pPr>
    </w:p>
    <w:p>
      <w:pPr>
        <w:ind w:left="466" w:right="200"/>
        <w:spacing w:after="0" w:line="342" w:lineRule="auto"/>
        <w:rPr>
          <w:sz w:val="20"/>
          <w:szCs w:val="20"/>
          <w:color w:val="auto"/>
        </w:rPr>
      </w:pPr>
      <w:r>
        <w:rPr>
          <w:rFonts w:ascii="Arial" w:cs="Arial" w:eastAsia="Arial" w:hAnsi="Arial"/>
          <w:sz w:val="16"/>
          <w:szCs w:val="16"/>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w:t>
      </w:r>
    </w:p>
    <w:p>
      <w:pPr>
        <w:spacing w:after="0" w:line="5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6"/>
          </w:cols>
          <w:pgMar w:left="694" w:top="274" w:right="239" w:bottom="1440" w:gutter="0" w:footer="0" w:header="0"/>
        </w:sectPr>
      </w:pPr>
    </w:p>
    <w:bookmarkStart w:id="21" w:name="page22"/>
    <w:bookmarkEnd w:id="21"/>
    <w:p>
      <w:pPr>
        <w:ind w:left="912"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272" w:lineRule="exact"/>
        <w:rPr>
          <w:sz w:val="20"/>
          <w:szCs w:val="20"/>
          <w:color w:val="auto"/>
        </w:rPr>
      </w:pPr>
    </w:p>
    <w:p>
      <w:pPr>
        <w:ind w:left="892" w:hanging="446"/>
        <w:spacing w:after="0"/>
        <w:tabs>
          <w:tab w:leader="none" w:pos="89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Leave of Absence</w:t>
      </w:r>
    </w:p>
    <w:p>
      <w:pPr>
        <w:spacing w:after="0" w:line="117" w:lineRule="exact"/>
        <w:rPr>
          <w:sz w:val="20"/>
          <w:szCs w:val="20"/>
          <w:color w:val="auto"/>
        </w:rPr>
      </w:pPr>
    </w:p>
    <w:p>
      <w:pPr>
        <w:ind w:left="912"/>
        <w:spacing w:after="0" w:line="264" w:lineRule="auto"/>
        <w:rPr>
          <w:sz w:val="20"/>
          <w:szCs w:val="20"/>
          <w:color w:val="auto"/>
        </w:rPr>
      </w:pPr>
      <w:r>
        <w:rPr>
          <w:rFonts w:ascii="Arial" w:cs="Arial" w:eastAsia="Arial" w:hAnsi="Arial"/>
          <w:sz w:val="18"/>
          <w:szCs w:val="18"/>
          <w:color w:val="auto"/>
        </w:rPr>
        <w:t>In the case of any Participant on an approved leave of absence, the Committee may make such provision respecting the continuance of the Options held by such Participant while in the employ or service of the Company as it may deem equitable, except that in no event may an Option be exercised after its expiration.</w:t>
      </w:r>
    </w:p>
    <w:p>
      <w:pPr>
        <w:spacing w:after="0" w:line="330"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At the time of the grant of shares of Restricted Stock, the Committee shall determine the price, if any, to be paid by the Participant for each share of Restricted Stock subject to the Award.</w:t>
      </w:r>
    </w:p>
    <w:p>
      <w:pPr>
        <w:spacing w:after="0" w:line="319" w:lineRule="exact"/>
        <w:rPr>
          <w:sz w:val="20"/>
          <w:szCs w:val="20"/>
          <w:color w:val="auto"/>
        </w:rPr>
      </w:pPr>
    </w:p>
    <w:p>
      <w:pPr>
        <w:ind w:left="892" w:hanging="446"/>
        <w:spacing w:after="0"/>
        <w:tabs>
          <w:tab w:leader="none" w:pos="892"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117" w:lineRule="exact"/>
        <w:rPr>
          <w:sz w:val="20"/>
          <w:szCs w:val="20"/>
          <w:color w:val="auto"/>
        </w:rPr>
      </w:pPr>
    </w:p>
    <w:p>
      <w:pPr>
        <w:jc w:val="both"/>
        <w:ind w:left="912"/>
        <w:spacing w:after="0" w:line="257" w:lineRule="auto"/>
        <w:rPr>
          <w:sz w:val="20"/>
          <w:szCs w:val="20"/>
          <w:color w:val="auto"/>
        </w:rPr>
      </w:pPr>
      <w:r>
        <w:rPr>
          <w:rFonts w:ascii="Arial" w:cs="Arial" w:eastAsia="Arial" w:hAnsi="Arial"/>
          <w:sz w:val="18"/>
          <w:szCs w:val="18"/>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337" w:lineRule="exact"/>
        <w:rPr>
          <w:sz w:val="20"/>
          <w:szCs w:val="20"/>
          <w:color w:val="auto"/>
        </w:rPr>
      </w:pPr>
    </w:p>
    <w:p>
      <w:pPr>
        <w:ind w:left="892" w:hanging="446"/>
        <w:spacing w:after="0"/>
        <w:tabs>
          <w:tab w:leader="none" w:pos="89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117" w:lineRule="exact"/>
        <w:rPr>
          <w:sz w:val="20"/>
          <w:szCs w:val="20"/>
          <w:color w:val="auto"/>
        </w:rPr>
      </w:pPr>
    </w:p>
    <w:p>
      <w:pPr>
        <w:ind w:left="912" w:right="120"/>
        <w:spacing w:after="0" w:line="277" w:lineRule="auto"/>
        <w:rPr>
          <w:sz w:val="20"/>
          <w:szCs w:val="20"/>
          <w:color w:val="auto"/>
        </w:rPr>
      </w:pPr>
      <w:r>
        <w:rPr>
          <w:rFonts w:ascii="Arial" w:cs="Arial" w:eastAsia="Arial" w:hAnsi="Arial"/>
          <w:sz w:val="18"/>
          <w:szCs w:val="18"/>
          <w:color w:val="auto"/>
        </w:rPr>
        <w:t>Subject to Section 31 hereof, at the time of the grant of shares of Restricted Stock, the Committee may impose such restrictions or conditions to the vesting of such shares as it, in its absolute discretion, deems appropriate.</w:t>
      </w:r>
    </w:p>
    <w:p>
      <w:pPr>
        <w:spacing w:after="0" w:line="319" w:lineRule="exact"/>
        <w:rPr>
          <w:sz w:val="20"/>
          <w:szCs w:val="20"/>
          <w:color w:val="auto"/>
        </w:rPr>
      </w:pPr>
    </w:p>
    <w:p>
      <w:pPr>
        <w:ind w:left="892" w:hanging="446"/>
        <w:spacing w:after="0"/>
        <w:tabs>
          <w:tab w:leader="none" w:pos="892"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p>
    <w:p>
      <w:pPr>
        <w:spacing w:after="0" w:line="117" w:lineRule="exact"/>
        <w:rPr>
          <w:sz w:val="20"/>
          <w:szCs w:val="20"/>
          <w:color w:val="auto"/>
        </w:rPr>
      </w:pPr>
    </w:p>
    <w:p>
      <w:pPr>
        <w:ind w:left="912" w:right="40"/>
        <w:spacing w:after="0" w:line="264" w:lineRule="auto"/>
        <w:rPr>
          <w:sz w:val="20"/>
          <w:szCs w:val="20"/>
          <w:color w:val="auto"/>
        </w:rPr>
      </w:pPr>
      <w:r>
        <w:rPr>
          <w:rFonts w:ascii="Arial" w:cs="Arial" w:eastAsia="Arial" w:hAnsi="Arial"/>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330" w:lineRule="exact"/>
        <w:rPr>
          <w:sz w:val="20"/>
          <w:szCs w:val="20"/>
          <w:color w:val="auto"/>
        </w:rPr>
      </w:pPr>
    </w:p>
    <w:p>
      <w:pPr>
        <w:ind w:left="892" w:hanging="446"/>
        <w:spacing w:after="0"/>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p>
    <w:p>
      <w:pPr>
        <w:spacing w:after="0" w:line="117" w:lineRule="exact"/>
        <w:rPr>
          <w:sz w:val="20"/>
          <w:szCs w:val="20"/>
          <w:color w:val="auto"/>
        </w:rPr>
      </w:pPr>
    </w:p>
    <w:p>
      <w:pPr>
        <w:ind w:left="912" w:right="60"/>
        <w:spacing w:after="0" w:line="277" w:lineRule="auto"/>
        <w:rPr>
          <w:sz w:val="20"/>
          <w:szCs w:val="20"/>
          <w:color w:val="auto"/>
        </w:rPr>
      </w:pPr>
      <w:r>
        <w:rPr>
          <w:rFonts w:ascii="Arial" w:cs="Arial" w:eastAsia="Arial" w:hAnsi="Arial"/>
          <w:sz w:val="18"/>
          <w:szCs w:val="18"/>
          <w:color w:val="auto"/>
        </w:rPr>
        <w:t>The Committee in its discretion may require that any dividends paid on shares of Restricted Stock be held in escrow until all restrictions on such shares have lapsed.</w:t>
      </w:r>
    </w:p>
    <w:p>
      <w:pPr>
        <w:spacing w:after="0" w:line="319" w:lineRule="exact"/>
        <w:rPr>
          <w:sz w:val="20"/>
          <w:szCs w:val="20"/>
          <w:color w:val="auto"/>
        </w:rPr>
      </w:pPr>
    </w:p>
    <w:p>
      <w:pPr>
        <w:ind w:left="892" w:hanging="446"/>
        <w:spacing w:after="0"/>
        <w:tabs>
          <w:tab w:leader="none" w:pos="89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p>
    <w:p>
      <w:pPr>
        <w:spacing w:after="0" w:line="130" w:lineRule="exact"/>
        <w:rPr>
          <w:rFonts w:ascii="Arial" w:cs="Arial" w:eastAsia="Arial" w:hAnsi="Arial"/>
          <w:sz w:val="18"/>
          <w:szCs w:val="18"/>
          <w:color w:val="auto"/>
        </w:rPr>
      </w:pPr>
    </w:p>
    <w:p>
      <w:pPr>
        <w:ind w:left="1472" w:right="400" w:hanging="567"/>
        <w:spacing w:after="0" w:line="277" w:lineRule="auto"/>
        <w:tabs>
          <w:tab w:leader="none" w:pos="1472"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Reasonably promptly after the date of grant with respect to shares of Restricted Stock, the Company shall cause to be issued a stock certificate, registered in the name of or for the</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74" w:right="279" w:bottom="1440" w:gutter="0" w:footer="0" w:header="0"/>
        </w:sectPr>
      </w:pPr>
    </w:p>
    <w:bookmarkStart w:id="22" w:name="page23"/>
    <w:bookmarkEnd w:id="22"/>
    <w:p>
      <w:pPr>
        <w:ind w:left="1026"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of the Participant to whom such shares were granted, evidencing such shares. Each such stock certificate shall bear a legend substantially in the following form:</w:t>
      </w:r>
    </w:p>
    <w:p>
      <w:pPr>
        <w:spacing w:after="0" w:line="58" w:lineRule="exact"/>
        <w:rPr>
          <w:sz w:val="20"/>
          <w:szCs w:val="20"/>
          <w:color w:val="auto"/>
        </w:rPr>
      </w:pPr>
    </w:p>
    <w:p>
      <w:pPr>
        <w:ind w:left="1486" w:right="140"/>
        <w:spacing w:after="0" w:line="277" w:lineRule="auto"/>
        <w:rPr>
          <w:sz w:val="20"/>
          <w:szCs w:val="20"/>
          <w:color w:val="auto"/>
        </w:rPr>
      </w:pPr>
      <w:r>
        <w:rPr>
          <w:rFonts w:ascii="Arial" w:cs="Arial" w:eastAsia="Arial" w:hAnsi="Arial"/>
          <w:sz w:val="17"/>
          <w:szCs w:val="17"/>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2014 Long-Term Incentive Plan and an Agreement entered into between the registered owner of such shares and the Company. A copy of the Plan and the Agreement is on file in the office of the Secretary of the Company, 777 Old Saw Mill River Road, Tarrytown, New York 10591-6707.</w:t>
      </w:r>
    </w:p>
    <w:p>
      <w:pPr>
        <w:spacing w:after="0" w:line="64" w:lineRule="exact"/>
        <w:rPr>
          <w:sz w:val="20"/>
          <w:szCs w:val="20"/>
          <w:color w:val="auto"/>
        </w:rPr>
      </w:pPr>
    </w:p>
    <w:p>
      <w:pPr>
        <w:ind w:left="1046" w:right="240"/>
        <w:spacing w:after="0" w:line="277" w:lineRule="auto"/>
        <w:rPr>
          <w:sz w:val="20"/>
          <w:szCs w:val="20"/>
          <w:color w:val="auto"/>
        </w:rPr>
      </w:pPr>
      <w:r>
        <w:rPr>
          <w:rFonts w:ascii="Arial" w:cs="Arial" w:eastAsia="Arial" w:hAnsi="Arial"/>
          <w:sz w:val="18"/>
          <w:szCs w:val="18"/>
          <w:color w:val="auto"/>
        </w:rPr>
        <w:t>Such legend shall not be removed until such shares vest pursuant to the terms hereof. Alternatively, in its sole discretion, the Company may document ownership of such shares in book-entry form.</w:t>
      </w:r>
    </w:p>
    <w:p>
      <w:pPr>
        <w:spacing w:after="0" w:line="76" w:lineRule="exact"/>
        <w:rPr>
          <w:sz w:val="20"/>
          <w:szCs w:val="20"/>
          <w:color w:val="auto"/>
        </w:rPr>
      </w:pPr>
    </w:p>
    <w:p>
      <w:pPr>
        <w:ind w:left="1026" w:right="420" w:hanging="567"/>
        <w:spacing w:after="0" w:line="308" w:lineRule="auto"/>
        <w:tabs>
          <w:tab w:leader="none" w:pos="1026" w:val="left"/>
        </w:tabs>
        <w:numPr>
          <w:ilvl w:val="1"/>
          <w:numId w:val="40"/>
        </w:numPr>
        <w:rPr>
          <w:rFonts w:ascii="Arial" w:cs="Arial" w:eastAsia="Arial" w:hAnsi="Arial"/>
          <w:sz w:val="17"/>
          <w:szCs w:val="17"/>
          <w:color w:val="auto"/>
        </w:rPr>
      </w:pPr>
      <w:r>
        <w:rPr>
          <w:rFonts w:ascii="Arial" w:cs="Arial" w:eastAsia="Arial" w:hAnsi="Arial"/>
          <w:sz w:val="17"/>
          <w:szCs w:val="17"/>
          <w:color w:val="auto"/>
        </w:rPr>
        <w:t>Each certificate (if any) issued pursuant to this Section 8(f), together with the stock powers relating to the shares of Restricted Stock evidenced by such certificate, shall be held by the Company unless the Committee determines otherwise.</w:t>
      </w:r>
    </w:p>
    <w:p>
      <w:pPr>
        <w:spacing w:after="0" w:line="295" w:lineRule="exact"/>
        <w:rPr>
          <w:rFonts w:ascii="Arial" w:cs="Arial" w:eastAsia="Arial" w:hAnsi="Arial"/>
          <w:sz w:val="17"/>
          <w:szCs w:val="17"/>
          <w:color w:val="auto"/>
        </w:rPr>
      </w:pPr>
    </w:p>
    <w:p>
      <w:pPr>
        <w:ind w:left="446" w:hanging="446"/>
        <w:spacing w:after="0"/>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p>
    <w:p>
      <w:pPr>
        <w:spacing w:after="0" w:line="117"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 or cause a removal of such legend from the book entry evidencing such shares.</w:t>
      </w:r>
    </w:p>
    <w:p>
      <w:pPr>
        <w:spacing w:after="0" w:line="335" w:lineRule="exact"/>
        <w:rPr>
          <w:sz w:val="20"/>
          <w:szCs w:val="20"/>
          <w:color w:val="auto"/>
        </w:rPr>
      </w:pPr>
    </w:p>
    <w:p>
      <w:pPr>
        <w:ind w:left="446" w:hanging="446"/>
        <w:spacing w:after="0"/>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130" w:lineRule="exact"/>
        <w:rPr>
          <w:rFonts w:ascii="Arial" w:cs="Arial" w:eastAsia="Arial" w:hAnsi="Arial"/>
          <w:sz w:val="18"/>
          <w:szCs w:val="18"/>
          <w:color w:val="auto"/>
        </w:rPr>
      </w:pPr>
    </w:p>
    <w:p>
      <w:pPr>
        <w:ind w:left="1026" w:hanging="567"/>
        <w:spacing w:after="0" w:line="270" w:lineRule="auto"/>
        <w:tabs>
          <w:tab w:leader="none" w:pos="1026" w:val="left"/>
        </w:tabs>
        <w:numPr>
          <w:ilvl w:val="1"/>
          <w:numId w:val="42"/>
        </w:numPr>
        <w:rPr>
          <w:rFonts w:ascii="Arial" w:cs="Arial" w:eastAsia="Arial" w:hAnsi="Arial"/>
          <w:sz w:val="17"/>
          <w:szCs w:val="17"/>
          <w:color w:val="auto"/>
        </w:rPr>
      </w:pPr>
      <w:r>
        <w:rPr>
          <w:rFonts w:ascii="Arial" w:cs="Arial" w:eastAsia="Arial" w:hAnsi="Arial"/>
          <w:sz w:val="17"/>
          <w:szCs w:val="17"/>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 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83" w:lineRule="exact"/>
        <w:rPr>
          <w:rFonts w:ascii="Arial" w:cs="Arial" w:eastAsia="Arial" w:hAnsi="Arial"/>
          <w:sz w:val="17"/>
          <w:szCs w:val="17"/>
          <w:color w:val="auto"/>
        </w:rPr>
      </w:pPr>
    </w:p>
    <w:p>
      <w:pPr>
        <w:ind w:left="1026" w:right="160" w:hanging="567"/>
        <w:spacing w:after="0" w:line="312" w:lineRule="auto"/>
        <w:tabs>
          <w:tab w:leader="none" w:pos="1026"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7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6"/>
          </w:cols>
          <w:pgMar w:left="694" w:top="274" w:right="239" w:bottom="1440" w:gutter="0" w:footer="0" w:header="0"/>
        </w:sectPr>
      </w:pPr>
    </w:p>
    <w:bookmarkStart w:id="23" w:name="page24"/>
    <w:bookmarkEnd w:id="23"/>
    <w:p>
      <w:pPr>
        <w:ind w:left="892" w:hanging="446"/>
        <w:spacing w:after="0"/>
        <w:tabs>
          <w:tab w:leader="none" w:pos="892"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Change in Control</w:t>
      </w:r>
    </w:p>
    <w:p>
      <w:pPr>
        <w:spacing w:after="0" w:line="117" w:lineRule="exact"/>
        <w:rPr>
          <w:sz w:val="20"/>
          <w:szCs w:val="20"/>
          <w:color w:val="auto"/>
        </w:rPr>
      </w:pPr>
    </w:p>
    <w:p>
      <w:pPr>
        <w:ind w:left="912" w:right="80"/>
        <w:spacing w:after="0" w:line="264" w:lineRule="auto"/>
        <w:rPr>
          <w:sz w:val="20"/>
          <w:szCs w:val="20"/>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shares of Restricted Stock which have not theretofore vested shall immediately vest in whole or in part and all restrictions on such shares shall immediately lapse in whole or in part.</w:t>
      </w:r>
    </w:p>
    <w:p>
      <w:pPr>
        <w:spacing w:after="0" w:line="330"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Phantom Stock</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117" w:lineRule="exact"/>
        <w:rPr>
          <w:sz w:val="20"/>
          <w:szCs w:val="20"/>
          <w:color w:val="auto"/>
        </w:rPr>
      </w:pPr>
    </w:p>
    <w:p>
      <w:pPr>
        <w:jc w:val="both"/>
        <w:ind w:left="912" w:right="40"/>
        <w:spacing w:after="0" w:line="279" w:lineRule="auto"/>
        <w:rPr>
          <w:sz w:val="20"/>
          <w:szCs w:val="20"/>
          <w:color w:val="auto"/>
        </w:rPr>
      </w:pPr>
      <w:r>
        <w:rPr>
          <w:rFonts w:ascii="Arial" w:cs="Arial" w:eastAsia="Arial" w:hAnsi="Arial"/>
          <w:sz w:val="17"/>
          <w:szCs w:val="17"/>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320" w:lineRule="exact"/>
        <w:rPr>
          <w:sz w:val="20"/>
          <w:szCs w:val="20"/>
          <w:color w:val="auto"/>
        </w:rPr>
      </w:pPr>
    </w:p>
    <w:p>
      <w:pPr>
        <w:ind w:left="892" w:hanging="446"/>
        <w:spacing w:after="0"/>
        <w:tabs>
          <w:tab w:leader="none" w:pos="89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Benefit Upon Vesting</w:t>
      </w:r>
    </w:p>
    <w:p>
      <w:pPr>
        <w:spacing w:after="0" w:line="117" w:lineRule="exact"/>
        <w:rPr>
          <w:sz w:val="20"/>
          <w:szCs w:val="20"/>
          <w:color w:val="auto"/>
        </w:rPr>
      </w:pPr>
    </w:p>
    <w:p>
      <w:pPr>
        <w:ind w:left="912"/>
        <w:spacing w:after="0" w:line="297" w:lineRule="auto"/>
        <w:rPr>
          <w:sz w:val="20"/>
          <w:szCs w:val="20"/>
          <w:color w:val="auto"/>
        </w:rPr>
      </w:pPr>
      <w:r>
        <w:rPr>
          <w:rFonts w:ascii="Arial" w:cs="Arial" w:eastAsia="Arial" w:hAnsi="Arial"/>
          <w:sz w:val="16"/>
          <w:szCs w:val="16"/>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 (unless such dividends have already been paid to the Participant).</w:t>
      </w:r>
    </w:p>
    <w:p>
      <w:pPr>
        <w:spacing w:after="0" w:line="307" w:lineRule="exact"/>
        <w:rPr>
          <w:sz w:val="20"/>
          <w:szCs w:val="20"/>
          <w:color w:val="auto"/>
        </w:rPr>
      </w:pPr>
    </w:p>
    <w:p>
      <w:pPr>
        <w:ind w:left="892" w:hanging="446"/>
        <w:spacing w:after="0"/>
        <w:tabs>
          <w:tab w:leader="none" w:pos="892"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117" w:lineRule="exact"/>
        <w:rPr>
          <w:sz w:val="20"/>
          <w:szCs w:val="20"/>
          <w:color w:val="auto"/>
        </w:rPr>
      </w:pPr>
    </w:p>
    <w:p>
      <w:pPr>
        <w:ind w:left="912" w:right="140"/>
        <w:spacing w:after="0" w:line="277" w:lineRule="auto"/>
        <w:rPr>
          <w:sz w:val="20"/>
          <w:szCs w:val="20"/>
          <w:color w:val="auto"/>
        </w:rPr>
      </w:pPr>
      <w:r>
        <w:rPr>
          <w:rFonts w:ascii="Arial" w:cs="Arial" w:eastAsia="Arial" w:hAnsi="Arial"/>
          <w:sz w:val="18"/>
          <w:szCs w:val="18"/>
          <w:color w:val="auto"/>
        </w:rPr>
        <w:t>Subject to Section 31 hereof, at the time of the grant of shares of Phantom Stock, the Committee may impose such restrictions or conditions to the vesting of such shares as it, in its absolute discretion, deems appropriate, to be contained in the Agreement.</w:t>
      </w:r>
    </w:p>
    <w:p>
      <w:pPr>
        <w:spacing w:after="0" w:line="319" w:lineRule="exact"/>
        <w:rPr>
          <w:sz w:val="20"/>
          <w:szCs w:val="20"/>
          <w:color w:val="auto"/>
        </w:rPr>
      </w:pPr>
    </w:p>
    <w:p>
      <w:pPr>
        <w:ind w:left="892" w:hanging="446"/>
        <w:spacing w:after="0"/>
        <w:tabs>
          <w:tab w:leader="none" w:pos="892"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117" w:lineRule="exact"/>
        <w:rPr>
          <w:sz w:val="20"/>
          <w:szCs w:val="20"/>
          <w:color w:val="auto"/>
        </w:rPr>
      </w:pPr>
    </w:p>
    <w:p>
      <w:pPr>
        <w:jc w:val="both"/>
        <w:ind w:left="912" w:right="60"/>
        <w:spacing w:after="0" w:line="264" w:lineRule="auto"/>
        <w:rPr>
          <w:sz w:val="20"/>
          <w:szCs w:val="20"/>
          <w:color w:val="auto"/>
        </w:rPr>
      </w:pPr>
      <w:r>
        <w:rPr>
          <w:rFonts w:ascii="Arial" w:cs="Arial" w:eastAsia="Arial" w:hAnsi="Arial"/>
          <w:sz w:val="18"/>
          <w:szCs w:val="18"/>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330" w:lineRule="exact"/>
        <w:rPr>
          <w:sz w:val="20"/>
          <w:szCs w:val="20"/>
          <w:color w:val="auto"/>
        </w:rPr>
      </w:pPr>
    </w:p>
    <w:p>
      <w:pPr>
        <w:ind w:left="892" w:hanging="446"/>
        <w:spacing w:after="0"/>
        <w:tabs>
          <w:tab w:leader="none" w:pos="8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117" w:lineRule="exact"/>
        <w:rPr>
          <w:sz w:val="20"/>
          <w:szCs w:val="20"/>
          <w:color w:val="auto"/>
        </w:rPr>
      </w:pPr>
    </w:p>
    <w:p>
      <w:pPr>
        <w:ind w:left="912" w:right="80"/>
        <w:spacing w:after="0" w:line="264" w:lineRule="auto"/>
        <w:rPr>
          <w:sz w:val="20"/>
          <w:szCs w:val="20"/>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11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12"/>
          </w:cols>
          <w:pgMar w:left="248" w:top="274" w:right="339" w:bottom="1440" w:gutter="0" w:footer="0" w:header="0"/>
        </w:sectPr>
      </w:pPr>
    </w:p>
    <w:bookmarkStart w:id="24" w:name="page25"/>
    <w:bookmarkEnd w:id="24"/>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Bonuses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that the Committee grants a Stock Bonus, a 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33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Other Awards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Other forms of Awards (“</w:t>
      </w:r>
      <w:r>
        <w:rPr>
          <w:rFonts w:ascii="Arial" w:cs="Arial" w:eastAsia="Arial" w:hAnsi="Arial"/>
          <w:sz w:val="17"/>
          <w:szCs w:val="17"/>
          <w:u w:val="single" w:color="auto"/>
          <w:color w:val="auto"/>
        </w:rPr>
        <w:t>Other Awards</w:t>
      </w:r>
      <w:r>
        <w:rPr>
          <w:rFonts w:ascii="Arial" w:cs="Arial" w:eastAsia="Arial" w:hAnsi="Arial"/>
          <w:sz w:val="17"/>
          <w:szCs w:val="17"/>
          <w:color w:val="auto"/>
        </w:rPr>
        <w:t>”)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32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Nonemployee Director Stock Options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provisions of this Section 12 shall apply only to grants of Nonqualified Stock Options to Nonemployee Directors.</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33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Timing and Amount of Grant</w:t>
      </w:r>
    </w:p>
    <w:p>
      <w:pPr>
        <w:spacing w:after="0" w:line="117" w:lineRule="exact"/>
        <w:rPr>
          <w:sz w:val="20"/>
          <w:szCs w:val="20"/>
          <w:color w:val="auto"/>
        </w:rPr>
      </w:pPr>
    </w:p>
    <w:p>
      <w:pPr>
        <w:ind w:left="920" w:right="180"/>
        <w:spacing w:after="0" w:line="293" w:lineRule="auto"/>
        <w:rPr>
          <w:sz w:val="20"/>
          <w:szCs w:val="20"/>
          <w:color w:val="auto"/>
        </w:rPr>
      </w:pPr>
      <w:r>
        <w:rPr>
          <w:rFonts w:ascii="Arial" w:cs="Arial" w:eastAsia="Arial" w:hAnsi="Arial"/>
          <w:sz w:val="16"/>
          <w:szCs w:val="16"/>
          <w:color w:val="auto"/>
        </w:rPr>
        <w:t>Unless otherwise provided by the Committee, on the day on which annual Awards are made to the employees of the Company and, if no such Awards are made in a particular year, on the first business day (i.e., a day other than Saturday, Sunday or any other day in which the securities exchange on which the Company Stock trades is closed) of January of the subsequent year, each then serving Nonemployee Director shall be automatically granted a Nonqualified Stock Option to purchase 12,750 shares of Company Stock (or such other number as the Committee may determine from time to time). In addition to the foregoing automatic grant, Nonqualified Stock Options may be granted to Nonemployee Directors in accordance with the provisions of this Section 12 by the Committee in its sole and absolute discretion.</w:t>
      </w:r>
    </w:p>
    <w:p>
      <w:pPr>
        <w:spacing w:after="0" w:line="31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Method and Time of Payment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Nonqualified Stock Option granted under this Section 12 shall be exercised in the manner described in Section 7(c)(3).</w:t>
      </w:r>
    </w:p>
    <w:p>
      <w:pPr>
        <w:spacing w:after="0" w:line="374"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Term and Exercisability</w:t>
      </w:r>
    </w:p>
    <w:p>
      <w:pPr>
        <w:spacing w:after="0" w:line="117" w:lineRule="exact"/>
        <w:rPr>
          <w:sz w:val="20"/>
          <w:szCs w:val="20"/>
          <w:color w:val="auto"/>
        </w:rPr>
      </w:pPr>
    </w:p>
    <w:p>
      <w:pPr>
        <w:ind w:left="920" w:right="400"/>
        <w:spacing w:after="0" w:line="342" w:lineRule="auto"/>
        <w:rPr>
          <w:sz w:val="20"/>
          <w:szCs w:val="20"/>
          <w:color w:val="auto"/>
        </w:rPr>
      </w:pPr>
      <w:r>
        <w:rPr>
          <w:rFonts w:ascii="Arial" w:cs="Arial" w:eastAsia="Arial" w:hAnsi="Arial"/>
          <w:sz w:val="16"/>
          <w:szCs w:val="16"/>
          <w:color w:val="auto"/>
        </w:rPr>
        <w:t>Unless otherwise provided by the Committee, each Nonqualified Stock Option granted under this Section 12 shall (1) become cumulatively exercisable as to 33-1/3% of the shares covered thereby on each of the first, second and third anniversaries of the date that the Nonqualified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5" w:name="page26"/>
    <w:bookmarkEnd w:id="25"/>
    <w:p>
      <w:pPr>
        <w:ind w:left="920"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27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any outstanding Nonqualified Stock Option held by such Nonemployee Director under this Section 12, to the extent that it is exercisable on the date of such termination, may be exercised by such Nonemployee Director (or, if applicable, 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for the Company as consultant, employee or in any other capacity.</w:t>
      </w:r>
    </w:p>
    <w:p>
      <w:pPr>
        <w:spacing w:after="0" w:line="33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No Limitation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provisions of this Section 12 shall not be construed to limit the Committee’s authority to make other Awards under the Plan.</w:t>
      </w:r>
    </w:p>
    <w:p>
      <w:pPr>
        <w:spacing w:after="0" w:line="37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person shall have any rights as a shareholder with respect to any shares of Company Stock covered by or relating to any Award until the date of issuance of a stock certificate with respect to such shares or registering a book entry evidencing the issuance of such shares. Except as otherwise provided in Section 3(c), no adjustment to any Award shall be made for dividends or other rights for which the record date occurs prior to the date such stock certificate is issued or such book entry is registered.</w:t>
      </w:r>
    </w:p>
    <w:p>
      <w:pPr>
        <w:spacing w:after="0" w:line="33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 Employment Rights; No Right to Award</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 w:name="page27"/>
    <w:bookmarkEnd w:id="26"/>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Matters</w:t>
      </w:r>
    </w:p>
    <w:p>
      <w:pPr>
        <w:spacing w:after="0" w:line="130" w:lineRule="exact"/>
        <w:rPr>
          <w:rFonts w:ascii="Arial" w:cs="Arial" w:eastAsia="Arial" w:hAnsi="Arial"/>
          <w:sz w:val="18"/>
          <w:szCs w:val="18"/>
          <w:color w:val="auto"/>
        </w:rPr>
      </w:pPr>
    </w:p>
    <w:p>
      <w:pPr>
        <w:ind w:left="900" w:right="20" w:hanging="446"/>
        <w:spacing w:after="0" w:line="270" w:lineRule="auto"/>
        <w:tabs>
          <w:tab w:leader="none" w:pos="9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or to cause to be registered any book entries, evidencing shares of Company Stock pursuant to the Plan unless and until the Company is advised by its counsel that the issuance and delivery of such certificates, or the book-entry registration, is in compliance with all applicable laws, regulations of governmental authority and the requirements of any securities exchange on which shares of Company Stock are traded. The Committee may require, as a condition of the issuance and delivery of certificates, or the book-entry registration, evidencing shares of Company Stock pursuant to the terms hereof, that the recipient of such shares make such agreements and representations, and that such certificates or book entries bear or are subject to such legends, as the Committee, in its sole discretion, deems necessary or desirable.</w:t>
      </w:r>
    </w:p>
    <w:p>
      <w:pPr>
        <w:spacing w:after="0" w:line="87" w:lineRule="exact"/>
        <w:rPr>
          <w:rFonts w:ascii="Arial" w:cs="Arial" w:eastAsia="Arial" w:hAnsi="Arial"/>
          <w:sz w:val="17"/>
          <w:szCs w:val="17"/>
          <w:color w:val="auto"/>
        </w:rPr>
      </w:pPr>
    </w:p>
    <w:p>
      <w:pPr>
        <w:ind w:left="900" w:right="20" w:hanging="446"/>
        <w:spacing w:after="0" w:line="291"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315"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Whenever cash is to be paid pursuant to an Award, the Company shall have the right to deduct therefrom an amount sufficient to satisfy any federal, state and local withholding tax requirements related thereto.</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34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Notification of Election Under Section 83(b) of the Code</w:t>
      </w:r>
    </w:p>
    <w:p>
      <w:pPr>
        <w:spacing w:after="0" w:line="11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7" w:name="page28"/>
    <w:bookmarkEnd w:id="27"/>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 Upon Disqualifying Disposition Under Section 421(b) of the Code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 (10) days of such disposition.</w:t>
      </w:r>
    </w:p>
    <w:p>
      <w:pPr>
        <w:spacing w:after="0" w:line="33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or regulation (including listing standards). Awards may be granted under 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Without limiting the authority of the Committee under Section 3(c) or 3(d), and subject to Section 32 hereof, no action hereunder may, without the consent of a Participant, reduce the Participant’s rights under any outstanding Award.</w:t>
      </w:r>
    </w:p>
    <w:p>
      <w:pPr>
        <w:spacing w:after="0" w:line="31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or in connection with the grant of the Award.</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lifetime of a Participant,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the Secretary of the Company,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may be made in exchange for consideration.</w:t>
      </w:r>
    </w:p>
    <w:p>
      <w:pPr>
        <w:spacing w:after="0" w:line="338"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expenses of the Plan shall be paid by the Company.</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Failure to Comply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addition to the remedies of the Company elsewhere provided for herein, failure by a Participant (or beneficiary) to comply with any of the terms and conditions of the Plan or the applicable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such failure is remedied by such Participant (or beneficiary) within ten days after notice of such failure by the Committee, shall be grounds for the cancellation and forfeiture of such Award, in whole or in part, as the Committee, in its absolute discretion, may determine.</w:t>
      </w:r>
    </w:p>
    <w:p>
      <w:pPr>
        <w:spacing w:after="0" w:line="3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Plan shall be subject to the requisite approval of the shareholders of the Company. Unless earlier terminated by the Board of Directors, the right to grant Awards under the Plan shall terminate on April 4, 2024. Awards outstanding at Plan termination shall remain in effect according to their terms and the provisions of the Plan.</w:t>
      </w:r>
    </w:p>
    <w:p>
      <w:pPr>
        <w:spacing w:after="0" w:line="33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3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Company Stock certificate to him or her or the book-entry registration in such Participant’s or such transferee’s name for such shares.</w:t>
      </w:r>
    </w:p>
    <w:p>
      <w:pPr>
        <w:spacing w:after="0" w:line="33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33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33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33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Plan is designed and intended to permit the grant of Awards which comply with the exemption set forth in Rule 16b-3 and, to the extent applicable, to permit awards of qualified performance-based compensation for purposes of Section 162(m) of the Code and to permit the grant of awards which either comply with or exempt from the provisions of Section 409A of the Code. All provisions hereof shall be construed in a manner to so comply with such intention.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9" w:name="page30"/>
    <w:bookmarkEnd w:id="29"/>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31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Certain Limitations on Vesting of Awards Other than Options and Stock Appreciation Rights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Notwithstanding any provisions of the Plan to the contrary (but subject to the last two sentences of this Section 31), if the vesting condition for any Award (other than an Option or a stock appreciation right) made to a Participant who is an employee of the Company is based solely upon continued employment for a period of time, such vesting period shall not be less than 36 months for the vesting of the entire Award; provided that ratable portions of each such Award may vest periodically during such 36 month period. If the vesting condition for any Award (other than an Option or a stock appreciation right) made to a Participant who is an employee of the Company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In addition, during the term of the Plan the Committee may, in its discretion, grant Awards with respect to not more than an aggregate of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 and Awards consisting of Options and stock appreciation rights shall not be counted against the aggregate limit on Awards that are not required to comply with the provisions of this Section 31).</w:t>
      </w:r>
    </w:p>
    <w:p>
      <w:pPr>
        <w:spacing w:after="0" w:line="32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Applicability of Company Policy</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By accepting an Award under the Plan, each Participant agrees that the terms and conditions of the Company’s Policy Regarding Recoupment or Reduction of Incentive Compensation for Compliance Violations, as in effect from time to time, shall apply to such Participant’s Award(s) under the Plan.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1)"/>
      <w:numFmt w:val="decimal"/>
      <w:start w:val="2"/>
    </w:lvl>
  </w:abstractNum>
  <w:abstractNum w:abstractNumId="2">
    <w:nsid w:val="5E884ADC"/>
    <w:multiLevelType w:val="hybridMultilevel"/>
    <w:lvl w:ilvl="0">
      <w:lvlJc w:val="left"/>
      <w:lvlText w:val="(%1)"/>
      <w:numFmt w:val="lowerRoman"/>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6">
    <w:nsid w:val="153EA43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7">
    <w:nsid w:val="3855585C"/>
    <w:multiLevelType w:val="hybridMultilevel"/>
    <w:lvl w:ilvl="0">
      <w:lvlJc w:val="left"/>
      <w:lvlText w:val="(%1)"/>
      <w:numFmt w:val="decimal"/>
      <w:start w:val="2"/>
    </w:lvl>
  </w:abstractNum>
  <w:abstractNum w:abstractNumId="8">
    <w:nsid w:val="70A64E2A"/>
    <w:multiLevelType w:val="hybridMultilevel"/>
    <w:lvl w:ilvl="0">
      <w:lvlJc w:val="left"/>
      <w:lvlText w:val="(%1)"/>
      <w:numFmt w:val="lowerLetter"/>
      <w:start w:val="2"/>
    </w:lvl>
  </w:abstractNum>
  <w:abstractNum w:abstractNumId="9">
    <w:nsid w:val="6A2342EC"/>
    <w:multiLevelType w:val="hybridMultilevel"/>
    <w:lvl w:ilvl="0">
      <w:lvlJc w:val="left"/>
      <w:lvlText w:val="%1"/>
      <w:numFmt w:val="decimal"/>
      <w:start w:val="24"/>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2"/>
    </w:lvl>
  </w:abstractNum>
  <w:abstractNum w:abstractNumId="12">
    <w:nsid w:val="725A06FB"/>
    <w:multiLevelType w:val="hybridMultilevel"/>
    <w:lvl w:ilvl="0">
      <w:lvlJc w:val="left"/>
      <w:lvlText w:val="(%1)"/>
      <w:numFmt w:val="lowerLetter"/>
      <w:start w:val="1"/>
    </w:lvl>
    <w:lvl w:ilvl="1">
      <w:lvlJc w:val="left"/>
      <w:lvlText w:val="(%2)"/>
      <w:numFmt w:val="decimal"/>
      <w:start w:val="1"/>
    </w:lvl>
  </w:abstractNum>
  <w:abstractNum w:abstractNumId="13">
    <w:nsid w:val="2CD89A32"/>
    <w:multiLevelType w:val="hybridMultilevel"/>
    <w:lvl w:ilvl="0">
      <w:lvlJc w:val="left"/>
      <w:lvlText w:val="%1"/>
      <w:numFmt w:val="lowerLetter"/>
      <w:start w:val="1"/>
    </w:lvl>
    <w:lvl w:ilvl="1">
      <w:lvlJc w:val="left"/>
      <w:lvlText w:val="(%2)"/>
      <w:numFmt w:val="decimal"/>
      <w:start w:val="2"/>
    </w:lvl>
  </w:abstractNum>
  <w:abstractNum w:abstractNumId="14">
    <w:nsid w:val="57E4CCAF"/>
    <w:multiLevelType w:val="hybridMultilevel"/>
    <w:lvl w:ilvl="0">
      <w:lvlJc w:val="left"/>
      <w:lvlText w:val="(%1)"/>
      <w:numFmt w:val="lowerLetter"/>
      <w:start w:val="7"/>
    </w:lvl>
    <w:lvl w:ilvl="1">
      <w:lvlJc w:val="left"/>
      <w:lvlText w:val="%2"/>
      <w:numFmt w:val="decimal"/>
      <w:start w:val="1"/>
    </w:lvl>
  </w:abstractNum>
  <w:abstractNum w:abstractNumId="15">
    <w:nsid w:val="7A6D8D3C"/>
    <w:multiLevelType w:val="hybridMultilevel"/>
    <w:lvl w:ilvl="0">
      <w:lvlJc w:val="left"/>
      <w:lvlText w:val="(%1)"/>
      <w:numFmt w:val="lowerLetter"/>
      <w:start w:val="12"/>
    </w:lvl>
  </w:abstractNum>
  <w:abstractNum w:abstractNumId="16">
    <w:nsid w:val="4B588F54"/>
    <w:multiLevelType w:val="hybridMultilevel"/>
    <w:lvl w:ilvl="0">
      <w:lvlJc w:val="left"/>
      <w:lvlText w:val="%1"/>
      <w:numFmt w:val="decimal"/>
      <w:start w:val="1"/>
    </w:lvl>
    <w:lvl w:ilvl="1">
      <w:lvlJc w:val="left"/>
      <w:lvlText w:val="(%2)"/>
      <w:numFmt w:val="lowerLetter"/>
      <w:start w:val="27"/>
    </w:lvl>
  </w:abstractNum>
  <w:abstractNum w:abstractNumId="17">
    <w:nsid w:val="542289EC"/>
    <w:multiLevelType w:val="hybridMultilevel"/>
    <w:lvl w:ilvl="0">
      <w:lvlJc w:val="left"/>
      <w:lvlText w:val="%1."/>
      <w:numFmt w:val="decimal"/>
      <w:start w:val="3"/>
    </w:lvl>
    <w:lvl w:ilvl="1">
      <w:lvlJc w:val="left"/>
      <w:lvlText w:val="(%2)"/>
      <w:numFmt w:val="lowerLetter"/>
      <w:start w:val="1"/>
    </w:lvl>
  </w:abstractNum>
  <w:abstractNum w:abstractNumId="18">
    <w:nsid w:val="6DE91B18"/>
    <w:multiLevelType w:val="hybridMultilevel"/>
    <w:lvl w:ilvl="0">
      <w:lvlJc w:val="left"/>
      <w:lvlText w:val="(%1)"/>
      <w:numFmt w:val="lowerLetter"/>
      <w:start w:val="2"/>
    </w:lvl>
  </w:abstractNum>
  <w:abstractNum w:abstractNumId="19">
    <w:nsid w:val="38437FDB"/>
    <w:multiLevelType w:val="hybridMultilevel"/>
    <w:lvl w:ilvl="0">
      <w:lvlJc w:val="left"/>
      <w:lvlText w:val="(%1)"/>
      <w:numFmt w:val="lowerLetter"/>
      <w:start w:val="3"/>
    </w:lvl>
  </w:abstractNum>
  <w:abstractNum w:abstractNumId="20">
    <w:nsid w:val="7644A45C"/>
    <w:multiLevelType w:val="hybridMultilevel"/>
    <w:lvl w:ilvl="0">
      <w:lvlJc w:val="left"/>
      <w:lvlText w:val="(%1)"/>
      <w:numFmt w:val="decimal"/>
      <w:start w:val="4"/>
    </w:lvl>
  </w:abstractNum>
  <w:abstractNum w:abstractNumId="21">
    <w:nsid w:val="32FFF902"/>
    <w:multiLevelType w:val="hybridMultilevel"/>
    <w:lvl w:ilvl="0">
      <w:lvlJc w:val="left"/>
      <w:lvlText w:val="(%1)"/>
      <w:numFmt w:val="lowerLetter"/>
      <w:start w:val="4"/>
    </w:lvl>
  </w:abstractNum>
  <w:abstractNum w:abstractNumId="22">
    <w:nsid w:val="684A481A"/>
    <w:multiLevelType w:val="hybridMultilevel"/>
    <w:lvl w:ilvl="0">
      <w:lvlJc w:val="left"/>
      <w:lvlText w:val="(%1)"/>
      <w:numFmt w:val="lowerLetter"/>
      <w:start w:val="5"/>
    </w:lvl>
  </w:abstractNum>
  <w:abstractNum w:abstractNumId="23">
    <w:nsid w:val="579478FE"/>
    <w:multiLevelType w:val="hybridMultilevel"/>
    <w:lvl w:ilvl="0">
      <w:lvlJc w:val="left"/>
      <w:lvlText w:val="%1."/>
      <w:numFmt w:val="decimal"/>
      <w:start w:val="4"/>
    </w:lvl>
  </w:abstractNum>
  <w:abstractNum w:abstractNumId="24">
    <w:nsid w:val="749ABB43"/>
    <w:multiLevelType w:val="hybridMultilevel"/>
    <w:lvl w:ilvl="0">
      <w:lvlJc w:val="left"/>
      <w:lvlText w:val="%1."/>
      <w:numFmt w:val="decimal"/>
      <w:start w:val="5"/>
    </w:lvl>
  </w:abstractNum>
  <w:abstractNum w:abstractNumId="25">
    <w:nsid w:val="3DC240FB"/>
    <w:multiLevelType w:val="hybridMultilevel"/>
    <w:lvl w:ilvl="0">
      <w:lvlJc w:val="left"/>
      <w:lvlText w:val="%1."/>
      <w:numFmt w:val="decimal"/>
      <w:start w:val="6"/>
    </w:lvl>
  </w:abstractNum>
  <w:abstractNum w:abstractNumId="26">
    <w:nsid w:val="1BA026FA"/>
    <w:multiLevelType w:val="hybridMultilevel"/>
    <w:lvl w:ilvl="0">
      <w:lvlJc w:val="left"/>
      <w:lvlText w:val="(%1)"/>
      <w:numFmt w:val="decimal"/>
      <w:start w:val="12"/>
    </w:lvl>
  </w:abstractNum>
  <w:abstractNum w:abstractNumId="27">
    <w:nsid w:val="79A1DEAA"/>
    <w:multiLevelType w:val="hybridMultilevel"/>
    <w:lvl w:ilvl="0">
      <w:lvlJc w:val="left"/>
      <w:lvlText w:val="%1."/>
      <w:numFmt w:val="decimal"/>
      <w:start w:val="7"/>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lowerLetter"/>
      <w:start w:val="2"/>
    </w:lvl>
  </w:abstractNum>
  <w:abstractNum w:abstractNumId="30">
    <w:nsid w:val="70C6A529"/>
    <w:multiLevelType w:val="hybridMultilevel"/>
    <w:lvl w:ilvl="0">
      <w:lvlJc w:val="left"/>
      <w:lvlText w:val="(%1)"/>
      <w:numFmt w:val="lowerLetter"/>
      <w:start w:val="3"/>
    </w:lvl>
    <w:lvl w:ilvl="1">
      <w:lvlJc w:val="left"/>
      <w:lvlText w:val="(%2)"/>
      <w:numFmt w:val="decimal"/>
      <w:start w:val="1"/>
    </w:lvl>
  </w:abstractNum>
  <w:abstractNum w:abstractNumId="31">
    <w:nsid w:val="520EEDD1"/>
    <w:multiLevelType w:val="hybridMultilevel"/>
    <w:lvl w:ilvl="0">
      <w:lvlJc w:val="left"/>
      <w:lvlText w:val="(%1)"/>
      <w:numFmt w:val="lowerLetter"/>
      <w:start w:val="4"/>
    </w:lvl>
    <w:lvl w:ilvl="1">
      <w:lvlJc w:val="left"/>
      <w:lvlText w:val="(%2)"/>
      <w:numFmt w:val="decimal"/>
      <w:start w:val="1"/>
    </w:lvl>
  </w:abstractNum>
  <w:abstractNum w:abstractNumId="32">
    <w:nsid w:val="374A3FE6"/>
    <w:multiLevelType w:val="hybridMultilevel"/>
    <w:lvl w:ilvl="0">
      <w:lvlJc w:val="left"/>
      <w:lvlText w:val="(%1)"/>
      <w:numFmt w:val="lowerLetter"/>
      <w:start w:val="7"/>
    </w:lvl>
  </w:abstractNum>
  <w:abstractNum w:abstractNumId="33">
    <w:nsid w:val="4F4EF005"/>
    <w:multiLevelType w:val="hybridMultilevel"/>
    <w:lvl w:ilvl="0">
      <w:lvlJc w:val="left"/>
      <w:lvlText w:val="%1."/>
      <w:numFmt w:val="decimal"/>
      <w:start w:val="8"/>
    </w:lvl>
    <w:lvl w:ilvl="1">
      <w:lvlJc w:val="left"/>
      <w:lvlText w:val="(%2)"/>
      <w:numFmt w:val="lowerLetter"/>
      <w:start w:val="1"/>
    </w:lvl>
  </w:abstractNum>
  <w:abstractNum w:abstractNumId="34">
    <w:nsid w:val="23F9C13C"/>
    <w:multiLevelType w:val="hybridMultilevel"/>
    <w:lvl w:ilvl="0">
      <w:lvlJc w:val="left"/>
      <w:lvlText w:val="(%1)"/>
      <w:numFmt w:val="lowerLetter"/>
      <w:start w:val="2"/>
    </w:lvl>
  </w:abstractNum>
  <w:abstractNum w:abstractNumId="35">
    <w:nsid w:val="649BB77C"/>
    <w:multiLevelType w:val="hybridMultilevel"/>
    <w:lvl w:ilvl="0">
      <w:lvlJc w:val="left"/>
      <w:lvlText w:val="(%1)"/>
      <w:numFmt w:val="lowerLetter"/>
      <w:start w:val="3"/>
    </w:lvl>
  </w:abstractNum>
  <w:abstractNum w:abstractNumId="36">
    <w:nsid w:val="275AC794"/>
    <w:multiLevelType w:val="hybridMultilevel"/>
    <w:lvl w:ilvl="0">
      <w:lvlJc w:val="left"/>
      <w:lvlText w:val="(%1)"/>
      <w:numFmt w:val="lowerLetter"/>
      <w:start w:val="4"/>
    </w:lvl>
  </w:abstractNum>
  <w:abstractNum w:abstractNumId="37">
    <w:nsid w:val="39386575"/>
    <w:multiLevelType w:val="hybridMultilevel"/>
    <w:lvl w:ilvl="0">
      <w:lvlJc w:val="left"/>
      <w:lvlText w:val="(%1)"/>
      <w:numFmt w:val="lowerLetter"/>
      <w:start w:val="5"/>
    </w:lvl>
  </w:abstractNum>
  <w:abstractNum w:abstractNumId="38">
    <w:nsid w:val="1CF10FD8"/>
    <w:multiLevelType w:val="hybridMultilevel"/>
    <w:lvl w:ilvl="0">
      <w:lvlJc w:val="left"/>
      <w:lvlText w:val="(%1)"/>
      <w:numFmt w:val="lowerLetter"/>
      <w:start w:val="6"/>
    </w:lvl>
    <w:lvl w:ilvl="1">
      <w:lvlJc w:val="left"/>
      <w:lvlText w:val="(%2)"/>
      <w:numFmt w:val="decimal"/>
      <w:start w:val="1"/>
    </w:lvl>
  </w:abstractNum>
  <w:abstractNum w:abstractNumId="39">
    <w:nsid w:val="180115BE"/>
    <w:multiLevelType w:val="hybridMultilevel"/>
    <w:lvl w:ilvl="0">
      <w:lvlJc w:val="left"/>
      <w:lvlText w:val="%1"/>
      <w:numFmt w:val="lowerLetter"/>
      <w:start w:val="1"/>
    </w:lvl>
    <w:lvl w:ilvl="1">
      <w:lvlJc w:val="left"/>
      <w:lvlText w:val="(%2)"/>
      <w:numFmt w:val="decimal"/>
      <w:start w:val="2"/>
    </w:lvl>
  </w:abstractNum>
  <w:abstractNum w:abstractNumId="40">
    <w:nsid w:val="235BA861"/>
    <w:multiLevelType w:val="hybridMultilevel"/>
    <w:lvl w:ilvl="0">
      <w:lvlJc w:val="left"/>
      <w:lvlText w:val="(%1)"/>
      <w:numFmt w:val="lowerLetter"/>
      <w:start w:val="7"/>
    </w:lvl>
    <w:lvl w:ilvl="1">
      <w:lvlJc w:val="left"/>
      <w:lvlText w:val="%2"/>
      <w:numFmt w:val="decimal"/>
      <w:start w:val="1"/>
    </w:lvl>
  </w:abstractNum>
  <w:abstractNum w:abstractNumId="41">
    <w:nsid w:val="47398C89"/>
    <w:multiLevelType w:val="hybridMultilevel"/>
    <w:lvl w:ilvl="0">
      <w:lvlJc w:val="left"/>
      <w:lvlText w:val="(%1)"/>
      <w:numFmt w:val="lowerLetter"/>
      <w:start w:val="8"/>
    </w:lvl>
    <w:lvl w:ilvl="1">
      <w:lvlJc w:val="left"/>
      <w:lvlText w:val="(%2)"/>
      <w:numFmt w:val="decimal"/>
      <w:start w:val="1"/>
    </w:lvl>
  </w:abstractNum>
  <w:abstractNum w:abstractNumId="42">
    <w:nsid w:val="354FE9F9"/>
    <w:multiLevelType w:val="hybridMultilevel"/>
    <w:lvl w:ilvl="0">
      <w:lvlJc w:val="left"/>
      <w:lvlText w:val="(%1)"/>
      <w:numFmt w:val="lowerRoman"/>
      <w:start w:val="1"/>
    </w:lvl>
  </w:abstractNum>
  <w:abstractNum w:abstractNumId="43">
    <w:nsid w:val="15B5AF5C"/>
    <w:multiLevelType w:val="hybridMultilevel"/>
    <w:lvl w:ilvl="0">
      <w:lvlJc w:val="left"/>
      <w:lvlText w:val="%1."/>
      <w:numFmt w:val="decimal"/>
      <w:start w:val="9"/>
    </w:lvl>
    <w:lvl w:ilvl="1">
      <w:lvlJc w:val="left"/>
      <w:lvlText w:val="(%2)"/>
      <w:numFmt w:val="lowerLetter"/>
      <w:start w:val="1"/>
    </w:lvl>
  </w:abstractNum>
  <w:abstractNum w:abstractNumId="44">
    <w:nsid w:val="741226BB"/>
    <w:multiLevelType w:val="hybridMultilevel"/>
    <w:lvl w:ilvl="0">
      <w:lvlJc w:val="left"/>
      <w:lvlText w:val="(%1)"/>
      <w:numFmt w:val="lowerLetter"/>
      <w:start w:val="2"/>
    </w:lvl>
  </w:abstractNum>
  <w:abstractNum w:abstractNumId="45">
    <w:nsid w:val="D34B6A8"/>
    <w:multiLevelType w:val="hybridMultilevel"/>
    <w:lvl w:ilvl="0">
      <w:lvlJc w:val="left"/>
      <w:lvlText w:val="(%1)"/>
      <w:numFmt w:val="lowerLetter"/>
      <w:start w:val="3"/>
    </w:lvl>
  </w:abstractNum>
  <w:abstractNum w:abstractNumId="46">
    <w:nsid w:val="10233C99"/>
    <w:multiLevelType w:val="hybridMultilevel"/>
    <w:lvl w:ilvl="0">
      <w:lvlJc w:val="left"/>
      <w:lvlText w:val="(%1)"/>
      <w:numFmt w:val="lowerLetter"/>
      <w:start w:val="4"/>
    </w:lvl>
  </w:abstractNum>
  <w:abstractNum w:abstractNumId="47">
    <w:nsid w:val="3F6AB60F"/>
    <w:multiLevelType w:val="hybridMultilevel"/>
    <w:lvl w:ilvl="0">
      <w:lvlJc w:val="left"/>
      <w:lvlText w:val="(%1)"/>
      <w:numFmt w:val="lowerLetter"/>
      <w:start w:val="5"/>
    </w:lvl>
  </w:abstractNum>
  <w:abstractNum w:abstractNumId="48">
    <w:nsid w:val="61574095"/>
    <w:multiLevelType w:val="hybridMultilevel"/>
    <w:lvl w:ilvl="0">
      <w:lvlJc w:val="left"/>
      <w:lvlText w:val="%1."/>
      <w:numFmt w:val="decimal"/>
      <w:start w:val="10"/>
    </w:lvl>
  </w:abstractNum>
  <w:abstractNum w:abstractNumId="49">
    <w:nsid w:val="7E0C57B1"/>
    <w:multiLevelType w:val="hybridMultilevel"/>
    <w:lvl w:ilvl="0">
      <w:lvlJc w:val="left"/>
      <w:lvlText w:val="%1."/>
      <w:numFmt w:val="decimal"/>
      <w:start w:val="11"/>
    </w:lvl>
  </w:abstractNum>
  <w:abstractNum w:abstractNumId="50">
    <w:nsid w:val="77AE35EB"/>
    <w:multiLevelType w:val="hybridMultilevel"/>
    <w:lvl w:ilvl="0">
      <w:lvlJc w:val="left"/>
      <w:lvlText w:val="%1."/>
      <w:numFmt w:val="decimal"/>
      <w:start w:val="12"/>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2"/>
    </w:lvl>
  </w:abstractNum>
  <w:abstractNum w:abstractNumId="53">
    <w:nsid w:val="5FF87E05"/>
    <w:multiLevelType w:val="hybridMultilevel"/>
    <w:lvl w:ilvl="0">
      <w:lvlJc w:val="left"/>
      <w:lvlText w:val="(%1)"/>
      <w:numFmt w:val="lowerLetter"/>
      <w:start w:val="3"/>
    </w:lvl>
  </w:abstractNum>
  <w:abstractNum w:abstractNumId="54">
    <w:nsid w:val="2F305DEF"/>
    <w:multiLevelType w:val="hybridMultilevel"/>
    <w:lvl w:ilvl="0">
      <w:lvlJc w:val="left"/>
      <w:lvlText w:val="(%1)"/>
      <w:numFmt w:val="lowerLetter"/>
      <w:start w:val="4"/>
    </w:lvl>
  </w:abstractNum>
  <w:abstractNum w:abstractNumId="55">
    <w:nsid w:val="25A70BF7"/>
    <w:multiLevelType w:val="hybridMultilevel"/>
    <w:lvl w:ilvl="0">
      <w:lvlJc w:val="left"/>
      <w:lvlText w:val="(%1)"/>
      <w:numFmt w:val="lowerLetter"/>
      <w:start w:val="5"/>
    </w:lvl>
  </w:abstractNum>
  <w:abstractNum w:abstractNumId="56">
    <w:nsid w:val="1DBABF00"/>
    <w:multiLevelType w:val="hybridMultilevel"/>
    <w:lvl w:ilvl="0">
      <w:lvlJc w:val="left"/>
      <w:lvlText w:val="(%1)"/>
      <w:numFmt w:val="lowerLetter"/>
      <w:start w:val="6"/>
    </w:lvl>
  </w:abstractNum>
  <w:abstractNum w:abstractNumId="57">
    <w:nsid w:val="4AD084E9"/>
    <w:multiLevelType w:val="hybridMultilevel"/>
    <w:lvl w:ilvl="0">
      <w:lvlJc w:val="left"/>
      <w:lvlText w:val="%1."/>
      <w:numFmt w:val="decimal"/>
      <w:start w:val="13"/>
    </w:lvl>
  </w:abstractNum>
  <w:abstractNum w:abstractNumId="58">
    <w:nsid w:val="1F48EAA1"/>
    <w:multiLevelType w:val="hybridMultilevel"/>
    <w:lvl w:ilvl="0">
      <w:lvlJc w:val="left"/>
      <w:lvlText w:val="%1."/>
      <w:numFmt w:val="decimal"/>
      <w:start w:val="14"/>
    </w:lvl>
  </w:abstractNum>
  <w:abstractNum w:abstractNumId="59">
    <w:nsid w:val="1381823A"/>
    <w:multiLevelType w:val="hybridMultilevel"/>
    <w:lvl w:ilvl="0">
      <w:lvlJc w:val="left"/>
      <w:lvlText w:val="%1."/>
      <w:numFmt w:val="decimal"/>
      <w:start w:val="15"/>
    </w:lvl>
    <w:lvl w:ilvl="1">
      <w:lvlJc w:val="left"/>
      <w:lvlText w:val="(%2)"/>
      <w:numFmt w:val="lowerLetter"/>
      <w:start w:val="1"/>
    </w:lvl>
  </w:abstractNum>
  <w:abstractNum w:abstractNumId="60">
    <w:nsid w:val="5DB70AE5"/>
    <w:multiLevelType w:val="hybridMultilevel"/>
    <w:lvl w:ilvl="0">
      <w:lvlJc w:val="left"/>
      <w:lvlText w:val="%1."/>
      <w:numFmt w:val="decimal"/>
      <w:start w:val="17"/>
    </w:lvl>
  </w:abstractNum>
  <w:abstractNum w:abstractNumId="61">
    <w:nsid w:val="100F8FCA"/>
    <w:multiLevelType w:val="hybridMultilevel"/>
    <w:lvl w:ilvl="0">
      <w:lvlJc w:val="left"/>
      <w:lvlText w:val="%1."/>
      <w:numFmt w:val="decimal"/>
      <w:start w:val="18"/>
    </w:lvl>
  </w:abstractNum>
  <w:abstractNum w:abstractNumId="62">
    <w:nsid w:val="6590700B"/>
    <w:multiLevelType w:val="hybridMultilevel"/>
    <w:lvl w:ilvl="0">
      <w:lvlJc w:val="left"/>
      <w:lvlText w:val="%1."/>
      <w:numFmt w:val="decimal"/>
      <w:start w:val="19"/>
    </w:lvl>
  </w:abstractNum>
  <w:abstractNum w:abstractNumId="63">
    <w:nsid w:val="15014ACB"/>
    <w:multiLevelType w:val="hybridMultilevel"/>
    <w:lvl w:ilvl="0">
      <w:lvlJc w:val="left"/>
      <w:lvlText w:val="%1."/>
      <w:numFmt w:val="decimal"/>
      <w:start w:val="20"/>
    </w:lvl>
  </w:abstractNum>
  <w:abstractNum w:abstractNumId="64">
    <w:nsid w:val="5F5E7FD0"/>
    <w:multiLevelType w:val="hybridMultilevel"/>
    <w:lvl w:ilvl="0">
      <w:lvlJc w:val="left"/>
      <w:lvlText w:val="%1."/>
      <w:numFmt w:val="decimal"/>
      <w:start w:val="21"/>
    </w:lvl>
  </w:abstractNum>
  <w:abstractNum w:abstractNumId="65">
    <w:nsid w:val="98A3148"/>
    <w:multiLevelType w:val="hybridMultilevel"/>
    <w:lvl w:ilvl="0">
      <w:lvlJc w:val="left"/>
      <w:lvlText w:val="%1."/>
      <w:numFmt w:val="decimal"/>
      <w:start w:val="23"/>
    </w:lvl>
  </w:abstractNum>
  <w:abstractNum w:abstractNumId="66">
    <w:nsid w:val="799D0247"/>
    <w:multiLevelType w:val="hybridMultilevel"/>
    <w:lvl w:ilvl="0">
      <w:lvlJc w:val="left"/>
      <w:lvlText w:val="%1."/>
      <w:numFmt w:val="decimal"/>
      <w:start w:val="24"/>
    </w:lvl>
  </w:abstractNum>
  <w:abstractNum w:abstractNumId="67">
    <w:nsid w:val="6B94764"/>
    <w:multiLevelType w:val="hybridMultilevel"/>
    <w:lvl w:ilvl="0">
      <w:lvlJc w:val="left"/>
      <w:lvlText w:val="%1."/>
      <w:numFmt w:val="decimal"/>
      <w:start w:val="25"/>
    </w:lvl>
  </w:abstractNum>
  <w:abstractNum w:abstractNumId="68">
    <w:nsid w:val="42C296BD"/>
    <w:multiLevelType w:val="hybridMultilevel"/>
    <w:lvl w:ilvl="0">
      <w:lvlJc w:val="left"/>
      <w:lvlText w:val="%1."/>
      <w:numFmt w:val="decimal"/>
      <w:start w:val="26"/>
    </w:lvl>
  </w:abstractNum>
  <w:abstractNum w:abstractNumId="69">
    <w:nsid w:val="168E121F"/>
    <w:multiLevelType w:val="hybridMultilevel"/>
    <w:lvl w:ilvl="0">
      <w:lvlJc w:val="left"/>
      <w:lvlText w:val="%1."/>
      <w:numFmt w:val="decimal"/>
      <w:start w:val="27"/>
    </w:lvl>
  </w:abstractNum>
  <w:abstractNum w:abstractNumId="70">
    <w:nsid w:val="1EBA5D23"/>
    <w:multiLevelType w:val="hybridMultilevel"/>
    <w:lvl w:ilvl="0">
      <w:lvlJc w:val="left"/>
      <w:lvlText w:val="%1."/>
      <w:numFmt w:val="decimal"/>
      <w:start w:val="28"/>
    </w:lvl>
  </w:abstractNum>
  <w:abstractNum w:abstractNumId="71">
    <w:nsid w:val="661E3F1E"/>
    <w:multiLevelType w:val="hybridMultilevel"/>
    <w:lvl w:ilvl="0">
      <w:lvlJc w:val="left"/>
      <w:lvlText w:val="%1."/>
      <w:numFmt w:val="decimal"/>
      <w:start w:val="29"/>
    </w:lvl>
  </w:abstractNum>
  <w:abstractNum w:abstractNumId="72">
    <w:nsid w:val="5DC79EA8"/>
    <w:multiLevelType w:val="hybridMultilevel"/>
    <w:lvl w:ilvl="0">
      <w:lvlJc w:val="left"/>
      <w:lvlText w:val="%1."/>
      <w:numFmt w:val="decimal"/>
      <w:start w:val="30"/>
    </w:lvl>
  </w:abstractNum>
  <w:abstractNum w:abstractNumId="73">
    <w:nsid w:val="540A471C"/>
    <w:multiLevelType w:val="hybridMultilevel"/>
    <w:lvl w:ilvl="0">
      <w:lvlJc w:val="left"/>
      <w:lvlText w:val="%1."/>
      <w:numFmt w:val="decimal"/>
      <w:start w:val="31"/>
    </w:lvl>
  </w:abstractNum>
  <w:abstractNum w:abstractNumId="74">
    <w:nsid w:val="7BD3EE7B"/>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2019-12-06T04:29:19Z</dcterms:created>
  <dcterms:modified xsi:type="dcterms:W3CDTF">2019-12-06T04:29:19Z</dcterms:modified>
</cp:coreProperties>
</file>