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7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3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9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4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231F20"/>
        </w:rPr>
        <w:t>Pursuant to Section 13 or 15(d) of The Securities Exchange Act of 1934</w:t>
      </w:r>
    </w:p>
    <w:p>
      <w:pPr>
        <w:spacing w:after="0" w:line="24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April 29, 2026</w:t>
      </w:r>
    </w:p>
    <w:p>
      <w:pPr>
        <w:spacing w:after="0" w:line="29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6"/>
          <w:szCs w:val="36"/>
          <w:b w:val="1"/>
          <w:bCs w:val="1"/>
          <w:color w:val="auto"/>
        </w:rPr>
        <w:t>REGENERON PHARMACEUTICALS, INC.</w:t>
      </w:r>
    </w:p>
    <w:p>
      <w:pPr>
        <w:spacing w:after="0" w:line="9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92" w:lineRule="exact"/>
        <w:rPr>
          <w:sz w:val="24"/>
          <w:szCs w:val="24"/>
          <w:color w:val="auto"/>
        </w:rPr>
      </w:pPr>
    </w:p>
    <w:tbl>
      <w:tblPr>
        <w:tblLayout w:type="fixed"/>
        <w:tblInd w:w="1000" w:type="dxa"/>
        <w:tblCellMar>
          <w:top w:w="0" w:type="dxa"/>
          <w:left w:w="0" w:type="dxa"/>
          <w:bottom w:w="0" w:type="dxa"/>
          <w:right w:w="0" w:type="dxa"/>
        </w:tblCellMar>
      </w:tblPr>
      <w:tr>
        <w:trPr>
          <w:trHeight w:val="252"/>
        </w:trPr>
        <w:tc>
          <w:tcPr>
            <w:tcW w:w="3160" w:type="dxa"/>
            <w:vAlign w:val="bottom"/>
          </w:tcPr>
          <w:p>
            <w:pPr>
              <w:jc w:val="center"/>
              <w:ind w:right="559"/>
              <w:spacing w:after="0"/>
              <w:rPr>
                <w:sz w:val="20"/>
                <w:szCs w:val="20"/>
                <w:color w:val="auto"/>
              </w:rPr>
            </w:pPr>
            <w:r>
              <w:rPr>
                <w:rFonts w:ascii="Times New Roman" w:cs="Times New Roman" w:eastAsia="Times New Roman" w:hAnsi="Times New Roman"/>
                <w:sz w:val="18"/>
                <w:szCs w:val="18"/>
                <w:b w:val="1"/>
                <w:bCs w:val="1"/>
                <w:color w:val="auto"/>
                <w:w w:val="96"/>
              </w:rPr>
              <w:t>New York</w:t>
            </w:r>
          </w:p>
        </w:tc>
        <w:tc>
          <w:tcPr>
            <w:tcW w:w="3000" w:type="dxa"/>
            <w:vAlign w:val="bottom"/>
          </w:tcPr>
          <w:p>
            <w:pPr>
              <w:jc w:val="right"/>
              <w:ind w:right="1079"/>
              <w:spacing w:after="0"/>
              <w:rPr>
                <w:sz w:val="20"/>
                <w:szCs w:val="20"/>
                <w:color w:val="auto"/>
              </w:rPr>
            </w:pPr>
            <w:r>
              <w:rPr>
                <w:rFonts w:ascii="Times New Roman" w:cs="Times New Roman" w:eastAsia="Times New Roman" w:hAnsi="Times New Roman"/>
                <w:sz w:val="18"/>
                <w:szCs w:val="18"/>
                <w:b w:val="1"/>
                <w:bCs w:val="1"/>
                <w:color w:val="auto"/>
              </w:rPr>
              <w:t>000-19034</w:t>
            </w:r>
          </w:p>
        </w:tc>
        <w:tc>
          <w:tcPr>
            <w:tcW w:w="2860" w:type="dxa"/>
            <w:vAlign w:val="bottom"/>
          </w:tcPr>
          <w:p>
            <w:pPr>
              <w:jc w:val="right"/>
              <w:ind w:right="519"/>
              <w:spacing w:after="0"/>
              <w:rPr>
                <w:sz w:val="20"/>
                <w:szCs w:val="20"/>
                <w:color w:val="auto"/>
              </w:rPr>
            </w:pPr>
            <w:r>
              <w:rPr>
                <w:rFonts w:ascii="Times New Roman" w:cs="Times New Roman" w:eastAsia="Times New Roman" w:hAnsi="Times New Roman"/>
                <w:sz w:val="18"/>
                <w:szCs w:val="18"/>
                <w:b w:val="1"/>
                <w:bCs w:val="1"/>
                <w:color w:val="auto"/>
              </w:rPr>
              <w:t>13-3444607</w:t>
            </w:r>
          </w:p>
        </w:tc>
      </w:tr>
      <w:tr>
        <w:trPr>
          <w:trHeight w:val="206"/>
        </w:trPr>
        <w:tc>
          <w:tcPr>
            <w:tcW w:w="3160" w:type="dxa"/>
            <w:vAlign w:val="bottom"/>
          </w:tcPr>
          <w:p>
            <w:pPr>
              <w:jc w:val="center"/>
              <w:ind w:right="559"/>
              <w:spacing w:after="0"/>
              <w:rPr>
                <w:sz w:val="20"/>
                <w:szCs w:val="20"/>
                <w:color w:val="auto"/>
              </w:rPr>
            </w:pPr>
            <w:r>
              <w:rPr>
                <w:rFonts w:ascii="Times New Roman" w:cs="Times New Roman" w:eastAsia="Times New Roman" w:hAnsi="Times New Roman"/>
                <w:sz w:val="14"/>
                <w:szCs w:val="14"/>
                <w:color w:val="auto"/>
              </w:rPr>
              <w:t>(State or other jurisdiction of incorporation)</w:t>
            </w:r>
          </w:p>
        </w:tc>
        <w:tc>
          <w:tcPr>
            <w:tcW w:w="3000" w:type="dxa"/>
            <w:vAlign w:val="bottom"/>
          </w:tcPr>
          <w:p>
            <w:pPr>
              <w:jc w:val="center"/>
              <w:ind w:right="19"/>
              <w:spacing w:after="0"/>
              <w:rPr>
                <w:sz w:val="20"/>
                <w:szCs w:val="20"/>
                <w:color w:val="auto"/>
              </w:rPr>
            </w:pPr>
            <w:r>
              <w:rPr>
                <w:rFonts w:ascii="Times New Roman" w:cs="Times New Roman" w:eastAsia="Times New Roman" w:hAnsi="Times New Roman"/>
                <w:sz w:val="14"/>
                <w:szCs w:val="14"/>
                <w:color w:val="auto"/>
              </w:rPr>
              <w:t>(Commission File Number)</w:t>
            </w:r>
          </w:p>
        </w:tc>
        <w:tc>
          <w:tcPr>
            <w:tcW w:w="2860" w:type="dxa"/>
            <w:vAlign w:val="bottom"/>
          </w:tcPr>
          <w:p>
            <w:pPr>
              <w:jc w:val="center"/>
              <w:ind w:left="699"/>
              <w:spacing w:after="0"/>
              <w:rPr>
                <w:sz w:val="20"/>
                <w:szCs w:val="20"/>
                <w:color w:val="auto"/>
              </w:rPr>
            </w:pPr>
            <w:r>
              <w:rPr>
                <w:rFonts w:ascii="Times New Roman" w:cs="Times New Roman" w:eastAsia="Times New Roman" w:hAnsi="Times New Roman"/>
                <w:sz w:val="14"/>
                <w:szCs w:val="14"/>
                <w:color w:val="auto"/>
              </w:rPr>
              <w:t>(I.R.S. Employer Identification No.)</w:t>
            </w:r>
          </w:p>
        </w:tc>
      </w:tr>
    </w:tbl>
    <w:p>
      <w:pPr>
        <w:spacing w:after="0" w:line="15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777 Old Saw Mill River Road, Tarrytown, New York 10591-6707</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(Address of Principal Executive Offices, including zip code)</w:t>
      </w:r>
    </w:p>
    <w:p>
      <w:pPr>
        <w:spacing w:after="0" w:line="39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(914) 847-7000</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200" w:lineRule="exact"/>
        <w:rPr>
          <w:sz w:val="24"/>
          <w:szCs w:val="24"/>
          <w:color w:val="auto"/>
        </w:rPr>
      </w:pPr>
    </w:p>
    <w:p>
      <w:pPr>
        <w:spacing w:after="0" w:line="26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13e-4(c) under the Exchange Act (17 CFR 240.13e-4(c))</w:t>
      </w:r>
    </w:p>
    <w:p>
      <w:pPr>
        <w:spacing w:after="0" w:line="26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31" w:lineRule="exact"/>
        <w:rPr>
          <w:sz w:val="24"/>
          <w:szCs w:val="24"/>
          <w:color w:val="auto"/>
        </w:rPr>
      </w:pPr>
    </w:p>
    <w:tbl>
      <w:tblPr>
        <w:tblLayout w:type="fixed"/>
        <w:tblInd w:w="520" w:type="dxa"/>
        <w:tblCellMar>
          <w:top w:w="0" w:type="dxa"/>
          <w:left w:w="0" w:type="dxa"/>
          <w:bottom w:w="0" w:type="dxa"/>
          <w:right w:w="0" w:type="dxa"/>
        </w:tblCellMar>
      </w:tblPr>
      <w:tr>
        <w:trPr>
          <w:trHeight w:val="207"/>
        </w:trPr>
        <w:tc>
          <w:tcPr>
            <w:tcW w:w="980" w:type="dxa"/>
            <w:vAlign w:val="bottom"/>
          </w:tcPr>
          <w:p>
            <w:pPr>
              <w:spacing w:after="0"/>
              <w:rPr>
                <w:sz w:val="18"/>
                <w:szCs w:val="18"/>
                <w:color w:val="auto"/>
              </w:rPr>
            </w:pPr>
          </w:p>
        </w:tc>
        <w:tc>
          <w:tcPr>
            <w:tcW w:w="2880" w:type="dxa"/>
            <w:vAlign w:val="bottom"/>
            <w:gridSpan w:val="2"/>
          </w:tcPr>
          <w:p>
            <w:pPr>
              <w:jc w:val="center"/>
              <w:ind w:right="1580"/>
              <w:spacing w:after="0"/>
              <w:rPr>
                <w:sz w:val="20"/>
                <w:szCs w:val="20"/>
                <w:color w:val="auto"/>
              </w:rPr>
            </w:pPr>
            <w:r>
              <w:rPr>
                <w:rFonts w:ascii="Times New Roman" w:cs="Times New Roman" w:eastAsia="Times New Roman" w:hAnsi="Times New Roman"/>
                <w:sz w:val="18"/>
                <w:szCs w:val="18"/>
                <w:i w:val="1"/>
                <w:iCs w:val="1"/>
                <w:color w:val="auto"/>
                <w:w w:val="99"/>
              </w:rPr>
              <w:t>Title of each class</w:t>
            </w:r>
          </w:p>
        </w:tc>
        <w:tc>
          <w:tcPr>
            <w:tcW w:w="312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i w:val="1"/>
                <w:iCs w:val="1"/>
                <w:color w:val="auto"/>
                <w:w w:val="99"/>
              </w:rPr>
              <w:t>Trading Symbol(s)</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Name of each exchange on which registered</w:t>
            </w:r>
          </w:p>
        </w:tc>
      </w:tr>
      <w:tr>
        <w:trPr>
          <w:trHeight w:val="20"/>
        </w:trPr>
        <w:tc>
          <w:tcPr>
            <w:tcW w:w="9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50"/>
        </w:trPr>
        <w:tc>
          <w:tcPr>
            <w:tcW w:w="386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Common Stock - par value $.001 per share</w:t>
            </w:r>
          </w:p>
        </w:tc>
        <w:tc>
          <w:tcPr>
            <w:tcW w:w="580" w:type="dxa"/>
            <w:vAlign w:val="bottom"/>
          </w:tcPr>
          <w:p>
            <w:pPr>
              <w:spacing w:after="0"/>
              <w:rPr>
                <w:sz w:val="21"/>
                <w:szCs w:val="21"/>
                <w:color w:val="auto"/>
              </w:rPr>
            </w:pPr>
          </w:p>
        </w:tc>
        <w:tc>
          <w:tcPr>
            <w:tcW w:w="2540" w:type="dxa"/>
            <w:vAlign w:val="bottom"/>
            <w:gridSpan w:val="2"/>
          </w:tcPr>
          <w:p>
            <w:pPr>
              <w:jc w:val="center"/>
              <w:ind w:right="1220"/>
              <w:spacing w:after="0"/>
              <w:rPr>
                <w:sz w:val="20"/>
                <w:szCs w:val="20"/>
                <w:color w:val="auto"/>
              </w:rPr>
            </w:pPr>
            <w:r>
              <w:rPr>
                <w:rFonts w:ascii="Times New Roman" w:cs="Times New Roman" w:eastAsia="Times New Roman" w:hAnsi="Times New Roman"/>
                <w:sz w:val="18"/>
                <w:szCs w:val="18"/>
                <w:b w:val="1"/>
                <w:bCs w:val="1"/>
                <w:color w:val="auto"/>
                <w:w w:val="99"/>
              </w:rPr>
              <w:t>REGN</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bl>
    <w:p>
      <w:pPr>
        <w:spacing w:after="0" w:line="306"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231F20"/>
        </w:rPr>
        <w:t xml:space="preserve">Emerging growth company </w:t>
      </w:r>
      <w:r>
        <w:rPr>
          <w:rFonts w:ascii="MS PGothic" w:cs="MS PGothic" w:eastAsia="MS PGothic" w:hAnsi="MS PGothic"/>
          <w:sz w:val="18"/>
          <w:szCs w:val="18"/>
          <w:color w:val="000000"/>
        </w:rPr>
        <w:t>☐</w:t>
      </w:r>
    </w:p>
    <w:p>
      <w:pPr>
        <w:spacing w:after="0" w:line="293"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1144270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53" w:right="49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u w:val="single" w:color="auto"/>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On April 29, 2026, Regeneron Pharmaceuticals, Inc. issued a press release announcing its financial and operating results for the quarter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31, 2026. A copy of the press release is being furnished to the Securities and Exchange Commission as Exhibit 99.1 to this Current Report on Form</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8-K and is incorporated by reference to this Item 2.02.</w:t>
      </w:r>
    </w:p>
    <w:p>
      <w:pPr>
        <w:spacing w:after="0" w:line="234" w:lineRule="exact"/>
        <w:rPr>
          <w:sz w:val="20"/>
          <w:szCs w:val="20"/>
          <w:color w:val="auto"/>
        </w:rPr>
      </w:pPr>
    </w:p>
    <w:p>
      <w:pPr>
        <w:ind w:right="520" w:firstLine="243"/>
        <w:spacing w:after="0" w:line="266" w:lineRule="auto"/>
        <w:rPr>
          <w:sz w:val="20"/>
          <w:szCs w:val="20"/>
          <w:color w:val="auto"/>
        </w:rPr>
      </w:pPr>
      <w:r>
        <w:rPr>
          <w:rFonts w:ascii="Times New Roman" w:cs="Times New Roman" w:eastAsia="Times New Roman" w:hAnsi="Times New Roman"/>
          <w:sz w:val="18"/>
          <w:szCs w:val="18"/>
          <w:color w:val="auto"/>
        </w:rPr>
        <w:t>The information included or incorporated in this Item 2.02, including Exhibit 99.1, shall not be deemed "filed" for purposes of Section 18 of the Securities Exchange Act of 1934, as amended, nor shall such information and exhibit be deemed incorporated by reference in any filing under the Securities Act of 1933, as amended, except as shall be expressly set forth by specific reference in such a filing.</w:t>
      </w:r>
    </w:p>
    <w:p>
      <w:pPr>
        <w:spacing w:after="0" w:line="200" w:lineRule="exact"/>
        <w:rPr>
          <w:sz w:val="20"/>
          <w:szCs w:val="20"/>
          <w:color w:val="auto"/>
        </w:rPr>
      </w:pPr>
    </w:p>
    <w:p>
      <w:pPr>
        <w:spacing w:after="0" w:line="24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u w:val="single" w:color="auto"/>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99.1 </w:t>
      </w:r>
      <w:r>
        <w:rPr>
          <w:rFonts w:ascii="Times New Roman" w:cs="Times New Roman" w:eastAsia="Times New Roman" w:hAnsi="Times New Roman"/>
          <w:sz w:val="18"/>
          <w:szCs w:val="18"/>
          <w:u w:val="single" w:color="auto"/>
          <w:color w:val="0000FF"/>
        </w:rPr>
        <w:t>Press Release, dated April 29, 2026, Reporting First Quarter 2026 Financial and Operating Results.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 Cover Page Interactive Data File -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870585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30" w:right="439" w:bottom="1440" w:gutter="0" w:footer="0" w:header="0"/>
        </w:sectPr>
      </w:pPr>
    </w:p>
    <w:bookmarkStart w:id="2" w:name="page3"/>
    <w:bookmarkEnd w:id="2"/>
    <w:p>
      <w:pPr>
        <w:jc w:val="center"/>
        <w:ind w:right="-719"/>
        <w:spacing w:after="0"/>
        <w:rPr>
          <w:sz w:val="20"/>
          <w:szCs w:val="20"/>
          <w:color w:val="auto"/>
        </w:rPr>
      </w:pPr>
      <w:r>
        <w:rPr>
          <w:rFonts w:ascii="Times New Roman" w:cs="Times New Roman" w:eastAsia="Times New Roman" w:hAnsi="Times New Roman"/>
          <w:sz w:val="18"/>
          <w:szCs w:val="18"/>
          <w:color w:val="auto"/>
        </w:rPr>
        <w:t>SIGNATURES</w:t>
      </w:r>
    </w:p>
    <w:p>
      <w:pPr>
        <w:spacing w:after="0" w:line="252" w:lineRule="exact"/>
        <w:rPr>
          <w:sz w:val="20"/>
          <w:szCs w:val="20"/>
          <w:color w:val="auto"/>
        </w:rPr>
      </w:pPr>
    </w:p>
    <w:p>
      <w:pPr>
        <w:ind w:firstLine="24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26" w:lineRule="exact"/>
        <w:rPr>
          <w:sz w:val="20"/>
          <w:szCs w:val="20"/>
          <w:color w:val="auto"/>
        </w:rPr>
      </w:pPr>
    </w:p>
    <w:tbl>
      <w:tblPr>
        <w:tblLayout w:type="fixed"/>
        <w:tblInd w:w="2520" w:type="dxa"/>
        <w:tblCellMar>
          <w:top w:w="0" w:type="dxa"/>
          <w:left w:w="0" w:type="dxa"/>
          <w:bottom w:w="0" w:type="dxa"/>
          <w:right w:w="0" w:type="dxa"/>
        </w:tblCellMar>
      </w:tblPr>
      <w:tr>
        <w:trPr>
          <w:trHeight w:val="234"/>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Date: April 29, 2026</w:t>
            </w:r>
          </w:p>
        </w:tc>
        <w:tc>
          <w:tcPr>
            <w:tcW w:w="53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REGENERON PHARMACEUTICALS, INC.</w:t>
            </w:r>
          </w:p>
        </w:tc>
      </w:tr>
      <w:tr>
        <w:trPr>
          <w:trHeight w:val="459"/>
        </w:trPr>
        <w:tc>
          <w:tcPr>
            <w:tcW w:w="1920" w:type="dxa"/>
            <w:vAlign w:val="bottom"/>
          </w:tcPr>
          <w:p>
            <w:pPr>
              <w:spacing w:after="0"/>
              <w:rPr>
                <w:sz w:val="24"/>
                <w:szCs w:val="24"/>
                <w:color w:val="auto"/>
              </w:rPr>
            </w:pPr>
          </w:p>
        </w:tc>
        <w:tc>
          <w:tcPr>
            <w:tcW w:w="1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Joseph J. LaRosa</w:t>
            </w:r>
          </w:p>
        </w:tc>
      </w:tr>
      <w:tr>
        <w:trPr>
          <w:trHeight w:val="245"/>
        </w:trPr>
        <w:tc>
          <w:tcPr>
            <w:tcW w:w="1920" w:type="dxa"/>
            <w:vAlign w:val="bottom"/>
          </w:tcPr>
          <w:p>
            <w:pPr>
              <w:spacing w:after="0"/>
              <w:rPr>
                <w:sz w:val="21"/>
                <w:szCs w:val="21"/>
                <w:color w:val="auto"/>
              </w:rPr>
            </w:pPr>
          </w:p>
        </w:tc>
        <w:tc>
          <w:tcPr>
            <w:tcW w:w="1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Name:</w:t>
            </w:r>
          </w:p>
        </w:tc>
        <w:tc>
          <w:tcPr>
            <w:tcW w:w="1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Joseph J. LaRosa</w:t>
            </w:r>
          </w:p>
        </w:tc>
        <w:tc>
          <w:tcPr>
            <w:tcW w:w="2680" w:type="dxa"/>
            <w:vAlign w:val="bottom"/>
          </w:tcPr>
          <w:p>
            <w:pPr>
              <w:spacing w:after="0"/>
              <w:rPr>
                <w:sz w:val="21"/>
                <w:szCs w:val="21"/>
                <w:color w:val="auto"/>
              </w:rPr>
            </w:pPr>
          </w:p>
        </w:tc>
      </w:tr>
      <w:tr>
        <w:trPr>
          <w:trHeight w:val="234"/>
        </w:trPr>
        <w:tc>
          <w:tcPr>
            <w:tcW w:w="1920" w:type="dxa"/>
            <w:vAlign w:val="bottom"/>
          </w:tcPr>
          <w:p>
            <w:pPr>
              <w:spacing w:after="0"/>
              <w:rPr>
                <w:sz w:val="20"/>
                <w:szCs w:val="20"/>
                <w:color w:val="auto"/>
              </w:rPr>
            </w:pPr>
          </w:p>
        </w:tc>
        <w:tc>
          <w:tcPr>
            <w:tcW w:w="1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Title:</w:t>
            </w: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Executive Vice President, General Counsel and Secretary</w:t>
            </w:r>
          </w:p>
        </w:tc>
      </w:tr>
    </w:tbl>
    <w:p>
      <w:pPr>
        <w:sectPr>
          <w:pgSz w:w="11900" w:h="16838" w:orient="portrait"/>
          <w:cols w:equalWidth="0" w:num="1">
            <w:col w:w="10520"/>
          </w:cols>
          <w:pgMar w:left="320" w:top="891" w:right="10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303020" cy="2057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3020" cy="20574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22"/>
          <w:szCs w:val="22"/>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9"/>
          <w:szCs w:val="29"/>
          <w:b w:val="1"/>
          <w:bCs w:val="1"/>
          <w:color w:val="0F4DBC"/>
        </w:rPr>
        <w:t>Regeneron Reports First Quarter 2026 Financial and Operating Results</w:t>
      </w:r>
    </w:p>
    <w:p>
      <w:pPr>
        <w:spacing w:after="0" w:line="174" w:lineRule="exact"/>
        <w:rPr>
          <w:sz w:val="20"/>
          <w:szCs w:val="20"/>
          <w:color w:val="auto"/>
        </w:rPr>
      </w:pPr>
    </w:p>
    <w:p>
      <w:pPr>
        <w:ind w:left="320" w:hanging="312"/>
        <w:spacing w:after="0"/>
        <w:tabs>
          <w:tab w:leader="none" w:pos="32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First quarter 2026 revenues increased 19% to $3.6 billion versus first quarter 2025</w:t>
      </w:r>
    </w:p>
    <w:p>
      <w:pPr>
        <w:spacing w:after="0" w:line="23" w:lineRule="exact"/>
        <w:rPr>
          <w:rFonts w:ascii="Arial" w:cs="Arial" w:eastAsia="Arial" w:hAnsi="Arial"/>
          <w:sz w:val="22"/>
          <w:szCs w:val="22"/>
          <w:i w:val="1"/>
          <w:iCs w:val="1"/>
          <w:color w:val="auto"/>
        </w:rPr>
      </w:pPr>
    </w:p>
    <w:p>
      <w:pPr>
        <w:ind w:left="320" w:hanging="312"/>
        <w:spacing w:after="0"/>
        <w:tabs>
          <w:tab w:leader="none" w:pos="32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Dupixent</w:t>
      </w:r>
      <w:r>
        <w:rPr>
          <w:rFonts w:ascii="Arial" w:cs="Arial" w:eastAsia="Arial" w:hAnsi="Arial"/>
          <w:sz w:val="11"/>
          <w:szCs w:val="11"/>
          <w:i w:val="1"/>
          <w:iCs w:val="1"/>
          <w:color w:val="auto"/>
        </w:rPr>
        <w:t>®</w:t>
      </w:r>
      <w:r>
        <w:rPr>
          <w:rFonts w:ascii="Arial" w:cs="Arial" w:eastAsia="Arial" w:hAnsi="Arial"/>
          <w:sz w:val="22"/>
          <w:szCs w:val="22"/>
          <w:i w:val="1"/>
          <w:iCs w:val="1"/>
          <w:color w:val="auto"/>
        </w:rPr>
        <w:t xml:space="preserve"> global net sales (recorded by Sanofi) increased 33% to $4.9 billion</w:t>
      </w:r>
    </w:p>
    <w:p>
      <w:pPr>
        <w:spacing w:after="0" w:line="3" w:lineRule="exact"/>
        <w:rPr>
          <w:rFonts w:ascii="Arial" w:cs="Arial" w:eastAsia="Arial" w:hAnsi="Arial"/>
          <w:sz w:val="22"/>
          <w:szCs w:val="22"/>
          <w:i w:val="1"/>
          <w:iCs w:val="1"/>
          <w:color w:val="auto"/>
        </w:rPr>
      </w:pPr>
    </w:p>
    <w:p>
      <w:pPr>
        <w:ind w:left="340" w:right="80" w:hanging="332"/>
        <w:spacing w:after="0" w:line="249" w:lineRule="auto"/>
        <w:tabs>
          <w:tab w:leader="none" w:pos="335"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EYLEA HD</w:t>
      </w:r>
      <w:r>
        <w:rPr>
          <w:rFonts w:ascii="Arial" w:cs="Arial" w:eastAsia="Arial" w:hAnsi="Arial"/>
          <w:sz w:val="11"/>
          <w:szCs w:val="11"/>
          <w:i w:val="1"/>
          <w:iCs w:val="1"/>
          <w:color w:val="auto"/>
        </w:rPr>
        <w:t>®</w:t>
      </w:r>
      <w:r>
        <w:rPr>
          <w:rFonts w:ascii="Arial" w:cs="Arial" w:eastAsia="Arial" w:hAnsi="Arial"/>
          <w:sz w:val="22"/>
          <w:szCs w:val="22"/>
          <w:i w:val="1"/>
          <w:iCs w:val="1"/>
          <w:color w:val="auto"/>
        </w:rPr>
        <w:t xml:space="preserve"> U.S. net sales increased 52% to $468 million; total EYLEA HD and EYLEA</w:t>
      </w:r>
      <w:r>
        <w:rPr>
          <w:rFonts w:ascii="Arial" w:cs="Arial" w:eastAsia="Arial" w:hAnsi="Arial"/>
          <w:sz w:val="11"/>
          <w:szCs w:val="11"/>
          <w:i w:val="1"/>
          <w:iCs w:val="1"/>
          <w:color w:val="auto"/>
        </w:rPr>
        <w:t>®</w:t>
      </w:r>
      <w:r>
        <w:rPr>
          <w:rFonts w:ascii="Arial" w:cs="Arial" w:eastAsia="Arial" w:hAnsi="Arial"/>
          <w:sz w:val="22"/>
          <w:szCs w:val="22"/>
          <w:i w:val="1"/>
          <w:iCs w:val="1"/>
          <w:color w:val="auto"/>
        </w:rPr>
        <w:t xml:space="preserve"> U.S. net sales decreased 10% to $941 million</w:t>
      </w:r>
    </w:p>
    <w:p>
      <w:pPr>
        <w:spacing w:after="0" w:line="1" w:lineRule="exact"/>
        <w:rPr>
          <w:rFonts w:ascii="Arial" w:cs="Arial" w:eastAsia="Arial" w:hAnsi="Arial"/>
          <w:sz w:val="22"/>
          <w:szCs w:val="22"/>
          <w:i w:val="1"/>
          <w:iCs w:val="1"/>
          <w:color w:val="auto"/>
        </w:rPr>
      </w:pPr>
    </w:p>
    <w:p>
      <w:pPr>
        <w:ind w:left="340" w:right="440" w:hanging="332"/>
        <w:spacing w:after="0" w:line="243" w:lineRule="auto"/>
        <w:tabs>
          <w:tab w:leader="none" w:pos="335"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GAAP EPS of $6.75, including $0.82 negative impact from IPR&amp;D; non-GAAP EPS</w:t>
      </w:r>
      <w:r>
        <w:rPr>
          <w:rFonts w:ascii="Arial" w:cs="Arial" w:eastAsia="Arial" w:hAnsi="Arial"/>
          <w:sz w:val="11"/>
          <w:szCs w:val="11"/>
          <w:i w:val="1"/>
          <w:iCs w:val="1"/>
          <w:color w:val="auto"/>
        </w:rPr>
        <w:t>(a)</w:t>
      </w:r>
      <w:r>
        <w:rPr>
          <w:rFonts w:ascii="Arial" w:cs="Arial" w:eastAsia="Arial" w:hAnsi="Arial"/>
          <w:sz w:val="22"/>
          <w:szCs w:val="22"/>
          <w:i w:val="1"/>
          <w:iCs w:val="1"/>
          <w:color w:val="auto"/>
        </w:rPr>
        <w:t xml:space="preserve"> of $9.47, including $0.80 negative impact from IPR&amp;D</w:t>
      </w:r>
    </w:p>
    <w:p>
      <w:pPr>
        <w:ind w:left="340" w:right="280" w:hanging="332"/>
        <w:spacing w:after="0" w:line="246" w:lineRule="auto"/>
        <w:tabs>
          <w:tab w:leader="none" w:pos="335"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EYLEA HD approved by FDA as first and only injectable anti-VEGF with dosing intervals up to 5 months for wet age-related macular degeneration (wAMD) and diabetic macular edema (DME)</w:t>
      </w:r>
    </w:p>
    <w:p>
      <w:pPr>
        <w:spacing w:after="0" w:line="1" w:lineRule="exact"/>
        <w:rPr>
          <w:rFonts w:ascii="Arial" w:cs="Arial" w:eastAsia="Arial" w:hAnsi="Arial"/>
          <w:sz w:val="22"/>
          <w:szCs w:val="22"/>
          <w:i w:val="1"/>
          <w:iCs w:val="1"/>
          <w:color w:val="auto"/>
        </w:rPr>
      </w:pPr>
    </w:p>
    <w:p>
      <w:pPr>
        <w:ind w:left="340" w:right="40" w:hanging="332"/>
        <w:spacing w:after="0" w:line="246" w:lineRule="auto"/>
        <w:tabs>
          <w:tab w:leader="none" w:pos="335"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Dupixent approved by FDA and European Commission (EC) for young children with chronic spontaneous urticaria (CSU); also approved by FDA as first and only medicine for allergic fungal rhinosinusitis (AFRS)</w:t>
      </w:r>
    </w:p>
    <w:p>
      <w:pPr>
        <w:ind w:left="340" w:right="840" w:hanging="332"/>
        <w:spacing w:after="0" w:line="243" w:lineRule="auto"/>
        <w:tabs>
          <w:tab w:leader="none" w:pos="335"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Otarmeni</w:t>
      </w:r>
      <w:r>
        <w:rPr>
          <w:rFonts w:ascii="Arial" w:cs="Arial" w:eastAsia="Arial" w:hAnsi="Arial"/>
          <w:sz w:val="11"/>
          <w:szCs w:val="11"/>
          <w:i w:val="1"/>
          <w:iCs w:val="1"/>
          <w:color w:val="auto"/>
        </w:rPr>
        <w:t>™</w:t>
      </w:r>
      <w:r>
        <w:rPr>
          <w:rFonts w:ascii="Arial" w:cs="Arial" w:eastAsia="Arial" w:hAnsi="Arial"/>
          <w:sz w:val="22"/>
          <w:szCs w:val="22"/>
          <w:i w:val="1"/>
          <w:iCs w:val="1"/>
          <w:color w:val="auto"/>
        </w:rPr>
        <w:t xml:space="preserve"> (lunsotogene parvec) approved by FDA as first and only gene therapy for genetic hearing loss; Regeneron to provide Otarmeni for free in U.S.</w:t>
      </w:r>
    </w:p>
    <w:p>
      <w:pPr>
        <w:ind w:left="320" w:hanging="312"/>
        <w:spacing w:after="0"/>
        <w:tabs>
          <w:tab w:leader="none" w:pos="32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New $3.0 billion share repurchase program authorized</w:t>
      </w:r>
    </w:p>
    <w:p>
      <w:pPr>
        <w:spacing w:after="0" w:line="198" w:lineRule="exact"/>
        <w:rPr>
          <w:sz w:val="20"/>
          <w:szCs w:val="20"/>
          <w:color w:val="auto"/>
        </w:rPr>
      </w:pPr>
    </w:p>
    <w:p>
      <w:pPr>
        <w:ind w:right="480"/>
        <w:spacing w:after="0" w:line="287" w:lineRule="auto"/>
        <w:rPr>
          <w:sz w:val="20"/>
          <w:szCs w:val="20"/>
          <w:color w:val="auto"/>
        </w:rPr>
      </w:pPr>
      <w:r>
        <w:rPr>
          <w:rFonts w:ascii="Arial" w:cs="Arial" w:eastAsia="Arial" w:hAnsi="Arial"/>
          <w:sz w:val="22"/>
          <w:szCs w:val="22"/>
          <w:b w:val="1"/>
          <w:bCs w:val="1"/>
          <w:color w:val="auto"/>
        </w:rPr>
        <w:t xml:space="preserve">Tarrytown, New York (April 29, 2026) -- </w:t>
      </w:r>
      <w:r>
        <w:rPr>
          <w:rFonts w:ascii="Arial" w:cs="Arial" w:eastAsia="Arial" w:hAnsi="Arial"/>
          <w:sz w:val="22"/>
          <w:szCs w:val="22"/>
          <w:color w:val="auto"/>
        </w:rPr>
        <w:t>Regeneron Pharmaceuticals, Inc. (NASDAQ:</w:t>
      </w:r>
      <w:r>
        <w:rPr>
          <w:rFonts w:ascii="Arial" w:cs="Arial" w:eastAsia="Arial" w:hAnsi="Arial"/>
          <w:sz w:val="22"/>
          <w:szCs w:val="22"/>
          <w:b w:val="1"/>
          <w:bCs w:val="1"/>
          <w:color w:val="auto"/>
        </w:rPr>
        <w:t xml:space="preserve"> REGN</w:t>
      </w:r>
      <w:r>
        <w:rPr>
          <w:rFonts w:ascii="Arial" w:cs="Arial" w:eastAsia="Arial" w:hAnsi="Arial"/>
          <w:sz w:val="22"/>
          <w:szCs w:val="22"/>
          <w:color w:val="auto"/>
        </w:rPr>
        <w:t>) today announced</w:t>
      </w:r>
      <w:r>
        <w:rPr>
          <w:rFonts w:ascii="Arial" w:cs="Arial" w:eastAsia="Arial" w:hAnsi="Arial"/>
          <w:sz w:val="22"/>
          <w:szCs w:val="22"/>
          <w:b w:val="1"/>
          <w:bCs w:val="1"/>
          <w:color w:val="auto"/>
        </w:rPr>
        <w:t xml:space="preserve"> </w:t>
      </w:r>
      <w:r>
        <w:rPr>
          <w:rFonts w:ascii="Arial" w:cs="Arial" w:eastAsia="Arial" w:hAnsi="Arial"/>
          <w:sz w:val="22"/>
          <w:szCs w:val="22"/>
          <w:color w:val="auto"/>
        </w:rPr>
        <w:t>financial results for the first quarter of 2026 and provided a business update.</w:t>
      </w:r>
    </w:p>
    <w:p>
      <w:pPr>
        <w:spacing w:after="0" w:line="58" w:lineRule="exact"/>
        <w:rPr>
          <w:sz w:val="20"/>
          <w:szCs w:val="20"/>
          <w:color w:val="auto"/>
        </w:rPr>
      </w:pPr>
    </w:p>
    <w:p>
      <w:pPr>
        <w:ind w:right="300"/>
        <w:spacing w:after="0" w:line="251" w:lineRule="auto"/>
        <w:rPr>
          <w:sz w:val="20"/>
          <w:szCs w:val="20"/>
          <w:color w:val="auto"/>
        </w:rPr>
      </w:pPr>
      <w:r>
        <w:rPr>
          <w:rFonts w:ascii="Arial" w:cs="Arial" w:eastAsia="Arial" w:hAnsi="Arial"/>
          <w:sz w:val="22"/>
          <w:szCs w:val="22"/>
          <w:color w:val="auto"/>
        </w:rPr>
        <w:t>"In the first quarter of this year, we were able to achieve strong double-digit growth on both the top and bottom line while continuing to invest significant resources in our portfolio of nearly 50 product candidates in clinical development," said Leonard S. Schleifer, M.D., Ph.D., Board co-Chair, President and Chief Executive Officer of Regeneron. "Additionally, we recently entered into an agreement with the U.S. government that aims to make progress toward lowering drug prices for American patients by promoting more balanced pricing with other wealthy nations — an approach for which Regeneron has long advocated."</w:t>
      </w:r>
    </w:p>
    <w:p>
      <w:pPr>
        <w:spacing w:after="0" w:line="10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Financial Highlights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4940" w:type="dxa"/>
            <w:vAlign w:val="bottom"/>
          </w:tcPr>
          <w:p>
            <w:pPr>
              <w:ind w:left="20"/>
              <w:spacing w:after="0"/>
              <w:rPr>
                <w:sz w:val="20"/>
                <w:szCs w:val="20"/>
                <w:color w:val="auto"/>
              </w:rPr>
            </w:pPr>
            <w:r>
              <w:rPr>
                <w:rFonts w:ascii="Arial" w:cs="Arial" w:eastAsia="Arial" w:hAnsi="Arial"/>
                <w:sz w:val="14"/>
                <w:szCs w:val="14"/>
                <w:i w:val="1"/>
                <w:iCs w:val="1"/>
                <w:color w:val="auto"/>
              </w:rPr>
              <w:t>($ in millions, except per share data)</w:t>
            </w:r>
          </w:p>
        </w:tc>
        <w:tc>
          <w:tcPr>
            <w:tcW w:w="200" w:type="dxa"/>
            <w:vAlign w:val="bottom"/>
          </w:tcPr>
          <w:p>
            <w:pPr>
              <w:spacing w:after="0"/>
              <w:rPr>
                <w:sz w:val="23"/>
                <w:szCs w:val="23"/>
                <w:color w:val="auto"/>
              </w:rPr>
            </w:pPr>
          </w:p>
        </w:tc>
        <w:tc>
          <w:tcPr>
            <w:tcW w:w="1140" w:type="dxa"/>
            <w:vAlign w:val="bottom"/>
            <w:gridSpan w:val="2"/>
          </w:tcPr>
          <w:p>
            <w:pPr>
              <w:ind w:left="60"/>
              <w:spacing w:after="0"/>
              <w:rPr>
                <w:sz w:val="20"/>
                <w:szCs w:val="20"/>
                <w:color w:val="auto"/>
              </w:rPr>
            </w:pPr>
            <w:r>
              <w:rPr>
                <w:rFonts w:ascii="Arial" w:cs="Arial" w:eastAsia="Arial" w:hAnsi="Arial"/>
                <w:sz w:val="20"/>
                <w:szCs w:val="20"/>
                <w:b w:val="1"/>
                <w:bCs w:val="1"/>
                <w:color w:val="auto"/>
              </w:rPr>
              <w:t>Q1 2026</w:t>
            </w:r>
          </w:p>
        </w:tc>
        <w:tc>
          <w:tcPr>
            <w:tcW w:w="200" w:type="dxa"/>
            <w:vAlign w:val="bottom"/>
          </w:tcPr>
          <w:p>
            <w:pPr>
              <w:spacing w:after="0"/>
              <w:rPr>
                <w:sz w:val="23"/>
                <w:szCs w:val="23"/>
                <w:color w:val="auto"/>
              </w:rPr>
            </w:pPr>
          </w:p>
        </w:tc>
        <w:tc>
          <w:tcPr>
            <w:tcW w:w="1140" w:type="dxa"/>
            <w:vAlign w:val="bottom"/>
            <w:gridSpan w:val="2"/>
          </w:tcPr>
          <w:p>
            <w:pPr>
              <w:ind w:left="40"/>
              <w:spacing w:after="0"/>
              <w:rPr>
                <w:sz w:val="20"/>
                <w:szCs w:val="20"/>
                <w:color w:val="auto"/>
              </w:rPr>
            </w:pPr>
            <w:r>
              <w:rPr>
                <w:rFonts w:ascii="Arial" w:cs="Arial" w:eastAsia="Arial" w:hAnsi="Arial"/>
                <w:sz w:val="20"/>
                <w:szCs w:val="20"/>
                <w:b w:val="1"/>
                <w:bCs w:val="1"/>
                <w:color w:val="auto"/>
              </w:rPr>
              <w:t>Q1 2025</w:t>
            </w:r>
          </w:p>
        </w:tc>
        <w:tc>
          <w:tcPr>
            <w:tcW w:w="1520" w:type="dxa"/>
            <w:vAlign w:val="bottom"/>
          </w:tcPr>
          <w:p>
            <w:pPr>
              <w:jc w:val="right"/>
              <w:ind w:right="181"/>
              <w:spacing w:after="0"/>
              <w:rPr>
                <w:sz w:val="20"/>
                <w:szCs w:val="20"/>
                <w:color w:val="auto"/>
              </w:rPr>
            </w:pPr>
            <w:r>
              <w:rPr>
                <w:rFonts w:ascii="Arial" w:cs="Arial" w:eastAsia="Arial" w:hAnsi="Arial"/>
                <w:sz w:val="20"/>
                <w:szCs w:val="20"/>
                <w:b w:val="1"/>
                <w:bCs w:val="1"/>
                <w:color w:val="auto"/>
              </w:rPr>
              <w:t>% Change</w:t>
            </w:r>
          </w:p>
        </w:tc>
      </w:tr>
      <w:tr>
        <w:trPr>
          <w:trHeight w:val="250"/>
        </w:trPr>
        <w:tc>
          <w:tcPr>
            <w:tcW w:w="4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Total revenues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3,605</w:t>
            </w:r>
          </w:p>
        </w:tc>
        <w:tc>
          <w:tcPr>
            <w:tcW w:w="8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3,029</w:t>
            </w:r>
          </w:p>
        </w:tc>
        <w:tc>
          <w:tcPr>
            <w:tcW w:w="100" w:type="dxa"/>
            <w:vAlign w:val="bottom"/>
            <w:tcBorders>
              <w:top w:val="single" w:sz="8" w:color="CCEEFF"/>
            </w:tcBorders>
            <w:shd w:val="clear" w:color="auto" w:fill="CCEEFF"/>
          </w:tcPr>
          <w:p>
            <w:pPr>
              <w:spacing w:after="0"/>
              <w:rPr>
                <w:sz w:val="21"/>
                <w:szCs w:val="21"/>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19%</w:t>
            </w:r>
          </w:p>
        </w:tc>
      </w:tr>
      <w:tr>
        <w:trPr>
          <w:trHeight w:val="257"/>
        </w:trPr>
        <w:tc>
          <w:tcPr>
            <w:tcW w:w="4940" w:type="dxa"/>
            <w:vAlign w:val="bottom"/>
          </w:tcPr>
          <w:p>
            <w:pPr>
              <w:ind w:left="20"/>
              <w:spacing w:after="0"/>
              <w:rPr>
                <w:sz w:val="20"/>
                <w:szCs w:val="20"/>
                <w:color w:val="auto"/>
              </w:rPr>
            </w:pPr>
            <w:r>
              <w:rPr>
                <w:rFonts w:ascii="Arial" w:cs="Arial" w:eastAsia="Arial" w:hAnsi="Arial"/>
                <w:sz w:val="20"/>
                <w:szCs w:val="20"/>
                <w:color w:val="auto"/>
              </w:rPr>
              <w:t>GAAP net income</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1"/>
              <w:spacing w:after="0"/>
              <w:rPr>
                <w:sz w:val="20"/>
                <w:szCs w:val="20"/>
                <w:color w:val="auto"/>
              </w:rPr>
            </w:pPr>
            <w:r>
              <w:rPr>
                <w:rFonts w:ascii="Arial" w:cs="Arial" w:eastAsia="Arial" w:hAnsi="Arial"/>
                <w:sz w:val="20"/>
                <w:szCs w:val="20"/>
                <w:color w:val="auto"/>
              </w:rPr>
              <w:t>727</w:t>
            </w:r>
          </w:p>
        </w:tc>
        <w:tc>
          <w:tcPr>
            <w:tcW w:w="8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809</w:t>
            </w:r>
          </w:p>
        </w:tc>
        <w:tc>
          <w:tcPr>
            <w:tcW w:w="10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56"/>
        </w:trPr>
        <w:tc>
          <w:tcPr>
            <w:tcW w:w="4940" w:type="dxa"/>
            <w:vAlign w:val="bottom"/>
            <w:shd w:val="clear" w:color="auto" w:fill="CCEEFF"/>
          </w:tcPr>
          <w:p>
            <w:pPr>
              <w:ind w:left="20"/>
              <w:spacing w:after="0"/>
              <w:rPr>
                <w:sz w:val="20"/>
                <w:szCs w:val="20"/>
                <w:color w:val="auto"/>
              </w:rPr>
            </w:pPr>
            <w:r>
              <w:rPr>
                <w:rFonts w:ascii="Arial" w:cs="Arial" w:eastAsia="Arial" w:hAnsi="Arial"/>
                <w:sz w:val="20"/>
                <w:szCs w:val="20"/>
                <w:color w:val="auto"/>
              </w:rPr>
              <w:t>GAAP net income per share - diluted</w:t>
            </w:r>
          </w:p>
        </w:tc>
        <w:tc>
          <w:tcPr>
            <w:tcW w:w="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6.75</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7.27</w:t>
            </w:r>
          </w:p>
        </w:tc>
        <w:tc>
          <w:tcPr>
            <w:tcW w:w="10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w:t>
            </w:r>
          </w:p>
        </w:tc>
      </w:tr>
      <w:tr>
        <w:trPr>
          <w:trHeight w:val="257"/>
        </w:trPr>
        <w:tc>
          <w:tcPr>
            <w:tcW w:w="4940" w:type="dxa"/>
            <w:vAlign w:val="bottom"/>
          </w:tcPr>
          <w:p>
            <w:pPr>
              <w:ind w:left="20"/>
              <w:spacing w:after="0" w:line="257" w:lineRule="exact"/>
              <w:rPr>
                <w:sz w:val="20"/>
                <w:szCs w:val="20"/>
                <w:color w:val="auto"/>
              </w:rPr>
            </w:pPr>
            <w:r>
              <w:rPr>
                <w:rFonts w:ascii="Arial" w:cs="Arial" w:eastAsia="Arial" w:hAnsi="Arial"/>
                <w:sz w:val="20"/>
                <w:szCs w:val="20"/>
                <w:color w:val="auto"/>
              </w:rPr>
              <w:t>Non-GAAP net income</w:t>
            </w:r>
            <w:r>
              <w:rPr>
                <w:rFonts w:ascii="Arial" w:cs="Arial" w:eastAsia="Arial" w:hAnsi="Arial"/>
                <w:sz w:val="25"/>
                <w:szCs w:val="25"/>
                <w:color w:val="auto"/>
                <w:vertAlign w:val="superscript"/>
              </w:rPr>
              <w:t>(a)</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1"/>
              <w:spacing w:after="0"/>
              <w:rPr>
                <w:sz w:val="20"/>
                <w:szCs w:val="20"/>
                <w:color w:val="auto"/>
              </w:rPr>
            </w:pPr>
            <w:r>
              <w:rPr>
                <w:rFonts w:ascii="Arial" w:cs="Arial" w:eastAsia="Arial" w:hAnsi="Arial"/>
                <w:sz w:val="20"/>
                <w:szCs w:val="20"/>
                <w:color w:val="auto"/>
              </w:rPr>
              <w:t>1,040</w:t>
            </w:r>
          </w:p>
        </w:tc>
        <w:tc>
          <w:tcPr>
            <w:tcW w:w="8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928</w:t>
            </w:r>
          </w:p>
        </w:tc>
        <w:tc>
          <w:tcPr>
            <w:tcW w:w="10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56"/>
        </w:trPr>
        <w:tc>
          <w:tcPr>
            <w:tcW w:w="4940" w:type="dxa"/>
            <w:vAlign w:val="bottom"/>
            <w:shd w:val="clear" w:color="auto" w:fill="CCEEFF"/>
          </w:tcPr>
          <w:p>
            <w:pPr>
              <w:ind w:left="20"/>
              <w:spacing w:after="0" w:line="257" w:lineRule="exact"/>
              <w:rPr>
                <w:sz w:val="20"/>
                <w:szCs w:val="20"/>
                <w:color w:val="auto"/>
              </w:rPr>
            </w:pPr>
            <w:r>
              <w:rPr>
                <w:rFonts w:ascii="Arial" w:cs="Arial" w:eastAsia="Arial" w:hAnsi="Arial"/>
                <w:sz w:val="20"/>
                <w:szCs w:val="20"/>
                <w:color w:val="auto"/>
              </w:rPr>
              <w:t>Non-GAAP net income per share - diluted</w:t>
            </w:r>
            <w:r>
              <w:rPr>
                <w:rFonts w:ascii="Arial" w:cs="Arial" w:eastAsia="Arial" w:hAnsi="Arial"/>
                <w:sz w:val="25"/>
                <w:szCs w:val="25"/>
                <w:color w:val="auto"/>
                <w:vertAlign w:val="superscript"/>
              </w:rPr>
              <w:t>(a)</w:t>
            </w:r>
          </w:p>
        </w:tc>
        <w:tc>
          <w:tcPr>
            <w:tcW w:w="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9.47</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8.22</w:t>
            </w:r>
          </w:p>
        </w:tc>
        <w:tc>
          <w:tcPr>
            <w:tcW w:w="10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890" w:right="339" w:bottom="1440" w:gutter="0" w:footer="0" w:header="0"/>
        </w:sectPr>
      </w:pPr>
    </w:p>
    <w:bookmarkStart w:id="4" w:name="page5"/>
    <w:bookmarkEnd w:id="4"/>
    <w:p>
      <w:pPr>
        <w:ind w:right="100"/>
        <w:spacing w:after="0" w:line="271" w:lineRule="exact"/>
        <w:rPr>
          <w:sz w:val="20"/>
          <w:szCs w:val="20"/>
          <w:color w:val="auto"/>
        </w:rPr>
      </w:pPr>
      <w:r>
        <w:rPr>
          <w:rFonts w:ascii="Arial" w:cs="Arial" w:eastAsia="Arial" w:hAnsi="Arial"/>
          <w:sz w:val="21"/>
          <w:szCs w:val="21"/>
          <w:color w:val="auto"/>
        </w:rPr>
        <w:t>"Regeneron delivered strong first quarter 2026 financial results, achieving total revenue and non</w:t>
      </w:r>
      <w:r>
        <w:rPr>
          <w:rFonts w:ascii="MS PGothic" w:cs="MS PGothic" w:eastAsia="MS PGothic" w:hAnsi="MS PGothic"/>
          <w:sz w:val="21"/>
          <w:szCs w:val="21"/>
          <w:color w:val="auto"/>
        </w:rPr>
        <w:t>‑</w:t>
      </w:r>
      <w:r>
        <w:rPr>
          <w:rFonts w:ascii="Arial" w:cs="Arial" w:eastAsia="Arial" w:hAnsi="Arial"/>
          <w:sz w:val="21"/>
          <w:szCs w:val="21"/>
          <w:color w:val="auto"/>
        </w:rPr>
        <w:t>GAAP net income per share growth of 19% and 15%, respectively," said Christopher Fenimore, Executive Vice President, Finance and Chief Financial Officer of Regeneron. "In addition to driving commercial execution, we remain focused on our balanced approach to capital allocation—investing in our internal innovation engine, returning capital to shareholders through dividends and share repurchases, expanding our R&amp;D and manufacturing footprint to support long-term growth, and preserving financial flexibility to pursue strategic business development opportunities."</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Business Highlights</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Key Pipeline Progress</w:t>
      </w:r>
    </w:p>
    <w:p>
      <w:pPr>
        <w:spacing w:after="0" w:line="26" w:lineRule="exact"/>
        <w:rPr>
          <w:sz w:val="20"/>
          <w:szCs w:val="20"/>
          <w:color w:val="auto"/>
        </w:rPr>
      </w:pPr>
    </w:p>
    <w:p>
      <w:pPr>
        <w:ind w:right="340"/>
        <w:spacing w:after="0" w:line="253" w:lineRule="auto"/>
        <w:rPr>
          <w:sz w:val="20"/>
          <w:szCs w:val="20"/>
          <w:color w:val="auto"/>
        </w:rPr>
      </w:pPr>
      <w:r>
        <w:rPr>
          <w:rFonts w:ascii="Arial" w:cs="Arial" w:eastAsia="Arial" w:hAnsi="Arial"/>
          <w:sz w:val="22"/>
          <w:szCs w:val="22"/>
          <w:color w:val="auto"/>
        </w:rPr>
        <w:t>Regeneron has nearly 50 product candidates in clinical development, including a number of marketed products for which it is investigating additional indications. Updates from the clinical pipeline include:</w:t>
      </w:r>
    </w:p>
    <w:p>
      <w:pPr>
        <w:spacing w:after="0" w:line="10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Dupixent</w:t>
      </w:r>
      <w:r>
        <w:rPr>
          <w:rFonts w:ascii="Arial" w:cs="Arial" w:eastAsia="Arial" w:hAnsi="Arial"/>
          <w:sz w:val="22"/>
          <w:szCs w:val="22"/>
          <w:color w:val="auto"/>
        </w:rPr>
        <w:t xml:space="preserve"> (dupilumab)</w:t>
      </w:r>
    </w:p>
    <w:p>
      <w:pPr>
        <w:spacing w:after="0" w:line="24" w:lineRule="exact"/>
        <w:rPr>
          <w:sz w:val="20"/>
          <w:szCs w:val="20"/>
          <w:color w:val="auto"/>
        </w:rPr>
      </w:pPr>
    </w:p>
    <w:p>
      <w:pPr>
        <w:ind w:left="340" w:right="20" w:hanging="332"/>
        <w:spacing w:after="0" w:line="246" w:lineRule="auto"/>
        <w:tabs>
          <w:tab w:leader="none" w:pos="335" w:val="left"/>
        </w:tabs>
        <w:numPr>
          <w:ilvl w:val="0"/>
          <w:numId w:val="3"/>
        </w:numPr>
        <w:rPr>
          <w:rFonts w:ascii="Arial" w:cs="Arial" w:eastAsia="Arial" w:hAnsi="Arial"/>
          <w:sz w:val="22"/>
          <w:szCs w:val="22"/>
          <w:color w:val="auto"/>
        </w:rPr>
      </w:pPr>
      <w:r>
        <w:rPr>
          <w:rFonts w:ascii="Arial" w:cs="Arial" w:eastAsia="Arial" w:hAnsi="Arial"/>
          <w:sz w:val="22"/>
          <w:szCs w:val="22"/>
          <w:color w:val="auto"/>
        </w:rPr>
        <w:t>In April 2026, the U.S. Food and Drug Administration (FDA) and European Commission approved Dupixent for the treatment of CSU in children aged 2 to 11 years who remain symptomatic despite antihistamine treatment. This expands the previous approvals in the United States and European Union (EU) for CSU in adults and adolescents aged 12 years and older.</w:t>
      </w:r>
    </w:p>
    <w:p>
      <w:pPr>
        <w:spacing w:after="0" w:line="2" w:lineRule="exact"/>
        <w:rPr>
          <w:rFonts w:ascii="Arial" w:cs="Arial" w:eastAsia="Arial" w:hAnsi="Arial"/>
          <w:sz w:val="22"/>
          <w:szCs w:val="22"/>
          <w:color w:val="auto"/>
        </w:rPr>
      </w:pPr>
    </w:p>
    <w:p>
      <w:pPr>
        <w:ind w:left="340" w:right="120" w:hanging="332"/>
        <w:spacing w:after="0" w:line="243" w:lineRule="auto"/>
        <w:tabs>
          <w:tab w:leader="none" w:pos="335" w:val="left"/>
        </w:tabs>
        <w:numPr>
          <w:ilvl w:val="0"/>
          <w:numId w:val="3"/>
        </w:numPr>
        <w:rPr>
          <w:rFonts w:ascii="Arial" w:cs="Arial" w:eastAsia="Arial" w:hAnsi="Arial"/>
          <w:sz w:val="22"/>
          <w:szCs w:val="22"/>
          <w:color w:val="auto"/>
        </w:rPr>
      </w:pPr>
      <w:r>
        <w:rPr>
          <w:rFonts w:ascii="Arial" w:cs="Arial" w:eastAsia="Arial" w:hAnsi="Arial"/>
          <w:sz w:val="22"/>
          <w:szCs w:val="22"/>
          <w:color w:val="auto"/>
        </w:rPr>
        <w:t>In March 2026, the Ministry of Health, Labour and Welfare (MHLW) in Japan approved Dupixent for the treatment of adults with moderate-to-severe bullous pemphigoid (BP). Dupixent was previously approved for the treatment of BP in the United States and a regulatory application is under review in the EU.</w:t>
      </w:r>
    </w:p>
    <w:p>
      <w:pPr>
        <w:spacing w:after="0" w:line="1" w:lineRule="exact"/>
        <w:rPr>
          <w:rFonts w:ascii="Arial" w:cs="Arial" w:eastAsia="Arial" w:hAnsi="Arial"/>
          <w:sz w:val="22"/>
          <w:szCs w:val="22"/>
          <w:color w:val="auto"/>
        </w:rPr>
      </w:pPr>
    </w:p>
    <w:p>
      <w:pPr>
        <w:ind w:left="340" w:right="680" w:hanging="332"/>
        <w:spacing w:after="0" w:line="266" w:lineRule="auto"/>
        <w:tabs>
          <w:tab w:leader="none" w:pos="335" w:val="left"/>
        </w:tabs>
        <w:numPr>
          <w:ilvl w:val="0"/>
          <w:numId w:val="3"/>
        </w:numPr>
        <w:rPr>
          <w:rFonts w:ascii="Arial" w:cs="Arial" w:eastAsia="Arial" w:hAnsi="Arial"/>
          <w:sz w:val="22"/>
          <w:szCs w:val="22"/>
          <w:color w:val="auto"/>
        </w:rPr>
      </w:pPr>
      <w:r>
        <w:rPr>
          <w:rFonts w:ascii="Arial" w:cs="Arial" w:eastAsia="Arial" w:hAnsi="Arial"/>
          <w:sz w:val="22"/>
          <w:szCs w:val="22"/>
          <w:color w:val="auto"/>
        </w:rPr>
        <w:t>In February 2026, the FDA approved Dupixent as the first and only medicine for the treatment of adults and children aged 6 years and older with AFRS.</w:t>
      </w:r>
    </w:p>
    <w:p>
      <w:pPr>
        <w:spacing w:after="0" w:line="8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EYLEA HD</w:t>
      </w:r>
      <w:r>
        <w:rPr>
          <w:rFonts w:ascii="Arial" w:cs="Arial" w:eastAsia="Arial" w:hAnsi="Arial"/>
          <w:sz w:val="22"/>
          <w:szCs w:val="22"/>
          <w:color w:val="auto"/>
        </w:rPr>
        <w:t xml:space="preserve"> (aflibercept) 8 mg</w:t>
      </w:r>
    </w:p>
    <w:p>
      <w:pPr>
        <w:spacing w:after="0" w:line="31" w:lineRule="exact"/>
        <w:rPr>
          <w:sz w:val="20"/>
          <w:szCs w:val="20"/>
          <w:color w:val="auto"/>
        </w:rPr>
      </w:pPr>
    </w:p>
    <w:p>
      <w:pPr>
        <w:ind w:left="340" w:hanging="332"/>
        <w:spacing w:after="0" w:line="257" w:lineRule="auto"/>
        <w:tabs>
          <w:tab w:leader="none" w:pos="335" w:val="left"/>
        </w:tabs>
        <w:numPr>
          <w:ilvl w:val="0"/>
          <w:numId w:val="4"/>
        </w:numPr>
        <w:rPr>
          <w:rFonts w:ascii="Arial" w:cs="Arial" w:eastAsia="Arial" w:hAnsi="Arial"/>
          <w:sz w:val="21"/>
          <w:szCs w:val="21"/>
          <w:color w:val="auto"/>
        </w:rPr>
      </w:pPr>
      <w:r>
        <w:rPr>
          <w:rFonts w:ascii="Arial" w:cs="Arial" w:eastAsia="Arial" w:hAnsi="Arial"/>
          <w:sz w:val="21"/>
          <w:szCs w:val="21"/>
          <w:color w:val="auto"/>
        </w:rPr>
        <w:t>In April 2026, the FDA approved the extension of dosing intervals for EYLEA HD up to every 20 weeks (5 months) for patients with wAMD and DME following one year of successful response based on visual and anatomic outcomes. This further extends the widest range of dosing intervals of any approved injectable anti-VEGF product.</w:t>
      </w:r>
    </w:p>
    <w:p>
      <w:pPr>
        <w:ind w:left="340" w:right="20" w:hanging="332"/>
        <w:spacing w:after="0" w:line="247" w:lineRule="auto"/>
        <w:tabs>
          <w:tab w:leader="none" w:pos="335"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Company resubmitted its application seeking FDA approval for filling of the EYLEA HD pre-filled syringe (PFS) at Catalent Indiana, where the FDA has recently conducted a site re-inspection. In addition, the FDA did not act by the April 2026 PDUFA date on the Company's regulatory application for a second contract manufacturer for the PFS; therefore, this application remains pending. The Company and both third-party filling manufacturers are working closely with the FDA to resolve all outstanding issues, and the Company anticipates a regulatory decision on one or both applications during the second quarter of 2026.</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847"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u w:val="single" w:color="auto"/>
          <w:color w:val="auto"/>
        </w:rPr>
        <w:t>Otarmeni</w:t>
      </w:r>
      <w:r>
        <w:rPr>
          <w:rFonts w:ascii="Arial" w:cs="Arial" w:eastAsia="Arial" w:hAnsi="Arial"/>
          <w:sz w:val="22"/>
          <w:szCs w:val="22"/>
          <w:color w:val="auto"/>
        </w:rPr>
        <w:t xml:space="preserve"> (lunsotogene parvec)</w:t>
      </w:r>
    </w:p>
    <w:p>
      <w:pPr>
        <w:spacing w:after="0" w:line="24" w:lineRule="exact"/>
        <w:rPr>
          <w:sz w:val="20"/>
          <w:szCs w:val="20"/>
          <w:color w:val="auto"/>
        </w:rPr>
      </w:pPr>
    </w:p>
    <w:p>
      <w:pPr>
        <w:ind w:left="340" w:right="60" w:hanging="332"/>
        <w:spacing w:after="0" w:line="247" w:lineRule="auto"/>
        <w:tabs>
          <w:tab w:leader="none" w:pos="335" w:val="left"/>
        </w:tabs>
        <w:numPr>
          <w:ilvl w:val="0"/>
          <w:numId w:val="5"/>
        </w:numPr>
        <w:rPr>
          <w:rFonts w:ascii="Arial" w:cs="Arial" w:eastAsia="Arial" w:hAnsi="Arial"/>
          <w:sz w:val="22"/>
          <w:szCs w:val="22"/>
          <w:color w:val="auto"/>
        </w:rPr>
      </w:pPr>
      <w:r>
        <w:rPr>
          <w:rFonts w:ascii="Arial" w:cs="Arial" w:eastAsia="Arial" w:hAnsi="Arial"/>
          <w:sz w:val="22"/>
          <w:szCs w:val="22"/>
          <w:color w:val="auto"/>
        </w:rPr>
        <w:t xml:space="preserve">In April 2026, the FDA granted accelerated approval for Otarmeni (lunsotogene parvec, formerly known as DB-OTO), the first gene therapy approved under the FDA Commissioner’s National Priority Voucher program. Otarmeni is an adeno-associated virus vector-based gene therapy indicated for the treatment of pediatric and adult patients with severe-to-profound hearing loss associated with variants in the </w:t>
      </w:r>
      <w:r>
        <w:rPr>
          <w:rFonts w:ascii="Arial" w:cs="Arial" w:eastAsia="Arial" w:hAnsi="Arial"/>
          <w:sz w:val="22"/>
          <w:szCs w:val="22"/>
          <w:i w:val="1"/>
          <w:iCs w:val="1"/>
          <w:color w:val="auto"/>
        </w:rPr>
        <w:t>OTOF</w:t>
      </w:r>
      <w:r>
        <w:rPr>
          <w:rFonts w:ascii="Arial" w:cs="Arial" w:eastAsia="Arial" w:hAnsi="Arial"/>
          <w:sz w:val="22"/>
          <w:szCs w:val="22"/>
          <w:color w:val="auto"/>
        </w:rPr>
        <w:t xml:space="preserve"> gene. Otarmeni is the first and only </w:t>
      </w:r>
      <w:r>
        <w:rPr>
          <w:rFonts w:ascii="Arial" w:cs="Arial" w:eastAsia="Arial" w:hAnsi="Arial"/>
          <w:sz w:val="22"/>
          <w:szCs w:val="22"/>
          <w:i w:val="1"/>
          <w:iCs w:val="1"/>
          <w:color w:val="auto"/>
        </w:rPr>
        <w:t>in vivo</w:t>
      </w:r>
      <w:r>
        <w:rPr>
          <w:rFonts w:ascii="Arial" w:cs="Arial" w:eastAsia="Arial" w:hAnsi="Arial"/>
          <w:sz w:val="22"/>
          <w:szCs w:val="22"/>
          <w:color w:val="auto"/>
        </w:rPr>
        <w:t xml:space="preserve"> gene therapy for genetic hearing loss and will be made available by Regeneron for free in the United States.</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Fianlimab</w:t>
      </w:r>
      <w:r>
        <w:rPr>
          <w:rFonts w:ascii="Arial" w:cs="Arial" w:eastAsia="Arial" w:hAnsi="Arial"/>
          <w:sz w:val="22"/>
          <w:szCs w:val="22"/>
          <w:color w:val="auto"/>
        </w:rPr>
        <w:t xml:space="preserve"> (LAG-3 antibody)</w:t>
      </w:r>
    </w:p>
    <w:p>
      <w:pPr>
        <w:spacing w:after="0" w:line="24" w:lineRule="exact"/>
        <w:rPr>
          <w:sz w:val="20"/>
          <w:szCs w:val="20"/>
          <w:color w:val="auto"/>
        </w:rPr>
      </w:pPr>
    </w:p>
    <w:p>
      <w:pPr>
        <w:ind w:left="340" w:right="1000" w:hanging="332"/>
        <w:spacing w:after="0" w:line="254" w:lineRule="auto"/>
        <w:tabs>
          <w:tab w:leader="none" w:pos="335" w:val="left"/>
        </w:tabs>
        <w:numPr>
          <w:ilvl w:val="0"/>
          <w:numId w:val="6"/>
        </w:numPr>
        <w:rPr>
          <w:rFonts w:ascii="Arial" w:cs="Arial" w:eastAsia="Arial" w:hAnsi="Arial"/>
          <w:sz w:val="21"/>
          <w:szCs w:val="21"/>
          <w:color w:val="auto"/>
        </w:rPr>
      </w:pPr>
      <w:r>
        <w:rPr>
          <w:rFonts w:ascii="Arial" w:cs="Arial" w:eastAsia="Arial" w:hAnsi="Arial"/>
          <w:sz w:val="21"/>
          <w:szCs w:val="21"/>
          <w:color w:val="auto"/>
        </w:rPr>
        <w:t>The Company remains on track to report results from the Phase 3 study of fianlimab in combination with cemiplimab versus pembrolizumab in first-line metastatic melanoma in the second quarter of 2026.</w:t>
      </w:r>
    </w:p>
    <w:p>
      <w:pPr>
        <w:spacing w:after="0" w:line="1" w:lineRule="exact"/>
        <w:rPr>
          <w:rFonts w:ascii="Arial" w:cs="Arial" w:eastAsia="Arial" w:hAnsi="Arial"/>
          <w:sz w:val="21"/>
          <w:szCs w:val="21"/>
          <w:color w:val="auto"/>
        </w:rPr>
      </w:pPr>
    </w:p>
    <w:p>
      <w:pPr>
        <w:jc w:val="both"/>
        <w:ind w:left="340" w:right="220" w:hanging="332"/>
        <w:spacing w:after="0" w:line="246" w:lineRule="auto"/>
        <w:tabs>
          <w:tab w:leader="none" w:pos="335" w:val="left"/>
        </w:tabs>
        <w:numPr>
          <w:ilvl w:val="0"/>
          <w:numId w:val="6"/>
        </w:numPr>
        <w:rPr>
          <w:rFonts w:ascii="Arial" w:cs="Arial" w:eastAsia="Arial" w:hAnsi="Arial"/>
          <w:sz w:val="22"/>
          <w:szCs w:val="22"/>
          <w:color w:val="auto"/>
        </w:rPr>
      </w:pPr>
      <w:r>
        <w:rPr>
          <w:rFonts w:ascii="Arial" w:cs="Arial" w:eastAsia="Arial" w:hAnsi="Arial"/>
          <w:sz w:val="22"/>
          <w:szCs w:val="22"/>
          <w:color w:val="auto"/>
        </w:rPr>
        <w:t>Following the first interim analysis, an Independent Data Monitoring Committee recommended that the Phase 3 study of fianlimab in combination with cemiplimab in adjuvant melanoma continue as planned. A second interim analysis as well as the study's final analysis, if necessary, are anticipated in the second half of 2026. Regeneron remains blinded to these data.</w:t>
      </w:r>
    </w:p>
    <w:p>
      <w:pPr>
        <w:spacing w:after="0" w:line="2" w:lineRule="exact"/>
        <w:rPr>
          <w:rFonts w:ascii="Arial" w:cs="Arial" w:eastAsia="Arial" w:hAnsi="Arial"/>
          <w:sz w:val="22"/>
          <w:szCs w:val="22"/>
          <w:color w:val="auto"/>
        </w:rPr>
      </w:pPr>
    </w:p>
    <w:p>
      <w:pPr>
        <w:ind w:left="340" w:right="600" w:hanging="332"/>
        <w:spacing w:after="0" w:line="276" w:lineRule="auto"/>
        <w:tabs>
          <w:tab w:leader="none" w:pos="335" w:val="left"/>
        </w:tabs>
        <w:numPr>
          <w:ilvl w:val="0"/>
          <w:numId w:val="6"/>
        </w:numPr>
        <w:rPr>
          <w:rFonts w:ascii="Arial" w:cs="Arial" w:eastAsia="Arial" w:hAnsi="Arial"/>
          <w:sz w:val="21"/>
          <w:szCs w:val="21"/>
          <w:color w:val="auto"/>
        </w:rPr>
      </w:pPr>
      <w:r>
        <w:rPr>
          <w:rFonts w:ascii="Arial" w:cs="Arial" w:eastAsia="Arial" w:hAnsi="Arial"/>
          <w:sz w:val="21"/>
          <w:szCs w:val="21"/>
          <w:color w:val="auto"/>
        </w:rPr>
        <w:t>The Company determined that Phase 2 data evaluating fianlimab in combination with cemiplimab in first-line advanced non-small cell lung cancer (NSCLC) did not support advancement to Phase 3 development.</w:t>
      </w:r>
    </w:p>
    <w:p>
      <w:pPr>
        <w:spacing w:after="0" w:line="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Other Programs</w:t>
      </w:r>
    </w:p>
    <w:p>
      <w:pPr>
        <w:spacing w:after="0" w:line="24" w:lineRule="exact"/>
        <w:rPr>
          <w:sz w:val="20"/>
          <w:szCs w:val="20"/>
          <w:color w:val="auto"/>
        </w:rPr>
      </w:pPr>
    </w:p>
    <w:p>
      <w:pPr>
        <w:ind w:left="340" w:hanging="332"/>
        <w:spacing w:after="0" w:line="247" w:lineRule="auto"/>
        <w:tabs>
          <w:tab w:leader="none" w:pos="335"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Company submitted a New Drug Application (NDA) for cemdisiran (C5 siRNA therapy) in myasthenia gravis, and utilized an FDA Rare Pediatric Disease Priority Review Voucher. NDA acceptance is anticipated in the second quarter of 2026 with an FDA decision expected in the fourth quarter of 2026.</w:t>
      </w:r>
    </w:p>
    <w:p>
      <w:pPr>
        <w:spacing w:after="0" w:line="1" w:lineRule="exact"/>
        <w:rPr>
          <w:rFonts w:ascii="Arial" w:cs="Arial" w:eastAsia="Arial" w:hAnsi="Arial"/>
          <w:sz w:val="22"/>
          <w:szCs w:val="22"/>
          <w:color w:val="auto"/>
        </w:rPr>
      </w:pPr>
    </w:p>
    <w:p>
      <w:pPr>
        <w:jc w:val="both"/>
        <w:ind w:left="340" w:right="20" w:hanging="332"/>
        <w:spacing w:after="0" w:line="243" w:lineRule="auto"/>
        <w:tabs>
          <w:tab w:leader="none" w:pos="335" w:val="left"/>
        </w:tabs>
        <w:numPr>
          <w:ilvl w:val="0"/>
          <w:numId w:val="7"/>
        </w:numPr>
        <w:rPr>
          <w:rFonts w:ascii="Arial" w:cs="Arial" w:eastAsia="Arial" w:hAnsi="Arial"/>
          <w:sz w:val="22"/>
          <w:szCs w:val="22"/>
          <w:color w:val="auto"/>
        </w:rPr>
      </w:pPr>
      <w:r>
        <w:rPr>
          <w:rFonts w:ascii="Arial" w:cs="Arial" w:eastAsia="Arial" w:hAnsi="Arial"/>
          <w:sz w:val="22"/>
          <w:szCs w:val="22"/>
          <w:color w:val="auto"/>
        </w:rPr>
        <w:t>In February 2026, the FDA accepted for priority review the Biologics License Application (BLA) for garetosmab (an Activin A antibody) for the treatment of adults with fibrodysplasia ossificans progressiva (FOP), which has a target action date in August 2026. A regulatory application is also under review in the EU.</w:t>
      </w:r>
    </w:p>
    <w:p>
      <w:pPr>
        <w:spacing w:after="0" w:line="1" w:lineRule="exact"/>
        <w:rPr>
          <w:rFonts w:ascii="Arial" w:cs="Arial" w:eastAsia="Arial" w:hAnsi="Arial"/>
          <w:sz w:val="22"/>
          <w:szCs w:val="22"/>
          <w:color w:val="auto"/>
        </w:rPr>
      </w:pPr>
    </w:p>
    <w:p>
      <w:pPr>
        <w:ind w:left="340" w:right="220" w:hanging="332"/>
        <w:spacing w:after="0" w:line="245" w:lineRule="auto"/>
        <w:tabs>
          <w:tab w:leader="none" w:pos="335" w:val="left"/>
        </w:tabs>
        <w:numPr>
          <w:ilvl w:val="0"/>
          <w:numId w:val="7"/>
        </w:numPr>
        <w:rPr>
          <w:rFonts w:ascii="Arial" w:cs="Arial" w:eastAsia="Arial" w:hAnsi="Arial"/>
          <w:sz w:val="22"/>
          <w:szCs w:val="22"/>
          <w:color w:val="auto"/>
        </w:rPr>
      </w:pPr>
      <w:r>
        <w:rPr>
          <w:rFonts w:ascii="Arial" w:cs="Arial" w:eastAsia="Arial" w:hAnsi="Arial"/>
          <w:sz w:val="22"/>
          <w:szCs w:val="22"/>
          <w:color w:val="auto"/>
        </w:rPr>
        <w:t>A Phase 3 study for REGN7508, an antibody to Factor XI (catalytic domain), was initiated in cancer-associated venous thromboembolism. In addition, a three-arm, placebo-controlled Phase 3 study was initiated to evaluate REGN7508 and REGN9933, an antibody to Factor XI (A2 domain), individually, in stroke prevention in patients with atrial fibrillation who are not candidates for daily oral anticoagulation therapy. Initiation of additional Phase 3 studies for these Factor XI antibodies is planned for later this year.</w:t>
      </w:r>
    </w:p>
    <w:p>
      <w:pPr>
        <w:spacing w:after="0" w:line="4" w:lineRule="exact"/>
        <w:rPr>
          <w:rFonts w:ascii="Arial" w:cs="Arial" w:eastAsia="Arial" w:hAnsi="Arial"/>
          <w:sz w:val="22"/>
          <w:szCs w:val="22"/>
          <w:color w:val="auto"/>
        </w:rPr>
      </w:pPr>
    </w:p>
    <w:p>
      <w:pPr>
        <w:ind w:left="340" w:right="520" w:hanging="332"/>
        <w:spacing w:after="0" w:line="253" w:lineRule="auto"/>
        <w:tabs>
          <w:tab w:leader="none" w:pos="335" w:val="left"/>
        </w:tabs>
        <w:numPr>
          <w:ilvl w:val="0"/>
          <w:numId w:val="7"/>
        </w:numPr>
        <w:rPr>
          <w:rFonts w:ascii="Arial" w:cs="Arial" w:eastAsia="Arial" w:hAnsi="Arial"/>
          <w:sz w:val="22"/>
          <w:szCs w:val="22"/>
          <w:color w:val="auto"/>
        </w:rPr>
      </w:pPr>
      <w:r>
        <w:rPr>
          <w:rFonts w:ascii="Arial" w:cs="Arial" w:eastAsia="Arial" w:hAnsi="Arial"/>
          <w:sz w:val="22"/>
          <w:szCs w:val="22"/>
          <w:color w:val="auto"/>
        </w:rPr>
        <w:t>A Phase 3 study was initiated for mibavademab, an agonist antibody to leptin receptor (LEPR), in monogenic obesity.</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Corporate Updates</w:t>
      </w:r>
    </w:p>
    <w:p>
      <w:pPr>
        <w:spacing w:after="0" w:line="26" w:lineRule="exact"/>
        <w:rPr>
          <w:sz w:val="20"/>
          <w:szCs w:val="20"/>
          <w:color w:val="auto"/>
        </w:rPr>
      </w:pPr>
    </w:p>
    <w:p>
      <w:pPr>
        <w:ind w:left="340" w:right="20" w:hanging="332"/>
        <w:spacing w:after="0" w:line="246" w:lineRule="auto"/>
        <w:tabs>
          <w:tab w:leader="none" w:pos="335" w:val="left"/>
        </w:tabs>
        <w:numPr>
          <w:ilvl w:val="0"/>
          <w:numId w:val="8"/>
        </w:numPr>
        <w:rPr>
          <w:rFonts w:ascii="Arial" w:cs="Arial" w:eastAsia="Arial" w:hAnsi="Arial"/>
          <w:sz w:val="22"/>
          <w:szCs w:val="22"/>
          <w:color w:val="auto"/>
        </w:rPr>
      </w:pPr>
      <w:r>
        <w:rPr>
          <w:rFonts w:ascii="Arial" w:cs="Arial" w:eastAsia="Arial" w:hAnsi="Arial"/>
          <w:sz w:val="22"/>
          <w:szCs w:val="22"/>
          <w:color w:val="auto"/>
        </w:rPr>
        <w:t>In April 2026, the Company announced agreements with the U.S. government pursuant to which the Company will provide certain of its products to the Medicaid program at or below prices benchmarked against a defined group of other developed countries (Most-Favored-Nation Pricing), price certain future medicines in the United States at or below Most-Favored-Nation Pricing, offer Praluent</w:t>
      </w:r>
      <w:r>
        <w:rPr>
          <w:rFonts w:ascii="Times New Roman" w:cs="Times New Roman" w:eastAsia="Times New Roman" w:hAnsi="Times New Roman"/>
          <w:sz w:val="11"/>
          <w:szCs w:val="11"/>
          <w:color w:val="auto"/>
        </w:rPr>
        <w:t>®</w:t>
      </w:r>
      <w:r>
        <w:rPr>
          <w:rFonts w:ascii="Arial" w:cs="Arial" w:eastAsia="Arial" w:hAnsi="Arial"/>
          <w:sz w:val="22"/>
          <w:szCs w:val="22"/>
          <w:color w:val="auto"/>
        </w:rPr>
        <w:t xml:space="preserve"> for direct patient purchase, and continue its large investment in domestic R&amp;D and manufacturing capacity. Furthermore, Regeneron will not be subject to future U.S. government pricing mandates and will receive tariff relief for three years.</w:t>
      </w:r>
    </w:p>
    <w:p>
      <w:pPr>
        <w:spacing w:after="0" w:line="3" w:lineRule="exact"/>
        <w:rPr>
          <w:rFonts w:ascii="Arial" w:cs="Arial" w:eastAsia="Arial" w:hAnsi="Arial"/>
          <w:sz w:val="22"/>
          <w:szCs w:val="22"/>
          <w:color w:val="auto"/>
        </w:rPr>
      </w:pPr>
    </w:p>
    <w:p>
      <w:pPr>
        <w:ind w:left="340" w:right="460" w:hanging="332"/>
        <w:spacing w:after="0" w:line="259" w:lineRule="auto"/>
        <w:tabs>
          <w:tab w:leader="none" w:pos="335" w:val="left"/>
        </w:tabs>
        <w:numPr>
          <w:ilvl w:val="0"/>
          <w:numId w:val="8"/>
        </w:numPr>
        <w:rPr>
          <w:rFonts w:ascii="Arial" w:cs="Arial" w:eastAsia="Arial" w:hAnsi="Arial"/>
          <w:sz w:val="22"/>
          <w:szCs w:val="22"/>
          <w:color w:val="auto"/>
        </w:rPr>
      </w:pPr>
      <w:r>
        <w:rPr>
          <w:rFonts w:ascii="Arial" w:cs="Arial" w:eastAsia="Arial" w:hAnsi="Arial"/>
          <w:sz w:val="22"/>
          <w:szCs w:val="22"/>
          <w:color w:val="auto"/>
        </w:rPr>
        <w:t>In March 2026, the Company entered into a strategic collaboration with TriNetX to receive access to TriNetX’s current and future de-identified health data from approximately 300</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045" w:right="339" w:bottom="1440" w:gutter="0" w:footer="0" w:header="0"/>
        </w:sectPr>
      </w:pPr>
    </w:p>
    <w:bookmarkStart w:id="6" w:name="page7"/>
    <w:bookmarkEnd w:id="6"/>
    <w:p>
      <w:pPr>
        <w:ind w:left="340"/>
        <w:spacing w:after="0" w:line="252" w:lineRule="auto"/>
        <w:rPr>
          <w:sz w:val="20"/>
          <w:szCs w:val="20"/>
          <w:color w:val="auto"/>
        </w:rPr>
      </w:pPr>
      <w:r>
        <w:rPr>
          <w:rFonts w:ascii="Arial" w:cs="Arial" w:eastAsia="Arial" w:hAnsi="Arial"/>
          <w:sz w:val="22"/>
          <w:szCs w:val="22"/>
          <w:color w:val="auto"/>
        </w:rPr>
        <w:t>million individuals, sourced directly from its global network of health system partners. This collaboration will enable expansion of the Company’s genomic and proteomic Electronic Health Record (EHR)-linked database.</w:t>
      </w:r>
    </w:p>
    <w:p>
      <w:pPr>
        <w:spacing w:after="0" w:line="2" w:lineRule="exact"/>
        <w:rPr>
          <w:sz w:val="20"/>
          <w:szCs w:val="20"/>
          <w:color w:val="auto"/>
        </w:rPr>
      </w:pPr>
    </w:p>
    <w:p>
      <w:pPr>
        <w:ind w:left="340" w:right="200" w:hanging="332"/>
        <w:spacing w:after="0" w:line="249" w:lineRule="auto"/>
        <w:tabs>
          <w:tab w:leader="none" w:pos="335" w:val="left"/>
        </w:tabs>
        <w:numPr>
          <w:ilvl w:val="0"/>
          <w:numId w:val="9"/>
        </w:numPr>
        <w:rPr>
          <w:rFonts w:ascii="Arial" w:cs="Arial" w:eastAsia="Arial" w:hAnsi="Arial"/>
          <w:sz w:val="22"/>
          <w:szCs w:val="22"/>
          <w:color w:val="auto"/>
        </w:rPr>
      </w:pPr>
      <w:r>
        <w:rPr>
          <w:rFonts w:ascii="Arial" w:cs="Arial" w:eastAsia="Arial" w:hAnsi="Arial"/>
          <w:sz w:val="22"/>
          <w:szCs w:val="22"/>
          <w:color w:val="auto"/>
        </w:rPr>
        <w:t>In April 2026, the Company entered into a collaboration with Telix Pharmaceuticals Limited to jointly develop and commercialize next generation radiopharmaceutical therapies.</w:t>
      </w:r>
    </w:p>
    <w:p>
      <w:pPr>
        <w:spacing w:after="0" w:line="1" w:lineRule="exact"/>
        <w:rPr>
          <w:rFonts w:ascii="Arial" w:cs="Arial" w:eastAsia="Arial" w:hAnsi="Arial"/>
          <w:sz w:val="22"/>
          <w:szCs w:val="22"/>
          <w:color w:val="auto"/>
        </w:rPr>
      </w:pPr>
    </w:p>
    <w:p>
      <w:pPr>
        <w:ind w:left="340" w:right="680" w:hanging="332"/>
        <w:spacing w:after="0" w:line="256" w:lineRule="auto"/>
        <w:tabs>
          <w:tab w:leader="none" w:pos="335" w:val="left"/>
        </w:tabs>
        <w:numPr>
          <w:ilvl w:val="0"/>
          <w:numId w:val="9"/>
        </w:numPr>
        <w:rPr>
          <w:rFonts w:ascii="Arial" w:cs="Arial" w:eastAsia="Arial" w:hAnsi="Arial"/>
          <w:sz w:val="21"/>
          <w:szCs w:val="21"/>
          <w:color w:val="auto"/>
        </w:rPr>
      </w:pPr>
      <w:r>
        <w:rPr>
          <w:rFonts w:ascii="Arial" w:cs="Arial" w:eastAsia="Arial" w:hAnsi="Arial"/>
          <w:sz w:val="21"/>
          <w:szCs w:val="21"/>
          <w:color w:val="auto"/>
        </w:rPr>
        <w:t>In February 2026, the Company announced the renewal of Regeneron’s title sponsorship of the Regeneron Science Talent Search (STS), the United States’ oldest and most prestigious science and mathematics competition for high school seniors. The Company is also increasing its commitment for the next 10 years, pledging an additional $150 million, and bringing its 20-year investment in STS to $250 million.</w:t>
      </w:r>
    </w:p>
    <w:p>
      <w:pPr>
        <w:spacing w:after="0" w:line="2" w:lineRule="exact"/>
        <w:rPr>
          <w:rFonts w:ascii="Arial" w:cs="Arial" w:eastAsia="Arial" w:hAnsi="Arial"/>
          <w:sz w:val="21"/>
          <w:szCs w:val="21"/>
          <w:color w:val="auto"/>
        </w:rPr>
      </w:pPr>
    </w:p>
    <w:p>
      <w:pPr>
        <w:ind w:left="340" w:right="160" w:hanging="332"/>
        <w:spacing w:after="0" w:line="248" w:lineRule="auto"/>
        <w:tabs>
          <w:tab w:leader="none" w:pos="335" w:val="left"/>
        </w:tabs>
        <w:numPr>
          <w:ilvl w:val="0"/>
          <w:numId w:val="9"/>
        </w:numPr>
        <w:rPr>
          <w:rFonts w:ascii="Arial" w:cs="Arial" w:eastAsia="Arial" w:hAnsi="Arial"/>
          <w:sz w:val="22"/>
          <w:szCs w:val="22"/>
          <w:color w:val="auto"/>
        </w:rPr>
      </w:pPr>
      <w:r>
        <w:rPr>
          <w:rFonts w:ascii="Arial" w:cs="Arial" w:eastAsia="Arial" w:hAnsi="Arial"/>
          <w:sz w:val="22"/>
          <w:szCs w:val="22"/>
          <w:color w:val="auto"/>
        </w:rPr>
        <w:t>In February 2026, the Company reached resolution of its patent infringement litigation related to the Samsung EYLEA (aflibercept) Injection 2 mg biosimilar product. This settlement precludes Samsung from launching its biosimilar product in the United States until January 2027. All intellectual property-related litigation with Samsung in the United States has been dismissed.</w:t>
      </w:r>
    </w:p>
    <w:p>
      <w:pPr>
        <w:spacing w:after="0" w:line="11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First Quarter 2026 Financial Results</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Revenues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4940" w:type="dxa"/>
            <w:vAlign w:val="bottom"/>
          </w:tcPr>
          <w:p>
            <w:pPr>
              <w:ind w:left="20"/>
              <w:spacing w:after="0"/>
              <w:rPr>
                <w:sz w:val="20"/>
                <w:szCs w:val="20"/>
                <w:color w:val="auto"/>
              </w:rPr>
            </w:pPr>
            <w:r>
              <w:rPr>
                <w:rFonts w:ascii="Arial" w:cs="Arial" w:eastAsia="Arial" w:hAnsi="Arial"/>
                <w:sz w:val="14"/>
                <w:szCs w:val="14"/>
                <w:i w:val="1"/>
                <w:iCs w:val="1"/>
                <w:color w:val="auto"/>
              </w:rPr>
              <w:t>($ in millions)</w:t>
            </w:r>
          </w:p>
        </w:tc>
        <w:tc>
          <w:tcPr>
            <w:tcW w:w="200" w:type="dxa"/>
            <w:vAlign w:val="bottom"/>
          </w:tcPr>
          <w:p>
            <w:pPr>
              <w:spacing w:after="0"/>
              <w:rPr>
                <w:sz w:val="23"/>
                <w:szCs w:val="23"/>
                <w:color w:val="auto"/>
              </w:rPr>
            </w:pPr>
          </w:p>
        </w:tc>
        <w:tc>
          <w:tcPr>
            <w:tcW w:w="1200" w:type="dxa"/>
            <w:vAlign w:val="bottom"/>
            <w:gridSpan w:val="2"/>
          </w:tcPr>
          <w:p>
            <w:pPr>
              <w:ind w:left="80"/>
              <w:spacing w:after="0"/>
              <w:rPr>
                <w:sz w:val="20"/>
                <w:szCs w:val="20"/>
                <w:color w:val="auto"/>
              </w:rPr>
            </w:pPr>
            <w:r>
              <w:rPr>
                <w:rFonts w:ascii="Arial" w:cs="Arial" w:eastAsia="Arial" w:hAnsi="Arial"/>
                <w:sz w:val="20"/>
                <w:szCs w:val="20"/>
                <w:b w:val="1"/>
                <w:bCs w:val="1"/>
                <w:color w:val="auto"/>
              </w:rPr>
              <w:t>Q1 2026</w:t>
            </w:r>
          </w:p>
        </w:tc>
        <w:tc>
          <w:tcPr>
            <w:tcW w:w="200" w:type="dxa"/>
            <w:vAlign w:val="bottom"/>
          </w:tcPr>
          <w:p>
            <w:pPr>
              <w:spacing w:after="0"/>
              <w:rPr>
                <w:sz w:val="23"/>
                <w:szCs w:val="23"/>
                <w:color w:val="auto"/>
              </w:rPr>
            </w:pPr>
          </w:p>
        </w:tc>
        <w:tc>
          <w:tcPr>
            <w:tcW w:w="1100" w:type="dxa"/>
            <w:vAlign w:val="bottom"/>
          </w:tcPr>
          <w:p>
            <w:pPr>
              <w:jc w:val="right"/>
              <w:ind w:right="161"/>
              <w:spacing w:after="0"/>
              <w:rPr>
                <w:sz w:val="20"/>
                <w:szCs w:val="20"/>
                <w:color w:val="auto"/>
              </w:rPr>
            </w:pPr>
            <w:r>
              <w:rPr>
                <w:rFonts w:ascii="Arial" w:cs="Arial" w:eastAsia="Arial" w:hAnsi="Arial"/>
                <w:sz w:val="20"/>
                <w:szCs w:val="20"/>
                <w:b w:val="1"/>
                <w:bCs w:val="1"/>
                <w:color w:val="auto"/>
              </w:rPr>
              <w:t>Q1 2025</w:t>
            </w:r>
          </w:p>
        </w:tc>
        <w:tc>
          <w:tcPr>
            <w:tcW w:w="100" w:type="dxa"/>
            <w:vAlign w:val="bottom"/>
          </w:tcPr>
          <w:p>
            <w:pPr>
              <w:spacing w:after="0"/>
              <w:rPr>
                <w:sz w:val="23"/>
                <w:szCs w:val="23"/>
                <w:color w:val="auto"/>
              </w:rPr>
            </w:pPr>
          </w:p>
        </w:tc>
        <w:tc>
          <w:tcPr>
            <w:tcW w:w="1520" w:type="dxa"/>
            <w:vAlign w:val="bottom"/>
          </w:tcPr>
          <w:p>
            <w:pPr>
              <w:jc w:val="right"/>
              <w:ind w:right="181"/>
              <w:spacing w:after="0"/>
              <w:rPr>
                <w:sz w:val="20"/>
                <w:szCs w:val="20"/>
                <w:color w:val="auto"/>
              </w:rPr>
            </w:pPr>
            <w:r>
              <w:rPr>
                <w:rFonts w:ascii="Arial" w:cs="Arial" w:eastAsia="Arial" w:hAnsi="Arial"/>
                <w:sz w:val="20"/>
                <w:szCs w:val="20"/>
                <w:b w:val="1"/>
                <w:bCs w:val="1"/>
                <w:color w:val="auto"/>
              </w:rPr>
              <w:t>% Change</w:t>
            </w:r>
          </w:p>
        </w:tc>
      </w:tr>
      <w:tr>
        <w:trPr>
          <w:trHeight w:val="237"/>
        </w:trPr>
        <w:tc>
          <w:tcPr>
            <w:tcW w:w="4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Net product sales:</w:t>
            </w:r>
          </w:p>
        </w:tc>
        <w:tc>
          <w:tcPr>
            <w:tcW w:w="200" w:type="dxa"/>
            <w:vAlign w:val="bottom"/>
            <w:tcBorders>
              <w:top w:val="single" w:sz="8" w:color="auto"/>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520" w:type="dxa"/>
            <w:vAlign w:val="bottom"/>
            <w:tcBorders>
              <w:top w:val="single" w:sz="8" w:color="auto"/>
            </w:tcBorders>
            <w:shd w:val="clear" w:color="auto" w:fill="CCEEFF"/>
          </w:tcPr>
          <w:p>
            <w:pPr>
              <w:spacing w:after="0"/>
              <w:rPr>
                <w:sz w:val="20"/>
                <w:szCs w:val="20"/>
                <w:color w:val="auto"/>
              </w:rPr>
            </w:pPr>
          </w:p>
        </w:tc>
      </w:tr>
      <w:tr>
        <w:trPr>
          <w:trHeight w:val="256"/>
        </w:trPr>
        <w:tc>
          <w:tcPr>
            <w:tcW w:w="4940" w:type="dxa"/>
            <w:vAlign w:val="bottom"/>
          </w:tcPr>
          <w:p>
            <w:pPr>
              <w:ind w:left="260"/>
              <w:spacing w:after="0"/>
              <w:rPr>
                <w:sz w:val="20"/>
                <w:szCs w:val="20"/>
                <w:color w:val="auto"/>
              </w:rPr>
            </w:pPr>
            <w:r>
              <w:rPr>
                <w:rFonts w:ascii="Arial" w:cs="Arial" w:eastAsia="Arial" w:hAnsi="Arial"/>
                <w:sz w:val="20"/>
                <w:szCs w:val="20"/>
                <w:color w:val="auto"/>
              </w:rPr>
              <w:t>EYLEA HD - U.S.</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468</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307</w:t>
            </w:r>
          </w:p>
        </w:tc>
        <w:tc>
          <w:tcPr>
            <w:tcW w:w="1620" w:type="dxa"/>
            <w:vAlign w:val="bottom"/>
            <w:gridSpan w:val="2"/>
          </w:tcPr>
          <w:p>
            <w:pPr>
              <w:jc w:val="right"/>
              <w:ind w:right="1"/>
              <w:spacing w:after="0"/>
              <w:rPr>
                <w:sz w:val="20"/>
                <w:szCs w:val="20"/>
                <w:color w:val="auto"/>
              </w:rPr>
            </w:pPr>
            <w:r>
              <w:rPr>
                <w:rFonts w:ascii="Arial" w:cs="Arial" w:eastAsia="Arial" w:hAnsi="Arial"/>
                <w:sz w:val="20"/>
                <w:szCs w:val="20"/>
                <w:color w:val="auto"/>
              </w:rPr>
              <w:t>52%</w:t>
            </w:r>
          </w:p>
        </w:tc>
      </w:tr>
      <w:tr>
        <w:trPr>
          <w:trHeight w:val="257"/>
        </w:trPr>
        <w:tc>
          <w:tcPr>
            <w:tcW w:w="4940" w:type="dxa"/>
            <w:vAlign w:val="bottom"/>
            <w:shd w:val="clear" w:color="auto" w:fill="CCEEFF"/>
          </w:tcPr>
          <w:p>
            <w:pPr>
              <w:ind w:left="260"/>
              <w:spacing w:after="0"/>
              <w:rPr>
                <w:sz w:val="20"/>
                <w:szCs w:val="20"/>
                <w:color w:val="auto"/>
              </w:rPr>
            </w:pPr>
            <w:r>
              <w:rPr>
                <w:rFonts w:ascii="Arial" w:cs="Arial" w:eastAsia="Arial" w:hAnsi="Arial"/>
                <w:sz w:val="20"/>
                <w:szCs w:val="20"/>
                <w:color w:val="auto"/>
              </w:rPr>
              <w:t>EYLEA - U.S.</w:t>
            </w:r>
          </w:p>
        </w:tc>
        <w:tc>
          <w:tcPr>
            <w:tcW w:w="2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473</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736</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(36%)</w:t>
            </w:r>
          </w:p>
        </w:tc>
      </w:tr>
      <w:tr>
        <w:trPr>
          <w:trHeight w:val="250"/>
        </w:trPr>
        <w:tc>
          <w:tcPr>
            <w:tcW w:w="4940" w:type="dxa"/>
            <w:vAlign w:val="bottom"/>
          </w:tcPr>
          <w:p>
            <w:pPr>
              <w:ind w:left="520"/>
              <w:spacing w:after="0"/>
              <w:rPr>
                <w:sz w:val="20"/>
                <w:szCs w:val="20"/>
                <w:color w:val="auto"/>
              </w:rPr>
            </w:pPr>
            <w:r>
              <w:rPr>
                <w:rFonts w:ascii="Arial" w:cs="Arial" w:eastAsia="Arial" w:hAnsi="Arial"/>
                <w:sz w:val="20"/>
                <w:szCs w:val="20"/>
                <w:color w:val="auto"/>
              </w:rPr>
              <w:t>Total EYLEA HD and EYLEA - U.S.</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941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1,043</w:t>
            </w: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(10%)</w:t>
            </w:r>
          </w:p>
        </w:tc>
      </w:tr>
      <w:tr>
        <w:trPr>
          <w:trHeight w:val="257"/>
        </w:trPr>
        <w:tc>
          <w:tcPr>
            <w:tcW w:w="4940" w:type="dxa"/>
            <w:vAlign w:val="bottom"/>
            <w:shd w:val="clear" w:color="auto" w:fill="CCEEFF"/>
          </w:tcPr>
          <w:p>
            <w:pPr>
              <w:ind w:left="260"/>
              <w:spacing w:after="0" w:line="257" w:lineRule="exact"/>
              <w:rPr>
                <w:sz w:val="20"/>
                <w:szCs w:val="20"/>
                <w:color w:val="auto"/>
              </w:rPr>
            </w:pPr>
            <w:r>
              <w:rPr>
                <w:rFonts w:ascii="Arial" w:cs="Arial" w:eastAsia="Arial" w:hAnsi="Arial"/>
                <w:sz w:val="20"/>
                <w:szCs w:val="20"/>
                <w:color w:val="auto"/>
              </w:rPr>
              <w:t>Libtayo</w:t>
            </w:r>
            <w:r>
              <w:rPr>
                <w:rFonts w:ascii="Arial" w:cs="Arial" w:eastAsia="Arial" w:hAnsi="Arial"/>
                <w:sz w:val="25"/>
                <w:szCs w:val="25"/>
                <w:i w:val="1"/>
                <w:iCs w:val="1"/>
                <w:color w:val="auto"/>
                <w:vertAlign w:val="superscript"/>
              </w:rPr>
              <w:t>®</w:t>
            </w:r>
            <w:r>
              <w:rPr>
                <w:rFonts w:ascii="Arial" w:cs="Arial" w:eastAsia="Arial" w:hAnsi="Arial"/>
                <w:sz w:val="20"/>
                <w:szCs w:val="20"/>
                <w:color w:val="auto"/>
              </w:rPr>
              <w:t xml:space="preserve"> - U.S.</w:t>
            </w: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286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192</w:t>
            </w:r>
          </w:p>
        </w:tc>
        <w:tc>
          <w:tcPr>
            <w:tcW w:w="1620" w:type="dxa"/>
            <w:vAlign w:val="bottom"/>
            <w:gridSpan w:val="2"/>
            <w:shd w:val="clear" w:color="auto" w:fill="CCEEFF"/>
          </w:tcPr>
          <w:p>
            <w:pPr>
              <w:jc w:val="right"/>
              <w:ind w:right="1"/>
              <w:spacing w:after="0"/>
              <w:rPr>
                <w:sz w:val="20"/>
                <w:szCs w:val="20"/>
                <w:color w:val="auto"/>
              </w:rPr>
            </w:pPr>
            <w:r>
              <w:rPr>
                <w:rFonts w:ascii="Arial" w:cs="Arial" w:eastAsia="Arial" w:hAnsi="Arial"/>
                <w:sz w:val="20"/>
                <w:szCs w:val="20"/>
                <w:color w:val="auto"/>
              </w:rPr>
              <w:t>49%</w:t>
            </w:r>
          </w:p>
        </w:tc>
      </w:tr>
      <w:tr>
        <w:trPr>
          <w:trHeight w:val="256"/>
        </w:trPr>
        <w:tc>
          <w:tcPr>
            <w:tcW w:w="4940" w:type="dxa"/>
            <w:vAlign w:val="bottom"/>
            <w:tcBorders>
              <w:bottom w:val="single" w:sz="8" w:color="CCEEFF"/>
            </w:tcBorders>
          </w:tcPr>
          <w:p>
            <w:pPr>
              <w:ind w:left="260"/>
              <w:spacing w:after="0"/>
              <w:rPr>
                <w:sz w:val="20"/>
                <w:szCs w:val="20"/>
                <w:color w:val="auto"/>
              </w:rPr>
            </w:pPr>
            <w:r>
              <w:rPr>
                <w:rFonts w:ascii="Arial" w:cs="Arial" w:eastAsia="Arial" w:hAnsi="Arial"/>
                <w:sz w:val="20"/>
                <w:szCs w:val="20"/>
                <w:color w:val="auto"/>
              </w:rPr>
              <w:t>Libtayo - ROW*</w:t>
            </w: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152</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93</w:t>
            </w:r>
          </w:p>
        </w:tc>
        <w:tc>
          <w:tcPr>
            <w:tcW w:w="1620" w:type="dxa"/>
            <w:vAlign w:val="bottom"/>
            <w:tcBorders>
              <w:bottom w:val="single" w:sz="8" w:color="CCEEFF"/>
            </w:tcBorders>
            <w:gridSpan w:val="2"/>
          </w:tcPr>
          <w:p>
            <w:pPr>
              <w:jc w:val="right"/>
              <w:ind w:right="1"/>
              <w:spacing w:after="0"/>
              <w:rPr>
                <w:sz w:val="20"/>
                <w:szCs w:val="20"/>
                <w:color w:val="auto"/>
              </w:rPr>
            </w:pPr>
            <w:r>
              <w:rPr>
                <w:rFonts w:ascii="Arial" w:cs="Arial" w:eastAsia="Arial" w:hAnsi="Arial"/>
                <w:sz w:val="20"/>
                <w:szCs w:val="20"/>
                <w:color w:val="auto"/>
              </w:rPr>
              <w:t>63%</w:t>
            </w:r>
          </w:p>
        </w:tc>
      </w:tr>
      <w:tr>
        <w:trPr>
          <w:trHeight w:val="250"/>
        </w:trPr>
        <w:tc>
          <w:tcPr>
            <w:tcW w:w="4940" w:type="dxa"/>
            <w:vAlign w:val="bottom"/>
            <w:shd w:val="clear" w:color="auto" w:fill="CCEEFF"/>
          </w:tcPr>
          <w:p>
            <w:pPr>
              <w:ind w:left="520"/>
              <w:spacing w:after="0"/>
              <w:rPr>
                <w:sz w:val="20"/>
                <w:szCs w:val="20"/>
                <w:color w:val="auto"/>
              </w:rPr>
            </w:pPr>
            <w:r>
              <w:rPr>
                <w:rFonts w:ascii="Arial" w:cs="Arial" w:eastAsia="Arial" w:hAnsi="Arial"/>
                <w:sz w:val="20"/>
                <w:szCs w:val="20"/>
                <w:color w:val="auto"/>
              </w:rPr>
              <w:t>Total Libtayo - Global</w:t>
            </w: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438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285</w:t>
            </w:r>
          </w:p>
        </w:tc>
        <w:tc>
          <w:tcPr>
            <w:tcW w:w="1620" w:type="dxa"/>
            <w:vAlign w:val="bottom"/>
            <w:gridSpan w:val="2"/>
            <w:shd w:val="clear" w:color="auto" w:fill="CCEEFF"/>
          </w:tcPr>
          <w:p>
            <w:pPr>
              <w:jc w:val="right"/>
              <w:ind w:right="1"/>
              <w:spacing w:after="0"/>
              <w:rPr>
                <w:sz w:val="20"/>
                <w:szCs w:val="20"/>
                <w:color w:val="auto"/>
              </w:rPr>
            </w:pPr>
            <w:r>
              <w:rPr>
                <w:rFonts w:ascii="Arial" w:cs="Arial" w:eastAsia="Arial" w:hAnsi="Arial"/>
                <w:sz w:val="20"/>
                <w:szCs w:val="20"/>
                <w:color w:val="auto"/>
              </w:rPr>
              <w:t>54%</w:t>
            </w:r>
          </w:p>
        </w:tc>
      </w:tr>
      <w:tr>
        <w:trPr>
          <w:trHeight w:val="257"/>
        </w:trPr>
        <w:tc>
          <w:tcPr>
            <w:tcW w:w="4940" w:type="dxa"/>
            <w:vAlign w:val="bottom"/>
          </w:tcPr>
          <w:p>
            <w:pPr>
              <w:ind w:left="260"/>
              <w:spacing w:after="0"/>
              <w:rPr>
                <w:sz w:val="20"/>
                <w:szCs w:val="20"/>
                <w:color w:val="auto"/>
              </w:rPr>
            </w:pPr>
            <w:r>
              <w:rPr>
                <w:rFonts w:ascii="Arial" w:cs="Arial" w:eastAsia="Arial" w:hAnsi="Arial"/>
                <w:sz w:val="20"/>
                <w:szCs w:val="20"/>
                <w:color w:val="auto"/>
              </w:rPr>
              <w:t>Praluent - U.S.</w:t>
            </w: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67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57</w:t>
            </w:r>
          </w:p>
        </w:tc>
        <w:tc>
          <w:tcPr>
            <w:tcW w:w="1620" w:type="dxa"/>
            <w:vAlign w:val="bottom"/>
            <w:gridSpan w:val="2"/>
          </w:tcPr>
          <w:p>
            <w:pPr>
              <w:jc w:val="right"/>
              <w:ind w:right="1"/>
              <w:spacing w:after="0"/>
              <w:rPr>
                <w:sz w:val="20"/>
                <w:szCs w:val="20"/>
                <w:color w:val="auto"/>
              </w:rPr>
            </w:pPr>
            <w:r>
              <w:rPr>
                <w:rFonts w:ascii="Arial" w:cs="Arial" w:eastAsia="Arial" w:hAnsi="Arial"/>
                <w:sz w:val="20"/>
                <w:szCs w:val="20"/>
                <w:color w:val="auto"/>
              </w:rPr>
              <w:t>18%</w:t>
            </w:r>
          </w:p>
        </w:tc>
      </w:tr>
      <w:tr>
        <w:trPr>
          <w:trHeight w:val="256"/>
        </w:trPr>
        <w:tc>
          <w:tcPr>
            <w:tcW w:w="4940" w:type="dxa"/>
            <w:vAlign w:val="bottom"/>
            <w:shd w:val="clear" w:color="auto" w:fill="CCEEFF"/>
          </w:tcPr>
          <w:p>
            <w:pPr>
              <w:ind w:left="260"/>
              <w:spacing w:after="0" w:line="257" w:lineRule="exact"/>
              <w:rPr>
                <w:sz w:val="20"/>
                <w:szCs w:val="20"/>
                <w:color w:val="auto"/>
              </w:rPr>
            </w:pPr>
            <w:r>
              <w:rPr>
                <w:rFonts w:ascii="Arial" w:cs="Arial" w:eastAsia="Arial" w:hAnsi="Arial"/>
                <w:sz w:val="20"/>
                <w:szCs w:val="20"/>
                <w:color w:val="auto"/>
              </w:rPr>
              <w:t>Evkeeza</w:t>
            </w:r>
            <w:r>
              <w:rPr>
                <w:rFonts w:ascii="Arial" w:cs="Arial" w:eastAsia="Arial" w:hAnsi="Arial"/>
                <w:sz w:val="25"/>
                <w:szCs w:val="25"/>
                <w:color w:val="auto"/>
                <w:vertAlign w:val="superscript"/>
              </w:rPr>
              <w:t>®</w:t>
            </w:r>
            <w:r>
              <w:rPr>
                <w:rFonts w:ascii="Arial" w:cs="Arial" w:eastAsia="Arial" w:hAnsi="Arial"/>
                <w:sz w:val="20"/>
                <w:szCs w:val="20"/>
                <w:color w:val="auto"/>
              </w:rPr>
              <w:t xml:space="preserve"> - U.S.</w:t>
            </w: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31</w:t>
            </w:r>
          </w:p>
        </w:tc>
        <w:tc>
          <w:tcPr>
            <w:tcW w:w="1620" w:type="dxa"/>
            <w:vAlign w:val="bottom"/>
            <w:gridSpan w:val="2"/>
            <w:shd w:val="clear" w:color="auto" w:fill="CCEEFF"/>
          </w:tcPr>
          <w:p>
            <w:pPr>
              <w:jc w:val="right"/>
              <w:ind w:right="1"/>
              <w:spacing w:after="0"/>
              <w:rPr>
                <w:sz w:val="20"/>
                <w:szCs w:val="20"/>
                <w:color w:val="auto"/>
              </w:rPr>
            </w:pPr>
            <w:r>
              <w:rPr>
                <w:rFonts w:ascii="Arial" w:cs="Arial" w:eastAsia="Arial" w:hAnsi="Arial"/>
                <w:sz w:val="20"/>
                <w:szCs w:val="20"/>
                <w:color w:val="auto"/>
              </w:rPr>
              <w:t>48%</w:t>
            </w:r>
          </w:p>
        </w:tc>
      </w:tr>
      <w:tr>
        <w:trPr>
          <w:trHeight w:val="257"/>
        </w:trPr>
        <w:tc>
          <w:tcPr>
            <w:tcW w:w="4940" w:type="dxa"/>
            <w:vAlign w:val="bottom"/>
          </w:tcPr>
          <w:p>
            <w:pPr>
              <w:ind w:left="260"/>
              <w:spacing w:after="0" w:line="257" w:lineRule="exact"/>
              <w:rPr>
                <w:sz w:val="20"/>
                <w:szCs w:val="20"/>
                <w:color w:val="auto"/>
              </w:rPr>
            </w:pPr>
            <w:r>
              <w:rPr>
                <w:rFonts w:ascii="Arial" w:cs="Arial" w:eastAsia="Arial" w:hAnsi="Arial"/>
                <w:sz w:val="20"/>
                <w:szCs w:val="20"/>
                <w:color w:val="auto"/>
              </w:rPr>
              <w:t>Lynozyfic</w:t>
            </w:r>
            <w:r>
              <w:rPr>
                <w:rFonts w:ascii="Arial" w:cs="Arial" w:eastAsia="Arial" w:hAnsi="Arial"/>
                <w:sz w:val="25"/>
                <w:szCs w:val="25"/>
                <w:color w:val="auto"/>
                <w:vertAlign w:val="superscript"/>
              </w:rPr>
              <w:t>®</w:t>
            </w:r>
            <w:r>
              <w:rPr>
                <w:rFonts w:ascii="Arial" w:cs="Arial" w:eastAsia="Arial" w:hAnsi="Arial"/>
                <w:sz w:val="20"/>
                <w:szCs w:val="20"/>
                <w:color w:val="auto"/>
              </w:rPr>
              <w:t xml:space="preserve"> - Global</w:t>
            </w: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1620" w:type="dxa"/>
            <w:vAlign w:val="bottom"/>
            <w:gridSpan w:val="2"/>
          </w:tcPr>
          <w:p>
            <w:pPr>
              <w:jc w:val="right"/>
              <w:ind w:right="41"/>
              <w:spacing w:after="0"/>
              <w:rPr>
                <w:sz w:val="20"/>
                <w:szCs w:val="20"/>
                <w:color w:val="auto"/>
              </w:rPr>
            </w:pPr>
            <w:r>
              <w:rPr>
                <w:rFonts w:ascii="Arial" w:cs="Arial" w:eastAsia="Arial" w:hAnsi="Arial"/>
                <w:sz w:val="20"/>
                <w:szCs w:val="20"/>
                <w:color w:val="auto"/>
              </w:rPr>
              <w:t>**</w:t>
            </w:r>
          </w:p>
        </w:tc>
      </w:tr>
      <w:tr>
        <w:trPr>
          <w:trHeight w:val="257"/>
        </w:trPr>
        <w:tc>
          <w:tcPr>
            <w:tcW w:w="4940" w:type="dxa"/>
            <w:vAlign w:val="bottom"/>
            <w:shd w:val="clear" w:color="auto" w:fill="CCEEFF"/>
          </w:tcPr>
          <w:p>
            <w:pPr>
              <w:ind w:left="260"/>
              <w:spacing w:after="0"/>
              <w:rPr>
                <w:sz w:val="20"/>
                <w:szCs w:val="20"/>
                <w:color w:val="auto"/>
              </w:rPr>
            </w:pPr>
            <w:r>
              <w:rPr>
                <w:rFonts w:ascii="Arial" w:cs="Arial" w:eastAsia="Arial" w:hAnsi="Arial"/>
                <w:sz w:val="20"/>
                <w:szCs w:val="20"/>
                <w:color w:val="auto"/>
              </w:rPr>
              <w:t>Other products - Global</w:t>
            </w:r>
          </w:p>
        </w:tc>
        <w:tc>
          <w:tcPr>
            <w:tcW w:w="2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32</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620" w:type="dxa"/>
            <w:vAlign w:val="bottom"/>
            <w:gridSpan w:val="2"/>
            <w:shd w:val="clear" w:color="auto" w:fill="CCEEFF"/>
          </w:tcPr>
          <w:p>
            <w:pPr>
              <w:jc w:val="right"/>
              <w:ind w:right="41"/>
              <w:spacing w:after="0"/>
              <w:rPr>
                <w:sz w:val="20"/>
                <w:szCs w:val="20"/>
                <w:color w:val="auto"/>
              </w:rPr>
            </w:pPr>
            <w:r>
              <w:rPr>
                <w:rFonts w:ascii="Arial" w:cs="Arial" w:eastAsia="Arial" w:hAnsi="Arial"/>
                <w:sz w:val="20"/>
                <w:szCs w:val="20"/>
                <w:color w:val="auto"/>
              </w:rPr>
              <w:t>**</w:t>
            </w:r>
          </w:p>
        </w:tc>
      </w:tr>
      <w:tr>
        <w:trPr>
          <w:trHeight w:val="250"/>
        </w:trPr>
        <w:tc>
          <w:tcPr>
            <w:tcW w:w="4940" w:type="dxa"/>
            <w:vAlign w:val="bottom"/>
          </w:tcPr>
          <w:p>
            <w:pPr>
              <w:ind w:left="20"/>
              <w:spacing w:after="0"/>
              <w:rPr>
                <w:sz w:val="20"/>
                <w:szCs w:val="20"/>
                <w:color w:val="auto"/>
              </w:rPr>
            </w:pPr>
            <w:r>
              <w:rPr>
                <w:rFonts w:ascii="Arial" w:cs="Arial" w:eastAsia="Arial" w:hAnsi="Arial"/>
                <w:sz w:val="20"/>
                <w:szCs w:val="20"/>
                <w:color w:val="auto"/>
              </w:rPr>
              <w:t>Total net product sales</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1,535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1,416</w:t>
            </w:r>
          </w:p>
        </w:tc>
        <w:tc>
          <w:tcPr>
            <w:tcW w:w="1620" w:type="dxa"/>
            <w:vAlign w:val="bottom"/>
            <w:gridSpan w:val="2"/>
          </w:tcPr>
          <w:p>
            <w:pPr>
              <w:jc w:val="right"/>
              <w:ind w:right="1"/>
              <w:spacing w:after="0"/>
              <w:rPr>
                <w:sz w:val="20"/>
                <w:szCs w:val="20"/>
                <w:color w:val="auto"/>
              </w:rPr>
            </w:pPr>
            <w:r>
              <w:rPr>
                <w:rFonts w:ascii="Arial" w:cs="Arial" w:eastAsia="Arial" w:hAnsi="Arial"/>
                <w:sz w:val="20"/>
                <w:szCs w:val="20"/>
                <w:color w:val="auto"/>
              </w:rPr>
              <w:t>8%</w:t>
            </w:r>
          </w:p>
        </w:tc>
      </w:tr>
      <w:tr>
        <w:trPr>
          <w:trHeight w:val="270"/>
        </w:trPr>
        <w:tc>
          <w:tcPr>
            <w:tcW w:w="49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r>
      <w:tr>
        <w:trPr>
          <w:trHeight w:val="257"/>
        </w:trPr>
        <w:tc>
          <w:tcPr>
            <w:tcW w:w="4940" w:type="dxa"/>
            <w:vAlign w:val="bottom"/>
          </w:tcPr>
          <w:p>
            <w:pPr>
              <w:ind w:left="20"/>
              <w:spacing w:after="0"/>
              <w:rPr>
                <w:sz w:val="20"/>
                <w:szCs w:val="20"/>
                <w:color w:val="auto"/>
              </w:rPr>
            </w:pPr>
            <w:r>
              <w:rPr>
                <w:rFonts w:ascii="Arial" w:cs="Arial" w:eastAsia="Arial" w:hAnsi="Arial"/>
                <w:sz w:val="20"/>
                <w:szCs w:val="20"/>
                <w:color w:val="auto"/>
              </w:rPr>
              <w:t>Collaboration revenue:</w:t>
            </w: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57"/>
        </w:trPr>
        <w:tc>
          <w:tcPr>
            <w:tcW w:w="4940" w:type="dxa"/>
            <w:vAlign w:val="bottom"/>
            <w:shd w:val="clear" w:color="auto" w:fill="CCEEFF"/>
          </w:tcPr>
          <w:p>
            <w:pPr>
              <w:ind w:left="260"/>
              <w:spacing w:after="0"/>
              <w:rPr>
                <w:sz w:val="20"/>
                <w:szCs w:val="20"/>
                <w:color w:val="auto"/>
              </w:rPr>
            </w:pPr>
            <w:r>
              <w:rPr>
                <w:rFonts w:ascii="Arial" w:cs="Arial" w:eastAsia="Arial" w:hAnsi="Arial"/>
                <w:sz w:val="20"/>
                <w:szCs w:val="20"/>
                <w:color w:val="auto"/>
              </w:rPr>
              <w:t>Sanofi</w:t>
            </w: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1,605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1,183</w:t>
            </w:r>
          </w:p>
        </w:tc>
        <w:tc>
          <w:tcPr>
            <w:tcW w:w="1620" w:type="dxa"/>
            <w:vAlign w:val="bottom"/>
            <w:gridSpan w:val="2"/>
            <w:shd w:val="clear" w:color="auto" w:fill="CCEEFF"/>
          </w:tcPr>
          <w:p>
            <w:pPr>
              <w:jc w:val="right"/>
              <w:ind w:right="1"/>
              <w:spacing w:after="0"/>
              <w:rPr>
                <w:sz w:val="20"/>
                <w:szCs w:val="20"/>
                <w:color w:val="auto"/>
              </w:rPr>
            </w:pPr>
            <w:r>
              <w:rPr>
                <w:rFonts w:ascii="Arial" w:cs="Arial" w:eastAsia="Arial" w:hAnsi="Arial"/>
                <w:sz w:val="20"/>
                <w:szCs w:val="20"/>
                <w:color w:val="auto"/>
              </w:rPr>
              <w:t>36%</w:t>
            </w:r>
          </w:p>
        </w:tc>
      </w:tr>
      <w:tr>
        <w:trPr>
          <w:trHeight w:val="256"/>
        </w:trPr>
        <w:tc>
          <w:tcPr>
            <w:tcW w:w="4940" w:type="dxa"/>
            <w:vAlign w:val="bottom"/>
          </w:tcPr>
          <w:p>
            <w:pPr>
              <w:ind w:left="260"/>
              <w:spacing w:after="0"/>
              <w:rPr>
                <w:sz w:val="20"/>
                <w:szCs w:val="20"/>
                <w:color w:val="auto"/>
              </w:rPr>
            </w:pPr>
            <w:r>
              <w:rPr>
                <w:rFonts w:ascii="Arial" w:cs="Arial" w:eastAsia="Arial" w:hAnsi="Arial"/>
                <w:sz w:val="20"/>
                <w:szCs w:val="20"/>
                <w:color w:val="auto"/>
              </w:rPr>
              <w:t>Bayer</w:t>
            </w: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287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344</w:t>
            </w: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(17%)</w:t>
            </w:r>
          </w:p>
        </w:tc>
      </w:tr>
      <w:tr>
        <w:trPr>
          <w:trHeight w:val="257"/>
        </w:trPr>
        <w:tc>
          <w:tcPr>
            <w:tcW w:w="4940" w:type="dxa"/>
            <w:vAlign w:val="bottom"/>
            <w:shd w:val="clear" w:color="auto" w:fill="CCEEFF"/>
          </w:tcPr>
          <w:p>
            <w:pPr>
              <w:ind w:left="260"/>
              <w:spacing w:after="0"/>
              <w:rPr>
                <w:sz w:val="20"/>
                <w:szCs w:val="20"/>
                <w:color w:val="auto"/>
              </w:rPr>
            </w:pPr>
            <w:r>
              <w:rPr>
                <w:rFonts w:ascii="Arial" w:cs="Arial" w:eastAsia="Arial" w:hAnsi="Arial"/>
                <w:sz w:val="20"/>
                <w:szCs w:val="20"/>
                <w:color w:val="auto"/>
              </w:rPr>
              <w:t>Other</w:t>
            </w: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w:t>
            </w:r>
          </w:p>
        </w:tc>
        <w:tc>
          <w:tcPr>
            <w:tcW w:w="1620" w:type="dxa"/>
            <w:vAlign w:val="bottom"/>
            <w:gridSpan w:val="2"/>
            <w:shd w:val="clear" w:color="auto" w:fill="CCEEFF"/>
          </w:tcPr>
          <w:p>
            <w:pPr>
              <w:jc w:val="right"/>
              <w:ind w:right="1"/>
              <w:spacing w:after="0"/>
              <w:rPr>
                <w:sz w:val="20"/>
                <w:szCs w:val="20"/>
                <w:color w:val="auto"/>
              </w:rPr>
            </w:pPr>
            <w:r>
              <w:rPr>
                <w:rFonts w:ascii="Arial" w:cs="Arial" w:eastAsia="Arial" w:hAnsi="Arial"/>
                <w:sz w:val="20"/>
                <w:szCs w:val="20"/>
                <w:color w:val="auto"/>
              </w:rPr>
              <w:t>75%</w:t>
            </w:r>
          </w:p>
        </w:tc>
      </w:tr>
      <w:tr>
        <w:trPr>
          <w:trHeight w:val="256"/>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Other revenue</w:t>
            </w: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82</w:t>
            </w:r>
          </w:p>
        </w:tc>
        <w:tc>
          <w:tcPr>
            <w:tcW w:w="1620" w:type="dxa"/>
            <w:vAlign w:val="bottom"/>
            <w:tcBorders>
              <w:bottom w:val="single" w:sz="8" w:color="CCEEFF"/>
            </w:tcBorders>
            <w:gridSpan w:val="2"/>
          </w:tcPr>
          <w:p>
            <w:pPr>
              <w:jc w:val="right"/>
              <w:ind w:right="1"/>
              <w:spacing w:after="0"/>
              <w:rPr>
                <w:sz w:val="20"/>
                <w:szCs w:val="20"/>
                <w:color w:val="auto"/>
              </w:rPr>
            </w:pPr>
            <w:r>
              <w:rPr>
                <w:rFonts w:ascii="Arial" w:cs="Arial" w:eastAsia="Arial" w:hAnsi="Arial"/>
                <w:sz w:val="20"/>
                <w:szCs w:val="20"/>
                <w:color w:val="auto"/>
              </w:rPr>
              <w:t>109%</w:t>
            </w:r>
          </w:p>
        </w:tc>
      </w:tr>
      <w:tr>
        <w:trPr>
          <w:trHeight w:val="275"/>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Total revenues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3,605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3,029</w:t>
            </w:r>
          </w:p>
        </w:tc>
        <w:tc>
          <w:tcPr>
            <w:tcW w:w="162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20"/>
                <w:szCs w:val="20"/>
                <w:color w:val="auto"/>
              </w:rPr>
              <w:t>19%</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r>
    </w:tbl>
    <w:p>
      <w:pPr>
        <w:spacing w:after="0" w:line="40" w:lineRule="exact"/>
        <w:rPr>
          <w:sz w:val="20"/>
          <w:szCs w:val="20"/>
          <w:color w:val="auto"/>
        </w:rPr>
      </w:pPr>
    </w:p>
    <w:p>
      <w:pPr>
        <w:ind w:left="360" w:hanging="118"/>
        <w:spacing w:after="0"/>
        <w:tabs>
          <w:tab w:leader="none" w:pos="360" w:val="left"/>
        </w:tabs>
        <w:numPr>
          <w:ilvl w:val="0"/>
          <w:numId w:val="10"/>
        </w:numPr>
        <w:rPr>
          <w:rFonts w:ascii="Arial" w:cs="Arial" w:eastAsia="Arial" w:hAnsi="Arial"/>
          <w:sz w:val="18"/>
          <w:szCs w:val="18"/>
          <w:color w:val="auto"/>
        </w:rPr>
      </w:pPr>
      <w:r>
        <w:rPr>
          <w:rFonts w:ascii="Arial" w:cs="Arial" w:eastAsia="Arial" w:hAnsi="Arial"/>
          <w:sz w:val="16"/>
          <w:szCs w:val="16"/>
          <w:color w:val="auto"/>
        </w:rPr>
        <w:t>Rest of world (ROW)</w:t>
      </w:r>
    </w:p>
    <w:p>
      <w:pPr>
        <w:spacing w:after="0" w:line="63" w:lineRule="exact"/>
        <w:rPr>
          <w:sz w:val="20"/>
          <w:szCs w:val="20"/>
          <w:color w:val="auto"/>
        </w:rPr>
      </w:pPr>
    </w:p>
    <w:p>
      <w:pPr>
        <w:ind w:left="420" w:hanging="178"/>
        <w:spacing w:after="0"/>
        <w:tabs>
          <w:tab w:leader="none" w:pos="420" w:val="left"/>
        </w:tabs>
        <w:numPr>
          <w:ilvl w:val="0"/>
          <w:numId w:val="11"/>
        </w:numPr>
        <w:rPr>
          <w:rFonts w:ascii="Arial" w:cs="Arial" w:eastAsia="Arial" w:hAnsi="Arial"/>
          <w:sz w:val="18"/>
          <w:szCs w:val="18"/>
          <w:color w:val="auto"/>
        </w:rPr>
      </w:pPr>
      <w:r>
        <w:rPr>
          <w:rFonts w:ascii="Arial" w:cs="Arial" w:eastAsia="Arial" w:hAnsi="Arial"/>
          <w:sz w:val="16"/>
          <w:szCs w:val="16"/>
          <w:color w:val="auto"/>
        </w:rPr>
        <w:t>Percentage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896" w:right="339" w:bottom="1440" w:gutter="0" w:footer="0" w:header="0"/>
        </w:sectPr>
      </w:pPr>
    </w:p>
    <w:bookmarkStart w:id="7" w:name="page8"/>
    <w:bookmarkEnd w:id="7"/>
    <w:p>
      <w:pPr>
        <w:spacing w:after="0" w:line="250" w:lineRule="auto"/>
        <w:rPr>
          <w:sz w:val="20"/>
          <w:szCs w:val="20"/>
          <w:color w:val="auto"/>
        </w:rPr>
      </w:pPr>
      <w:r>
        <w:rPr>
          <w:rFonts w:ascii="Arial" w:cs="Arial" w:eastAsia="Arial" w:hAnsi="Arial"/>
          <w:sz w:val="22"/>
          <w:szCs w:val="22"/>
          <w:color w:val="auto"/>
        </w:rPr>
        <w:t>Net product sales of EYLEA HD increased in the first quarter of 2026, compared to the first quarter of 2025, due to higher sales volumes driven by increased demand, partly offset by a lower net selling price. In addition, EYLEA HD net product sales were negatively impacted by lower wholesaler inventory levels at the end of the first quarter of 2026 compared to the end of the fourth quarter of 2025. EYLEA HD net product sales decreased 7% on a sequential basis; however, physician unit demand increased sequentially by 10%.</w:t>
      </w:r>
    </w:p>
    <w:p>
      <w:pPr>
        <w:spacing w:after="0" w:line="113" w:lineRule="exact"/>
        <w:rPr>
          <w:sz w:val="20"/>
          <w:szCs w:val="20"/>
          <w:color w:val="auto"/>
        </w:rPr>
      </w:pPr>
    </w:p>
    <w:p>
      <w:pPr>
        <w:ind w:right="380"/>
        <w:spacing w:after="0" w:line="264" w:lineRule="auto"/>
        <w:rPr>
          <w:sz w:val="20"/>
          <w:szCs w:val="20"/>
          <w:color w:val="auto"/>
        </w:rPr>
      </w:pPr>
      <w:r>
        <w:rPr>
          <w:rFonts w:ascii="Arial" w:cs="Arial" w:eastAsia="Arial" w:hAnsi="Arial"/>
          <w:sz w:val="22"/>
          <w:szCs w:val="22"/>
          <w:color w:val="auto"/>
        </w:rPr>
        <w:t>Net product sales of EYLEA in the first quarter of 2026, compared to the first quarter of 2025, were negatively impacted by (i) lower sales volumes as a result of continued competitive pressures and the continued transition of patients to EYLEA HD, and (ii) a lower net selling price.</w:t>
      </w:r>
    </w:p>
    <w:p>
      <w:pPr>
        <w:spacing w:after="0" w:line="83" w:lineRule="exact"/>
        <w:rPr>
          <w:sz w:val="20"/>
          <w:szCs w:val="20"/>
          <w:color w:val="auto"/>
        </w:rPr>
      </w:pPr>
    </w:p>
    <w:p>
      <w:pPr>
        <w:spacing w:after="0"/>
        <w:rPr>
          <w:sz w:val="20"/>
          <w:szCs w:val="20"/>
          <w:color w:val="auto"/>
        </w:rPr>
      </w:pPr>
      <w:r>
        <w:rPr>
          <w:rFonts w:ascii="Arial" w:cs="Arial" w:eastAsia="Arial" w:hAnsi="Arial"/>
          <w:sz w:val="22"/>
          <w:szCs w:val="22"/>
          <w:color w:val="auto"/>
        </w:rPr>
        <w:t>Sanofi collaboration revenue increased in the first quarter of 2026, compared to the first quarter of 2025, due to an</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color w:val="auto"/>
        </w:rPr>
        <w:t>increase in the Company's share of profits from the commercialization of antibodies, which were $1.451 billion and</w:t>
      </w:r>
    </w:p>
    <w:p>
      <w:pPr>
        <w:spacing w:after="0" w:line="10" w:lineRule="exact"/>
        <w:rPr>
          <w:sz w:val="20"/>
          <w:szCs w:val="20"/>
          <w:color w:val="auto"/>
        </w:rPr>
      </w:pPr>
    </w:p>
    <w:p>
      <w:pPr>
        <w:spacing w:after="0"/>
        <w:rPr>
          <w:sz w:val="20"/>
          <w:szCs w:val="20"/>
          <w:color w:val="auto"/>
        </w:rPr>
      </w:pPr>
      <w:r>
        <w:rPr>
          <w:rFonts w:ascii="Arial" w:cs="Arial" w:eastAsia="Arial" w:hAnsi="Arial"/>
          <w:sz w:val="22"/>
          <w:szCs w:val="22"/>
          <w:color w:val="auto"/>
        </w:rPr>
        <w:t>$1.018 billion in the first quarter of 2026 and 2025, respectively. The change in the Company's share of profits from</w:t>
      </w:r>
    </w:p>
    <w:p>
      <w:pPr>
        <w:spacing w:after="0" w:line="4" w:lineRule="exact"/>
        <w:rPr>
          <w:sz w:val="20"/>
          <w:szCs w:val="20"/>
          <w:color w:val="auto"/>
        </w:rPr>
      </w:pPr>
    </w:p>
    <w:p>
      <w:pPr>
        <w:spacing w:after="0"/>
        <w:rPr>
          <w:sz w:val="20"/>
          <w:szCs w:val="20"/>
          <w:color w:val="auto"/>
        </w:rPr>
      </w:pPr>
      <w:r>
        <w:rPr>
          <w:rFonts w:ascii="Arial" w:cs="Arial" w:eastAsia="Arial" w:hAnsi="Arial"/>
          <w:sz w:val="21"/>
          <w:szCs w:val="21"/>
          <w:color w:val="auto"/>
        </w:rPr>
        <w:t>commercialization of antibodies was driven by higher profits primarily associated with an increase in Dupixent sales.</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color w:val="auto"/>
        </w:rPr>
        <w:t>Refer to Table 4 for a summary of collaboration revenue.</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Operating Expenses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90"/>
        </w:trPr>
        <w:tc>
          <w:tcPr>
            <w:tcW w:w="39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4"/>
          </w:tcPr>
          <w:p>
            <w:pPr>
              <w:jc w:val="right"/>
              <w:ind w:right="741"/>
              <w:spacing w:after="0"/>
              <w:rPr>
                <w:sz w:val="20"/>
                <w:szCs w:val="20"/>
                <w:color w:val="auto"/>
              </w:rPr>
            </w:pPr>
            <w:r>
              <w:rPr>
                <w:rFonts w:ascii="Arial" w:cs="Arial" w:eastAsia="Arial" w:hAnsi="Arial"/>
                <w:sz w:val="20"/>
                <w:szCs w:val="20"/>
                <w:b w:val="1"/>
                <w:bCs w:val="1"/>
                <w:color w:val="auto"/>
              </w:rPr>
              <w:t>GAAP</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4"/>
          </w:tcPr>
          <w:p>
            <w:pPr>
              <w:jc w:val="right"/>
              <w:ind w:right="441"/>
              <w:spacing w:after="0"/>
              <w:rPr>
                <w:sz w:val="20"/>
                <w:szCs w:val="20"/>
                <w:color w:val="auto"/>
              </w:rPr>
            </w:pPr>
            <w:r>
              <w:rPr>
                <w:rFonts w:ascii="Arial" w:cs="Arial" w:eastAsia="Arial" w:hAnsi="Arial"/>
                <w:sz w:val="20"/>
                <w:szCs w:val="20"/>
                <w:b w:val="1"/>
                <w:bCs w:val="1"/>
                <w:color w:val="auto"/>
              </w:rPr>
              <w:t>Non-GAAP</w:t>
            </w:r>
            <w:r>
              <w:rPr>
                <w:rFonts w:ascii="Arial" w:cs="Arial" w:eastAsia="Arial" w:hAnsi="Arial"/>
                <w:sz w:val="25"/>
                <w:szCs w:val="25"/>
                <w:b w:val="1"/>
                <w:bCs w:val="1"/>
                <w:color w:val="auto"/>
                <w:vertAlign w:val="superscript"/>
              </w:rPr>
              <w:t>(a)</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900" w:type="dxa"/>
            <w:vAlign w:val="bottom"/>
          </w:tcPr>
          <w:p>
            <w:pPr>
              <w:ind w:left="20"/>
              <w:spacing w:after="0"/>
              <w:rPr>
                <w:sz w:val="20"/>
                <w:szCs w:val="20"/>
                <w:color w:val="auto"/>
              </w:rPr>
            </w:pPr>
            <w:r>
              <w:rPr>
                <w:rFonts w:ascii="Arial" w:cs="Arial" w:eastAsia="Arial" w:hAnsi="Arial"/>
                <w:sz w:val="14"/>
                <w:szCs w:val="14"/>
                <w:i w:val="1"/>
                <w:iCs w:val="1"/>
                <w:color w:val="auto"/>
              </w:rPr>
              <w:t>($ in millions)</w:t>
            </w:r>
          </w:p>
        </w:tc>
        <w:tc>
          <w:tcPr>
            <w:tcW w:w="140" w:type="dxa"/>
            <w:vAlign w:val="bottom"/>
          </w:tcPr>
          <w:p>
            <w:pPr>
              <w:spacing w:after="0"/>
              <w:rPr>
                <w:sz w:val="21"/>
                <w:szCs w:val="21"/>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20"/>
                <w:szCs w:val="20"/>
                <w:b w:val="1"/>
                <w:bCs w:val="1"/>
                <w:color w:val="auto"/>
                <w:w w:val="96"/>
              </w:rPr>
              <w:t>Q1 2026</w:t>
            </w:r>
          </w:p>
        </w:tc>
        <w:tc>
          <w:tcPr>
            <w:tcW w:w="140" w:type="dxa"/>
            <w:vAlign w:val="bottom"/>
          </w:tcPr>
          <w:p>
            <w:pPr>
              <w:spacing w:after="0"/>
              <w:rPr>
                <w:sz w:val="21"/>
                <w:szCs w:val="21"/>
                <w:color w:val="auto"/>
              </w:rPr>
            </w:pPr>
          </w:p>
        </w:tc>
        <w:tc>
          <w:tcPr>
            <w:tcW w:w="920" w:type="dxa"/>
            <w:vAlign w:val="bottom"/>
          </w:tcPr>
          <w:p>
            <w:pPr>
              <w:jc w:val="right"/>
              <w:ind w:right="61"/>
              <w:spacing w:after="0"/>
              <w:rPr>
                <w:sz w:val="20"/>
                <w:szCs w:val="20"/>
                <w:color w:val="auto"/>
              </w:rPr>
            </w:pPr>
            <w:r>
              <w:rPr>
                <w:rFonts w:ascii="Arial" w:cs="Arial" w:eastAsia="Arial" w:hAnsi="Arial"/>
                <w:sz w:val="20"/>
                <w:szCs w:val="20"/>
                <w:b w:val="1"/>
                <w:bCs w:val="1"/>
                <w:color w:val="auto"/>
                <w:w w:val="96"/>
              </w:rPr>
              <w:t>Q1 2025</w:t>
            </w:r>
          </w:p>
        </w:tc>
        <w:tc>
          <w:tcPr>
            <w:tcW w:w="1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20"/>
                <w:szCs w:val="20"/>
                <w:b w:val="1"/>
                <w:bCs w:val="1"/>
                <w:color w:val="auto"/>
              </w:rPr>
              <w:t>% Change</w:t>
            </w:r>
          </w:p>
        </w:tc>
        <w:tc>
          <w:tcPr>
            <w:tcW w:w="140" w:type="dxa"/>
            <w:vAlign w:val="bottom"/>
          </w:tcPr>
          <w:p>
            <w:pPr>
              <w:spacing w:after="0"/>
              <w:rPr>
                <w:sz w:val="21"/>
                <w:szCs w:val="21"/>
                <w:color w:val="auto"/>
              </w:rPr>
            </w:pPr>
          </w:p>
        </w:tc>
        <w:tc>
          <w:tcPr>
            <w:tcW w:w="1080" w:type="dxa"/>
            <w:vAlign w:val="bottom"/>
            <w:gridSpan w:val="2"/>
          </w:tcPr>
          <w:p>
            <w:pPr>
              <w:ind w:left="20"/>
              <w:spacing w:after="0"/>
              <w:rPr>
                <w:sz w:val="20"/>
                <w:szCs w:val="20"/>
                <w:color w:val="auto"/>
              </w:rPr>
            </w:pPr>
            <w:r>
              <w:rPr>
                <w:rFonts w:ascii="Arial" w:cs="Arial" w:eastAsia="Arial" w:hAnsi="Arial"/>
                <w:sz w:val="20"/>
                <w:szCs w:val="20"/>
                <w:b w:val="1"/>
                <w:bCs w:val="1"/>
                <w:color w:val="auto"/>
              </w:rPr>
              <w:t>Q1 2026</w:t>
            </w:r>
          </w:p>
        </w:tc>
        <w:tc>
          <w:tcPr>
            <w:tcW w:w="140" w:type="dxa"/>
            <w:vAlign w:val="bottom"/>
          </w:tcPr>
          <w:p>
            <w:pPr>
              <w:spacing w:after="0"/>
              <w:rPr>
                <w:sz w:val="21"/>
                <w:szCs w:val="21"/>
                <w:color w:val="auto"/>
              </w:rPr>
            </w:pPr>
          </w:p>
        </w:tc>
        <w:tc>
          <w:tcPr>
            <w:tcW w:w="920" w:type="dxa"/>
            <w:vAlign w:val="bottom"/>
          </w:tcPr>
          <w:p>
            <w:pPr>
              <w:jc w:val="right"/>
              <w:ind w:right="41"/>
              <w:spacing w:after="0"/>
              <w:rPr>
                <w:sz w:val="20"/>
                <w:szCs w:val="20"/>
                <w:color w:val="auto"/>
              </w:rPr>
            </w:pPr>
            <w:r>
              <w:rPr>
                <w:rFonts w:ascii="Arial" w:cs="Arial" w:eastAsia="Arial" w:hAnsi="Arial"/>
                <w:sz w:val="20"/>
                <w:szCs w:val="20"/>
                <w:b w:val="1"/>
                <w:bCs w:val="1"/>
                <w:color w:val="auto"/>
                <w:w w:val="98"/>
              </w:rPr>
              <w:t>Q1 2025</w:t>
            </w:r>
          </w:p>
        </w:tc>
        <w:tc>
          <w:tcPr>
            <w:tcW w:w="120" w:type="dxa"/>
            <w:vAlign w:val="bottom"/>
          </w:tcPr>
          <w:p>
            <w:pPr>
              <w:spacing w:after="0"/>
              <w:rPr>
                <w:sz w:val="21"/>
                <w:szCs w:val="21"/>
                <w:color w:val="auto"/>
              </w:rPr>
            </w:pPr>
          </w:p>
        </w:tc>
        <w:tc>
          <w:tcPr>
            <w:tcW w:w="1260" w:type="dxa"/>
            <w:vAlign w:val="bottom"/>
          </w:tcPr>
          <w:p>
            <w:pPr>
              <w:jc w:val="right"/>
              <w:ind w:right="41"/>
              <w:spacing w:after="0"/>
              <w:rPr>
                <w:sz w:val="20"/>
                <w:szCs w:val="20"/>
                <w:color w:val="auto"/>
              </w:rPr>
            </w:pPr>
            <w:r>
              <w:rPr>
                <w:rFonts w:ascii="Arial" w:cs="Arial" w:eastAsia="Arial" w:hAnsi="Arial"/>
                <w:sz w:val="20"/>
                <w:szCs w:val="20"/>
                <w:b w:val="1"/>
                <w:bCs w:val="1"/>
                <w:color w:val="auto"/>
              </w:rPr>
              <w:t>% Change</w:t>
            </w:r>
          </w:p>
        </w:tc>
        <w:tc>
          <w:tcPr>
            <w:tcW w:w="0" w:type="dxa"/>
            <w:vAlign w:val="bottom"/>
          </w:tcPr>
          <w:p>
            <w:pPr>
              <w:spacing w:after="0"/>
              <w:rPr>
                <w:sz w:val="1"/>
                <w:szCs w:val="1"/>
                <w:color w:val="auto"/>
              </w:rPr>
            </w:pPr>
          </w:p>
        </w:tc>
      </w:tr>
      <w:tr>
        <w:trPr>
          <w:trHeight w:val="250"/>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Research and development (R&amp;D)</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1,544</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1,327</w:t>
            </w:r>
          </w:p>
        </w:tc>
        <w:tc>
          <w:tcPr>
            <w:tcW w:w="100" w:type="dxa"/>
            <w:vAlign w:val="bottom"/>
            <w:tcBorders>
              <w:top w:val="single" w:sz="8" w:color="CCEEFF"/>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16%</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1,408</w:t>
            </w:r>
          </w:p>
        </w:tc>
        <w:tc>
          <w:tcPr>
            <w:tcW w:w="14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1,186</w:t>
            </w:r>
          </w:p>
        </w:tc>
        <w:tc>
          <w:tcPr>
            <w:tcW w:w="120" w:type="dxa"/>
            <w:vAlign w:val="bottom"/>
            <w:tcBorders>
              <w:top w:val="single" w:sz="8" w:color="CCEEFF"/>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19%</w:t>
            </w:r>
          </w:p>
        </w:tc>
        <w:tc>
          <w:tcPr>
            <w:tcW w:w="0" w:type="dxa"/>
            <w:vAlign w:val="bottom"/>
          </w:tcPr>
          <w:p>
            <w:pPr>
              <w:spacing w:after="0"/>
              <w:rPr>
                <w:sz w:val="1"/>
                <w:szCs w:val="1"/>
                <w:color w:val="auto"/>
              </w:rPr>
            </w:pPr>
          </w:p>
        </w:tc>
      </w:tr>
      <w:tr>
        <w:trPr>
          <w:trHeight w:val="189"/>
        </w:trPr>
        <w:tc>
          <w:tcPr>
            <w:tcW w:w="3900" w:type="dxa"/>
            <w:vAlign w:val="bottom"/>
          </w:tcPr>
          <w:p>
            <w:pPr>
              <w:ind w:left="20"/>
              <w:spacing w:after="0" w:line="189" w:lineRule="exact"/>
              <w:rPr>
                <w:sz w:val="20"/>
                <w:szCs w:val="20"/>
                <w:color w:val="auto"/>
              </w:rPr>
            </w:pPr>
            <w:r>
              <w:rPr>
                <w:rFonts w:ascii="Arial" w:cs="Arial" w:eastAsia="Arial" w:hAnsi="Arial"/>
                <w:sz w:val="20"/>
                <w:szCs w:val="20"/>
                <w:color w:val="auto"/>
              </w:rPr>
              <w:t>Acquired in-process research and</w:t>
            </w:r>
          </w:p>
        </w:tc>
        <w:tc>
          <w:tcPr>
            <w:tcW w:w="140" w:type="dxa"/>
            <w:vAlign w:val="bottom"/>
            <w:vMerge w:val="restart"/>
          </w:tcPr>
          <w:p>
            <w:pPr>
              <w:jc w:val="right"/>
              <w:spacing w:after="0"/>
              <w:rPr>
                <w:sz w:val="20"/>
                <w:szCs w:val="20"/>
                <w:color w:val="auto"/>
              </w:rPr>
            </w:pPr>
            <w:r>
              <w:rPr>
                <w:rFonts w:ascii="Arial" w:cs="Arial" w:eastAsia="Arial" w:hAnsi="Arial"/>
                <w:sz w:val="20"/>
                <w:szCs w:val="20"/>
                <w:color w:val="auto"/>
                <w:w w:val="89"/>
              </w:rPr>
              <w:t>$</w:t>
            </w:r>
          </w:p>
        </w:tc>
        <w:tc>
          <w:tcPr>
            <w:tcW w:w="920" w:type="dxa"/>
            <w:vAlign w:val="bottom"/>
            <w:vMerge w:val="restart"/>
          </w:tcPr>
          <w:p>
            <w:pPr>
              <w:jc w:val="right"/>
              <w:spacing w:after="0"/>
              <w:rPr>
                <w:sz w:val="20"/>
                <w:szCs w:val="20"/>
                <w:color w:val="auto"/>
              </w:rPr>
            </w:pPr>
            <w:r>
              <w:rPr>
                <w:rFonts w:ascii="Arial" w:cs="Arial" w:eastAsia="Arial" w:hAnsi="Arial"/>
                <w:sz w:val="20"/>
                <w:szCs w:val="20"/>
                <w:color w:val="auto"/>
              </w:rPr>
              <w:t>102</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20"/>
                <w:szCs w:val="20"/>
                <w:color w:val="auto"/>
                <w:w w:val="89"/>
              </w:rPr>
              <w:t>$</w:t>
            </w:r>
          </w:p>
        </w:tc>
        <w:tc>
          <w:tcPr>
            <w:tcW w:w="920" w:type="dxa"/>
            <w:vAlign w:val="bottom"/>
            <w:vMerge w:val="restart"/>
          </w:tcPr>
          <w:p>
            <w:pPr>
              <w:jc w:val="right"/>
              <w:spacing w:after="0"/>
              <w:rPr>
                <w:sz w:val="20"/>
                <w:szCs w:val="20"/>
                <w:color w:val="auto"/>
              </w:rPr>
            </w:pPr>
            <w:r>
              <w:rPr>
                <w:rFonts w:ascii="Arial" w:cs="Arial" w:eastAsia="Arial" w:hAnsi="Arial"/>
                <w:sz w:val="20"/>
                <w:szCs w:val="20"/>
                <w:color w:val="auto"/>
              </w:rPr>
              <w:t>12</w:t>
            </w:r>
          </w:p>
        </w:tc>
        <w:tc>
          <w:tcPr>
            <w:tcW w:w="1300" w:type="dxa"/>
            <w:vAlign w:val="bottom"/>
            <w:gridSpan w:val="2"/>
            <w:vMerge w:val="restart"/>
          </w:tcPr>
          <w:p>
            <w:pPr>
              <w:jc w:val="right"/>
              <w:ind w:right="21"/>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vMerge w:val="restart"/>
          </w:tcPr>
          <w:p>
            <w:pPr>
              <w:jc w:val="right"/>
              <w:ind w:right="41"/>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restart"/>
          </w:tcPr>
          <w:p>
            <w:pPr>
              <w:jc w:val="right"/>
              <w:ind w:right="21"/>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16"/>
                <w:szCs w:val="16"/>
                <w:color w:val="auto"/>
              </w:rPr>
            </w:pPr>
          </w:p>
        </w:tc>
        <w:tc>
          <w:tcPr>
            <w:tcW w:w="1260" w:type="dxa"/>
            <w:vAlign w:val="bottom"/>
            <w:vMerge w:val="restart"/>
          </w:tcPr>
          <w:p>
            <w:pPr>
              <w:jc w:val="right"/>
              <w:ind w:right="21"/>
              <w:spacing w:after="0"/>
              <w:rPr>
                <w:sz w:val="20"/>
                <w:szCs w:val="20"/>
                <w:color w:val="auto"/>
              </w:rPr>
            </w:pPr>
            <w:r>
              <w:rPr>
                <w:rFonts w:ascii="Arial" w:cs="Arial" w:eastAsia="Arial" w:hAnsi="Arial"/>
                <w:sz w:val="20"/>
                <w:szCs w:val="20"/>
                <w:color w:val="auto"/>
              </w:rPr>
              <w:t>n/a</w:t>
            </w:r>
          </w:p>
        </w:tc>
        <w:tc>
          <w:tcPr>
            <w:tcW w:w="0" w:type="dxa"/>
            <w:vAlign w:val="bottom"/>
          </w:tcPr>
          <w:p>
            <w:pPr>
              <w:spacing w:after="0"/>
              <w:rPr>
                <w:sz w:val="1"/>
                <w:szCs w:val="1"/>
                <w:color w:val="auto"/>
              </w:rPr>
            </w:pPr>
          </w:p>
        </w:tc>
      </w:tr>
      <w:tr>
        <w:trPr>
          <w:trHeight w:val="257"/>
        </w:trPr>
        <w:tc>
          <w:tcPr>
            <w:tcW w:w="3900" w:type="dxa"/>
            <w:vAlign w:val="bottom"/>
          </w:tcPr>
          <w:p>
            <w:pPr>
              <w:ind w:left="180"/>
              <w:spacing w:after="0"/>
              <w:rPr>
                <w:sz w:val="20"/>
                <w:szCs w:val="20"/>
                <w:color w:val="auto"/>
              </w:rPr>
            </w:pPr>
            <w:r>
              <w:rPr>
                <w:rFonts w:ascii="Arial" w:cs="Arial" w:eastAsia="Arial" w:hAnsi="Arial"/>
                <w:sz w:val="20"/>
                <w:szCs w:val="20"/>
                <w:color w:val="auto"/>
              </w:rPr>
              <w:t>development (IPR&amp;D)</w:t>
            </w:r>
          </w:p>
        </w:tc>
        <w:tc>
          <w:tcPr>
            <w:tcW w:w="140" w:type="dxa"/>
            <w:vAlign w:val="bottom"/>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1300" w:type="dxa"/>
            <w:vAlign w:val="bottom"/>
            <w:gridSpan w:val="2"/>
            <w:vMerge w:val="continue"/>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3900" w:type="dxa"/>
            <w:vAlign w:val="bottom"/>
            <w:shd w:val="clear" w:color="auto" w:fill="CCEEFF"/>
          </w:tcPr>
          <w:p>
            <w:pPr>
              <w:ind w:left="20"/>
              <w:spacing w:after="0" w:line="189" w:lineRule="exact"/>
              <w:rPr>
                <w:sz w:val="20"/>
                <w:szCs w:val="20"/>
                <w:color w:val="auto"/>
              </w:rPr>
            </w:pPr>
            <w:r>
              <w:rPr>
                <w:rFonts w:ascii="Arial" w:cs="Arial" w:eastAsia="Arial" w:hAnsi="Arial"/>
                <w:sz w:val="20"/>
                <w:szCs w:val="20"/>
                <w:color w:val="auto"/>
              </w:rPr>
              <w:t>Selling, general, and administrative</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648</w:t>
            </w:r>
          </w:p>
        </w:tc>
        <w:tc>
          <w:tcPr>
            <w:tcW w:w="12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633</w:t>
            </w:r>
          </w:p>
        </w:tc>
        <w:tc>
          <w:tcPr>
            <w:tcW w:w="130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2%</w:t>
            </w:r>
          </w:p>
        </w:tc>
        <w:tc>
          <w:tcPr>
            <w:tcW w:w="12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560</w:t>
            </w:r>
          </w:p>
        </w:tc>
        <w:tc>
          <w:tcPr>
            <w:tcW w:w="14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537</w:t>
            </w:r>
          </w:p>
        </w:tc>
        <w:tc>
          <w:tcPr>
            <w:tcW w:w="138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257"/>
        </w:trPr>
        <w:tc>
          <w:tcPr>
            <w:tcW w:w="3900" w:type="dxa"/>
            <w:vAlign w:val="bottom"/>
            <w:shd w:val="clear" w:color="auto" w:fill="CCEEFF"/>
          </w:tcPr>
          <w:p>
            <w:pPr>
              <w:ind w:left="180"/>
              <w:spacing w:after="0"/>
              <w:rPr>
                <w:sz w:val="20"/>
                <w:szCs w:val="20"/>
                <w:color w:val="auto"/>
              </w:rPr>
            </w:pPr>
            <w:r>
              <w:rPr>
                <w:rFonts w:ascii="Arial" w:cs="Arial" w:eastAsia="Arial" w:hAnsi="Arial"/>
                <w:sz w:val="20"/>
                <w:szCs w:val="20"/>
                <w:color w:val="auto"/>
              </w:rPr>
              <w:t>(SG&amp;A)</w:t>
            </w:r>
          </w:p>
        </w:tc>
        <w:tc>
          <w:tcPr>
            <w:tcW w:w="140" w:type="dxa"/>
            <w:vAlign w:val="bottom"/>
            <w:vMerge w:val="continue"/>
            <w:shd w:val="clear" w:color="auto" w:fill="CCEEFF"/>
          </w:tcPr>
          <w:p>
            <w:pPr>
              <w:spacing w:after="0"/>
              <w:rPr>
                <w:sz w:val="22"/>
                <w:szCs w:val="22"/>
                <w:color w:val="auto"/>
              </w:rPr>
            </w:pPr>
          </w:p>
        </w:tc>
        <w:tc>
          <w:tcPr>
            <w:tcW w:w="92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vMerge w:val="continue"/>
            <w:shd w:val="clear" w:color="auto" w:fill="CCEEFF"/>
          </w:tcPr>
          <w:p>
            <w:pPr>
              <w:spacing w:after="0"/>
              <w:rPr>
                <w:sz w:val="22"/>
                <w:szCs w:val="22"/>
                <w:color w:val="auto"/>
              </w:rPr>
            </w:pPr>
          </w:p>
        </w:tc>
        <w:tc>
          <w:tcPr>
            <w:tcW w:w="920" w:type="dxa"/>
            <w:vAlign w:val="bottom"/>
            <w:vMerge w:val="continue"/>
            <w:shd w:val="clear" w:color="auto" w:fill="CCEEFF"/>
          </w:tcPr>
          <w:p>
            <w:pPr>
              <w:spacing w:after="0"/>
              <w:rPr>
                <w:sz w:val="22"/>
                <w:szCs w:val="22"/>
                <w:color w:val="auto"/>
              </w:rPr>
            </w:pPr>
          </w:p>
        </w:tc>
        <w:tc>
          <w:tcPr>
            <w:tcW w:w="1300" w:type="dxa"/>
            <w:vAlign w:val="bottom"/>
            <w:gridSpan w:val="2"/>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vMerge w:val="continue"/>
            <w:shd w:val="clear" w:color="auto" w:fill="CCEEFF"/>
          </w:tcPr>
          <w:p>
            <w:pPr>
              <w:spacing w:after="0"/>
              <w:rPr>
                <w:sz w:val="22"/>
                <w:szCs w:val="22"/>
                <w:color w:val="auto"/>
              </w:rPr>
            </w:pPr>
          </w:p>
        </w:tc>
        <w:tc>
          <w:tcPr>
            <w:tcW w:w="940" w:type="dxa"/>
            <w:vAlign w:val="bottom"/>
            <w:vMerge w:val="continue"/>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vMerge w:val="continue"/>
            <w:shd w:val="clear" w:color="auto" w:fill="CCEEFF"/>
          </w:tcPr>
          <w:p>
            <w:pPr>
              <w:spacing w:after="0"/>
              <w:rPr>
                <w:sz w:val="22"/>
                <w:szCs w:val="22"/>
                <w:color w:val="auto"/>
              </w:rPr>
            </w:pPr>
          </w:p>
        </w:tc>
        <w:tc>
          <w:tcPr>
            <w:tcW w:w="920" w:type="dxa"/>
            <w:vAlign w:val="bottom"/>
            <w:vMerge w:val="continue"/>
            <w:shd w:val="clear" w:color="auto" w:fill="CCEEFF"/>
          </w:tcPr>
          <w:p>
            <w:pPr>
              <w:spacing w:after="0"/>
              <w:rPr>
                <w:sz w:val="22"/>
                <w:szCs w:val="22"/>
                <w:color w:val="auto"/>
              </w:rPr>
            </w:pPr>
          </w:p>
        </w:tc>
        <w:tc>
          <w:tcPr>
            <w:tcW w:w="1380" w:type="dxa"/>
            <w:vAlign w:val="bottom"/>
            <w:gridSpan w:val="2"/>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900" w:type="dxa"/>
            <w:vAlign w:val="bottom"/>
          </w:tcPr>
          <w:p>
            <w:pPr>
              <w:ind w:left="20"/>
              <w:spacing w:after="0"/>
              <w:rPr>
                <w:sz w:val="20"/>
                <w:szCs w:val="20"/>
                <w:color w:val="auto"/>
              </w:rPr>
            </w:pPr>
            <w:r>
              <w:rPr>
                <w:rFonts w:ascii="Arial" w:cs="Arial" w:eastAsia="Arial" w:hAnsi="Arial"/>
                <w:sz w:val="20"/>
                <w:szCs w:val="20"/>
                <w:color w:val="auto"/>
              </w:rPr>
              <w:t>Cost of goods sold (COGS)</w:t>
            </w: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373</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266</w:t>
            </w:r>
          </w:p>
        </w:tc>
        <w:tc>
          <w:tcPr>
            <w:tcW w:w="1300" w:type="dxa"/>
            <w:vAlign w:val="bottom"/>
            <w:gridSpan w:val="2"/>
          </w:tcPr>
          <w:p>
            <w:pPr>
              <w:jc w:val="right"/>
              <w:spacing w:after="0"/>
              <w:rPr>
                <w:sz w:val="20"/>
                <w:szCs w:val="20"/>
                <w:color w:val="auto"/>
              </w:rPr>
            </w:pPr>
            <w:r>
              <w:rPr>
                <w:rFonts w:ascii="Arial" w:cs="Arial" w:eastAsia="Arial" w:hAnsi="Arial"/>
                <w:sz w:val="20"/>
                <w:szCs w:val="20"/>
                <w:color w:val="auto"/>
              </w:rPr>
              <w:t>40%</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209</w:t>
            </w:r>
          </w:p>
        </w:tc>
        <w:tc>
          <w:tcPr>
            <w:tcW w:w="14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217</w:t>
            </w:r>
          </w:p>
        </w:tc>
        <w:tc>
          <w:tcPr>
            <w:tcW w:w="1380" w:type="dxa"/>
            <w:vAlign w:val="bottom"/>
            <w:gridSpan w:val="2"/>
          </w:tcPr>
          <w:p>
            <w:pPr>
              <w:jc w:val="right"/>
              <w:spacing w:after="0"/>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256"/>
        </w:trPr>
        <w:tc>
          <w:tcPr>
            <w:tcW w:w="3900" w:type="dxa"/>
            <w:vAlign w:val="bottom"/>
            <w:shd w:val="clear" w:color="auto" w:fill="CCEEFF"/>
          </w:tcPr>
          <w:p>
            <w:pPr>
              <w:ind w:left="20"/>
              <w:spacing w:after="0" w:line="257" w:lineRule="exact"/>
              <w:rPr>
                <w:sz w:val="20"/>
                <w:szCs w:val="20"/>
                <w:color w:val="auto"/>
              </w:rPr>
            </w:pPr>
            <w:r>
              <w:rPr>
                <w:rFonts w:ascii="Arial" w:cs="Arial" w:eastAsia="Arial" w:hAnsi="Arial"/>
                <w:sz w:val="20"/>
                <w:szCs w:val="20"/>
                <w:color w:val="auto"/>
              </w:rPr>
              <w:t>Gross margin on net product sales</w:t>
            </w:r>
            <w:r>
              <w:rPr>
                <w:rFonts w:ascii="Arial" w:cs="Arial" w:eastAsia="Arial" w:hAnsi="Arial"/>
                <w:sz w:val="25"/>
                <w:szCs w:val="25"/>
                <w:color w:val="auto"/>
                <w:vertAlign w:val="superscript"/>
              </w:rPr>
              <w:t>(b)</w:t>
            </w:r>
          </w:p>
        </w:tc>
        <w:tc>
          <w:tcPr>
            <w:tcW w:w="1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76%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81%</w:t>
            </w: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86%</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85%</w:t>
            </w: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3900" w:type="dxa"/>
            <w:vAlign w:val="bottom"/>
          </w:tcPr>
          <w:p>
            <w:pPr>
              <w:ind w:left="20"/>
              <w:spacing w:after="0" w:line="189" w:lineRule="exact"/>
              <w:rPr>
                <w:sz w:val="20"/>
                <w:szCs w:val="20"/>
                <w:color w:val="auto"/>
              </w:rPr>
            </w:pPr>
            <w:r>
              <w:rPr>
                <w:rFonts w:ascii="Arial" w:cs="Arial" w:eastAsia="Arial" w:hAnsi="Arial"/>
                <w:sz w:val="20"/>
                <w:szCs w:val="20"/>
                <w:color w:val="auto"/>
              </w:rPr>
              <w:t>Cost of collaboration and contract</w:t>
            </w:r>
          </w:p>
        </w:tc>
        <w:tc>
          <w:tcPr>
            <w:tcW w:w="140" w:type="dxa"/>
            <w:vAlign w:val="bottom"/>
            <w:vMerge w:val="restart"/>
          </w:tcPr>
          <w:p>
            <w:pPr>
              <w:jc w:val="right"/>
              <w:spacing w:after="0"/>
              <w:rPr>
                <w:sz w:val="20"/>
                <w:szCs w:val="20"/>
                <w:color w:val="auto"/>
              </w:rPr>
            </w:pPr>
            <w:r>
              <w:rPr>
                <w:rFonts w:ascii="Arial" w:cs="Arial" w:eastAsia="Arial" w:hAnsi="Arial"/>
                <w:sz w:val="20"/>
                <w:szCs w:val="20"/>
                <w:color w:val="auto"/>
                <w:w w:val="89"/>
              </w:rPr>
              <w:t>$</w:t>
            </w:r>
          </w:p>
        </w:tc>
        <w:tc>
          <w:tcPr>
            <w:tcW w:w="920" w:type="dxa"/>
            <w:vAlign w:val="bottom"/>
            <w:vMerge w:val="restart"/>
          </w:tcPr>
          <w:p>
            <w:pPr>
              <w:jc w:val="right"/>
              <w:spacing w:after="0"/>
              <w:rPr>
                <w:sz w:val="20"/>
                <w:szCs w:val="20"/>
                <w:color w:val="auto"/>
              </w:rPr>
            </w:pPr>
            <w:r>
              <w:rPr>
                <w:rFonts w:ascii="Arial" w:cs="Arial" w:eastAsia="Arial" w:hAnsi="Arial"/>
                <w:sz w:val="20"/>
                <w:szCs w:val="20"/>
                <w:color w:val="auto"/>
              </w:rPr>
              <w:t>296</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20"/>
                <w:szCs w:val="20"/>
                <w:color w:val="auto"/>
                <w:w w:val="89"/>
              </w:rPr>
              <w:t>$</w:t>
            </w:r>
          </w:p>
        </w:tc>
        <w:tc>
          <w:tcPr>
            <w:tcW w:w="920" w:type="dxa"/>
            <w:vAlign w:val="bottom"/>
            <w:vMerge w:val="restart"/>
          </w:tcPr>
          <w:p>
            <w:pPr>
              <w:jc w:val="right"/>
              <w:spacing w:after="0"/>
              <w:rPr>
                <w:sz w:val="20"/>
                <w:szCs w:val="20"/>
                <w:color w:val="auto"/>
              </w:rPr>
            </w:pPr>
            <w:r>
              <w:rPr>
                <w:rFonts w:ascii="Arial" w:cs="Arial" w:eastAsia="Arial" w:hAnsi="Arial"/>
                <w:sz w:val="20"/>
                <w:szCs w:val="20"/>
                <w:color w:val="auto"/>
              </w:rPr>
              <w:t>199</w:t>
            </w:r>
          </w:p>
        </w:tc>
        <w:tc>
          <w:tcPr>
            <w:tcW w:w="1300" w:type="dxa"/>
            <w:vAlign w:val="bottom"/>
            <w:gridSpan w:val="2"/>
            <w:vMerge w:val="restart"/>
          </w:tcPr>
          <w:p>
            <w:pPr>
              <w:jc w:val="right"/>
              <w:spacing w:after="0"/>
              <w:rPr>
                <w:sz w:val="20"/>
                <w:szCs w:val="20"/>
                <w:color w:val="auto"/>
              </w:rPr>
            </w:pPr>
            <w:r>
              <w:rPr>
                <w:rFonts w:ascii="Arial" w:cs="Arial" w:eastAsia="Arial" w:hAnsi="Arial"/>
                <w:sz w:val="20"/>
                <w:szCs w:val="20"/>
                <w:color w:val="auto"/>
              </w:rPr>
              <w:t>49%</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vMerge w:val="restart"/>
          </w:tcPr>
          <w:p>
            <w:pPr>
              <w:jc w:val="right"/>
              <w:spacing w:after="0"/>
              <w:rPr>
                <w:sz w:val="20"/>
                <w:szCs w:val="20"/>
                <w:color w:val="auto"/>
              </w:rPr>
            </w:pPr>
            <w:r>
              <w:rPr>
                <w:rFonts w:ascii="Arial" w:cs="Arial" w:eastAsia="Arial" w:hAnsi="Arial"/>
                <w:sz w:val="20"/>
                <w:szCs w:val="20"/>
                <w:color w:val="auto"/>
              </w:rPr>
              <w:t>281</w:t>
            </w:r>
          </w:p>
        </w:tc>
        <w:tc>
          <w:tcPr>
            <w:tcW w:w="14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920" w:type="dxa"/>
            <w:vAlign w:val="bottom"/>
            <w:vMerge w:val="restart"/>
          </w:tcPr>
          <w:p>
            <w:pPr>
              <w:jc w:val="right"/>
              <w:spacing w:after="0"/>
              <w:rPr>
                <w:sz w:val="20"/>
                <w:szCs w:val="20"/>
                <w:color w:val="auto"/>
              </w:rPr>
            </w:pPr>
            <w:r>
              <w:rPr>
                <w:rFonts w:ascii="Arial" w:cs="Arial" w:eastAsia="Arial" w:hAnsi="Arial"/>
                <w:sz w:val="20"/>
                <w:szCs w:val="20"/>
                <w:color w:val="auto"/>
              </w:rPr>
              <w:t>199</w:t>
            </w:r>
          </w:p>
        </w:tc>
        <w:tc>
          <w:tcPr>
            <w:tcW w:w="1380" w:type="dxa"/>
            <w:vAlign w:val="bottom"/>
            <w:gridSpan w:val="2"/>
            <w:vMerge w:val="restart"/>
          </w:tcPr>
          <w:p>
            <w:pPr>
              <w:jc w:val="right"/>
              <w:spacing w:after="0"/>
              <w:rPr>
                <w:sz w:val="20"/>
                <w:szCs w:val="20"/>
                <w:color w:val="auto"/>
              </w:rPr>
            </w:pPr>
            <w:r>
              <w:rPr>
                <w:rFonts w:ascii="Arial" w:cs="Arial" w:eastAsia="Arial" w:hAnsi="Arial"/>
                <w:sz w:val="20"/>
                <w:szCs w:val="20"/>
                <w:color w:val="auto"/>
              </w:rPr>
              <w:t>41%</w:t>
            </w:r>
          </w:p>
        </w:tc>
        <w:tc>
          <w:tcPr>
            <w:tcW w:w="0" w:type="dxa"/>
            <w:vAlign w:val="bottom"/>
          </w:tcPr>
          <w:p>
            <w:pPr>
              <w:spacing w:after="0"/>
              <w:rPr>
                <w:sz w:val="1"/>
                <w:szCs w:val="1"/>
                <w:color w:val="auto"/>
              </w:rPr>
            </w:pPr>
          </w:p>
        </w:tc>
      </w:tr>
      <w:tr>
        <w:trPr>
          <w:trHeight w:val="343"/>
        </w:trPr>
        <w:tc>
          <w:tcPr>
            <w:tcW w:w="3900" w:type="dxa"/>
            <w:vAlign w:val="bottom"/>
          </w:tcPr>
          <w:p>
            <w:pPr>
              <w:ind w:left="180"/>
              <w:spacing w:after="0"/>
              <w:rPr>
                <w:sz w:val="20"/>
                <w:szCs w:val="20"/>
                <w:color w:val="auto"/>
              </w:rPr>
            </w:pPr>
            <w:r>
              <w:rPr>
                <w:rFonts w:ascii="Arial" w:cs="Arial" w:eastAsia="Arial" w:hAnsi="Arial"/>
                <w:sz w:val="20"/>
                <w:szCs w:val="20"/>
                <w:color w:val="auto"/>
              </w:rPr>
              <w:t>manufacturing (COCM)</w:t>
            </w:r>
            <w:r>
              <w:rPr>
                <w:rFonts w:ascii="Arial" w:cs="Arial" w:eastAsia="Arial" w:hAnsi="Arial"/>
                <w:sz w:val="25"/>
                <w:szCs w:val="25"/>
                <w:color w:val="auto"/>
                <w:vertAlign w:val="superscript"/>
              </w:rPr>
              <w:t>(c)</w:t>
            </w:r>
          </w:p>
        </w:tc>
        <w:tc>
          <w:tcPr>
            <w:tcW w:w="140" w:type="dxa"/>
            <w:vAlign w:val="bottom"/>
            <w:vMerge w:val="continue"/>
          </w:tcPr>
          <w:p>
            <w:pPr>
              <w:spacing w:after="0"/>
              <w:rPr>
                <w:sz w:val="24"/>
                <w:szCs w:val="24"/>
                <w:color w:val="auto"/>
              </w:rPr>
            </w:pPr>
          </w:p>
        </w:tc>
        <w:tc>
          <w:tcPr>
            <w:tcW w:w="9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vMerge w:val="continue"/>
          </w:tcPr>
          <w:p>
            <w:pPr>
              <w:spacing w:after="0"/>
              <w:rPr>
                <w:sz w:val="24"/>
                <w:szCs w:val="24"/>
                <w:color w:val="auto"/>
              </w:rPr>
            </w:pPr>
          </w:p>
        </w:tc>
        <w:tc>
          <w:tcPr>
            <w:tcW w:w="920" w:type="dxa"/>
            <w:vAlign w:val="bottom"/>
            <w:vMerge w:val="continue"/>
          </w:tcPr>
          <w:p>
            <w:pPr>
              <w:spacing w:after="0"/>
              <w:rPr>
                <w:sz w:val="24"/>
                <w:szCs w:val="24"/>
                <w:color w:val="auto"/>
              </w:rPr>
            </w:pPr>
          </w:p>
        </w:tc>
        <w:tc>
          <w:tcPr>
            <w:tcW w:w="13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vMerge w:val="continue"/>
          </w:tcPr>
          <w:p>
            <w:pPr>
              <w:spacing w:after="0"/>
              <w:rPr>
                <w:sz w:val="24"/>
                <w:szCs w:val="24"/>
                <w:color w:val="auto"/>
              </w:rPr>
            </w:pPr>
          </w:p>
        </w:tc>
        <w:tc>
          <w:tcPr>
            <w:tcW w:w="9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vMerge w:val="continue"/>
          </w:tcPr>
          <w:p>
            <w:pPr>
              <w:spacing w:after="0"/>
              <w:rPr>
                <w:sz w:val="24"/>
                <w:szCs w:val="24"/>
                <w:color w:val="auto"/>
              </w:rPr>
            </w:pPr>
          </w:p>
        </w:tc>
        <w:tc>
          <w:tcPr>
            <w:tcW w:w="920" w:type="dxa"/>
            <w:vAlign w:val="bottom"/>
            <w:vMerge w:val="continue"/>
          </w:tcPr>
          <w:p>
            <w:pPr>
              <w:spacing w:after="0"/>
              <w:rPr>
                <w:sz w:val="24"/>
                <w:szCs w:val="24"/>
                <w:color w:val="auto"/>
              </w:rPr>
            </w:pPr>
          </w:p>
        </w:tc>
        <w:tc>
          <w:tcPr>
            <w:tcW w:w="13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180" w:right="3940" w:firstLine="8"/>
        <w:spacing w:after="0" w:line="298" w:lineRule="auto"/>
        <w:tabs>
          <w:tab w:leader="none" w:pos="295" w:val="left"/>
        </w:tabs>
        <w:numPr>
          <w:ilvl w:val="0"/>
          <w:numId w:val="12"/>
        </w:numPr>
        <w:rPr>
          <w:rFonts w:ascii="Arial" w:cs="Arial" w:eastAsia="Arial" w:hAnsi="Arial"/>
          <w:sz w:val="18"/>
          <w:szCs w:val="18"/>
          <w:color w:val="auto"/>
        </w:rPr>
      </w:pPr>
      <w:r>
        <w:rPr>
          <w:rFonts w:ascii="Arial" w:cs="Arial" w:eastAsia="Arial" w:hAnsi="Arial"/>
          <w:sz w:val="16"/>
          <w:szCs w:val="16"/>
          <w:color w:val="auto"/>
        </w:rPr>
        <w:t xml:space="preserve">GAAP and non-GAAP amounts are equivalent as no non-GAAP adjustments have been recorded </w:t>
      </w:r>
      <w:r>
        <w:rPr>
          <w:rFonts w:ascii="Arial" w:cs="Arial" w:eastAsia="Arial" w:hAnsi="Arial"/>
          <w:sz w:val="17"/>
          <w:szCs w:val="17"/>
          <w:color w:val="auto"/>
        </w:rPr>
        <w:t xml:space="preserve">** </w:t>
      </w:r>
      <w:r>
        <w:rPr>
          <w:rFonts w:ascii="Arial" w:cs="Arial" w:eastAsia="Arial" w:hAnsi="Arial"/>
          <w:sz w:val="16"/>
          <w:szCs w:val="16"/>
          <w:color w:val="auto"/>
        </w:rPr>
        <w:t>Percentage not meaningful</w:t>
      </w:r>
    </w:p>
    <w:p>
      <w:pPr>
        <w:spacing w:after="0" w:line="162" w:lineRule="exact"/>
        <w:rPr>
          <w:rFonts w:ascii="Arial" w:cs="Arial" w:eastAsia="Arial" w:hAnsi="Arial"/>
          <w:sz w:val="18"/>
          <w:szCs w:val="18"/>
          <w:color w:val="auto"/>
        </w:rPr>
      </w:pPr>
    </w:p>
    <w:p>
      <w:pPr>
        <w:ind w:left="660" w:right="360" w:hanging="328"/>
        <w:spacing w:after="0" w:line="257" w:lineRule="auto"/>
        <w:tabs>
          <w:tab w:leader="none" w:pos="655" w:val="left"/>
        </w:tabs>
        <w:numPr>
          <w:ilvl w:val="1"/>
          <w:numId w:val="12"/>
        </w:numPr>
        <w:rPr>
          <w:rFonts w:ascii="Arial" w:cs="Arial" w:eastAsia="Arial" w:hAnsi="Arial"/>
          <w:sz w:val="22"/>
          <w:szCs w:val="22"/>
          <w:color w:val="auto"/>
        </w:rPr>
      </w:pPr>
      <w:r>
        <w:rPr>
          <w:rFonts w:ascii="Arial" w:cs="Arial" w:eastAsia="Arial" w:hAnsi="Arial"/>
          <w:sz w:val="22"/>
          <w:szCs w:val="22"/>
          <w:color w:val="auto"/>
        </w:rPr>
        <w:t>GAAP and non-GAAP R&amp;D expenses increased in the first quarter of 2026, compared to the first quarter of 2025, driven by the advancement of the Company's late-stage clinical pipeline, including programs in hematology-oncology, complement-mediated diseases, and anticoagulation.</w:t>
      </w:r>
    </w:p>
    <w:p>
      <w:pPr>
        <w:spacing w:after="0" w:line="37" w:lineRule="exact"/>
        <w:rPr>
          <w:rFonts w:ascii="Arial" w:cs="Arial" w:eastAsia="Arial" w:hAnsi="Arial"/>
          <w:sz w:val="22"/>
          <w:szCs w:val="22"/>
          <w:color w:val="auto"/>
        </w:rPr>
      </w:pPr>
    </w:p>
    <w:p>
      <w:pPr>
        <w:jc w:val="both"/>
        <w:ind w:left="660" w:right="400" w:hanging="328"/>
        <w:spacing w:after="0" w:line="257" w:lineRule="auto"/>
        <w:tabs>
          <w:tab w:leader="none" w:pos="655" w:val="left"/>
        </w:tabs>
        <w:numPr>
          <w:ilvl w:val="1"/>
          <w:numId w:val="12"/>
        </w:numPr>
        <w:rPr>
          <w:rFonts w:ascii="Arial" w:cs="Arial" w:eastAsia="Arial" w:hAnsi="Arial"/>
          <w:sz w:val="22"/>
          <w:szCs w:val="22"/>
          <w:color w:val="auto"/>
        </w:rPr>
      </w:pPr>
      <w:r>
        <w:rPr>
          <w:rFonts w:ascii="Arial" w:cs="Arial" w:eastAsia="Arial" w:hAnsi="Arial"/>
          <w:sz w:val="22"/>
          <w:szCs w:val="22"/>
          <w:color w:val="auto"/>
        </w:rPr>
        <w:t>Acquired IPR&amp;D expenses for the first quarter of 2026 primarily related to the premium on equity securities purchased, as well as development milestone and up-front payments, in connection with collaboration and licensing agreements.</w:t>
      </w:r>
    </w:p>
    <w:p>
      <w:pPr>
        <w:spacing w:after="0" w:line="37" w:lineRule="exact"/>
        <w:rPr>
          <w:rFonts w:ascii="Arial" w:cs="Arial" w:eastAsia="Arial" w:hAnsi="Arial"/>
          <w:sz w:val="22"/>
          <w:szCs w:val="22"/>
          <w:color w:val="auto"/>
        </w:rPr>
      </w:pPr>
    </w:p>
    <w:p>
      <w:pPr>
        <w:ind w:left="660" w:right="220" w:hanging="328"/>
        <w:spacing w:after="0" w:line="253" w:lineRule="auto"/>
        <w:tabs>
          <w:tab w:leader="none" w:pos="655" w:val="left"/>
        </w:tabs>
        <w:numPr>
          <w:ilvl w:val="1"/>
          <w:numId w:val="12"/>
        </w:numPr>
        <w:rPr>
          <w:rFonts w:ascii="Arial" w:cs="Arial" w:eastAsia="Arial" w:hAnsi="Arial"/>
          <w:sz w:val="22"/>
          <w:szCs w:val="22"/>
          <w:color w:val="auto"/>
        </w:rPr>
      </w:pPr>
      <w:r>
        <w:rPr>
          <w:rFonts w:ascii="Arial" w:cs="Arial" w:eastAsia="Arial" w:hAnsi="Arial"/>
          <w:sz w:val="22"/>
          <w:szCs w:val="22"/>
          <w:color w:val="auto"/>
        </w:rPr>
        <w:t>GAAP and non-GAAP SG&amp;A expenses increased in the first quarter of 2026, compared to the first quarter of 2025, primarily due to an increase in commercialization-related expenses for EYLEA HD and Libtayo and higher headcount and headcount-related costs, partly offset by lower charitable contributions to an independent non-profit patient assistance organization.</w:t>
      </w:r>
    </w:p>
    <w:p>
      <w:pPr>
        <w:spacing w:after="0" w:line="40" w:lineRule="exact"/>
        <w:rPr>
          <w:rFonts w:ascii="Arial" w:cs="Arial" w:eastAsia="Arial" w:hAnsi="Arial"/>
          <w:sz w:val="22"/>
          <w:szCs w:val="22"/>
          <w:color w:val="auto"/>
        </w:rPr>
      </w:pPr>
    </w:p>
    <w:p>
      <w:pPr>
        <w:ind w:left="660" w:hanging="328"/>
        <w:spacing w:after="0" w:line="257" w:lineRule="auto"/>
        <w:tabs>
          <w:tab w:leader="none" w:pos="655" w:val="left"/>
        </w:tabs>
        <w:numPr>
          <w:ilvl w:val="1"/>
          <w:numId w:val="12"/>
        </w:numPr>
        <w:rPr>
          <w:rFonts w:ascii="Arial" w:cs="Arial" w:eastAsia="Arial" w:hAnsi="Arial"/>
          <w:sz w:val="22"/>
          <w:szCs w:val="22"/>
          <w:color w:val="auto"/>
        </w:rPr>
      </w:pPr>
      <w:r>
        <w:rPr>
          <w:rFonts w:ascii="Arial" w:cs="Arial" w:eastAsia="Arial" w:hAnsi="Arial"/>
          <w:sz w:val="22"/>
          <w:szCs w:val="22"/>
          <w:color w:val="auto"/>
        </w:rPr>
        <w:t>GAAP gross margin on net product sales decreased in the first quarter of 2026, compared to the first quarter of 2025, primarily due to unabsorbed manufacturing costs and higher inventory write-offs and reserves as a result of a temporary interruption of bulk</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20"/>
          </w:cols>
          <w:pgMar w:left="320" w:top="1045" w:right="359" w:bottom="1440" w:gutter="0" w:footer="0" w:header="0"/>
        </w:sectPr>
      </w:pPr>
    </w:p>
    <w:bookmarkStart w:id="8" w:name="page9"/>
    <w:bookmarkEnd w:id="8"/>
    <w:p>
      <w:pPr>
        <w:ind w:left="660"/>
        <w:spacing w:after="0" w:line="253" w:lineRule="auto"/>
        <w:rPr>
          <w:sz w:val="20"/>
          <w:szCs w:val="20"/>
          <w:color w:val="auto"/>
        </w:rPr>
      </w:pPr>
      <w:r>
        <w:rPr>
          <w:rFonts w:ascii="Arial" w:cs="Arial" w:eastAsia="Arial" w:hAnsi="Arial"/>
          <w:sz w:val="22"/>
          <w:szCs w:val="22"/>
          <w:color w:val="auto"/>
        </w:rPr>
        <w:t>manufacturing production at the Company's facility in Limerick, Ireland, due to unanticipated facility repairs that commenced during the first quarter of 2026. The Company resumed initial production at the facility in the second quarter of 2026; however, GAAP gross margin will continue to be negatively impacted until production returns to normal levels, which is expected by the end of the second quarter of 2026. The interruption has not impacted, nor is it expected to impact, the availability of any of the Company's products.</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Other Financial Information</w:t>
      </w:r>
    </w:p>
    <w:p>
      <w:pPr>
        <w:spacing w:after="0" w:line="152" w:lineRule="exact"/>
        <w:rPr>
          <w:sz w:val="20"/>
          <w:szCs w:val="20"/>
          <w:color w:val="auto"/>
        </w:rPr>
      </w:pPr>
    </w:p>
    <w:p>
      <w:pPr>
        <w:ind w:right="600"/>
        <w:spacing w:after="0" w:line="272" w:lineRule="auto"/>
        <w:rPr>
          <w:sz w:val="20"/>
          <w:szCs w:val="20"/>
          <w:color w:val="auto"/>
        </w:rPr>
      </w:pPr>
      <w:r>
        <w:rPr>
          <w:rFonts w:ascii="Arial" w:cs="Arial" w:eastAsia="Arial" w:hAnsi="Arial"/>
          <w:sz w:val="22"/>
          <w:szCs w:val="22"/>
          <w:color w:val="auto"/>
        </w:rPr>
        <w:t>GAAP other income (expense), net decreased in the first quarter of 2026, compared to the first quarter of 2025, primarily due to lower net gains on marketable and other securities.</w:t>
      </w:r>
    </w:p>
    <w:p>
      <w:pPr>
        <w:spacing w:after="0" w:line="88" w:lineRule="exact"/>
        <w:rPr>
          <w:sz w:val="20"/>
          <w:szCs w:val="20"/>
          <w:color w:val="auto"/>
        </w:rPr>
      </w:pPr>
    </w:p>
    <w:p>
      <w:pPr>
        <w:ind w:right="40"/>
        <w:spacing w:after="0" w:line="253" w:lineRule="auto"/>
        <w:rPr>
          <w:sz w:val="20"/>
          <w:szCs w:val="20"/>
          <w:color w:val="auto"/>
        </w:rPr>
      </w:pPr>
      <w:r>
        <w:rPr>
          <w:rFonts w:ascii="Arial" w:cs="Arial" w:eastAsia="Arial" w:hAnsi="Arial"/>
          <w:sz w:val="22"/>
          <w:szCs w:val="22"/>
          <w:color w:val="auto"/>
        </w:rPr>
        <w:t>In the first quarter of 2026, the Company's GAAP effective tax rate (ETR) was 12.5%, compared to 10.6% in the first quarter of 2025. The GAAP ETR increased in the first quarter of 2026, compared to the first quarter of 2025, primarily due to lower tax benefits from cross-border tax laws and federal tax credits for research activities. In the first quarter of 2026, the non-GAAP ETR was 13.9%, compared to 11.6% in the first quarter of 2025.</w:t>
      </w:r>
    </w:p>
    <w:p>
      <w:pPr>
        <w:spacing w:after="0" w:line="108" w:lineRule="exact"/>
        <w:rPr>
          <w:sz w:val="20"/>
          <w:szCs w:val="20"/>
          <w:color w:val="auto"/>
        </w:rPr>
      </w:pPr>
    </w:p>
    <w:p>
      <w:pPr>
        <w:ind w:right="1200"/>
        <w:spacing w:after="0" w:line="384" w:lineRule="auto"/>
        <w:rPr>
          <w:sz w:val="20"/>
          <w:szCs w:val="20"/>
          <w:color w:val="auto"/>
        </w:rPr>
      </w:pPr>
      <w:r>
        <w:rPr>
          <w:rFonts w:ascii="Arial" w:cs="Arial" w:eastAsia="Arial" w:hAnsi="Arial"/>
          <w:sz w:val="22"/>
          <w:szCs w:val="22"/>
          <w:color w:val="auto"/>
        </w:rPr>
        <w:t xml:space="preserve">A reconciliation of the Company's GAAP to non-GAAP results is included in Table 3 of this press release. </w:t>
      </w:r>
      <w:r>
        <w:rPr>
          <w:rFonts w:ascii="Arial" w:cs="Arial" w:eastAsia="Arial" w:hAnsi="Arial"/>
          <w:sz w:val="22"/>
          <w:szCs w:val="22"/>
          <w:b w:val="1"/>
          <w:bCs w:val="1"/>
          <w:i w:val="1"/>
          <w:iCs w:val="1"/>
          <w:color w:val="auto"/>
        </w:rPr>
        <w:t>Capital Allocation</w:t>
      </w:r>
    </w:p>
    <w:p>
      <w:pPr>
        <w:spacing w:after="0" w:line="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During the first quarter of 2026, the Company repurchased $803 million of its common stock. As of March 31, 2026, $688 million remained available for share repurchases under the Company's share repurchase programs. In April 2026, the Company's board of directors authorized a new share repurchase program to repurchase up to an additional $3.0 billion of the Company's common stock. Repurchases may be made from time to time at management's discretion through a variety of methods. The program has no time limit and can be discontinued at any time.</w:t>
      </w:r>
    </w:p>
    <w:p>
      <w:pPr>
        <w:spacing w:after="0" w:line="114" w:lineRule="exact"/>
        <w:rPr>
          <w:sz w:val="20"/>
          <w:szCs w:val="20"/>
          <w:color w:val="auto"/>
        </w:rPr>
      </w:pPr>
    </w:p>
    <w:p>
      <w:pPr>
        <w:ind w:right="640"/>
        <w:spacing w:after="0" w:line="296" w:lineRule="auto"/>
        <w:rPr>
          <w:sz w:val="20"/>
          <w:szCs w:val="20"/>
          <w:color w:val="auto"/>
        </w:rPr>
      </w:pPr>
      <w:r>
        <w:rPr>
          <w:rFonts w:ascii="Arial" w:cs="Arial" w:eastAsia="Arial" w:hAnsi="Arial"/>
          <w:sz w:val="21"/>
          <w:szCs w:val="21"/>
          <w:color w:val="auto"/>
        </w:rPr>
        <w:t>In April 2026, the Company's board of directors declared a cash dividend of $0.94 per share on the Company's common stock and Class A stock, payable on June 4, 2026 to shareholders of record as of May 20, 2026.</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20"/>
          </w:cols>
          <w:pgMar w:left="320" w:top="964" w:right="35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i w:val="1"/>
          <w:iCs w:val="1"/>
          <w:color w:val="auto"/>
        </w:rPr>
        <w:t>2026 Financial Guidance*</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The Company's full year 2026 financial guidance consists of the following components: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4280" w:type="dxa"/>
            <w:vAlign w:val="bottom"/>
          </w:tcPr>
          <w:p>
            <w:pPr>
              <w:spacing w:after="0"/>
              <w:rPr>
                <w:sz w:val="23"/>
                <w:szCs w:val="23"/>
                <w:color w:val="auto"/>
              </w:rPr>
            </w:pPr>
          </w:p>
        </w:tc>
        <w:tc>
          <w:tcPr>
            <w:tcW w:w="4960" w:type="dxa"/>
            <w:vAlign w:val="bottom"/>
            <w:gridSpan w:val="3"/>
          </w:tcPr>
          <w:p>
            <w:pPr>
              <w:ind w:left="1780"/>
              <w:spacing w:after="0"/>
              <w:rPr>
                <w:sz w:val="20"/>
                <w:szCs w:val="20"/>
                <w:color w:val="auto"/>
              </w:rPr>
            </w:pPr>
            <w:r>
              <w:rPr>
                <w:rFonts w:ascii="Arial" w:cs="Arial" w:eastAsia="Arial" w:hAnsi="Arial"/>
                <w:sz w:val="20"/>
                <w:szCs w:val="20"/>
                <w:b w:val="1"/>
                <w:bCs w:val="1"/>
                <w:color w:val="auto"/>
              </w:rPr>
              <w:t>2026 Guidance</w:t>
            </w:r>
          </w:p>
        </w:tc>
      </w:tr>
      <w:tr>
        <w:trPr>
          <w:trHeight w:val="34"/>
        </w:trPr>
        <w:tc>
          <w:tcPr>
            <w:tcW w:w="4280" w:type="dxa"/>
            <w:vAlign w:val="bottom"/>
          </w:tcPr>
          <w:p>
            <w:pPr>
              <w:spacing w:after="0"/>
              <w:rPr>
                <w:sz w:val="2"/>
                <w:szCs w:val="2"/>
                <w:color w:val="auto"/>
              </w:rPr>
            </w:pPr>
          </w:p>
        </w:tc>
        <w:tc>
          <w:tcPr>
            <w:tcW w:w="2540" w:type="dxa"/>
            <w:vAlign w:val="bottom"/>
            <w:tcBorders>
              <w:bottom w:val="single" w:sz="8" w:color="auto"/>
            </w:tcBorders>
            <w:gridSpan w:val="2"/>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r>
      <w:tr>
        <w:trPr>
          <w:trHeight w:val="283"/>
        </w:trPr>
        <w:tc>
          <w:tcPr>
            <w:tcW w:w="4280" w:type="dxa"/>
            <w:vAlign w:val="bottom"/>
          </w:tcPr>
          <w:p>
            <w:pPr>
              <w:spacing w:after="0"/>
              <w:rPr>
                <w:sz w:val="24"/>
                <w:szCs w:val="24"/>
                <w:color w:val="auto"/>
              </w:rPr>
            </w:pPr>
          </w:p>
        </w:tc>
        <w:tc>
          <w:tcPr>
            <w:tcW w:w="2540" w:type="dxa"/>
            <w:vAlign w:val="bottom"/>
            <w:gridSpan w:val="2"/>
          </w:tcPr>
          <w:p>
            <w:pPr>
              <w:jc w:val="center"/>
              <w:ind w:right="120"/>
              <w:spacing w:after="0"/>
              <w:rPr>
                <w:sz w:val="20"/>
                <w:szCs w:val="20"/>
                <w:color w:val="auto"/>
              </w:rPr>
            </w:pPr>
            <w:r>
              <w:rPr>
                <w:rFonts w:ascii="Arial" w:cs="Arial" w:eastAsia="Arial" w:hAnsi="Arial"/>
                <w:sz w:val="20"/>
                <w:szCs w:val="20"/>
                <w:b w:val="1"/>
                <w:bCs w:val="1"/>
                <w:color w:val="auto"/>
                <w:w w:val="98"/>
              </w:rPr>
              <w:t>Prior</w:t>
            </w:r>
          </w:p>
        </w:tc>
        <w:tc>
          <w:tcPr>
            <w:tcW w:w="2420" w:type="dxa"/>
            <w:vAlign w:val="bottom"/>
          </w:tcPr>
          <w:p>
            <w:pPr>
              <w:jc w:val="center"/>
              <w:spacing w:after="0"/>
              <w:rPr>
                <w:sz w:val="20"/>
                <w:szCs w:val="20"/>
                <w:color w:val="auto"/>
              </w:rPr>
            </w:pPr>
            <w:r>
              <w:rPr>
                <w:rFonts w:ascii="Arial" w:cs="Arial" w:eastAsia="Arial" w:hAnsi="Arial"/>
                <w:sz w:val="20"/>
                <w:szCs w:val="20"/>
                <w:b w:val="1"/>
                <w:bCs w:val="1"/>
                <w:color w:val="auto"/>
                <w:w w:val="97"/>
              </w:rPr>
              <w:t>Updated</w:t>
            </w:r>
          </w:p>
        </w:tc>
      </w:tr>
      <w:tr>
        <w:trPr>
          <w:trHeight w:val="21"/>
        </w:trPr>
        <w:tc>
          <w:tcPr>
            <w:tcW w:w="4280" w:type="dxa"/>
            <w:vAlign w:val="bottom"/>
            <w:tcBorders>
              <w:bottom w:val="single" w:sz="8" w:color="CCEEFF"/>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r>
      <w:tr>
        <w:trPr>
          <w:trHeight w:val="250"/>
        </w:trPr>
        <w:tc>
          <w:tcPr>
            <w:tcW w:w="4280" w:type="dxa"/>
            <w:vAlign w:val="bottom"/>
            <w:shd w:val="clear" w:color="auto" w:fill="CCEEFF"/>
          </w:tcPr>
          <w:p>
            <w:pPr>
              <w:ind w:left="20"/>
              <w:spacing w:after="0"/>
              <w:rPr>
                <w:sz w:val="20"/>
                <w:szCs w:val="20"/>
                <w:color w:val="auto"/>
              </w:rPr>
            </w:pPr>
            <w:r>
              <w:rPr>
                <w:rFonts w:ascii="Arial" w:cs="Arial" w:eastAsia="Arial" w:hAnsi="Arial"/>
                <w:sz w:val="20"/>
                <w:szCs w:val="20"/>
                <w:color w:val="auto"/>
              </w:rPr>
              <w:t>GAAP R&amp;D</w:t>
            </w:r>
          </w:p>
        </w:tc>
        <w:tc>
          <w:tcPr>
            <w:tcW w:w="242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8"/>
              </w:rPr>
              <w:t>$6.450–$6.680 billion</w:t>
            </w:r>
          </w:p>
        </w:tc>
        <w:tc>
          <w:tcPr>
            <w:tcW w:w="120" w:type="dxa"/>
            <w:vAlign w:val="bottom"/>
            <w:shd w:val="clear" w:color="auto" w:fill="CCEEFF"/>
          </w:tcPr>
          <w:p>
            <w:pPr>
              <w:spacing w:after="0"/>
              <w:rPr>
                <w:sz w:val="21"/>
                <w:szCs w:val="21"/>
                <w:color w:val="auto"/>
              </w:rPr>
            </w:pPr>
          </w:p>
        </w:tc>
        <w:tc>
          <w:tcPr>
            <w:tcW w:w="242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9"/>
              </w:rPr>
              <w:t>Unchanged</w:t>
            </w:r>
          </w:p>
        </w:tc>
      </w:tr>
      <w:tr>
        <w:trPr>
          <w:trHeight w:val="270"/>
        </w:trPr>
        <w:tc>
          <w:tcPr>
            <w:tcW w:w="4280" w:type="dxa"/>
            <w:vAlign w:val="bottom"/>
          </w:tcPr>
          <w:p>
            <w:pPr>
              <w:ind w:left="20"/>
              <w:spacing w:after="0" w:line="270" w:lineRule="exact"/>
              <w:rPr>
                <w:sz w:val="20"/>
                <w:szCs w:val="20"/>
                <w:color w:val="auto"/>
              </w:rPr>
            </w:pPr>
            <w:r>
              <w:rPr>
                <w:rFonts w:ascii="Arial" w:cs="Arial" w:eastAsia="Arial" w:hAnsi="Arial"/>
                <w:sz w:val="20"/>
                <w:szCs w:val="20"/>
                <w:color w:val="auto"/>
              </w:rPr>
              <w:t>Non-GAAP R&amp;D</w:t>
            </w:r>
            <w:r>
              <w:rPr>
                <w:rFonts w:ascii="Arial" w:cs="Arial" w:eastAsia="Arial" w:hAnsi="Arial"/>
                <w:sz w:val="25"/>
                <w:szCs w:val="25"/>
                <w:color w:val="auto"/>
                <w:vertAlign w:val="superscript"/>
              </w:rPr>
              <w:t>(a)</w:t>
            </w:r>
          </w:p>
        </w:tc>
        <w:tc>
          <w:tcPr>
            <w:tcW w:w="2540" w:type="dxa"/>
            <w:vAlign w:val="bottom"/>
            <w:gridSpan w:val="2"/>
          </w:tcPr>
          <w:p>
            <w:pPr>
              <w:jc w:val="center"/>
              <w:ind w:right="140"/>
              <w:spacing w:after="0"/>
              <w:rPr>
                <w:sz w:val="20"/>
                <w:szCs w:val="20"/>
                <w:color w:val="auto"/>
              </w:rPr>
            </w:pPr>
            <w:r>
              <w:rPr>
                <w:rFonts w:ascii="Arial" w:cs="Arial" w:eastAsia="Arial" w:hAnsi="Arial"/>
                <w:sz w:val="20"/>
                <w:szCs w:val="20"/>
                <w:color w:val="auto"/>
                <w:w w:val="98"/>
              </w:rPr>
              <w:t>$5.900–$6.100 billion</w:t>
            </w:r>
          </w:p>
        </w:tc>
        <w:tc>
          <w:tcPr>
            <w:tcW w:w="2420" w:type="dxa"/>
            <w:vAlign w:val="bottom"/>
          </w:tcPr>
          <w:p>
            <w:pPr>
              <w:jc w:val="center"/>
              <w:spacing w:after="0"/>
              <w:rPr>
                <w:sz w:val="20"/>
                <w:szCs w:val="20"/>
                <w:color w:val="auto"/>
              </w:rPr>
            </w:pPr>
            <w:r>
              <w:rPr>
                <w:rFonts w:ascii="Arial" w:cs="Arial" w:eastAsia="Arial" w:hAnsi="Arial"/>
                <w:sz w:val="20"/>
                <w:szCs w:val="20"/>
                <w:color w:val="auto"/>
                <w:w w:val="99"/>
              </w:rPr>
              <w:t>Unchanged</w:t>
            </w:r>
          </w:p>
        </w:tc>
      </w:tr>
      <w:tr>
        <w:trPr>
          <w:trHeight w:val="270"/>
        </w:trPr>
        <w:tc>
          <w:tcPr>
            <w:tcW w:w="4280" w:type="dxa"/>
            <w:vAlign w:val="bottom"/>
            <w:shd w:val="clear" w:color="auto" w:fill="CCEEFF"/>
          </w:tcPr>
          <w:p>
            <w:pPr>
              <w:ind w:left="20"/>
              <w:spacing w:after="0"/>
              <w:rPr>
                <w:sz w:val="20"/>
                <w:szCs w:val="20"/>
                <w:color w:val="auto"/>
              </w:rPr>
            </w:pPr>
            <w:r>
              <w:rPr>
                <w:rFonts w:ascii="Arial" w:cs="Arial" w:eastAsia="Arial" w:hAnsi="Arial"/>
                <w:sz w:val="20"/>
                <w:szCs w:val="20"/>
                <w:color w:val="auto"/>
              </w:rPr>
              <w:t>GAAP SG&amp;A</w:t>
            </w:r>
          </w:p>
        </w:tc>
        <w:tc>
          <w:tcPr>
            <w:tcW w:w="2540" w:type="dxa"/>
            <w:vAlign w:val="bottom"/>
            <w:gridSpan w:val="2"/>
            <w:shd w:val="clear" w:color="auto" w:fill="CCEEFF"/>
          </w:tcPr>
          <w:p>
            <w:pPr>
              <w:jc w:val="center"/>
              <w:ind w:right="140"/>
              <w:spacing w:after="0"/>
              <w:rPr>
                <w:sz w:val="20"/>
                <w:szCs w:val="20"/>
                <w:color w:val="auto"/>
              </w:rPr>
            </w:pPr>
            <w:r>
              <w:rPr>
                <w:rFonts w:ascii="Arial" w:cs="Arial" w:eastAsia="Arial" w:hAnsi="Arial"/>
                <w:sz w:val="20"/>
                <w:szCs w:val="20"/>
                <w:color w:val="auto"/>
                <w:w w:val="98"/>
              </w:rPr>
              <w:t>$2.860–$3.040 billion</w:t>
            </w:r>
          </w:p>
        </w:tc>
        <w:tc>
          <w:tcPr>
            <w:tcW w:w="242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9"/>
              </w:rPr>
              <w:t>Unchanged</w:t>
            </w:r>
          </w:p>
        </w:tc>
      </w:tr>
      <w:tr>
        <w:trPr>
          <w:trHeight w:val="270"/>
        </w:trPr>
        <w:tc>
          <w:tcPr>
            <w:tcW w:w="4280" w:type="dxa"/>
            <w:vAlign w:val="bottom"/>
          </w:tcPr>
          <w:p>
            <w:pPr>
              <w:ind w:left="20"/>
              <w:spacing w:after="0" w:line="270" w:lineRule="exact"/>
              <w:rPr>
                <w:sz w:val="20"/>
                <w:szCs w:val="20"/>
                <w:color w:val="auto"/>
              </w:rPr>
            </w:pPr>
            <w:r>
              <w:rPr>
                <w:rFonts w:ascii="Arial" w:cs="Arial" w:eastAsia="Arial" w:hAnsi="Arial"/>
                <w:sz w:val="20"/>
                <w:szCs w:val="20"/>
                <w:color w:val="auto"/>
              </w:rPr>
              <w:t>Non-GAAP SG&amp;A</w:t>
            </w:r>
            <w:r>
              <w:rPr>
                <w:rFonts w:ascii="Arial" w:cs="Arial" w:eastAsia="Arial" w:hAnsi="Arial"/>
                <w:sz w:val="25"/>
                <w:szCs w:val="25"/>
                <w:color w:val="auto"/>
                <w:vertAlign w:val="superscript"/>
              </w:rPr>
              <w:t>(a)</w:t>
            </w:r>
          </w:p>
        </w:tc>
        <w:tc>
          <w:tcPr>
            <w:tcW w:w="2540" w:type="dxa"/>
            <w:vAlign w:val="bottom"/>
            <w:gridSpan w:val="2"/>
          </w:tcPr>
          <w:p>
            <w:pPr>
              <w:jc w:val="center"/>
              <w:ind w:right="140"/>
              <w:spacing w:after="0"/>
              <w:rPr>
                <w:sz w:val="20"/>
                <w:szCs w:val="20"/>
                <w:color w:val="auto"/>
              </w:rPr>
            </w:pPr>
            <w:r>
              <w:rPr>
                <w:rFonts w:ascii="Arial" w:cs="Arial" w:eastAsia="Arial" w:hAnsi="Arial"/>
                <w:sz w:val="20"/>
                <w:szCs w:val="20"/>
                <w:color w:val="auto"/>
                <w:w w:val="98"/>
              </w:rPr>
              <w:t>$2.500–$2.650 billion</w:t>
            </w:r>
          </w:p>
        </w:tc>
        <w:tc>
          <w:tcPr>
            <w:tcW w:w="2420" w:type="dxa"/>
            <w:vAlign w:val="bottom"/>
          </w:tcPr>
          <w:p>
            <w:pPr>
              <w:jc w:val="center"/>
              <w:spacing w:after="0"/>
              <w:rPr>
                <w:sz w:val="20"/>
                <w:szCs w:val="20"/>
                <w:color w:val="auto"/>
              </w:rPr>
            </w:pPr>
            <w:r>
              <w:rPr>
                <w:rFonts w:ascii="Arial" w:cs="Arial" w:eastAsia="Arial" w:hAnsi="Arial"/>
                <w:sz w:val="20"/>
                <w:szCs w:val="20"/>
                <w:color w:val="auto"/>
                <w:w w:val="99"/>
              </w:rPr>
              <w:t>Unchanged</w:t>
            </w:r>
          </w:p>
        </w:tc>
      </w:tr>
      <w:tr>
        <w:trPr>
          <w:trHeight w:val="270"/>
        </w:trPr>
        <w:tc>
          <w:tcPr>
            <w:tcW w:w="4280" w:type="dxa"/>
            <w:vAlign w:val="bottom"/>
            <w:shd w:val="clear" w:color="auto" w:fill="CCEEFF"/>
          </w:tcPr>
          <w:p>
            <w:pPr>
              <w:ind w:left="20"/>
              <w:spacing w:after="0"/>
              <w:rPr>
                <w:sz w:val="20"/>
                <w:szCs w:val="20"/>
                <w:color w:val="auto"/>
              </w:rPr>
            </w:pPr>
            <w:r>
              <w:rPr>
                <w:rFonts w:ascii="Arial" w:cs="Arial" w:eastAsia="Arial" w:hAnsi="Arial"/>
                <w:sz w:val="20"/>
                <w:szCs w:val="20"/>
                <w:color w:val="auto"/>
              </w:rPr>
              <w:t>GAAP gross margin on net product sales</w:t>
            </w:r>
          </w:p>
        </w:tc>
        <w:tc>
          <w:tcPr>
            <w:tcW w:w="2540" w:type="dxa"/>
            <w:vAlign w:val="bottom"/>
            <w:gridSpan w:val="2"/>
            <w:shd w:val="clear" w:color="auto" w:fill="CCEEFF"/>
          </w:tcPr>
          <w:p>
            <w:pPr>
              <w:jc w:val="center"/>
              <w:ind w:right="120"/>
              <w:spacing w:after="0"/>
              <w:rPr>
                <w:sz w:val="20"/>
                <w:szCs w:val="20"/>
                <w:color w:val="auto"/>
              </w:rPr>
            </w:pPr>
            <w:r>
              <w:rPr>
                <w:rFonts w:ascii="Arial" w:cs="Arial" w:eastAsia="Arial" w:hAnsi="Arial"/>
                <w:sz w:val="20"/>
                <w:szCs w:val="20"/>
                <w:color w:val="auto"/>
                <w:w w:val="98"/>
              </w:rPr>
              <w:t>79%–80%</w:t>
            </w:r>
          </w:p>
        </w:tc>
        <w:tc>
          <w:tcPr>
            <w:tcW w:w="242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8"/>
              </w:rPr>
              <w:t>77%–78%</w:t>
            </w:r>
          </w:p>
        </w:tc>
      </w:tr>
      <w:tr>
        <w:trPr>
          <w:trHeight w:val="194"/>
        </w:trPr>
        <w:tc>
          <w:tcPr>
            <w:tcW w:w="4280" w:type="dxa"/>
            <w:vAlign w:val="bottom"/>
          </w:tcPr>
          <w:p>
            <w:pPr>
              <w:ind w:left="20"/>
              <w:spacing w:after="0" w:line="194" w:lineRule="exact"/>
              <w:rPr>
                <w:sz w:val="20"/>
                <w:szCs w:val="20"/>
                <w:color w:val="auto"/>
              </w:rPr>
            </w:pPr>
            <w:r>
              <w:rPr>
                <w:rFonts w:ascii="Arial" w:cs="Arial" w:eastAsia="Arial" w:hAnsi="Arial"/>
                <w:sz w:val="20"/>
                <w:szCs w:val="20"/>
                <w:color w:val="auto"/>
              </w:rPr>
              <w:t>Non-GAAP gross margin on net product</w:t>
            </w:r>
          </w:p>
        </w:tc>
        <w:tc>
          <w:tcPr>
            <w:tcW w:w="2540" w:type="dxa"/>
            <w:vAlign w:val="bottom"/>
            <w:gridSpan w:val="2"/>
          </w:tcPr>
          <w:p>
            <w:pPr>
              <w:jc w:val="center"/>
              <w:ind w:right="120"/>
              <w:spacing w:after="0" w:line="194" w:lineRule="exact"/>
              <w:rPr>
                <w:sz w:val="20"/>
                <w:szCs w:val="20"/>
                <w:color w:val="auto"/>
              </w:rPr>
            </w:pPr>
            <w:r>
              <w:rPr>
                <w:rFonts w:ascii="Arial" w:cs="Arial" w:eastAsia="Arial" w:hAnsi="Arial"/>
                <w:sz w:val="20"/>
                <w:szCs w:val="20"/>
                <w:color w:val="auto"/>
                <w:w w:val="98"/>
              </w:rPr>
              <w:t>83%–84%</w:t>
            </w:r>
          </w:p>
        </w:tc>
        <w:tc>
          <w:tcPr>
            <w:tcW w:w="2420" w:type="dxa"/>
            <w:vAlign w:val="bottom"/>
          </w:tcPr>
          <w:p>
            <w:pPr>
              <w:jc w:val="center"/>
              <w:spacing w:after="0" w:line="194" w:lineRule="exact"/>
              <w:rPr>
                <w:sz w:val="20"/>
                <w:szCs w:val="20"/>
                <w:color w:val="auto"/>
              </w:rPr>
            </w:pPr>
            <w:r>
              <w:rPr>
                <w:rFonts w:ascii="Arial" w:cs="Arial" w:eastAsia="Arial" w:hAnsi="Arial"/>
                <w:sz w:val="20"/>
                <w:szCs w:val="20"/>
                <w:color w:val="auto"/>
                <w:w w:val="99"/>
              </w:rPr>
              <w:t>Unchanged</w:t>
            </w:r>
          </w:p>
        </w:tc>
      </w:tr>
      <w:tr>
        <w:trPr>
          <w:trHeight w:val="251"/>
        </w:trPr>
        <w:tc>
          <w:tcPr>
            <w:tcW w:w="4280" w:type="dxa"/>
            <w:vAlign w:val="bottom"/>
          </w:tcPr>
          <w:p>
            <w:pPr>
              <w:ind w:left="180"/>
              <w:spacing w:after="0" w:line="251" w:lineRule="exact"/>
              <w:rPr>
                <w:sz w:val="20"/>
                <w:szCs w:val="20"/>
                <w:color w:val="auto"/>
              </w:rPr>
            </w:pPr>
            <w:r>
              <w:rPr>
                <w:rFonts w:ascii="Arial" w:cs="Arial" w:eastAsia="Arial" w:hAnsi="Arial"/>
                <w:sz w:val="20"/>
                <w:szCs w:val="20"/>
                <w:color w:val="auto"/>
              </w:rPr>
              <w:t>sales</w:t>
            </w:r>
            <w:r>
              <w:rPr>
                <w:rFonts w:ascii="Arial" w:cs="Arial" w:eastAsia="Arial" w:hAnsi="Arial"/>
                <w:sz w:val="25"/>
                <w:szCs w:val="25"/>
                <w:color w:val="auto"/>
                <w:vertAlign w:val="superscript"/>
              </w:rPr>
              <w:t>(a)</w:t>
            </w:r>
          </w:p>
        </w:tc>
        <w:tc>
          <w:tcPr>
            <w:tcW w:w="2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20" w:type="dxa"/>
            <w:vAlign w:val="bottom"/>
          </w:tcPr>
          <w:p>
            <w:pPr>
              <w:spacing w:after="0"/>
              <w:rPr>
                <w:sz w:val="21"/>
                <w:szCs w:val="21"/>
                <w:color w:val="auto"/>
              </w:rPr>
            </w:pPr>
          </w:p>
        </w:tc>
      </w:tr>
      <w:tr>
        <w:trPr>
          <w:trHeight w:val="270"/>
        </w:trPr>
        <w:tc>
          <w:tcPr>
            <w:tcW w:w="4280" w:type="dxa"/>
            <w:vAlign w:val="bottom"/>
            <w:shd w:val="clear" w:color="auto" w:fill="CCEEFF"/>
          </w:tcPr>
          <w:p>
            <w:pPr>
              <w:ind w:left="20"/>
              <w:spacing w:after="0"/>
              <w:rPr>
                <w:sz w:val="20"/>
                <w:szCs w:val="20"/>
                <w:color w:val="auto"/>
              </w:rPr>
            </w:pPr>
            <w:r>
              <w:rPr>
                <w:rFonts w:ascii="Arial" w:cs="Arial" w:eastAsia="Arial" w:hAnsi="Arial"/>
                <w:sz w:val="20"/>
                <w:szCs w:val="20"/>
                <w:color w:val="auto"/>
              </w:rPr>
              <w:t>GAAP COCM</w:t>
            </w:r>
          </w:p>
        </w:tc>
        <w:tc>
          <w:tcPr>
            <w:tcW w:w="2540" w:type="dxa"/>
            <w:vAlign w:val="bottom"/>
            <w:gridSpan w:val="2"/>
            <w:shd w:val="clear" w:color="auto" w:fill="CCEEFF"/>
          </w:tcPr>
          <w:p>
            <w:pPr>
              <w:jc w:val="center"/>
              <w:ind w:right="140"/>
              <w:spacing w:after="0"/>
              <w:rPr>
                <w:sz w:val="20"/>
                <w:szCs w:val="20"/>
                <w:color w:val="auto"/>
              </w:rPr>
            </w:pPr>
            <w:r>
              <w:rPr>
                <w:rFonts w:ascii="Arial" w:cs="Arial" w:eastAsia="Arial" w:hAnsi="Arial"/>
                <w:sz w:val="20"/>
                <w:szCs w:val="20"/>
                <w:color w:val="auto"/>
                <w:w w:val="98"/>
              </w:rPr>
              <w:t>$940 million–$1.020 billion</w:t>
            </w:r>
          </w:p>
        </w:tc>
        <w:tc>
          <w:tcPr>
            <w:tcW w:w="242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9"/>
              </w:rPr>
              <w:t>$955 million–$1.035 billion</w:t>
            </w:r>
          </w:p>
        </w:tc>
      </w:tr>
      <w:tr>
        <w:trPr>
          <w:trHeight w:val="270"/>
        </w:trPr>
        <w:tc>
          <w:tcPr>
            <w:tcW w:w="4280" w:type="dxa"/>
            <w:vAlign w:val="bottom"/>
          </w:tcPr>
          <w:p>
            <w:pPr>
              <w:ind w:left="20"/>
              <w:spacing w:after="0" w:line="270" w:lineRule="exact"/>
              <w:rPr>
                <w:sz w:val="20"/>
                <w:szCs w:val="20"/>
                <w:color w:val="auto"/>
              </w:rPr>
            </w:pPr>
            <w:r>
              <w:rPr>
                <w:rFonts w:ascii="Arial" w:cs="Arial" w:eastAsia="Arial" w:hAnsi="Arial"/>
                <w:sz w:val="20"/>
                <w:szCs w:val="20"/>
                <w:color w:val="auto"/>
              </w:rPr>
              <w:t>Non-GAAP COCM</w:t>
            </w:r>
            <w:r>
              <w:rPr>
                <w:rFonts w:ascii="Arial" w:cs="Arial" w:eastAsia="Arial" w:hAnsi="Arial"/>
                <w:sz w:val="25"/>
                <w:szCs w:val="25"/>
                <w:color w:val="auto"/>
                <w:vertAlign w:val="superscript"/>
              </w:rPr>
              <w:t>(a)</w:t>
            </w:r>
          </w:p>
        </w:tc>
        <w:tc>
          <w:tcPr>
            <w:tcW w:w="2540" w:type="dxa"/>
            <w:vAlign w:val="bottom"/>
            <w:gridSpan w:val="2"/>
          </w:tcPr>
          <w:p>
            <w:pPr>
              <w:jc w:val="center"/>
              <w:ind w:right="140"/>
              <w:spacing w:after="0"/>
              <w:rPr>
                <w:sz w:val="20"/>
                <w:szCs w:val="20"/>
                <w:color w:val="auto"/>
              </w:rPr>
            </w:pPr>
            <w:r>
              <w:rPr>
                <w:rFonts w:ascii="Arial" w:cs="Arial" w:eastAsia="Arial" w:hAnsi="Arial"/>
                <w:sz w:val="20"/>
                <w:szCs w:val="20"/>
                <w:color w:val="auto"/>
                <w:w w:val="98"/>
              </w:rPr>
              <w:t>$940 million–$1.020 billion</w:t>
            </w:r>
          </w:p>
        </w:tc>
        <w:tc>
          <w:tcPr>
            <w:tcW w:w="2420" w:type="dxa"/>
            <w:vAlign w:val="bottom"/>
          </w:tcPr>
          <w:p>
            <w:pPr>
              <w:jc w:val="center"/>
              <w:spacing w:after="0"/>
              <w:rPr>
                <w:sz w:val="20"/>
                <w:szCs w:val="20"/>
                <w:color w:val="auto"/>
              </w:rPr>
            </w:pPr>
            <w:r>
              <w:rPr>
                <w:rFonts w:ascii="Arial" w:cs="Arial" w:eastAsia="Arial" w:hAnsi="Arial"/>
                <w:sz w:val="20"/>
                <w:szCs w:val="20"/>
                <w:color w:val="auto"/>
                <w:w w:val="99"/>
              </w:rPr>
              <w:t>Unchanged</w:t>
            </w:r>
          </w:p>
        </w:tc>
      </w:tr>
      <w:tr>
        <w:trPr>
          <w:trHeight w:val="270"/>
        </w:trPr>
        <w:tc>
          <w:tcPr>
            <w:tcW w:w="4280" w:type="dxa"/>
            <w:vAlign w:val="bottom"/>
            <w:shd w:val="clear" w:color="auto" w:fill="CCEEFF"/>
          </w:tcPr>
          <w:p>
            <w:pPr>
              <w:ind w:left="20"/>
              <w:spacing w:after="0"/>
              <w:rPr>
                <w:sz w:val="20"/>
                <w:szCs w:val="20"/>
                <w:color w:val="auto"/>
              </w:rPr>
            </w:pPr>
            <w:r>
              <w:rPr>
                <w:rFonts w:ascii="Arial" w:cs="Arial" w:eastAsia="Arial" w:hAnsi="Arial"/>
                <w:sz w:val="20"/>
                <w:szCs w:val="20"/>
                <w:color w:val="auto"/>
              </w:rPr>
              <w:t>Capital expenditures</w:t>
            </w:r>
          </w:p>
        </w:tc>
        <w:tc>
          <w:tcPr>
            <w:tcW w:w="2540" w:type="dxa"/>
            <w:vAlign w:val="bottom"/>
            <w:gridSpan w:val="2"/>
            <w:shd w:val="clear" w:color="auto" w:fill="CCEEFF"/>
          </w:tcPr>
          <w:p>
            <w:pPr>
              <w:jc w:val="center"/>
              <w:ind w:right="140"/>
              <w:spacing w:after="0"/>
              <w:rPr>
                <w:sz w:val="20"/>
                <w:szCs w:val="20"/>
                <w:color w:val="auto"/>
              </w:rPr>
            </w:pPr>
            <w:r>
              <w:rPr>
                <w:rFonts w:ascii="Arial" w:cs="Arial" w:eastAsia="Arial" w:hAnsi="Arial"/>
                <w:sz w:val="20"/>
                <w:szCs w:val="20"/>
                <w:color w:val="auto"/>
                <w:w w:val="98"/>
              </w:rPr>
              <w:t>$1.100–$1.300 billion</w:t>
            </w:r>
          </w:p>
        </w:tc>
        <w:tc>
          <w:tcPr>
            <w:tcW w:w="242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8"/>
              </w:rPr>
              <w:t>$1.100–$1.200 billion</w:t>
            </w:r>
          </w:p>
        </w:tc>
      </w:tr>
      <w:tr>
        <w:trPr>
          <w:trHeight w:val="266"/>
        </w:trPr>
        <w:tc>
          <w:tcPr>
            <w:tcW w:w="4280" w:type="dxa"/>
            <w:vAlign w:val="bottom"/>
          </w:tcPr>
          <w:p>
            <w:pPr>
              <w:ind w:left="20"/>
              <w:spacing w:after="0"/>
              <w:rPr>
                <w:sz w:val="20"/>
                <w:szCs w:val="20"/>
                <w:color w:val="auto"/>
              </w:rPr>
            </w:pPr>
            <w:r>
              <w:rPr>
                <w:rFonts w:ascii="Arial" w:cs="Arial" w:eastAsia="Arial" w:hAnsi="Arial"/>
                <w:sz w:val="20"/>
                <w:szCs w:val="20"/>
                <w:color w:val="auto"/>
              </w:rPr>
              <w:t>GAAP effective tax rate</w:t>
            </w:r>
          </w:p>
        </w:tc>
        <w:tc>
          <w:tcPr>
            <w:tcW w:w="2540" w:type="dxa"/>
            <w:vAlign w:val="bottom"/>
            <w:gridSpan w:val="2"/>
          </w:tcPr>
          <w:p>
            <w:pPr>
              <w:jc w:val="center"/>
              <w:ind w:right="120"/>
              <w:spacing w:after="0"/>
              <w:rPr>
                <w:sz w:val="20"/>
                <w:szCs w:val="20"/>
                <w:color w:val="auto"/>
              </w:rPr>
            </w:pPr>
            <w:r>
              <w:rPr>
                <w:rFonts w:ascii="Arial" w:cs="Arial" w:eastAsia="Arial" w:hAnsi="Arial"/>
                <w:sz w:val="20"/>
                <w:szCs w:val="20"/>
                <w:color w:val="auto"/>
                <w:w w:val="98"/>
              </w:rPr>
              <w:t>12%–14%</w:t>
            </w:r>
          </w:p>
        </w:tc>
        <w:tc>
          <w:tcPr>
            <w:tcW w:w="2420" w:type="dxa"/>
            <w:vAlign w:val="bottom"/>
          </w:tcPr>
          <w:p>
            <w:pPr>
              <w:jc w:val="center"/>
              <w:spacing w:after="0"/>
              <w:rPr>
                <w:sz w:val="20"/>
                <w:szCs w:val="20"/>
                <w:color w:val="auto"/>
              </w:rPr>
            </w:pPr>
            <w:r>
              <w:rPr>
                <w:rFonts w:ascii="Arial" w:cs="Arial" w:eastAsia="Arial" w:hAnsi="Arial"/>
                <w:sz w:val="20"/>
                <w:szCs w:val="20"/>
                <w:color w:val="auto"/>
                <w:w w:val="99"/>
              </w:rPr>
              <w:t>Unchanged</w:t>
            </w:r>
          </w:p>
        </w:tc>
      </w:tr>
      <w:tr>
        <w:trPr>
          <w:trHeight w:val="274"/>
        </w:trPr>
        <w:tc>
          <w:tcPr>
            <w:tcW w:w="4280" w:type="dxa"/>
            <w:vAlign w:val="bottom"/>
            <w:shd w:val="clear" w:color="auto" w:fill="CCEEFF"/>
          </w:tcPr>
          <w:p>
            <w:pPr>
              <w:ind w:left="20"/>
              <w:spacing w:after="0" w:line="275" w:lineRule="exact"/>
              <w:rPr>
                <w:sz w:val="20"/>
                <w:szCs w:val="20"/>
                <w:color w:val="auto"/>
              </w:rPr>
            </w:pPr>
            <w:r>
              <w:rPr>
                <w:rFonts w:ascii="Arial" w:cs="Arial" w:eastAsia="Arial" w:hAnsi="Arial"/>
                <w:sz w:val="20"/>
                <w:szCs w:val="20"/>
                <w:color w:val="auto"/>
              </w:rPr>
              <w:t>Non-GAAP effective tax rate</w:t>
            </w:r>
            <w:r>
              <w:rPr>
                <w:rFonts w:ascii="Arial" w:cs="Arial" w:eastAsia="Arial" w:hAnsi="Arial"/>
                <w:sz w:val="25"/>
                <w:szCs w:val="25"/>
                <w:color w:val="auto"/>
                <w:vertAlign w:val="superscript"/>
              </w:rPr>
              <w:t>(a)</w:t>
            </w:r>
          </w:p>
        </w:tc>
        <w:tc>
          <w:tcPr>
            <w:tcW w:w="2540" w:type="dxa"/>
            <w:vAlign w:val="bottom"/>
            <w:gridSpan w:val="2"/>
            <w:shd w:val="clear" w:color="auto" w:fill="CCEEFF"/>
          </w:tcPr>
          <w:p>
            <w:pPr>
              <w:jc w:val="center"/>
              <w:ind w:right="120"/>
              <w:spacing w:after="0"/>
              <w:rPr>
                <w:sz w:val="20"/>
                <w:szCs w:val="20"/>
                <w:color w:val="auto"/>
              </w:rPr>
            </w:pPr>
            <w:r>
              <w:rPr>
                <w:rFonts w:ascii="Arial" w:cs="Arial" w:eastAsia="Arial" w:hAnsi="Arial"/>
                <w:sz w:val="20"/>
                <w:szCs w:val="20"/>
                <w:color w:val="auto"/>
                <w:w w:val="98"/>
              </w:rPr>
              <w:t>13%–15%</w:t>
            </w:r>
          </w:p>
        </w:tc>
        <w:tc>
          <w:tcPr>
            <w:tcW w:w="242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9"/>
              </w:rPr>
              <w:t>Unchanged</w:t>
            </w:r>
          </w:p>
        </w:tc>
      </w:tr>
    </w:tbl>
    <w:p>
      <w:pPr>
        <w:spacing w:after="0" w:line="107" w:lineRule="exact"/>
        <w:rPr>
          <w:sz w:val="20"/>
          <w:szCs w:val="20"/>
          <w:color w:val="auto"/>
        </w:rPr>
      </w:pPr>
    </w:p>
    <w:p>
      <w:pPr>
        <w:ind w:left="180" w:right="1259" w:firstLine="8"/>
        <w:spacing w:after="0" w:line="239" w:lineRule="auto"/>
        <w:tabs>
          <w:tab w:leader="none" w:pos="295" w:val="left"/>
        </w:tabs>
        <w:numPr>
          <w:ilvl w:val="0"/>
          <w:numId w:val="13"/>
        </w:numPr>
        <w:rPr>
          <w:rFonts w:ascii="Arial" w:cs="Arial" w:eastAsia="Arial" w:hAnsi="Arial"/>
          <w:sz w:val="18"/>
          <w:szCs w:val="18"/>
          <w:color w:val="auto"/>
        </w:rPr>
      </w:pPr>
      <w:r>
        <w:rPr>
          <w:rFonts w:ascii="Arial" w:cs="Arial" w:eastAsia="Arial" w:hAnsi="Arial"/>
          <w:sz w:val="16"/>
          <w:szCs w:val="16"/>
          <w:color w:val="auto"/>
        </w:rPr>
        <w:t>The Company's 2026 financial guidance does not assume the completion of any business development transactions not completed as of the date of this press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139"/>
          </w:cols>
          <w:pgMar w:left="320" w:top="1045" w:right="1440" w:bottom="1440" w:gutter="0" w:footer="0" w:header="0"/>
        </w:sectPr>
      </w:pPr>
    </w:p>
    <w:bookmarkStart w:id="10" w:name="page11"/>
    <w:bookmarkEnd w:id="10"/>
    <w:p>
      <w:pPr>
        <w:spacing w:after="0"/>
        <w:rPr>
          <w:sz w:val="20"/>
          <w:szCs w:val="20"/>
          <w:color w:val="auto"/>
        </w:rPr>
      </w:pPr>
      <w:r>
        <w:rPr>
          <w:rFonts w:ascii="Arial" w:cs="Arial" w:eastAsia="Arial" w:hAnsi="Arial"/>
          <w:sz w:val="22"/>
          <w:szCs w:val="22"/>
          <w:color w:val="auto"/>
        </w:rPr>
        <w:t>A reconciliation of full year 2026 GAAP to non-GAAP financial guidance is included below:</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69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 in millions)</w:t>
            </w:r>
          </w:p>
        </w:tc>
        <w:tc>
          <w:tcPr>
            <w:tcW w:w="500" w:type="dxa"/>
            <w:vAlign w:val="bottom"/>
            <w:tcBorders>
              <w:bottom w:val="single" w:sz="8" w:color="auto"/>
            </w:tcBorders>
          </w:tcPr>
          <w:p>
            <w:pPr>
              <w:spacing w:after="0"/>
              <w:rPr>
                <w:sz w:val="23"/>
                <w:szCs w:val="23"/>
                <w:color w:val="auto"/>
              </w:rPr>
            </w:pPr>
          </w:p>
        </w:tc>
        <w:tc>
          <w:tcPr>
            <w:tcW w:w="250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b w:val="1"/>
                <w:bCs w:val="1"/>
                <w:color w:val="auto"/>
              </w:rPr>
              <w:t>Projected Range</w:t>
            </w:r>
          </w:p>
        </w:tc>
        <w:tc>
          <w:tcPr>
            <w:tcW w:w="13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900" w:type="dxa"/>
            <w:vAlign w:val="bottom"/>
            <w:vMerge w:val="continue"/>
          </w:tcPr>
          <w:p>
            <w:pPr>
              <w:spacing w:after="0"/>
              <w:rPr>
                <w:sz w:val="21"/>
                <w:szCs w:val="21"/>
                <w:color w:val="auto"/>
              </w:rPr>
            </w:pPr>
          </w:p>
        </w:tc>
        <w:tc>
          <w:tcPr>
            <w:tcW w:w="500" w:type="dxa"/>
            <w:vAlign w:val="bottom"/>
          </w:tcPr>
          <w:p>
            <w:pPr>
              <w:spacing w:after="0"/>
              <w:rPr>
                <w:sz w:val="21"/>
                <w:szCs w:val="21"/>
                <w:color w:val="auto"/>
              </w:rPr>
            </w:pPr>
          </w:p>
        </w:tc>
        <w:tc>
          <w:tcPr>
            <w:tcW w:w="1720" w:type="dxa"/>
            <w:vAlign w:val="bottom"/>
            <w:gridSpan w:val="2"/>
          </w:tcPr>
          <w:p>
            <w:pPr>
              <w:ind w:left="360"/>
              <w:spacing w:after="0"/>
              <w:rPr>
                <w:sz w:val="20"/>
                <w:szCs w:val="20"/>
                <w:color w:val="auto"/>
              </w:rPr>
            </w:pPr>
            <w:r>
              <w:rPr>
                <w:rFonts w:ascii="Arial" w:cs="Arial" w:eastAsia="Arial" w:hAnsi="Arial"/>
                <w:sz w:val="20"/>
                <w:szCs w:val="20"/>
                <w:b w:val="1"/>
                <w:bCs w:val="1"/>
                <w:color w:val="auto"/>
              </w:rPr>
              <w:t>Low</w:t>
            </w:r>
          </w:p>
        </w:tc>
        <w:tc>
          <w:tcPr>
            <w:tcW w:w="780" w:type="dxa"/>
            <w:vAlign w:val="bottom"/>
          </w:tcPr>
          <w:p>
            <w:pPr>
              <w:spacing w:after="0"/>
              <w:rPr>
                <w:sz w:val="21"/>
                <w:szCs w:val="21"/>
                <w:color w:val="auto"/>
              </w:rPr>
            </w:pPr>
          </w:p>
        </w:tc>
        <w:tc>
          <w:tcPr>
            <w:tcW w:w="1320" w:type="dxa"/>
            <w:vAlign w:val="bottom"/>
          </w:tcPr>
          <w:p>
            <w:pPr>
              <w:jc w:val="right"/>
              <w:ind w:right="721"/>
              <w:spacing w:after="0"/>
              <w:rPr>
                <w:sz w:val="20"/>
                <w:szCs w:val="20"/>
                <w:color w:val="auto"/>
              </w:rPr>
            </w:pPr>
            <w:r>
              <w:rPr>
                <w:rFonts w:ascii="Arial" w:cs="Arial" w:eastAsia="Arial" w:hAnsi="Arial"/>
                <w:sz w:val="20"/>
                <w:szCs w:val="20"/>
                <w:b w:val="1"/>
                <w:bCs w:val="1"/>
                <w:color w:val="auto"/>
              </w:rPr>
              <w:t>High</w:t>
            </w:r>
          </w:p>
        </w:tc>
        <w:tc>
          <w:tcPr>
            <w:tcW w:w="0" w:type="dxa"/>
            <w:vAlign w:val="bottom"/>
          </w:tcPr>
          <w:p>
            <w:pPr>
              <w:spacing w:after="0"/>
              <w:rPr>
                <w:sz w:val="1"/>
                <w:szCs w:val="1"/>
                <w:color w:val="auto"/>
              </w:rPr>
            </w:pPr>
          </w:p>
        </w:tc>
      </w:tr>
      <w:tr>
        <w:trPr>
          <w:trHeight w:val="250"/>
        </w:trPr>
        <w:tc>
          <w:tcPr>
            <w:tcW w:w="6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GAAP R&amp;D</w:t>
            </w:r>
          </w:p>
        </w:tc>
        <w:tc>
          <w:tcPr>
            <w:tcW w:w="500" w:type="dxa"/>
            <w:vAlign w:val="bottom"/>
            <w:tcBorders>
              <w:top w:val="single" w:sz="8" w:color="auto"/>
            </w:tcBorders>
            <w:shd w:val="clear" w:color="auto" w:fill="CCEEFF"/>
          </w:tcPr>
          <w:p>
            <w:pPr>
              <w:jc w:val="right"/>
              <w:ind w:right="261"/>
              <w:spacing w:after="0"/>
              <w:rPr>
                <w:sz w:val="20"/>
                <w:szCs w:val="20"/>
                <w:color w:val="auto"/>
              </w:rPr>
            </w:pPr>
            <w:r>
              <w:rPr>
                <w:rFonts w:ascii="Arial" w:cs="Arial" w:eastAsia="Arial" w:hAnsi="Arial"/>
                <w:sz w:val="20"/>
                <w:szCs w:val="20"/>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6,450</w:t>
            </w:r>
          </w:p>
        </w:tc>
        <w:tc>
          <w:tcPr>
            <w:tcW w:w="100" w:type="dxa"/>
            <w:vAlign w:val="bottom"/>
            <w:tcBorders>
              <w:top w:val="single" w:sz="8" w:color="CCEEFF"/>
            </w:tcBorders>
            <w:shd w:val="clear" w:color="auto" w:fill="CCEEFF"/>
          </w:tcPr>
          <w:p>
            <w:pPr>
              <w:spacing w:after="0"/>
              <w:rPr>
                <w:sz w:val="21"/>
                <w:szCs w:val="21"/>
                <w:color w:val="auto"/>
              </w:rPr>
            </w:pPr>
          </w:p>
        </w:tc>
        <w:tc>
          <w:tcPr>
            <w:tcW w:w="780" w:type="dxa"/>
            <w:vAlign w:val="bottom"/>
            <w:tcBorders>
              <w:top w:val="single" w:sz="8" w:color="auto"/>
            </w:tcBorders>
            <w:shd w:val="clear" w:color="auto" w:fill="CCEEFF"/>
          </w:tcPr>
          <w:p>
            <w:pPr>
              <w:jc w:val="right"/>
              <w:ind w:right="561"/>
              <w:spacing w:after="0"/>
              <w:rPr>
                <w:sz w:val="20"/>
                <w:szCs w:val="20"/>
                <w:color w:val="auto"/>
              </w:rPr>
            </w:pPr>
            <w:r>
              <w:rPr>
                <w:rFonts w:ascii="Arial" w:cs="Arial" w:eastAsia="Arial" w:hAnsi="Arial"/>
                <w:sz w:val="20"/>
                <w:szCs w:val="20"/>
                <w:color w:val="auto"/>
                <w:w w:val="8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6,680</w:t>
            </w:r>
          </w:p>
        </w:tc>
        <w:tc>
          <w:tcPr>
            <w:tcW w:w="0" w:type="dxa"/>
            <w:vAlign w:val="bottom"/>
          </w:tcPr>
          <w:p>
            <w:pPr>
              <w:spacing w:after="0"/>
              <w:rPr>
                <w:sz w:val="1"/>
                <w:szCs w:val="1"/>
                <w:color w:val="auto"/>
              </w:rPr>
            </w:pPr>
          </w:p>
        </w:tc>
      </w:tr>
      <w:tr>
        <w:trPr>
          <w:trHeight w:val="257"/>
        </w:trPr>
        <w:tc>
          <w:tcPr>
            <w:tcW w:w="6900" w:type="dxa"/>
            <w:vAlign w:val="bottom"/>
            <w:tcBorders>
              <w:bottom w:val="single" w:sz="8" w:color="CCEEFF"/>
            </w:tcBorders>
          </w:tcPr>
          <w:p>
            <w:pPr>
              <w:ind w:left="220"/>
              <w:spacing w:after="0"/>
              <w:rPr>
                <w:sz w:val="20"/>
                <w:szCs w:val="20"/>
                <w:color w:val="auto"/>
              </w:rPr>
            </w:pPr>
            <w:r>
              <w:rPr>
                <w:rFonts w:ascii="Arial" w:cs="Arial" w:eastAsia="Arial" w:hAnsi="Arial"/>
                <w:sz w:val="20"/>
                <w:szCs w:val="20"/>
                <w:color w:val="auto"/>
              </w:rPr>
              <w:t>Stock-based compensation expense</w:t>
            </w:r>
          </w:p>
        </w:tc>
        <w:tc>
          <w:tcPr>
            <w:tcW w:w="5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(550)</w:t>
            </w:r>
          </w:p>
        </w:tc>
        <w:tc>
          <w:tcPr>
            <w:tcW w:w="10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(580)</w:t>
            </w:r>
          </w:p>
        </w:tc>
        <w:tc>
          <w:tcPr>
            <w:tcW w:w="0" w:type="dxa"/>
            <w:vAlign w:val="bottom"/>
          </w:tcPr>
          <w:p>
            <w:pPr>
              <w:spacing w:after="0"/>
              <w:rPr>
                <w:sz w:val="1"/>
                <w:szCs w:val="1"/>
                <w:color w:val="auto"/>
              </w:rPr>
            </w:pPr>
          </w:p>
        </w:tc>
      </w:tr>
      <w:tr>
        <w:trPr>
          <w:trHeight w:val="250"/>
        </w:trPr>
        <w:tc>
          <w:tcPr>
            <w:tcW w:w="6900" w:type="dxa"/>
            <w:vAlign w:val="bottom"/>
            <w:shd w:val="clear" w:color="auto" w:fill="CCEEFF"/>
          </w:tcPr>
          <w:p>
            <w:pPr>
              <w:ind w:left="20"/>
              <w:spacing w:after="0" w:line="250" w:lineRule="exact"/>
              <w:rPr>
                <w:sz w:val="20"/>
                <w:szCs w:val="20"/>
                <w:color w:val="auto"/>
              </w:rPr>
            </w:pPr>
            <w:r>
              <w:rPr>
                <w:rFonts w:ascii="Arial" w:cs="Arial" w:eastAsia="Arial" w:hAnsi="Arial"/>
                <w:sz w:val="20"/>
                <w:szCs w:val="20"/>
                <w:color w:val="auto"/>
              </w:rPr>
              <w:t>Non-GAAP R&amp;D</w:t>
            </w:r>
            <w:r>
              <w:rPr>
                <w:rFonts w:ascii="Arial" w:cs="Arial" w:eastAsia="Arial" w:hAnsi="Arial"/>
                <w:sz w:val="25"/>
                <w:szCs w:val="25"/>
                <w:color w:val="auto"/>
                <w:vertAlign w:val="superscript"/>
              </w:rPr>
              <w:t>(a)</w:t>
            </w:r>
          </w:p>
        </w:tc>
        <w:tc>
          <w:tcPr>
            <w:tcW w:w="500" w:type="dxa"/>
            <w:vAlign w:val="bottom"/>
            <w:tcBorders>
              <w:bottom w:val="single" w:sz="8" w:color="auto"/>
            </w:tcBorders>
            <w:shd w:val="clear" w:color="auto" w:fill="CCEEFF"/>
          </w:tcPr>
          <w:p>
            <w:pPr>
              <w:jc w:val="right"/>
              <w:ind w:right="261"/>
              <w:spacing w:after="0"/>
              <w:rPr>
                <w:sz w:val="20"/>
                <w:szCs w:val="20"/>
                <w:color w:val="auto"/>
              </w:rPr>
            </w:pPr>
            <w:r>
              <w:rPr>
                <w:rFonts w:ascii="Arial" w:cs="Arial" w:eastAsia="Arial" w:hAnsi="Arial"/>
                <w:sz w:val="20"/>
                <w:szCs w:val="20"/>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5,900</w:t>
            </w:r>
          </w:p>
        </w:tc>
        <w:tc>
          <w:tcPr>
            <w:tcW w:w="100" w:type="dxa"/>
            <w:vAlign w:val="bottom"/>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61"/>
              <w:spacing w:after="0"/>
              <w:rPr>
                <w:sz w:val="20"/>
                <w:szCs w:val="20"/>
                <w:color w:val="auto"/>
              </w:rPr>
            </w:pPr>
            <w:r>
              <w:rPr>
                <w:rFonts w:ascii="Arial" w:cs="Arial" w:eastAsia="Arial" w:hAnsi="Arial"/>
                <w:sz w:val="20"/>
                <w:szCs w:val="20"/>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6,100</w:t>
            </w:r>
          </w:p>
        </w:tc>
        <w:tc>
          <w:tcPr>
            <w:tcW w:w="0" w:type="dxa"/>
            <w:vAlign w:val="bottom"/>
          </w:tcPr>
          <w:p>
            <w:pPr>
              <w:spacing w:after="0"/>
              <w:rPr>
                <w:sz w:val="1"/>
                <w:szCs w:val="1"/>
                <w:color w:val="auto"/>
              </w:rPr>
            </w:pPr>
          </w:p>
        </w:tc>
      </w:tr>
      <w:tr>
        <w:trPr>
          <w:trHeight w:val="250"/>
        </w:trPr>
        <w:tc>
          <w:tcPr>
            <w:tcW w:w="69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900" w:type="dxa"/>
            <w:vAlign w:val="bottom"/>
            <w:shd w:val="clear" w:color="auto" w:fill="CCEEFF"/>
          </w:tcPr>
          <w:p>
            <w:pPr>
              <w:ind w:left="20"/>
              <w:spacing w:after="0"/>
              <w:rPr>
                <w:sz w:val="20"/>
                <w:szCs w:val="20"/>
                <w:color w:val="auto"/>
              </w:rPr>
            </w:pPr>
            <w:r>
              <w:rPr>
                <w:rFonts w:ascii="Arial" w:cs="Arial" w:eastAsia="Arial" w:hAnsi="Arial"/>
                <w:sz w:val="20"/>
                <w:szCs w:val="20"/>
                <w:color w:val="auto"/>
              </w:rPr>
              <w:t>GAAP SG&amp;A</w:t>
            </w:r>
          </w:p>
        </w:tc>
        <w:tc>
          <w:tcPr>
            <w:tcW w:w="500" w:type="dxa"/>
            <w:vAlign w:val="bottom"/>
            <w:shd w:val="clear" w:color="auto" w:fill="CCEEFF"/>
          </w:tcPr>
          <w:p>
            <w:pPr>
              <w:jc w:val="right"/>
              <w:ind w:right="261"/>
              <w:spacing w:after="0"/>
              <w:rPr>
                <w:sz w:val="20"/>
                <w:szCs w:val="20"/>
                <w:color w:val="auto"/>
              </w:rPr>
            </w:pPr>
            <w:r>
              <w:rPr>
                <w:rFonts w:ascii="Arial" w:cs="Arial" w:eastAsia="Arial" w:hAnsi="Arial"/>
                <w:sz w:val="20"/>
                <w:szCs w:val="20"/>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2,860</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561"/>
              <w:spacing w:after="0"/>
              <w:rPr>
                <w:sz w:val="20"/>
                <w:szCs w:val="20"/>
                <w:color w:val="auto"/>
              </w:rPr>
            </w:pPr>
            <w:r>
              <w:rPr>
                <w:rFonts w:ascii="Arial" w:cs="Arial" w:eastAsia="Arial" w:hAnsi="Arial"/>
                <w:sz w:val="20"/>
                <w:szCs w:val="20"/>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3,040</w:t>
            </w:r>
          </w:p>
        </w:tc>
        <w:tc>
          <w:tcPr>
            <w:tcW w:w="0" w:type="dxa"/>
            <w:vAlign w:val="bottom"/>
          </w:tcPr>
          <w:p>
            <w:pPr>
              <w:spacing w:after="0"/>
              <w:rPr>
                <w:sz w:val="1"/>
                <w:szCs w:val="1"/>
                <w:color w:val="auto"/>
              </w:rPr>
            </w:pPr>
          </w:p>
        </w:tc>
      </w:tr>
      <w:tr>
        <w:trPr>
          <w:trHeight w:val="257"/>
        </w:trPr>
        <w:tc>
          <w:tcPr>
            <w:tcW w:w="6900" w:type="dxa"/>
            <w:vAlign w:val="bottom"/>
          </w:tcPr>
          <w:p>
            <w:pPr>
              <w:ind w:left="220"/>
              <w:spacing w:after="0"/>
              <w:rPr>
                <w:sz w:val="20"/>
                <w:szCs w:val="20"/>
                <w:color w:val="auto"/>
              </w:rPr>
            </w:pPr>
            <w:r>
              <w:rPr>
                <w:rFonts w:ascii="Arial" w:cs="Arial" w:eastAsia="Arial" w:hAnsi="Arial"/>
                <w:sz w:val="20"/>
                <w:szCs w:val="20"/>
                <w:color w:val="auto"/>
              </w:rPr>
              <w:t>Stock-based compensation expense</w:t>
            </w:r>
          </w:p>
        </w:tc>
        <w:tc>
          <w:tcPr>
            <w:tcW w:w="50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(350)</w:t>
            </w: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(370)</w:t>
            </w:r>
          </w:p>
        </w:tc>
        <w:tc>
          <w:tcPr>
            <w:tcW w:w="0" w:type="dxa"/>
            <w:vAlign w:val="bottom"/>
          </w:tcPr>
          <w:p>
            <w:pPr>
              <w:spacing w:after="0"/>
              <w:rPr>
                <w:sz w:val="1"/>
                <w:szCs w:val="1"/>
                <w:color w:val="auto"/>
              </w:rPr>
            </w:pPr>
          </w:p>
        </w:tc>
      </w:tr>
      <w:tr>
        <w:trPr>
          <w:trHeight w:val="257"/>
        </w:trPr>
        <w:tc>
          <w:tcPr>
            <w:tcW w:w="6900" w:type="dxa"/>
            <w:vAlign w:val="bottom"/>
            <w:shd w:val="clear" w:color="auto" w:fill="CCEEFF"/>
          </w:tcPr>
          <w:p>
            <w:pPr>
              <w:ind w:left="220"/>
              <w:spacing w:after="0"/>
              <w:rPr>
                <w:sz w:val="20"/>
                <w:szCs w:val="20"/>
                <w:color w:val="auto"/>
              </w:rPr>
            </w:pPr>
            <w:r>
              <w:rPr>
                <w:rFonts w:ascii="Arial" w:cs="Arial" w:eastAsia="Arial" w:hAnsi="Arial"/>
                <w:sz w:val="20"/>
                <w:szCs w:val="20"/>
                <w:color w:val="auto"/>
              </w:rPr>
              <w:t>Other*</w:t>
            </w:r>
          </w:p>
        </w:tc>
        <w:tc>
          <w:tcPr>
            <w:tcW w:w="500" w:type="dxa"/>
            <w:vAlign w:val="bottom"/>
            <w:tcBorders>
              <w:bottom w:val="single" w:sz="8" w:color="auto"/>
            </w:tcBorders>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w:t>
            </w:r>
          </w:p>
        </w:tc>
        <w:tc>
          <w:tcPr>
            <w:tcW w:w="100" w:type="dxa"/>
            <w:vAlign w:val="bottom"/>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(20)</w:t>
            </w:r>
          </w:p>
        </w:tc>
        <w:tc>
          <w:tcPr>
            <w:tcW w:w="0" w:type="dxa"/>
            <w:vAlign w:val="bottom"/>
          </w:tcPr>
          <w:p>
            <w:pPr>
              <w:spacing w:after="0"/>
              <w:rPr>
                <w:sz w:val="1"/>
                <w:szCs w:val="1"/>
                <w:color w:val="auto"/>
              </w:rPr>
            </w:pPr>
          </w:p>
        </w:tc>
      </w:tr>
      <w:tr>
        <w:trPr>
          <w:trHeight w:val="250"/>
        </w:trPr>
        <w:tc>
          <w:tcPr>
            <w:tcW w:w="6900" w:type="dxa"/>
            <w:vAlign w:val="bottom"/>
            <w:tcBorders>
              <w:bottom w:val="single" w:sz="8" w:color="CCEEFF"/>
            </w:tcBorders>
          </w:tcPr>
          <w:p>
            <w:pPr>
              <w:ind w:left="20"/>
              <w:spacing w:after="0" w:line="250" w:lineRule="exact"/>
              <w:rPr>
                <w:sz w:val="20"/>
                <w:szCs w:val="20"/>
                <w:color w:val="auto"/>
              </w:rPr>
            </w:pPr>
            <w:r>
              <w:rPr>
                <w:rFonts w:ascii="Arial" w:cs="Arial" w:eastAsia="Arial" w:hAnsi="Arial"/>
                <w:sz w:val="20"/>
                <w:szCs w:val="20"/>
                <w:color w:val="auto"/>
              </w:rPr>
              <w:t>Non-GAAP SG&amp;A</w:t>
            </w:r>
            <w:r>
              <w:rPr>
                <w:rFonts w:ascii="Arial" w:cs="Arial" w:eastAsia="Arial" w:hAnsi="Arial"/>
                <w:sz w:val="25"/>
                <w:szCs w:val="25"/>
                <w:color w:val="auto"/>
                <w:vertAlign w:val="superscript"/>
              </w:rPr>
              <w:t>(a)</w:t>
            </w:r>
          </w:p>
        </w:tc>
        <w:tc>
          <w:tcPr>
            <w:tcW w:w="500" w:type="dxa"/>
            <w:vAlign w:val="bottom"/>
            <w:tcBorders>
              <w:bottom w:val="single" w:sz="8" w:color="auto"/>
            </w:tcBorders>
          </w:tcPr>
          <w:p>
            <w:pPr>
              <w:jc w:val="right"/>
              <w:ind w:right="261"/>
              <w:spacing w:after="0"/>
              <w:rPr>
                <w:sz w:val="20"/>
                <w:szCs w:val="20"/>
                <w:color w:val="auto"/>
              </w:rPr>
            </w:pPr>
            <w:r>
              <w:rPr>
                <w:rFonts w:ascii="Arial" w:cs="Arial" w:eastAsia="Arial" w:hAnsi="Arial"/>
                <w:sz w:val="20"/>
                <w:szCs w:val="20"/>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2,500</w:t>
            </w:r>
          </w:p>
        </w:tc>
        <w:tc>
          <w:tcPr>
            <w:tcW w:w="10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2,650</w:t>
            </w:r>
          </w:p>
        </w:tc>
        <w:tc>
          <w:tcPr>
            <w:tcW w:w="0" w:type="dxa"/>
            <w:vAlign w:val="bottom"/>
          </w:tcPr>
          <w:p>
            <w:pPr>
              <w:spacing w:after="0"/>
              <w:rPr>
                <w:sz w:val="1"/>
                <w:szCs w:val="1"/>
                <w:color w:val="auto"/>
              </w:rPr>
            </w:pPr>
          </w:p>
        </w:tc>
      </w:tr>
      <w:tr>
        <w:trPr>
          <w:trHeight w:val="250"/>
        </w:trPr>
        <w:tc>
          <w:tcPr>
            <w:tcW w:w="69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900" w:type="dxa"/>
            <w:vAlign w:val="bottom"/>
          </w:tcPr>
          <w:p>
            <w:pPr>
              <w:ind w:left="20"/>
              <w:spacing w:after="0"/>
              <w:rPr>
                <w:sz w:val="20"/>
                <w:szCs w:val="20"/>
                <w:color w:val="auto"/>
              </w:rPr>
            </w:pPr>
            <w:r>
              <w:rPr>
                <w:rFonts w:ascii="Arial" w:cs="Arial" w:eastAsia="Arial" w:hAnsi="Arial"/>
                <w:sz w:val="20"/>
                <w:szCs w:val="20"/>
                <w:color w:val="auto"/>
              </w:rPr>
              <w:t>GAAP gross margin on net product sales</w:t>
            </w:r>
          </w:p>
        </w:tc>
        <w:tc>
          <w:tcPr>
            <w:tcW w:w="500" w:type="dxa"/>
            <w:vAlign w:val="bottom"/>
          </w:tcPr>
          <w:p>
            <w:pPr>
              <w:spacing w:after="0"/>
              <w:rPr>
                <w:sz w:val="22"/>
                <w:szCs w:val="22"/>
                <w:color w:val="auto"/>
              </w:rPr>
            </w:pPr>
          </w:p>
        </w:tc>
        <w:tc>
          <w:tcPr>
            <w:tcW w:w="1620" w:type="dxa"/>
            <w:vAlign w:val="bottom"/>
          </w:tcPr>
          <w:p>
            <w:pPr>
              <w:jc w:val="right"/>
              <w:ind w:right="41"/>
              <w:spacing w:after="0"/>
              <w:rPr>
                <w:sz w:val="20"/>
                <w:szCs w:val="20"/>
                <w:color w:val="auto"/>
              </w:rPr>
            </w:pPr>
            <w:r>
              <w:rPr>
                <w:rFonts w:ascii="Arial" w:cs="Arial" w:eastAsia="Arial" w:hAnsi="Arial"/>
                <w:sz w:val="20"/>
                <w:szCs w:val="20"/>
                <w:color w:val="auto"/>
              </w:rPr>
              <w:t>77%</w:t>
            </w: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320" w:type="dxa"/>
            <w:vAlign w:val="bottom"/>
          </w:tcPr>
          <w:p>
            <w:pPr>
              <w:jc w:val="right"/>
              <w:ind w:right="21"/>
              <w:spacing w:after="0"/>
              <w:rPr>
                <w:sz w:val="20"/>
                <w:szCs w:val="20"/>
                <w:color w:val="auto"/>
              </w:rPr>
            </w:pPr>
            <w:r>
              <w:rPr>
                <w:rFonts w:ascii="Arial" w:cs="Arial" w:eastAsia="Arial" w:hAnsi="Arial"/>
                <w:sz w:val="20"/>
                <w:szCs w:val="20"/>
                <w:color w:val="auto"/>
              </w:rPr>
              <w:t>78%</w:t>
            </w:r>
          </w:p>
        </w:tc>
        <w:tc>
          <w:tcPr>
            <w:tcW w:w="0" w:type="dxa"/>
            <w:vAlign w:val="bottom"/>
          </w:tcPr>
          <w:p>
            <w:pPr>
              <w:spacing w:after="0"/>
              <w:rPr>
                <w:sz w:val="1"/>
                <w:szCs w:val="1"/>
                <w:color w:val="auto"/>
              </w:rPr>
            </w:pPr>
          </w:p>
        </w:tc>
      </w:tr>
      <w:tr>
        <w:trPr>
          <w:trHeight w:val="257"/>
        </w:trPr>
        <w:tc>
          <w:tcPr>
            <w:tcW w:w="6900" w:type="dxa"/>
            <w:vAlign w:val="bottom"/>
            <w:shd w:val="clear" w:color="auto" w:fill="CCEEFF"/>
          </w:tcPr>
          <w:p>
            <w:pPr>
              <w:ind w:left="220"/>
              <w:spacing w:after="0"/>
              <w:rPr>
                <w:sz w:val="20"/>
                <w:szCs w:val="20"/>
                <w:color w:val="auto"/>
              </w:rPr>
            </w:pPr>
            <w:r>
              <w:rPr>
                <w:rFonts w:ascii="Arial" w:cs="Arial" w:eastAsia="Arial" w:hAnsi="Arial"/>
                <w:sz w:val="20"/>
                <w:szCs w:val="20"/>
                <w:color w:val="auto"/>
              </w:rPr>
              <w:t>Stock-based compensation expense</w:t>
            </w:r>
          </w:p>
        </w:tc>
        <w:tc>
          <w:tcPr>
            <w:tcW w:w="500" w:type="dxa"/>
            <w:vAlign w:val="bottom"/>
            <w:shd w:val="clear" w:color="auto" w:fill="CCEEFF"/>
          </w:tcPr>
          <w:p>
            <w:pPr>
              <w:spacing w:after="0"/>
              <w:rPr>
                <w:sz w:val="22"/>
                <w:szCs w:val="22"/>
                <w:color w:val="auto"/>
              </w:rPr>
            </w:pPr>
          </w:p>
        </w:tc>
        <w:tc>
          <w:tcPr>
            <w:tcW w:w="162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1%</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56"/>
        </w:trPr>
        <w:tc>
          <w:tcPr>
            <w:tcW w:w="6900" w:type="dxa"/>
            <w:vAlign w:val="bottom"/>
            <w:tcBorders>
              <w:bottom w:val="single" w:sz="8" w:color="CCEEFF"/>
            </w:tcBorders>
          </w:tcPr>
          <w:p>
            <w:pPr>
              <w:ind w:left="220"/>
              <w:spacing w:after="0"/>
              <w:rPr>
                <w:sz w:val="20"/>
                <w:szCs w:val="20"/>
                <w:color w:val="auto"/>
              </w:rPr>
            </w:pPr>
            <w:r>
              <w:rPr>
                <w:rFonts w:ascii="Arial" w:cs="Arial" w:eastAsia="Arial" w:hAnsi="Arial"/>
                <w:sz w:val="20"/>
                <w:szCs w:val="20"/>
                <w:color w:val="auto"/>
              </w:rPr>
              <w:t>Other**</w:t>
            </w:r>
          </w:p>
        </w:tc>
        <w:tc>
          <w:tcPr>
            <w:tcW w:w="5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5%</w:t>
            </w:r>
          </w:p>
        </w:tc>
        <w:tc>
          <w:tcPr>
            <w:tcW w:w="10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250"/>
        </w:trPr>
        <w:tc>
          <w:tcPr>
            <w:tcW w:w="6900" w:type="dxa"/>
            <w:vAlign w:val="bottom"/>
            <w:shd w:val="clear" w:color="auto" w:fill="CCEEFF"/>
          </w:tcPr>
          <w:p>
            <w:pPr>
              <w:ind w:left="20"/>
              <w:spacing w:after="0" w:line="250" w:lineRule="exact"/>
              <w:rPr>
                <w:sz w:val="20"/>
                <w:szCs w:val="20"/>
                <w:color w:val="auto"/>
              </w:rPr>
            </w:pPr>
            <w:r>
              <w:rPr>
                <w:rFonts w:ascii="Arial" w:cs="Arial" w:eastAsia="Arial" w:hAnsi="Arial"/>
                <w:sz w:val="20"/>
                <w:szCs w:val="20"/>
                <w:color w:val="auto"/>
              </w:rPr>
              <w:t>Non-GAAP gross margin on net product sales</w:t>
            </w:r>
            <w:r>
              <w:rPr>
                <w:rFonts w:ascii="Arial" w:cs="Arial" w:eastAsia="Arial" w:hAnsi="Arial"/>
                <w:sz w:val="25"/>
                <w:szCs w:val="25"/>
                <w:color w:val="auto"/>
                <w:vertAlign w:val="superscript"/>
              </w:rPr>
              <w:t>(a)</w:t>
            </w:r>
          </w:p>
        </w:tc>
        <w:tc>
          <w:tcPr>
            <w:tcW w:w="50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rPr>
              <w:t>83%</w:t>
            </w:r>
          </w:p>
        </w:tc>
        <w:tc>
          <w:tcPr>
            <w:tcW w:w="100" w:type="dxa"/>
            <w:vAlign w:val="bottom"/>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84%</w:t>
            </w:r>
          </w:p>
        </w:tc>
        <w:tc>
          <w:tcPr>
            <w:tcW w:w="0" w:type="dxa"/>
            <w:vAlign w:val="bottom"/>
          </w:tcPr>
          <w:p>
            <w:pPr>
              <w:spacing w:after="0"/>
              <w:rPr>
                <w:sz w:val="1"/>
                <w:szCs w:val="1"/>
                <w:color w:val="auto"/>
              </w:rPr>
            </w:pPr>
          </w:p>
        </w:tc>
      </w:tr>
      <w:tr>
        <w:trPr>
          <w:trHeight w:val="250"/>
        </w:trPr>
        <w:tc>
          <w:tcPr>
            <w:tcW w:w="69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900" w:type="dxa"/>
            <w:vAlign w:val="bottom"/>
            <w:shd w:val="clear" w:color="auto" w:fill="CCEEFF"/>
          </w:tcPr>
          <w:p>
            <w:pPr>
              <w:ind w:left="20"/>
              <w:spacing w:after="0"/>
              <w:rPr>
                <w:sz w:val="20"/>
                <w:szCs w:val="20"/>
                <w:color w:val="auto"/>
              </w:rPr>
            </w:pPr>
            <w:r>
              <w:rPr>
                <w:rFonts w:ascii="Arial" w:cs="Arial" w:eastAsia="Arial" w:hAnsi="Arial"/>
                <w:sz w:val="20"/>
                <w:szCs w:val="20"/>
                <w:color w:val="auto"/>
              </w:rPr>
              <w:t>GAAP COCM</w:t>
            </w:r>
          </w:p>
        </w:tc>
        <w:tc>
          <w:tcPr>
            <w:tcW w:w="500" w:type="dxa"/>
            <w:vAlign w:val="bottom"/>
            <w:shd w:val="clear" w:color="auto" w:fill="CCEEFF"/>
          </w:tcPr>
          <w:p>
            <w:pPr>
              <w:jc w:val="right"/>
              <w:ind w:right="261"/>
              <w:spacing w:after="0"/>
              <w:rPr>
                <w:sz w:val="20"/>
                <w:szCs w:val="20"/>
                <w:color w:val="auto"/>
              </w:rPr>
            </w:pPr>
            <w:r>
              <w:rPr>
                <w:rFonts w:ascii="Arial" w:cs="Arial" w:eastAsia="Arial" w:hAnsi="Arial"/>
                <w:sz w:val="20"/>
                <w:szCs w:val="20"/>
                <w:color w:val="auto"/>
              </w:rPr>
              <w:t>$</w:t>
            </w:r>
          </w:p>
        </w:tc>
        <w:tc>
          <w:tcPr>
            <w:tcW w:w="162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955</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561"/>
              <w:spacing w:after="0"/>
              <w:rPr>
                <w:sz w:val="20"/>
                <w:szCs w:val="20"/>
                <w:color w:val="auto"/>
              </w:rPr>
            </w:pPr>
            <w:r>
              <w:rPr>
                <w:rFonts w:ascii="Arial" w:cs="Arial" w:eastAsia="Arial" w:hAnsi="Arial"/>
                <w:sz w:val="20"/>
                <w:szCs w:val="20"/>
                <w:color w:val="auto"/>
                <w:w w:val="89"/>
              </w:rPr>
              <w:t>$</w:t>
            </w:r>
          </w:p>
        </w:tc>
        <w:tc>
          <w:tcPr>
            <w:tcW w:w="132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1,035</w:t>
            </w:r>
          </w:p>
        </w:tc>
        <w:tc>
          <w:tcPr>
            <w:tcW w:w="0" w:type="dxa"/>
            <w:vAlign w:val="bottom"/>
          </w:tcPr>
          <w:p>
            <w:pPr>
              <w:spacing w:after="0"/>
              <w:rPr>
                <w:sz w:val="1"/>
                <w:szCs w:val="1"/>
                <w:color w:val="auto"/>
              </w:rPr>
            </w:pPr>
          </w:p>
        </w:tc>
      </w:tr>
      <w:tr>
        <w:trPr>
          <w:trHeight w:val="257"/>
        </w:trPr>
        <w:tc>
          <w:tcPr>
            <w:tcW w:w="6900" w:type="dxa"/>
            <w:vAlign w:val="bottom"/>
            <w:tcBorders>
              <w:bottom w:val="single" w:sz="8" w:color="CCEEFF"/>
            </w:tcBorders>
          </w:tcPr>
          <w:p>
            <w:pPr>
              <w:ind w:left="220"/>
              <w:spacing w:after="0"/>
              <w:rPr>
                <w:sz w:val="20"/>
                <w:szCs w:val="20"/>
                <w:color w:val="auto"/>
              </w:rPr>
            </w:pPr>
            <w:r>
              <w:rPr>
                <w:rFonts w:ascii="Arial" w:cs="Arial" w:eastAsia="Arial" w:hAnsi="Arial"/>
                <w:sz w:val="20"/>
                <w:szCs w:val="20"/>
                <w:color w:val="auto"/>
              </w:rPr>
              <w:t>Temporary manufacturing interruption-related costs</w:t>
            </w:r>
          </w:p>
        </w:tc>
        <w:tc>
          <w:tcPr>
            <w:tcW w:w="5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(15)</w:t>
            </w:r>
          </w:p>
        </w:tc>
        <w:tc>
          <w:tcPr>
            <w:tcW w:w="10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(15)</w:t>
            </w:r>
          </w:p>
        </w:tc>
        <w:tc>
          <w:tcPr>
            <w:tcW w:w="0" w:type="dxa"/>
            <w:vAlign w:val="bottom"/>
          </w:tcPr>
          <w:p>
            <w:pPr>
              <w:spacing w:after="0"/>
              <w:rPr>
                <w:sz w:val="1"/>
                <w:szCs w:val="1"/>
                <w:color w:val="auto"/>
              </w:rPr>
            </w:pPr>
          </w:p>
        </w:tc>
      </w:tr>
      <w:tr>
        <w:trPr>
          <w:trHeight w:val="250"/>
        </w:trPr>
        <w:tc>
          <w:tcPr>
            <w:tcW w:w="6900" w:type="dxa"/>
            <w:vAlign w:val="bottom"/>
            <w:shd w:val="clear" w:color="auto" w:fill="CCEEFF"/>
          </w:tcPr>
          <w:p>
            <w:pPr>
              <w:ind w:left="20"/>
              <w:spacing w:after="0" w:line="250" w:lineRule="exact"/>
              <w:rPr>
                <w:sz w:val="20"/>
                <w:szCs w:val="20"/>
                <w:color w:val="auto"/>
              </w:rPr>
            </w:pPr>
            <w:r>
              <w:rPr>
                <w:rFonts w:ascii="Arial" w:cs="Arial" w:eastAsia="Arial" w:hAnsi="Arial"/>
                <w:sz w:val="20"/>
                <w:szCs w:val="20"/>
                <w:color w:val="auto"/>
              </w:rPr>
              <w:t>Non-GAAP COCM</w:t>
            </w:r>
            <w:r>
              <w:rPr>
                <w:rFonts w:ascii="Arial" w:cs="Arial" w:eastAsia="Arial" w:hAnsi="Arial"/>
                <w:sz w:val="25"/>
                <w:szCs w:val="25"/>
                <w:color w:val="auto"/>
                <w:vertAlign w:val="superscript"/>
              </w:rPr>
              <w:t>(a)</w:t>
            </w:r>
          </w:p>
        </w:tc>
        <w:tc>
          <w:tcPr>
            <w:tcW w:w="500" w:type="dxa"/>
            <w:vAlign w:val="bottom"/>
            <w:tcBorders>
              <w:bottom w:val="single" w:sz="8" w:color="auto"/>
            </w:tcBorders>
            <w:shd w:val="clear" w:color="auto" w:fill="CCEEFF"/>
          </w:tcPr>
          <w:p>
            <w:pPr>
              <w:jc w:val="right"/>
              <w:ind w:right="261"/>
              <w:spacing w:after="0"/>
              <w:rPr>
                <w:sz w:val="20"/>
                <w:szCs w:val="20"/>
                <w:color w:val="auto"/>
              </w:rPr>
            </w:pPr>
            <w:r>
              <w:rPr>
                <w:rFonts w:ascii="Arial" w:cs="Arial" w:eastAsia="Arial" w:hAnsi="Arial"/>
                <w:sz w:val="20"/>
                <w:szCs w:val="20"/>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940</w:t>
            </w:r>
          </w:p>
        </w:tc>
        <w:tc>
          <w:tcPr>
            <w:tcW w:w="100" w:type="dxa"/>
            <w:vAlign w:val="bottom"/>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61"/>
              <w:spacing w:after="0"/>
              <w:rPr>
                <w:sz w:val="20"/>
                <w:szCs w:val="20"/>
                <w:color w:val="auto"/>
              </w:rPr>
            </w:pPr>
            <w:r>
              <w:rPr>
                <w:rFonts w:ascii="Arial" w:cs="Arial" w:eastAsia="Arial" w:hAnsi="Arial"/>
                <w:sz w:val="20"/>
                <w:szCs w:val="20"/>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1,020</w:t>
            </w:r>
          </w:p>
        </w:tc>
        <w:tc>
          <w:tcPr>
            <w:tcW w:w="0" w:type="dxa"/>
            <w:vAlign w:val="bottom"/>
          </w:tcPr>
          <w:p>
            <w:pPr>
              <w:spacing w:after="0"/>
              <w:rPr>
                <w:sz w:val="1"/>
                <w:szCs w:val="1"/>
                <w:color w:val="auto"/>
              </w:rPr>
            </w:pPr>
          </w:p>
        </w:tc>
      </w:tr>
      <w:tr>
        <w:trPr>
          <w:trHeight w:val="250"/>
        </w:trPr>
        <w:tc>
          <w:tcPr>
            <w:tcW w:w="69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900" w:type="dxa"/>
            <w:vAlign w:val="bottom"/>
            <w:shd w:val="clear" w:color="auto" w:fill="CCEEFF"/>
          </w:tcPr>
          <w:p>
            <w:pPr>
              <w:ind w:left="20"/>
              <w:spacing w:after="0"/>
              <w:rPr>
                <w:sz w:val="20"/>
                <w:szCs w:val="20"/>
                <w:color w:val="auto"/>
              </w:rPr>
            </w:pPr>
            <w:r>
              <w:rPr>
                <w:rFonts w:ascii="Arial" w:cs="Arial" w:eastAsia="Arial" w:hAnsi="Arial"/>
                <w:sz w:val="20"/>
                <w:szCs w:val="20"/>
                <w:color w:val="auto"/>
              </w:rPr>
              <w:t>GAAP ETR</w:t>
            </w:r>
          </w:p>
        </w:tc>
        <w:tc>
          <w:tcPr>
            <w:tcW w:w="500" w:type="dxa"/>
            <w:vAlign w:val="bottom"/>
            <w:shd w:val="clear" w:color="auto" w:fill="CCEEFF"/>
          </w:tcPr>
          <w:p>
            <w:pPr>
              <w:spacing w:after="0"/>
              <w:rPr>
                <w:sz w:val="22"/>
                <w:szCs w:val="22"/>
                <w:color w:val="auto"/>
              </w:rPr>
            </w:pPr>
          </w:p>
        </w:tc>
        <w:tc>
          <w:tcPr>
            <w:tcW w:w="162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12%</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14%</w:t>
            </w:r>
          </w:p>
        </w:tc>
        <w:tc>
          <w:tcPr>
            <w:tcW w:w="0" w:type="dxa"/>
            <w:vAlign w:val="bottom"/>
          </w:tcPr>
          <w:p>
            <w:pPr>
              <w:spacing w:after="0"/>
              <w:rPr>
                <w:sz w:val="1"/>
                <w:szCs w:val="1"/>
                <w:color w:val="auto"/>
              </w:rPr>
            </w:pPr>
          </w:p>
        </w:tc>
      </w:tr>
      <w:tr>
        <w:trPr>
          <w:trHeight w:val="257"/>
        </w:trPr>
        <w:tc>
          <w:tcPr>
            <w:tcW w:w="6900" w:type="dxa"/>
            <w:vAlign w:val="bottom"/>
          </w:tcPr>
          <w:p>
            <w:pPr>
              <w:ind w:left="220"/>
              <w:spacing w:after="0"/>
              <w:rPr>
                <w:sz w:val="20"/>
                <w:szCs w:val="20"/>
                <w:color w:val="auto"/>
              </w:rPr>
            </w:pPr>
            <w:r>
              <w:rPr>
                <w:rFonts w:ascii="Arial" w:cs="Arial" w:eastAsia="Arial" w:hAnsi="Arial"/>
                <w:sz w:val="20"/>
                <w:szCs w:val="20"/>
                <w:color w:val="auto"/>
              </w:rPr>
              <w:t>Income tax effect of GAAP to non-GAAP reconciling items</w:t>
            </w:r>
          </w:p>
        </w:tc>
        <w:tc>
          <w:tcPr>
            <w:tcW w:w="500" w:type="dxa"/>
            <w:vAlign w:val="bottom"/>
          </w:tcPr>
          <w:p>
            <w:pPr>
              <w:spacing w:after="0"/>
              <w:rPr>
                <w:sz w:val="22"/>
                <w:szCs w:val="22"/>
                <w:color w:val="auto"/>
              </w:rPr>
            </w:pPr>
          </w:p>
        </w:tc>
        <w:tc>
          <w:tcPr>
            <w:tcW w:w="1620" w:type="dxa"/>
            <w:vAlign w:val="bottom"/>
          </w:tcPr>
          <w:p>
            <w:pPr>
              <w:jc w:val="right"/>
              <w:ind w:right="41"/>
              <w:spacing w:after="0"/>
              <w:rPr>
                <w:sz w:val="20"/>
                <w:szCs w:val="20"/>
                <w:color w:val="auto"/>
              </w:rPr>
            </w:pPr>
            <w:r>
              <w:rPr>
                <w:rFonts w:ascii="Arial" w:cs="Arial" w:eastAsia="Arial" w:hAnsi="Arial"/>
                <w:sz w:val="20"/>
                <w:szCs w:val="20"/>
                <w:color w:val="auto"/>
              </w:rPr>
              <w:t>1%</w:t>
            </w: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320" w:type="dxa"/>
            <w:vAlign w:val="bottom"/>
          </w:tcPr>
          <w:p>
            <w:pPr>
              <w:jc w:val="right"/>
              <w:ind w:right="21"/>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56"/>
        </w:trPr>
        <w:tc>
          <w:tcPr>
            <w:tcW w:w="6900" w:type="dxa"/>
            <w:vAlign w:val="bottom"/>
            <w:shd w:val="clear" w:color="auto" w:fill="CCEEFF"/>
          </w:tcPr>
          <w:p>
            <w:pPr>
              <w:ind w:left="220"/>
              <w:spacing w:after="0"/>
              <w:rPr>
                <w:sz w:val="20"/>
                <w:szCs w:val="20"/>
                <w:color w:val="auto"/>
              </w:rPr>
            </w:pPr>
            <w:r>
              <w:rPr>
                <w:rFonts w:ascii="Arial" w:cs="Arial" w:eastAsia="Arial" w:hAnsi="Arial"/>
                <w:sz w:val="20"/>
                <w:szCs w:val="20"/>
                <w:color w:val="auto"/>
              </w:rPr>
              <w:t>Income tax expense: Shortfall from stock-based compensation</w:t>
            </w:r>
          </w:p>
        </w:tc>
        <w:tc>
          <w:tcPr>
            <w:tcW w:w="500" w:type="dxa"/>
            <w:vAlign w:val="bottom"/>
            <w:tcBorders>
              <w:bottom w:val="single" w:sz="8" w:color="auto"/>
            </w:tcBorders>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rPr>
              <w:t>(&lt;1%)</w:t>
            </w:r>
          </w:p>
        </w:tc>
        <w:tc>
          <w:tcPr>
            <w:tcW w:w="100" w:type="dxa"/>
            <w:vAlign w:val="bottom"/>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(&lt;1%)</w:t>
            </w:r>
          </w:p>
        </w:tc>
        <w:tc>
          <w:tcPr>
            <w:tcW w:w="0" w:type="dxa"/>
            <w:vAlign w:val="bottom"/>
          </w:tcPr>
          <w:p>
            <w:pPr>
              <w:spacing w:after="0"/>
              <w:rPr>
                <w:sz w:val="1"/>
                <w:szCs w:val="1"/>
                <w:color w:val="auto"/>
              </w:rPr>
            </w:pPr>
          </w:p>
        </w:tc>
      </w:tr>
      <w:tr>
        <w:trPr>
          <w:trHeight w:val="250"/>
        </w:trPr>
        <w:tc>
          <w:tcPr>
            <w:tcW w:w="6900" w:type="dxa"/>
            <w:vAlign w:val="bottom"/>
          </w:tcPr>
          <w:p>
            <w:pPr>
              <w:ind w:left="20"/>
              <w:spacing w:after="0" w:line="250" w:lineRule="exact"/>
              <w:rPr>
                <w:sz w:val="20"/>
                <w:szCs w:val="20"/>
                <w:color w:val="auto"/>
              </w:rPr>
            </w:pPr>
            <w:r>
              <w:rPr>
                <w:rFonts w:ascii="Arial" w:cs="Arial" w:eastAsia="Arial" w:hAnsi="Arial"/>
                <w:sz w:val="20"/>
                <w:szCs w:val="20"/>
                <w:color w:val="auto"/>
              </w:rPr>
              <w:t>Non-GAAP ETR</w:t>
            </w:r>
            <w:r>
              <w:rPr>
                <w:rFonts w:ascii="Arial" w:cs="Arial" w:eastAsia="Arial" w:hAnsi="Arial"/>
                <w:sz w:val="25"/>
                <w:szCs w:val="25"/>
                <w:color w:val="auto"/>
                <w:vertAlign w:val="superscript"/>
              </w:rPr>
              <w:t>(a)</w:t>
            </w:r>
          </w:p>
        </w:tc>
        <w:tc>
          <w:tcPr>
            <w:tcW w:w="50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13%</w:t>
            </w:r>
          </w:p>
        </w:tc>
        <w:tc>
          <w:tcPr>
            <w:tcW w:w="10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15%</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00" w:hanging="112"/>
        <w:spacing w:after="0"/>
        <w:tabs>
          <w:tab w:leader="none" w:pos="300" w:val="left"/>
        </w:tabs>
        <w:numPr>
          <w:ilvl w:val="0"/>
          <w:numId w:val="14"/>
        </w:numPr>
        <w:rPr>
          <w:rFonts w:ascii="Arial" w:cs="Arial" w:eastAsia="Arial" w:hAnsi="Arial"/>
          <w:sz w:val="18"/>
          <w:szCs w:val="18"/>
          <w:color w:val="auto"/>
        </w:rPr>
      </w:pPr>
      <w:r>
        <w:rPr>
          <w:rFonts w:ascii="Arial" w:cs="Arial" w:eastAsia="Arial" w:hAnsi="Arial"/>
          <w:sz w:val="16"/>
          <w:szCs w:val="16"/>
          <w:color w:val="auto"/>
        </w:rPr>
        <w:t>Includes legal settlements and other costs</w:t>
      </w:r>
    </w:p>
    <w:p>
      <w:pPr>
        <w:spacing w:after="0" w:line="23" w:lineRule="exact"/>
        <w:rPr>
          <w:sz w:val="20"/>
          <w:szCs w:val="20"/>
          <w:color w:val="auto"/>
        </w:rPr>
      </w:pPr>
    </w:p>
    <w:p>
      <w:pPr>
        <w:ind w:left="380" w:hanging="192"/>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6"/>
          <w:szCs w:val="16"/>
          <w:color w:val="auto"/>
        </w:rPr>
        <w:t>Includes intangible asset amortization and temporary manufacturing interruption-related costs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74"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Times New Roman" w:cs="Times New Roman" w:eastAsia="Times New Roman" w:hAnsi="Times New Roman"/>
          <w:sz w:val="18"/>
          <w:szCs w:val="18"/>
          <w:color w:val="auto"/>
        </w:rPr>
        <w:t>8</w:t>
      </w:r>
    </w:p>
    <w:p>
      <w:pPr>
        <w:sectPr>
          <w:pgSz w:w="11900" w:h="16838" w:orient="portrait"/>
          <w:cols w:equalWidth="0" w:num="1">
            <w:col w:w="11220"/>
          </w:cols>
          <w:pgMar w:left="320" w:top="1045" w:right="359" w:bottom="1440" w:gutter="0" w:footer="0" w:header="0"/>
        </w:sectPr>
      </w:pPr>
    </w:p>
    <w:bookmarkStart w:id="11" w:name="page12"/>
    <w:bookmarkEnd w:id="11"/>
    <w:p>
      <w:pPr>
        <w:ind w:left="394" w:right="40" w:hanging="394"/>
        <w:spacing w:after="0" w:line="216" w:lineRule="auto"/>
        <w:tabs>
          <w:tab w:leader="none" w:pos="394" w:val="left"/>
        </w:tabs>
        <w:numPr>
          <w:ilvl w:val="0"/>
          <w:numId w:val="16"/>
        </w:numPr>
        <w:rPr>
          <w:rFonts w:ascii="Arial" w:cs="Arial" w:eastAsia="Arial" w:hAnsi="Arial"/>
          <w:sz w:val="16"/>
          <w:szCs w:val="16"/>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688975</wp:posOffset>
            </wp:positionV>
            <wp:extent cx="71234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3430" cy="8890"/>
                    </a:xfrm>
                    <a:prstGeom prst="rect">
                      <a:avLst/>
                    </a:prstGeom>
                    <a:noFill/>
                  </pic:spPr>
                </pic:pic>
              </a:graphicData>
            </a:graphic>
          </wp:anchor>
        </w:drawing>
        <w:t>This press release uses non-GAAP R&amp;D, non-GAAP SG&amp;A, non-GAAP COGS, non-GAAP gross margin on net product sales, non-GAAP COCM, non-GAAP other income (expense), net, non-GAAP ETR, non-GAAP net income, non-GAAP net income per share, and free cash flow, which are financial measures that are not calculated in accordance with U.S. Generally Accepted Accounting Principles (GAAP). These non-GAAP financial measures are computed by excluding certain non-cash and/or other items from the related GAAP financial measure. The Company also includes a non-GAAP adjustment for the estimated income tax effect of reconciling items. A reconciliation of the Company's GAAP to non-GAAP results is included in Table 3 of this press release.</w:t>
      </w:r>
    </w:p>
    <w:p>
      <w:pPr>
        <w:spacing w:after="0" w:line="76" w:lineRule="exact"/>
        <w:rPr>
          <w:rFonts w:ascii="Arial" w:cs="Arial" w:eastAsia="Arial" w:hAnsi="Arial"/>
          <w:sz w:val="16"/>
          <w:szCs w:val="16"/>
          <w:color w:val="auto"/>
        </w:rPr>
      </w:pPr>
    </w:p>
    <w:p>
      <w:pPr>
        <w:ind w:left="394"/>
        <w:spacing w:after="0" w:line="224" w:lineRule="auto"/>
        <w:rPr>
          <w:rFonts w:ascii="Arial" w:cs="Arial" w:eastAsia="Arial" w:hAnsi="Arial"/>
          <w:sz w:val="16"/>
          <w:szCs w:val="16"/>
          <w:color w:val="auto"/>
        </w:rPr>
      </w:pPr>
      <w:r>
        <w:rPr>
          <w:rFonts w:ascii="Arial" w:cs="Arial" w:eastAsia="Arial" w:hAnsi="Arial"/>
          <w:sz w:val="20"/>
          <w:szCs w:val="20"/>
          <w:color w:val="auto"/>
        </w:rPr>
        <w:t>The Company makes such adjustments for items the Company does not view as useful in evaluating its operating performance. For example, adjustments may be made for items that fluctuate from period to period based on factors that are not within the Company's control (such as the Company's stock price on the dates share-based grants are issued or changes in the fair value of the Company's investments in equity securities) or items that are not associated with normal, recurring operations (such as acquisition and integration costs). Management uses these non-GAAP measures for planning, budgeting, forecasting, assessing historical performance, and making financial and operational decisions, and also provides forecasts to investors on this basis. With respect to free cash flow, the Company believes that this non-GAAP measure provides a further measure of the Company's ability to generate cash flows from its operations. Additionally, the non-GAAP measures presented are intended to provide investors with an enhanced understanding of the financial performance of the Company's core business operations. However, there are limitations in the use of these and other non-GAAP financial measures as they exclude certain expenses that are recurring in nature. Furthermore, the Company's non-GAAP financial measures may not be comparable with non-GAAP information provided by other companies. Any non-GAAP financial measure presented by the Company should be considered supplemental to, and not a substitute for, measures of financial performance prepared in accordance with GAAP.</w:t>
      </w:r>
    </w:p>
    <w:p>
      <w:pPr>
        <w:spacing w:after="0" w:line="113" w:lineRule="exact"/>
        <w:rPr>
          <w:rFonts w:ascii="Arial" w:cs="Arial" w:eastAsia="Arial" w:hAnsi="Arial"/>
          <w:sz w:val="16"/>
          <w:szCs w:val="16"/>
          <w:color w:val="auto"/>
        </w:rPr>
      </w:pPr>
    </w:p>
    <w:p>
      <w:pPr>
        <w:ind w:left="394" w:right="220" w:hanging="394"/>
        <w:spacing w:after="0" w:line="234" w:lineRule="auto"/>
        <w:tabs>
          <w:tab w:leader="none" w:pos="394" w:val="left"/>
        </w:tabs>
        <w:numPr>
          <w:ilvl w:val="0"/>
          <w:numId w:val="16"/>
        </w:numPr>
        <w:rPr>
          <w:rFonts w:ascii="Arial" w:cs="Arial" w:eastAsia="Arial" w:hAnsi="Arial"/>
          <w:sz w:val="16"/>
          <w:szCs w:val="16"/>
          <w:color w:val="auto"/>
        </w:rPr>
      </w:pPr>
      <w:r>
        <w:rPr>
          <w:rFonts w:ascii="Arial" w:cs="Arial" w:eastAsia="Arial" w:hAnsi="Arial"/>
          <w:sz w:val="20"/>
          <w:szCs w:val="20"/>
          <w:color w:val="auto"/>
        </w:rPr>
        <w:t>Gross margin on net product sales represents gross profit expressed as a percentage of total net product sales recorded by the Company. Gross profit is calculated as net product sales less cost of goods sold.</w:t>
      </w:r>
    </w:p>
    <w:p>
      <w:pPr>
        <w:spacing w:after="0" w:line="91" w:lineRule="exact"/>
        <w:rPr>
          <w:rFonts w:ascii="Arial" w:cs="Arial" w:eastAsia="Arial" w:hAnsi="Arial"/>
          <w:sz w:val="16"/>
          <w:szCs w:val="16"/>
          <w:color w:val="auto"/>
        </w:rPr>
      </w:pPr>
    </w:p>
    <w:p>
      <w:pPr>
        <w:ind w:left="394" w:hanging="394"/>
        <w:spacing w:after="0"/>
        <w:tabs>
          <w:tab w:leader="none" w:pos="394" w:val="left"/>
        </w:tabs>
        <w:numPr>
          <w:ilvl w:val="0"/>
          <w:numId w:val="16"/>
        </w:numPr>
        <w:rPr>
          <w:rFonts w:ascii="Arial" w:cs="Arial" w:eastAsia="Arial" w:hAnsi="Arial"/>
          <w:sz w:val="16"/>
          <w:szCs w:val="16"/>
          <w:color w:val="auto"/>
        </w:rPr>
      </w:pPr>
      <w:r>
        <w:rPr>
          <w:rFonts w:ascii="Arial" w:cs="Arial" w:eastAsia="Arial" w:hAnsi="Arial"/>
          <w:sz w:val="20"/>
          <w:szCs w:val="20"/>
          <w:color w:val="auto"/>
        </w:rPr>
        <w:t>Corresponding reimbursements from collaborators and others for manufacturing product is recorded within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22225</wp:posOffset>
            </wp:positionV>
            <wp:extent cx="71234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5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54"/>
          </w:cols>
          <w:pgMar w:left="346" w:top="1090" w:right="399" w:bottom="1440" w:gutter="0" w:footer="0" w:header="0"/>
        </w:sectPr>
      </w:pPr>
    </w:p>
    <w:bookmarkStart w:id="12" w:name="page13"/>
    <w:bookmarkEnd w:id="12"/>
    <w:p>
      <w:pPr>
        <w:spacing w:after="0"/>
        <w:rPr>
          <w:sz w:val="20"/>
          <w:szCs w:val="20"/>
          <w:color w:val="auto"/>
        </w:rPr>
      </w:pPr>
      <w:r>
        <w:rPr>
          <w:rFonts w:ascii="Arial" w:cs="Arial" w:eastAsia="Arial" w:hAnsi="Arial"/>
          <w:sz w:val="22"/>
          <w:szCs w:val="22"/>
          <w:b w:val="1"/>
          <w:bCs w:val="1"/>
          <w:color w:val="auto"/>
        </w:rPr>
        <w:t>Conference Call Information</w:t>
      </w:r>
    </w:p>
    <w:p>
      <w:pPr>
        <w:spacing w:after="0" w:line="154"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Regeneron will host a conference call and simultaneous webcast to discuss its first quarter 2026 financial and operating results on Wednesday, April 29, 2026, at 8:30 AM Eastern Time. Participants may access the conference call live via webcast, or register in advance and participate via telephone, on the "Investors and Media" page of Regeneron's website at www.regeneron.com. Upon registration, all telephone participants will receive a confirmation email detailing how to join the conference call, including the dial-in number along with a unique passcode and registrant ID that can be used to access the call. A replay and transcript of the conference call and webcast will be archived on the Company's website for at least 30 days.</w:t>
      </w:r>
    </w:p>
    <w:p>
      <w:pPr>
        <w:spacing w:after="0" w:line="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Regeneron</w:t>
      </w:r>
    </w:p>
    <w:p>
      <w:pPr>
        <w:spacing w:after="0" w:line="154" w:lineRule="exact"/>
        <w:rPr>
          <w:sz w:val="20"/>
          <w:szCs w:val="20"/>
          <w:color w:val="auto"/>
        </w:rPr>
      </w:pPr>
    </w:p>
    <w:p>
      <w:pPr>
        <w:spacing w:after="0" w:line="265" w:lineRule="auto"/>
        <w:rPr>
          <w:sz w:val="20"/>
          <w:szCs w:val="20"/>
          <w:color w:val="auto"/>
        </w:rPr>
      </w:pPr>
      <w:r>
        <w:rPr>
          <w:rFonts w:ascii="Arial" w:cs="Arial" w:eastAsia="Arial" w:hAnsi="Arial"/>
          <w:sz w:val="21"/>
          <w:szCs w:val="21"/>
          <w:color w:val="auto"/>
        </w:rPr>
        <w:t>Regeneron is a leading biotechnology company that invents, develops, and commercializes life-transforming medicines for people with serious diseases. Founded and led by physician-scientists, Regeneron's unique ability to repeatedly and consistently translate science into medicine has led to numerous approved treatments and product candidates in development, most of which were homegrown in Regeneron's laboratories. Regeneron's medicines and pipeline are designed to help patients with eye diseases, allergic and inflammatory diseases, cancer, cardiovascular and metabolic diseases, neurological diseases, hematologic conditions, infectious diseases, and rare diseases.</w:t>
      </w:r>
    </w:p>
    <w:p>
      <w:pPr>
        <w:spacing w:after="0" w:line="101" w:lineRule="exact"/>
        <w:rPr>
          <w:sz w:val="20"/>
          <w:szCs w:val="20"/>
          <w:color w:val="auto"/>
        </w:rPr>
      </w:pPr>
    </w:p>
    <w:p>
      <w:pPr>
        <w:ind w:right="240"/>
        <w:spacing w:after="0" w:line="226" w:lineRule="auto"/>
        <w:rPr>
          <w:sz w:val="20"/>
          <w:szCs w:val="20"/>
          <w:color w:val="auto"/>
        </w:rPr>
      </w:pPr>
      <w:r>
        <w:rPr>
          <w:rFonts w:ascii="Arial" w:cs="Arial" w:eastAsia="Arial" w:hAnsi="Arial"/>
          <w:sz w:val="22"/>
          <w:szCs w:val="22"/>
          <w:color w:val="auto"/>
        </w:rPr>
        <w:t xml:space="preserve">Regeneron pushes the boundaries of scientific discovery and accelerates drug development using its proprietary technologies, such as </w:t>
      </w:r>
      <w:r>
        <w:rPr>
          <w:rFonts w:ascii="Arial" w:cs="Arial" w:eastAsia="Arial" w:hAnsi="Arial"/>
          <w:sz w:val="22"/>
          <w:szCs w:val="22"/>
          <w:i w:val="1"/>
          <w:iCs w:val="1"/>
          <w:color w:val="auto"/>
        </w:rPr>
        <w:t>VelociSuite</w:t>
      </w:r>
      <w:r>
        <w:rPr>
          <w:rFonts w:ascii="Arial" w:cs="Arial" w:eastAsia="Arial" w:hAnsi="Arial"/>
          <w:sz w:val="22"/>
          <w:szCs w:val="22"/>
          <w:color w:val="auto"/>
        </w:rPr>
        <w:t xml:space="preserve"> </w:t>
      </w:r>
      <w:r>
        <w:rPr>
          <w:rFonts w:ascii="Arial" w:cs="Arial" w:eastAsia="Arial" w:hAnsi="Arial"/>
          <w:sz w:val="28"/>
          <w:szCs w:val="28"/>
          <w:color w:val="auto"/>
          <w:vertAlign w:val="superscript"/>
        </w:rPr>
        <w:t>®</w:t>
      </w:r>
      <w:r>
        <w:rPr>
          <w:rFonts w:ascii="Arial" w:cs="Arial" w:eastAsia="Arial" w:hAnsi="Arial"/>
          <w:sz w:val="22"/>
          <w:szCs w:val="22"/>
          <w:color w:val="auto"/>
        </w:rPr>
        <w:t>, which produces optimized fully human antibodies and new classes of bispecific antibodies. Regeneron is shaping the next frontier of medicine with data-powered insights from the Regeneron Genetics Center</w:t>
      </w:r>
      <w:r>
        <w:rPr>
          <w:rFonts w:ascii="Arial" w:cs="Arial" w:eastAsia="Arial" w:hAnsi="Arial"/>
          <w:sz w:val="28"/>
          <w:szCs w:val="28"/>
          <w:color w:val="auto"/>
          <w:vertAlign w:val="superscript"/>
        </w:rPr>
        <w:t>®</w:t>
      </w:r>
      <w:r>
        <w:rPr>
          <w:rFonts w:ascii="Arial" w:cs="Arial" w:eastAsia="Arial" w:hAnsi="Arial"/>
          <w:sz w:val="22"/>
          <w:szCs w:val="22"/>
          <w:color w:val="auto"/>
        </w:rPr>
        <w:t> and pioneering genetic medicine platforms, enabling Regeneron to identify innovative targets and complementary approaches to potentially treat or cure diseases.</w:t>
      </w:r>
    </w:p>
    <w:p>
      <w:pPr>
        <w:spacing w:after="0" w:line="123" w:lineRule="exact"/>
        <w:rPr>
          <w:sz w:val="20"/>
          <w:szCs w:val="20"/>
          <w:color w:val="auto"/>
        </w:rPr>
      </w:pPr>
    </w:p>
    <w:p>
      <w:pPr>
        <w:ind w:right="100"/>
        <w:spacing w:after="0" w:line="377" w:lineRule="auto"/>
        <w:rPr>
          <w:sz w:val="20"/>
          <w:szCs w:val="20"/>
          <w:color w:val="auto"/>
        </w:rPr>
      </w:pPr>
      <w:r>
        <w:rPr>
          <w:rFonts w:ascii="Arial" w:cs="Arial" w:eastAsia="Arial" w:hAnsi="Arial"/>
          <w:sz w:val="22"/>
          <w:szCs w:val="22"/>
          <w:color w:val="auto"/>
        </w:rPr>
        <w:t xml:space="preserve">For more information, please visit www.regeneron.com or follow Regeneron on LinkedIn, Instagram, Facebook, or X. </w:t>
      </w:r>
      <w:r>
        <w:rPr>
          <w:rFonts w:ascii="Arial" w:cs="Arial" w:eastAsia="Arial" w:hAnsi="Arial"/>
          <w:sz w:val="22"/>
          <w:szCs w:val="22"/>
          <w:b w:val="1"/>
          <w:bCs w:val="1"/>
          <w:color w:val="auto"/>
        </w:rPr>
        <w:t>Forward-Looking Statements and Use of Digital Media</w:t>
      </w:r>
    </w:p>
    <w:p>
      <w:pPr>
        <w:spacing w:after="0" w:line="2" w:lineRule="exact"/>
        <w:rPr>
          <w:sz w:val="20"/>
          <w:szCs w:val="20"/>
          <w:color w:val="auto"/>
        </w:rPr>
      </w:pPr>
    </w:p>
    <w:p>
      <w:pPr>
        <w:ind w:right="80"/>
        <w:spacing w:after="0" w:line="260" w:lineRule="auto"/>
        <w:rPr>
          <w:sz w:val="20"/>
          <w:szCs w:val="20"/>
          <w:color w:val="auto"/>
        </w:rPr>
      </w:pPr>
      <w:r>
        <w:rPr>
          <w:rFonts w:ascii="Arial" w:cs="Arial" w:eastAsia="Arial" w:hAnsi="Arial"/>
          <w:sz w:val="21"/>
          <w:szCs w:val="21"/>
          <w:color w:val="auto"/>
        </w:rPr>
        <w:t>This press release includes forward-looking statements that involve risks and uncertainties relating to future events and the future performance of Regeneron Pharmaceuticals, Inc. ("Regeneron" or the "Company"),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competing products and product candidates (including biosimilar products) that may be superior to, or more cost effective than, products marketed or otherwise commercialized by Regeneron and/or its collaborators or licensees (collectively, "Regeneron's Products") and product candidates being developed by Regeneron and/or its collaborators or licensees (collectively, "Regeneron's Product Candidates"); uncertainty of the utilization, market acceptance, and commercial success of Regeneron's Products and Regeneron's Product Candidates and the impact of studies (whether conducted by Regeneron or others and whether mandated or voluntary) or recommendations and guidelines from governmental authorities and other third parties or other factors beyond Regeneron's control on the commercial success of Regeneron's Products and Regeneron's Product Candidates; the nature, timing, and possible success and therapeutic applications of Regeneron's Products and Regeneron's Product</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20"/>
          </w:cols>
          <w:pgMar w:left="320" w:top="1043" w:right="359" w:bottom="1440" w:gutter="0" w:footer="0" w:header="0"/>
        </w:sectPr>
      </w:pPr>
    </w:p>
    <w:bookmarkStart w:id="13" w:name="page14"/>
    <w:bookmarkEnd w:id="13"/>
    <w:p>
      <w:pPr>
        <w:spacing w:after="0" w:line="251" w:lineRule="auto"/>
        <w:rPr>
          <w:sz w:val="20"/>
          <w:szCs w:val="20"/>
          <w:color w:val="auto"/>
        </w:rPr>
      </w:pPr>
      <w:r>
        <w:rPr>
          <w:rFonts w:ascii="Arial" w:cs="Arial" w:eastAsia="Arial" w:hAnsi="Arial"/>
          <w:sz w:val="21"/>
          <w:szCs w:val="21"/>
          <w:color w:val="auto"/>
        </w:rPr>
        <w:t>Candidates and research and clinical programs now underway or planned, including without limitation EYLEA HD</w:t>
      </w:r>
      <w:r>
        <w:rPr>
          <w:rFonts w:ascii="Arial" w:cs="Arial" w:eastAsia="Arial" w:hAnsi="Arial"/>
          <w:sz w:val="27"/>
          <w:szCs w:val="27"/>
          <w:color w:val="auto"/>
          <w:vertAlign w:val="superscript"/>
        </w:rPr>
        <w:t>®</w:t>
      </w:r>
      <w:r>
        <w:rPr>
          <w:rFonts w:ascii="Arial" w:cs="Arial" w:eastAsia="Arial" w:hAnsi="Arial"/>
          <w:sz w:val="21"/>
          <w:szCs w:val="21"/>
          <w:color w:val="auto"/>
        </w:rPr>
        <w:t xml:space="preserve"> (aflibercept) Injection 8 mg, EYLEA</w:t>
      </w:r>
      <w:r>
        <w:rPr>
          <w:rFonts w:ascii="Arial" w:cs="Arial" w:eastAsia="Arial" w:hAnsi="Arial"/>
          <w:sz w:val="27"/>
          <w:szCs w:val="27"/>
          <w:b w:val="1"/>
          <w:bCs w:val="1"/>
          <w:color w:val="auto"/>
          <w:vertAlign w:val="superscript"/>
        </w:rPr>
        <w:t>®</w:t>
      </w:r>
      <w:r>
        <w:rPr>
          <w:rFonts w:ascii="Arial" w:cs="Arial" w:eastAsia="Arial" w:hAnsi="Arial"/>
          <w:sz w:val="21"/>
          <w:szCs w:val="21"/>
          <w:color w:val="auto"/>
        </w:rPr>
        <w:t xml:space="preserve"> (aflibercept) Injection, Dupixent</w:t>
      </w:r>
      <w:r>
        <w:rPr>
          <w:rFonts w:ascii="Arial" w:cs="Arial" w:eastAsia="Arial" w:hAnsi="Arial"/>
          <w:sz w:val="27"/>
          <w:szCs w:val="27"/>
          <w:b w:val="1"/>
          <w:bCs w:val="1"/>
          <w:color w:val="auto"/>
          <w:vertAlign w:val="superscript"/>
        </w:rPr>
        <w:t>®</w:t>
      </w:r>
      <w:r>
        <w:rPr>
          <w:rFonts w:ascii="Arial" w:cs="Arial" w:eastAsia="Arial" w:hAnsi="Arial"/>
          <w:sz w:val="21"/>
          <w:szCs w:val="21"/>
          <w:color w:val="auto"/>
        </w:rPr>
        <w:t xml:space="preserve"> (dupilumab), Libtayo</w:t>
      </w:r>
      <w:r>
        <w:rPr>
          <w:rFonts w:ascii="Arial" w:cs="Arial" w:eastAsia="Arial" w:hAnsi="Arial"/>
          <w:sz w:val="27"/>
          <w:szCs w:val="27"/>
          <w:b w:val="1"/>
          <w:bCs w:val="1"/>
          <w:color w:val="auto"/>
          <w:vertAlign w:val="superscript"/>
        </w:rPr>
        <w:t>®</w:t>
      </w:r>
      <w:r>
        <w:rPr>
          <w:rFonts w:ascii="Arial" w:cs="Arial" w:eastAsia="Arial" w:hAnsi="Arial"/>
          <w:sz w:val="21"/>
          <w:szCs w:val="21"/>
          <w:color w:val="auto"/>
        </w:rPr>
        <w:t xml:space="preserve"> (cemiplimab), Praluent</w:t>
      </w:r>
      <w:r>
        <w:rPr>
          <w:rFonts w:ascii="Arial" w:cs="Arial" w:eastAsia="Arial" w:hAnsi="Arial"/>
          <w:sz w:val="27"/>
          <w:szCs w:val="27"/>
          <w:b w:val="1"/>
          <w:bCs w:val="1"/>
          <w:color w:val="auto"/>
          <w:vertAlign w:val="superscript"/>
        </w:rPr>
        <w:t>®</w:t>
      </w:r>
      <w:r>
        <w:rPr>
          <w:rFonts w:ascii="Arial" w:cs="Arial" w:eastAsia="Arial" w:hAnsi="Arial"/>
          <w:sz w:val="21"/>
          <w:szCs w:val="21"/>
          <w:color w:val="auto"/>
        </w:rPr>
        <w:t xml:space="preserve"> (alirocumab), Kevzara</w:t>
      </w:r>
      <w:r>
        <w:rPr>
          <w:rFonts w:ascii="Arial" w:cs="Arial" w:eastAsia="Arial" w:hAnsi="Arial"/>
          <w:sz w:val="27"/>
          <w:szCs w:val="27"/>
          <w:b w:val="1"/>
          <w:bCs w:val="1"/>
          <w:color w:val="auto"/>
          <w:vertAlign w:val="superscript"/>
        </w:rPr>
        <w:t>®</w:t>
      </w:r>
      <w:r>
        <w:rPr>
          <w:rFonts w:ascii="Arial" w:cs="Arial" w:eastAsia="Arial" w:hAnsi="Arial"/>
          <w:sz w:val="21"/>
          <w:szCs w:val="21"/>
          <w:color w:val="auto"/>
        </w:rPr>
        <w:t xml:space="preserve"> (sarilumab), Evkeeza</w:t>
      </w:r>
      <w:r>
        <w:rPr>
          <w:rFonts w:ascii="Arial" w:cs="Arial" w:eastAsia="Arial" w:hAnsi="Arial"/>
          <w:sz w:val="27"/>
          <w:szCs w:val="27"/>
          <w:b w:val="1"/>
          <w:bCs w:val="1"/>
          <w:color w:val="auto"/>
          <w:vertAlign w:val="superscript"/>
        </w:rPr>
        <w:t>®</w:t>
      </w:r>
      <w:r>
        <w:rPr>
          <w:rFonts w:ascii="Arial" w:cs="Arial" w:eastAsia="Arial" w:hAnsi="Arial"/>
          <w:sz w:val="21"/>
          <w:szCs w:val="21"/>
          <w:color w:val="auto"/>
        </w:rPr>
        <w:t xml:space="preserve"> (evinacumab), Veopoz</w:t>
      </w:r>
      <w:r>
        <w:rPr>
          <w:rFonts w:ascii="Arial" w:cs="Arial" w:eastAsia="Arial" w:hAnsi="Arial"/>
          <w:sz w:val="27"/>
          <w:szCs w:val="27"/>
          <w:b w:val="1"/>
          <w:bCs w:val="1"/>
          <w:color w:val="auto"/>
          <w:vertAlign w:val="superscript"/>
        </w:rPr>
        <w:t>®</w:t>
      </w:r>
      <w:r>
        <w:rPr>
          <w:rFonts w:ascii="Arial" w:cs="Arial" w:eastAsia="Arial" w:hAnsi="Arial"/>
          <w:sz w:val="21"/>
          <w:szCs w:val="21"/>
          <w:color w:val="auto"/>
        </w:rPr>
        <w:t xml:space="preserve"> (pozelimab), Ordspono</w:t>
      </w:r>
      <w:r>
        <w:rPr>
          <w:rFonts w:ascii="Arial" w:cs="Arial" w:eastAsia="Arial" w:hAnsi="Arial"/>
          <w:sz w:val="27"/>
          <w:szCs w:val="27"/>
          <w:color w:val="auto"/>
          <w:vertAlign w:val="superscript"/>
        </w:rPr>
        <w:t>™</w:t>
      </w:r>
      <w:r>
        <w:rPr>
          <w:rFonts w:ascii="Arial" w:cs="Arial" w:eastAsia="Arial" w:hAnsi="Arial"/>
          <w:sz w:val="21"/>
          <w:szCs w:val="21"/>
          <w:color w:val="auto"/>
        </w:rPr>
        <w:t xml:space="preserve"> (odronextamab), Lynozyfic</w:t>
      </w:r>
      <w:r>
        <w:rPr>
          <w:rFonts w:ascii="Arial" w:cs="Arial" w:eastAsia="Arial" w:hAnsi="Arial"/>
          <w:sz w:val="27"/>
          <w:szCs w:val="27"/>
          <w:b w:val="1"/>
          <w:bCs w:val="1"/>
          <w:color w:val="auto"/>
          <w:vertAlign w:val="superscript"/>
        </w:rPr>
        <w:t>®</w:t>
      </w:r>
      <w:r>
        <w:rPr>
          <w:rFonts w:ascii="Arial" w:cs="Arial" w:eastAsia="Arial" w:hAnsi="Arial"/>
          <w:sz w:val="21"/>
          <w:szCs w:val="21"/>
          <w:color w:val="auto"/>
        </w:rPr>
        <w:t xml:space="preserve"> (linvoseltamab), Otarmeni</w:t>
      </w:r>
      <w:r>
        <w:rPr>
          <w:rFonts w:ascii="Arial" w:cs="Arial" w:eastAsia="Arial" w:hAnsi="Arial"/>
          <w:sz w:val="27"/>
          <w:szCs w:val="27"/>
          <w:color w:val="auto"/>
          <w:vertAlign w:val="superscript"/>
        </w:rPr>
        <w:t>™</w:t>
      </w:r>
      <w:r>
        <w:rPr>
          <w:rFonts w:ascii="Arial" w:cs="Arial" w:eastAsia="Arial" w:hAnsi="Arial"/>
          <w:sz w:val="21"/>
          <w:szCs w:val="21"/>
          <w:color w:val="auto"/>
        </w:rPr>
        <w:t xml:space="preserve"> (lunsotogene parvec), other clinical programs discussed in this press release, Regeneron's and its collaborators' earlier-stage programs, and the use of human genetics in Regeneron's research programs; the likelihood and timing of achieving any of the anticipated milestones described in this press release; safety issues resulting from the administration of Regeneron's Products and Regeneron's Product Candidates in patients, including serious complications or side effects in connection with the use of Regeneron’s Products and Regeneron's Product Candidates in clinical trials; the likelihood, timing, and scope of possible regulatory approval and commercial launch of Regeneron's Product Candidates and new indications for Regeneron's Products, including those listed above and/or otherwise discussed in this press release; the extent to which the results from the research and development programs conducted by Regeneron and/or its collaborators may be replicated in other studies and/or lead to advancement of product candidates to clinical trials, therapeutic applications, or regulatory approval; ongoing regulatory obligations and oversight impacting Regeneron's Products, research and clinical programs, and business, including those relating to patient privacy; determinations by regulatory and administrative governmental authorities which may delay or restrict Regeneron's ability to continue to develop or commercialize Regeneron's Products and Regeneron's Product Candidates; the ability of Regeneron to manufacture and manage supply chains for multiple products and product candidates and risks associated with tariffs and other trade restrictions; the ability of Regeneron’s collaborators, suppliers, or other third parties (as applicable) to perform manufacturing, filling, finishing, packaging, labeling, distribution, and other steps related to Regeneron’s Products and Regeneron's Product Candidates; the availability and extent of reimbursement or copay assistance for Regeneron’s Products from third-party payors and other third parties, including private payor healthcare and insurance programs, health maintenance organizations, pharmacy benefit management companies, and government programs such as Medicare and Medicaid; coverage and reimbursement determinations by such payors and other third parties and new policies and procedures adopted by such payors and other third parties; changes to drug pricing regulations and requirements and Regeneron's drug pricing strategy, including in connection with Regeneron's April 2026 agreements with the U.S. government discussed in this press release; other changes in laws, regulations, and policies affecting the healthcare industry; unanticipated expenses; the costs of developing, producing, and selling products; the ability of Regeneron to meet any of its financial projections or guidance and changes to the assumptions underlying those projections or guidance, including GAAP and non-GAAP R&amp;D, GAAP and non-GAAP SG&amp;A, GAAP and non-GAAP gross margin on net product sales, GAAP and non-GAAP COCM, capital expenditures, and GAAP and non-GAAP ETR; the potential for any license or collaboration agreement, including Regeneron's agreements with Sanofi and Bayer (or their respective affiliated companies, as applicable), to be cancelled or terminated; the impact of public health outbreaks, epidemics, or pandemics on Regeneron's business; and risks associated with litigation and other proceedings and government investigations relating to the Company and/or its operations (including the pending civil proceedings initiated or joined by the U.S. Department of Justice and the U.S. Attorney's Office for the District of Massachusetts), risks associated with intellectual property of other parties and pending or future litigation relating thereto (including without limitation the patent litigation and other related proceedings relating to EYLEA), the ultimate outcome of any such proceedings and investigations, and the impact any of the foregoing may have on Regeneron’s business, prospects, operating results, and financial condition. A more complete description of</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889" w:right="339" w:bottom="1440" w:gutter="0" w:footer="0" w:header="0"/>
        </w:sectPr>
      </w:pPr>
    </w:p>
    <w:bookmarkStart w:id="14" w:name="page15"/>
    <w:bookmarkEnd w:id="14"/>
    <w:p>
      <w:pPr>
        <w:spacing w:after="0" w:line="265" w:lineRule="auto"/>
        <w:rPr>
          <w:sz w:val="20"/>
          <w:szCs w:val="20"/>
          <w:color w:val="auto"/>
        </w:rPr>
      </w:pPr>
      <w:r>
        <w:rPr>
          <w:rFonts w:ascii="Arial" w:cs="Arial" w:eastAsia="Arial" w:hAnsi="Arial"/>
          <w:sz w:val="21"/>
          <w:szCs w:val="21"/>
          <w:color w:val="auto"/>
        </w:rPr>
        <w:t>these and other material risks can be found in Regeneron's filings with the U.S. Securities and Exchange Commission, including its Form 10-K for the fiscal year ended December 31, 2025 and its Form 10-Q for the quarterly period ended March 31, 2026. Any forward-looking statements are made based on management's current beliefs and judgment, and the reader is cautioned not to rely on any forward-looking statements made by Regeneron. Regeneron does not undertake any obligation to update (publicly or otherwise) any forward-looking statement, including without limitation any financial projection or guidance, whether as a result of new information, future events, or otherwise.</w:t>
      </w:r>
    </w:p>
    <w:p>
      <w:pPr>
        <w:spacing w:after="0" w:line="101" w:lineRule="exact"/>
        <w:rPr>
          <w:sz w:val="20"/>
          <w:szCs w:val="20"/>
          <w:color w:val="auto"/>
        </w:rPr>
      </w:pPr>
    </w:p>
    <w:p>
      <w:pPr>
        <w:ind w:right="140"/>
        <w:spacing w:after="0" w:line="253" w:lineRule="auto"/>
        <w:rPr>
          <w:sz w:val="20"/>
          <w:szCs w:val="20"/>
          <w:color w:val="auto"/>
        </w:rPr>
      </w:pPr>
      <w:r>
        <w:rPr>
          <w:rFonts w:ascii="Arial" w:cs="Arial" w:eastAsia="Arial" w:hAnsi="Arial"/>
          <w:sz w:val="22"/>
          <w:szCs w:val="22"/>
          <w:color w:val="auto"/>
        </w:rPr>
        <w:t>Regeneron uses its media and investor relations website and social media outlets to publish important information about the Company, including information that may be deemed material to investors. Financial and other information about Regeneron is routinely posted and is accessible on Regeneron's media and investor relations website (https://investor.regeneron.com) and its LinkedIn page (https://www.linkedin.com/company/regeneron-pharmaceuticals).</w:t>
      </w:r>
    </w:p>
    <w:p>
      <w:pPr>
        <w:spacing w:after="0" w:line="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Measures</w:t>
      </w:r>
    </w:p>
    <w:p>
      <w:pPr>
        <w:spacing w:after="0" w:line="154" w:lineRule="exact"/>
        <w:rPr>
          <w:sz w:val="20"/>
          <w:szCs w:val="20"/>
          <w:color w:val="auto"/>
        </w:rPr>
      </w:pPr>
    </w:p>
    <w:p>
      <w:pPr>
        <w:ind w:right="140"/>
        <w:spacing w:after="0" w:line="264" w:lineRule="auto"/>
        <w:rPr>
          <w:sz w:val="20"/>
          <w:szCs w:val="20"/>
          <w:color w:val="auto"/>
        </w:rPr>
      </w:pPr>
      <w:r>
        <w:rPr>
          <w:rFonts w:ascii="Arial" w:cs="Arial" w:eastAsia="Arial" w:hAnsi="Arial"/>
          <w:sz w:val="22"/>
          <w:szCs w:val="22"/>
          <w:color w:val="auto"/>
        </w:rPr>
        <w:t>This press release and/or the financial results attached to this press release include amounts that are considered "non-GAAP financial measures" under SEC rules. As required, Regeneron has provided reconciliations of such non-GAAP financial measures.</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p>
    <w:p>
      <w:pPr>
        <w:spacing w:after="0" w:line="28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Contact Information:</w:t>
      </w:r>
    </w:p>
    <w:p>
      <w:pPr>
        <w:sectPr>
          <w:pgSz w:w="11900" w:h="16838" w:orient="portrait"/>
          <w:cols w:equalWidth="0" w:num="1">
            <w:col w:w="11220"/>
          </w:cols>
          <w:pgMar w:left="320" w:top="896" w:right="359" w:bottom="1440" w:gutter="0" w:footer="0" w:header="0"/>
        </w:sectPr>
      </w:pPr>
    </w:p>
    <w:p>
      <w:pPr>
        <w:spacing w:after="0" w:line="1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Ryan Crowe</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Investor Relations</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914-847-8790</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ryan.crowe@regeneron.com</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Christina Chan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Corporate Affairs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914-847-8827</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christina.chan@regeneron.com</w:t>
      </w:r>
    </w:p>
    <w:p>
      <w:pPr>
        <w:spacing w:after="0" w:line="200" w:lineRule="exact"/>
        <w:rPr>
          <w:sz w:val="20"/>
          <w:szCs w:val="20"/>
          <w:color w:val="auto"/>
        </w:rPr>
      </w:pPr>
    </w:p>
    <w:p>
      <w:pPr>
        <w:sectPr>
          <w:pgSz w:w="11900" w:h="16838" w:orient="portrait"/>
          <w:cols w:equalWidth="0" w:num="2">
            <w:col w:w="6100" w:space="720"/>
            <w:col w:w="4400"/>
          </w:cols>
          <w:pgMar w:left="320" w:top="896" w:right="359" w:bottom="1440" w:gutter="0" w:footer="0" w:header="0"/>
          <w:type w:val="continuous"/>
        </w:sect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20"/>
          </w:cols>
          <w:pgMar w:left="320" w:top="896" w:right="35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color w:val="auto"/>
        </w:rPr>
        <w:t>TABLE 1</w:t>
      </w:r>
    </w:p>
    <w:p>
      <w:pPr>
        <w:spacing w:after="0" w:line="252" w:lineRule="exact"/>
        <w:rPr>
          <w:sz w:val="20"/>
          <w:szCs w:val="20"/>
          <w:color w:val="auto"/>
        </w:rPr>
      </w:pPr>
    </w:p>
    <w:p>
      <w:pPr>
        <w:jc w:val="center"/>
        <w:ind w:left="900" w:right="2360"/>
        <w:spacing w:after="0" w:line="284" w:lineRule="auto"/>
        <w:rPr>
          <w:sz w:val="20"/>
          <w:szCs w:val="20"/>
          <w:color w:val="auto"/>
        </w:rPr>
      </w:pPr>
      <w:r>
        <w:rPr>
          <w:rFonts w:ascii="Arial" w:cs="Arial" w:eastAsia="Arial" w:hAnsi="Arial"/>
          <w:sz w:val="18"/>
          <w:szCs w:val="18"/>
          <w:b w:val="1"/>
          <w:bCs w:val="1"/>
          <w:color w:val="auto"/>
        </w:rPr>
        <w:t xml:space="preserve">REGENERON PHARMACEUTICALS, INC. CONDENSED CONSOLIDATED BALANCE SHEETS (Unaudited) </w:t>
      </w:r>
      <w:r>
        <w:rPr>
          <w:rFonts w:ascii="Arial" w:cs="Arial" w:eastAsia="Arial" w:hAnsi="Arial"/>
          <w:sz w:val="18"/>
          <w:szCs w:val="18"/>
          <w:b w:val="1"/>
          <w:bCs w:val="1"/>
          <w:i w:val="1"/>
          <w:iCs w:val="1"/>
          <w:color w:val="auto"/>
        </w:rPr>
        <w:t>(In millions)</w:t>
      </w:r>
    </w:p>
    <w:p>
      <w:pPr>
        <w:spacing w:after="0" w:line="347" w:lineRule="exact"/>
        <w:rPr>
          <w:sz w:val="20"/>
          <w:szCs w:val="20"/>
          <w:color w:val="auto"/>
        </w:rPr>
      </w:pPr>
    </w:p>
    <w:tbl>
      <w:tblPr>
        <w:tblLayout w:type="fixed"/>
        <w:tblInd w:w="560" w:type="dxa"/>
        <w:tblCellMar>
          <w:top w:w="0" w:type="dxa"/>
          <w:left w:w="0" w:type="dxa"/>
          <w:bottom w:w="0" w:type="dxa"/>
          <w:right w:w="0" w:type="dxa"/>
        </w:tblCellMar>
      </w:tblPr>
      <w:tr>
        <w:trPr>
          <w:trHeight w:val="229"/>
        </w:trPr>
        <w:tc>
          <w:tcPr>
            <w:tcW w:w="48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19"/>
                <w:szCs w:val="19"/>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5"/>
        </w:trPr>
        <w:tc>
          <w:tcPr>
            <w:tcW w:w="4880" w:type="dxa"/>
            <w:vAlign w:val="bottom"/>
            <w:tcBorders>
              <w:bottom w:val="single" w:sz="8" w:color="CCEEFF"/>
            </w:tcBorders>
          </w:tcPr>
          <w:p>
            <w:pPr>
              <w:spacing w:after="0"/>
              <w:rPr>
                <w:sz w:val="20"/>
                <w:szCs w:val="20"/>
                <w:color w:val="auto"/>
              </w:rPr>
            </w:pPr>
          </w:p>
        </w:tc>
        <w:tc>
          <w:tcPr>
            <w:tcW w:w="19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2026</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210"/>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80" w:type="dxa"/>
            <w:vAlign w:val="bottom"/>
          </w:tcPr>
          <w:p>
            <w:pPr>
              <w:ind w:left="220"/>
              <w:spacing w:after="0"/>
              <w:rPr>
                <w:sz w:val="20"/>
                <w:szCs w:val="20"/>
                <w:color w:val="auto"/>
              </w:rPr>
            </w:pPr>
            <w:r>
              <w:rPr>
                <w:rFonts w:ascii="Arial" w:cs="Arial" w:eastAsia="Arial" w:hAnsi="Arial"/>
                <w:sz w:val="18"/>
                <w:szCs w:val="18"/>
                <w:color w:val="auto"/>
              </w:rPr>
              <w:t>Cash and marketable securities</w:t>
            </w:r>
          </w:p>
        </w:tc>
        <w:tc>
          <w:tcPr>
            <w:tcW w:w="21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18,539.7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18,865.8</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 net</w:t>
            </w:r>
          </w:p>
        </w:tc>
        <w:tc>
          <w:tcPr>
            <w:tcW w:w="1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5,731.0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5,741.1</w:t>
            </w:r>
          </w:p>
        </w:tc>
        <w:tc>
          <w:tcPr>
            <w:tcW w:w="0" w:type="dxa"/>
            <w:vAlign w:val="bottom"/>
          </w:tcPr>
          <w:p>
            <w:pPr>
              <w:spacing w:after="0"/>
              <w:rPr>
                <w:sz w:val="1"/>
                <w:szCs w:val="1"/>
                <w:color w:val="auto"/>
              </w:rPr>
            </w:pPr>
          </w:p>
        </w:tc>
      </w:tr>
      <w:tr>
        <w:trPr>
          <w:trHeight w:val="229"/>
        </w:trPr>
        <w:tc>
          <w:tcPr>
            <w:tcW w:w="488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1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3,103.6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3,200.8</w:t>
            </w: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 plant, and equipment, net</w:t>
            </w:r>
          </w:p>
        </w:tc>
        <w:tc>
          <w:tcPr>
            <w:tcW w:w="1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5,266.1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5,120.4</w:t>
            </w:r>
          </w:p>
        </w:tc>
        <w:tc>
          <w:tcPr>
            <w:tcW w:w="0" w:type="dxa"/>
            <w:vAlign w:val="bottom"/>
          </w:tcPr>
          <w:p>
            <w:pPr>
              <w:spacing w:after="0"/>
              <w:rPr>
                <w:sz w:val="1"/>
                <w:szCs w:val="1"/>
                <w:color w:val="auto"/>
              </w:rPr>
            </w:pPr>
          </w:p>
        </w:tc>
      </w:tr>
      <w:tr>
        <w:trPr>
          <w:trHeight w:val="230"/>
        </w:trPr>
        <w:tc>
          <w:tcPr>
            <w:tcW w:w="4880" w:type="dxa"/>
            <w:vAlign w:val="bottom"/>
          </w:tcPr>
          <w:p>
            <w:pPr>
              <w:ind w:left="220"/>
              <w:spacing w:after="0"/>
              <w:rPr>
                <w:sz w:val="20"/>
                <w:szCs w:val="20"/>
                <w:color w:val="auto"/>
              </w:rPr>
            </w:pPr>
            <w:r>
              <w:rPr>
                <w:rFonts w:ascii="Arial" w:cs="Arial" w:eastAsia="Arial" w:hAnsi="Arial"/>
                <w:sz w:val="18"/>
                <w:szCs w:val="18"/>
                <w:color w:val="auto"/>
              </w:rPr>
              <w:t>Intangible assets, net</w:t>
            </w:r>
          </w:p>
        </w:tc>
        <w:tc>
          <w:tcPr>
            <w:tcW w:w="1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1,286.9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1,257.4</w:t>
            </w: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tax assets</w:t>
            </w:r>
          </w:p>
        </w:tc>
        <w:tc>
          <w:tcPr>
            <w:tcW w:w="1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4,190.9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4,077.2</w:t>
            </w:r>
          </w:p>
        </w:tc>
        <w:tc>
          <w:tcPr>
            <w:tcW w:w="0" w:type="dxa"/>
            <w:vAlign w:val="bottom"/>
          </w:tcPr>
          <w:p>
            <w:pPr>
              <w:spacing w:after="0"/>
              <w:rPr>
                <w:sz w:val="1"/>
                <w:szCs w:val="1"/>
                <w:color w:val="auto"/>
              </w:rPr>
            </w:pPr>
          </w:p>
        </w:tc>
      </w:tr>
      <w:tr>
        <w:trPr>
          <w:trHeight w:val="230"/>
        </w:trPr>
        <w:tc>
          <w:tcPr>
            <w:tcW w:w="48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assets</w:t>
            </w:r>
          </w:p>
        </w:tc>
        <w:tc>
          <w:tcPr>
            <w:tcW w:w="19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2,750.6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2,296.0</w:t>
            </w:r>
          </w:p>
        </w:tc>
        <w:tc>
          <w:tcPr>
            <w:tcW w:w="0" w:type="dxa"/>
            <w:vAlign w:val="bottom"/>
          </w:tcPr>
          <w:p>
            <w:pPr>
              <w:spacing w:after="0"/>
              <w:rPr>
                <w:sz w:val="1"/>
                <w:szCs w:val="1"/>
                <w:color w:val="auto"/>
              </w:rPr>
            </w:pPr>
          </w:p>
        </w:tc>
      </w:tr>
      <w:tr>
        <w:trPr>
          <w:trHeight w:val="248"/>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9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40,868.8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40,558.7</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8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 and stockholders' equity:</w:t>
            </w:r>
          </w:p>
        </w:tc>
        <w:tc>
          <w:tcPr>
            <w:tcW w:w="1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tcPr>
          <w:p>
            <w:pPr>
              <w:ind w:left="220"/>
              <w:spacing w:after="0"/>
              <w:rPr>
                <w:sz w:val="20"/>
                <w:szCs w:val="20"/>
                <w:color w:val="auto"/>
              </w:rPr>
            </w:pPr>
            <w:r>
              <w:rPr>
                <w:rFonts w:ascii="Arial" w:cs="Arial" w:eastAsia="Arial" w:hAnsi="Arial"/>
                <w:sz w:val="18"/>
                <w:szCs w:val="18"/>
                <w:color w:val="auto"/>
              </w:rPr>
              <w:t>Accounts payable, accrued expenses, and other liabilities</w:t>
            </w:r>
          </w:p>
        </w:tc>
        <w:tc>
          <w:tcPr>
            <w:tcW w:w="21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5,877.7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5,834.2</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Finance lease liabilities</w:t>
            </w:r>
          </w:p>
        </w:tc>
        <w:tc>
          <w:tcPr>
            <w:tcW w:w="1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w:t>
            </w:r>
          </w:p>
        </w:tc>
        <w:tc>
          <w:tcPr>
            <w:tcW w:w="0" w:type="dxa"/>
            <w:vAlign w:val="bottom"/>
          </w:tcPr>
          <w:p>
            <w:pPr>
              <w:spacing w:after="0"/>
              <w:rPr>
                <w:sz w:val="1"/>
                <w:szCs w:val="1"/>
                <w:color w:val="auto"/>
              </w:rPr>
            </w:pPr>
          </w:p>
        </w:tc>
      </w:tr>
      <w:tr>
        <w:trPr>
          <w:trHeight w:val="229"/>
        </w:trPr>
        <w:tc>
          <w:tcPr>
            <w:tcW w:w="4880" w:type="dxa"/>
            <w:vAlign w:val="bottom"/>
          </w:tcPr>
          <w:p>
            <w:pPr>
              <w:ind w:left="220"/>
              <w:spacing w:after="0"/>
              <w:rPr>
                <w:sz w:val="20"/>
                <w:szCs w:val="20"/>
                <w:color w:val="auto"/>
              </w:rPr>
            </w:pPr>
            <w:r>
              <w:rPr>
                <w:rFonts w:ascii="Arial" w:cs="Arial" w:eastAsia="Arial" w:hAnsi="Arial"/>
                <w:sz w:val="18"/>
                <w:szCs w:val="18"/>
                <w:color w:val="auto"/>
              </w:rPr>
              <w:t>Deferred revenue</w:t>
            </w:r>
          </w:p>
        </w:tc>
        <w:tc>
          <w:tcPr>
            <w:tcW w:w="1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861.3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761.7</w:t>
            </w: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debt</w:t>
            </w:r>
          </w:p>
        </w:tc>
        <w:tc>
          <w:tcPr>
            <w:tcW w:w="1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1,986.2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1,985.9</w:t>
            </w:r>
          </w:p>
        </w:tc>
        <w:tc>
          <w:tcPr>
            <w:tcW w:w="0" w:type="dxa"/>
            <w:vAlign w:val="bottom"/>
          </w:tcPr>
          <w:p>
            <w:pPr>
              <w:spacing w:after="0"/>
              <w:rPr>
                <w:sz w:val="1"/>
                <w:szCs w:val="1"/>
                <w:color w:val="auto"/>
              </w:rPr>
            </w:pPr>
          </w:p>
        </w:tc>
      </w:tr>
      <w:tr>
        <w:trPr>
          <w:trHeight w:val="230"/>
        </w:trPr>
        <w:tc>
          <w:tcPr>
            <w:tcW w:w="48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Stockholders' equity</w:t>
            </w:r>
          </w:p>
        </w:tc>
        <w:tc>
          <w:tcPr>
            <w:tcW w:w="19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31,423.6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31,256.9</w:t>
            </w:r>
          </w:p>
        </w:tc>
        <w:tc>
          <w:tcPr>
            <w:tcW w:w="0" w:type="dxa"/>
            <w:vAlign w:val="bottom"/>
          </w:tcPr>
          <w:p>
            <w:pPr>
              <w:spacing w:after="0"/>
              <w:rPr>
                <w:sz w:val="1"/>
                <w:szCs w:val="1"/>
                <w:color w:val="auto"/>
              </w:rPr>
            </w:pPr>
          </w:p>
        </w:tc>
      </w:tr>
      <w:tr>
        <w:trPr>
          <w:trHeight w:val="248"/>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9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40,868.8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40,558.7</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CCEEFF"/>
            </w:tcBorders>
            <w:vMerge w:val="restart"/>
          </w:tcPr>
          <w:p>
            <w:pPr>
              <w:jc w:val="right"/>
              <w:ind w:right="1530"/>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5"/>
        </w:trPr>
        <w:tc>
          <w:tcPr>
            <w:tcW w:w="488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80"/>
          </w:cols>
          <w:pgMar w:left="320" w:top="890" w:right="89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TABLE 2</w:t>
      </w:r>
    </w:p>
    <w:p>
      <w:pPr>
        <w:spacing w:after="0" w:line="252"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9" w:lineRule="exact"/>
        <w:rPr>
          <w:sz w:val="20"/>
          <w:szCs w:val="20"/>
          <w:color w:val="auto"/>
        </w:rPr>
      </w:pPr>
    </w:p>
    <w:tbl>
      <w:tblPr>
        <w:tblLayout w:type="fixed"/>
        <w:tblInd w:w="1840" w:type="dxa"/>
        <w:tblCellMar>
          <w:top w:w="0" w:type="dxa"/>
          <w:left w:w="0" w:type="dxa"/>
          <w:bottom w:w="0" w:type="dxa"/>
          <w:right w:w="0" w:type="dxa"/>
        </w:tblCellMar>
      </w:tblPr>
      <w:tr>
        <w:trPr>
          <w:trHeight w:val="245"/>
        </w:trPr>
        <w:tc>
          <w:tcPr>
            <w:tcW w:w="5360" w:type="dxa"/>
            <w:vAlign w:val="bottom"/>
            <w:gridSpan w:val="2"/>
          </w:tcPr>
          <w:p>
            <w:pPr>
              <w:ind w:left="2300"/>
              <w:spacing w:after="0"/>
              <w:rPr>
                <w:sz w:val="20"/>
                <w:szCs w:val="20"/>
                <w:color w:val="auto"/>
              </w:rPr>
            </w:pPr>
            <w:r>
              <w:rPr>
                <w:rFonts w:ascii="Arial" w:cs="Arial" w:eastAsia="Arial" w:hAnsi="Arial"/>
                <w:sz w:val="18"/>
                <w:szCs w:val="18"/>
                <w:b w:val="1"/>
                <w:bCs w:val="1"/>
                <w:i w:val="1"/>
                <w:iCs w:val="1"/>
                <w:color w:val="auto"/>
              </w:rPr>
              <w:t>(In millions, except per share data)</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323"/>
        </w:trPr>
        <w:tc>
          <w:tcPr>
            <w:tcW w:w="5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rPr>
              <w:t>Three Months Ended</w:t>
            </w:r>
          </w:p>
        </w:tc>
      </w:tr>
      <w:tr>
        <w:trPr>
          <w:trHeight w:val="243"/>
        </w:trPr>
        <w:tc>
          <w:tcPr>
            <w:tcW w:w="5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1"/>
                <w:szCs w:val="21"/>
                <w:color w:val="auto"/>
              </w:rPr>
            </w:pPr>
          </w:p>
        </w:tc>
      </w:tr>
      <w:tr>
        <w:trPr>
          <w:trHeight w:val="223"/>
        </w:trPr>
        <w:tc>
          <w:tcPr>
            <w:tcW w:w="5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2025</w:t>
            </w:r>
          </w:p>
        </w:tc>
      </w:tr>
      <w:tr>
        <w:trPr>
          <w:trHeight w:val="209"/>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29"/>
        </w:trPr>
        <w:tc>
          <w:tcPr>
            <w:tcW w:w="5100" w:type="dxa"/>
            <w:vAlign w:val="bottom"/>
          </w:tcPr>
          <w:p>
            <w:pPr>
              <w:ind w:left="220"/>
              <w:spacing w:after="0"/>
              <w:rPr>
                <w:sz w:val="20"/>
                <w:szCs w:val="20"/>
                <w:color w:val="auto"/>
              </w:rPr>
            </w:pPr>
            <w:r>
              <w:rPr>
                <w:rFonts w:ascii="Arial" w:cs="Arial" w:eastAsia="Arial" w:hAnsi="Arial"/>
                <w:sz w:val="18"/>
                <w:szCs w:val="18"/>
                <w:color w:val="auto"/>
              </w:rPr>
              <w:t>Net product sales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1,534.5</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1,415.6</w:t>
            </w:r>
          </w:p>
        </w:tc>
      </w:tr>
      <w:tr>
        <w:trPr>
          <w:trHeight w:val="230"/>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Collaboration revenue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1,531.2</w:t>
            </w:r>
          </w:p>
        </w:tc>
      </w:tr>
      <w:tr>
        <w:trPr>
          <w:trHeight w:val="229"/>
        </w:trPr>
        <w:tc>
          <w:tcPr>
            <w:tcW w:w="51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revenue</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w:t>
            </w:r>
          </w:p>
        </w:tc>
      </w:tr>
      <w:tr>
        <w:trPr>
          <w:trHeight w:val="223"/>
        </w:trPr>
        <w:tc>
          <w:tcPr>
            <w:tcW w:w="5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3,605.4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3,028.7</w:t>
            </w:r>
          </w:p>
        </w:tc>
      </w:tr>
      <w:tr>
        <w:trPr>
          <w:trHeight w:val="209"/>
        </w:trPr>
        <w:tc>
          <w:tcPr>
            <w:tcW w:w="5100" w:type="dxa"/>
            <w:vAlign w:val="bottom"/>
          </w:tcPr>
          <w:p>
            <w:pPr>
              <w:ind w:left="20"/>
              <w:spacing w:after="0"/>
              <w:rPr>
                <w:sz w:val="20"/>
                <w:szCs w:val="20"/>
                <w:color w:val="auto"/>
              </w:rPr>
            </w:pPr>
            <w:r>
              <w:rPr>
                <w:rFonts w:ascii="Arial" w:cs="Arial" w:eastAsia="Arial" w:hAnsi="Arial"/>
                <w:sz w:val="18"/>
                <w:szCs w:val="18"/>
                <w:color w:val="auto"/>
              </w:rPr>
              <w:t>Expenses: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9"/>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1,327.4</w:t>
            </w:r>
          </w:p>
        </w:tc>
      </w:tr>
      <w:tr>
        <w:trPr>
          <w:trHeight w:val="230"/>
        </w:trPr>
        <w:tc>
          <w:tcPr>
            <w:tcW w:w="5100" w:type="dxa"/>
            <w:vAlign w:val="bottom"/>
          </w:tcPr>
          <w:p>
            <w:pPr>
              <w:ind w:left="220"/>
              <w:spacing w:after="0"/>
              <w:rPr>
                <w:sz w:val="20"/>
                <w:szCs w:val="20"/>
                <w:color w:val="auto"/>
              </w:rPr>
            </w:pPr>
            <w:r>
              <w:rPr>
                <w:rFonts w:ascii="Arial" w:cs="Arial" w:eastAsia="Arial" w:hAnsi="Arial"/>
                <w:sz w:val="18"/>
                <w:szCs w:val="18"/>
                <w:color w:val="auto"/>
              </w:rPr>
              <w:t>Acquired in-process research and development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29"/>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633.0</w:t>
            </w:r>
          </w:p>
        </w:tc>
      </w:tr>
      <w:tr>
        <w:trPr>
          <w:trHeight w:val="229"/>
        </w:trPr>
        <w:tc>
          <w:tcPr>
            <w:tcW w:w="5100" w:type="dxa"/>
            <w:vAlign w:val="bottom"/>
          </w:tcPr>
          <w:p>
            <w:pPr>
              <w:ind w:left="220"/>
              <w:spacing w:after="0"/>
              <w:rPr>
                <w:sz w:val="20"/>
                <w:szCs w:val="20"/>
                <w:color w:val="auto"/>
              </w:rPr>
            </w:pPr>
            <w:r>
              <w:rPr>
                <w:rFonts w:ascii="Arial" w:cs="Arial" w:eastAsia="Arial" w:hAnsi="Arial"/>
                <w:sz w:val="18"/>
                <w:szCs w:val="18"/>
                <w:color w:val="auto"/>
              </w:rPr>
              <w:t>Cost of goods sold</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373.4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265.5</w:t>
            </w:r>
          </w:p>
        </w:tc>
      </w:tr>
      <w:tr>
        <w:trPr>
          <w:trHeight w:val="230"/>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collaboration and contract manufacturing</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198.8</w:t>
            </w:r>
          </w:p>
        </w:tc>
      </w:tr>
      <w:tr>
        <w:trPr>
          <w:trHeight w:val="223"/>
        </w:trPr>
        <w:tc>
          <w:tcPr>
            <w:tcW w:w="5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2,962.5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2,437.0</w:t>
            </w:r>
          </w:p>
        </w:tc>
      </w:tr>
      <w:tr>
        <w:trPr>
          <w:trHeight w:val="250"/>
        </w:trPr>
        <w:tc>
          <w:tcPr>
            <w:tcW w:w="5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642.9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591.7</w:t>
            </w:r>
          </w:p>
        </w:tc>
      </w:tr>
      <w:tr>
        <w:trPr>
          <w:trHeight w:val="270"/>
        </w:trPr>
        <w:tc>
          <w:tcPr>
            <w:tcW w:w="5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29"/>
        </w:trPr>
        <w:tc>
          <w:tcPr>
            <w:tcW w:w="510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(expense), net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322.0</w:t>
            </w:r>
          </w:p>
        </w:tc>
      </w:tr>
      <w:tr>
        <w:trPr>
          <w:trHeight w:val="230"/>
        </w:trPr>
        <w:tc>
          <w:tcPr>
            <w:tcW w:w="51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r>
      <w:tr>
        <w:trPr>
          <w:trHeight w:val="223"/>
        </w:trPr>
        <w:tc>
          <w:tcPr>
            <w:tcW w:w="5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313.3</w:t>
            </w:r>
          </w:p>
        </w:tc>
      </w:tr>
      <w:tr>
        <w:trPr>
          <w:trHeight w:val="250"/>
        </w:trPr>
        <w:tc>
          <w:tcPr>
            <w:tcW w:w="5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905.0</w:t>
            </w:r>
          </w:p>
        </w:tc>
      </w:tr>
      <w:tr>
        <w:trPr>
          <w:trHeight w:val="270"/>
        </w:trPr>
        <w:tc>
          <w:tcPr>
            <w:tcW w:w="5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w:t>
            </w:r>
          </w:p>
        </w:tc>
      </w:tr>
      <w:tr>
        <w:trPr>
          <w:trHeight w:val="250"/>
        </w:trPr>
        <w:tc>
          <w:tcPr>
            <w:tcW w:w="5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55"/>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808.7</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 - basic</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w:t>
            </w:r>
          </w:p>
        </w:tc>
      </w:tr>
      <w:tr>
        <w:trPr>
          <w:trHeight w:val="229"/>
        </w:trPr>
        <w:tc>
          <w:tcPr>
            <w:tcW w:w="5100" w:type="dxa"/>
            <w:vAlign w:val="bottom"/>
          </w:tcPr>
          <w:p>
            <w:pPr>
              <w:ind w:left="20"/>
              <w:spacing w:after="0"/>
              <w:rPr>
                <w:sz w:val="20"/>
                <w:szCs w:val="20"/>
                <w:color w:val="auto"/>
              </w:rPr>
            </w:pPr>
            <w:r>
              <w:rPr>
                <w:rFonts w:ascii="Arial" w:cs="Arial" w:eastAsia="Arial" w:hAnsi="Arial"/>
                <w:sz w:val="18"/>
                <w:szCs w:val="18"/>
                <w:color w:val="auto"/>
              </w:rPr>
              <w:t>Net income per share - 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7.27</w:t>
            </w:r>
          </w:p>
        </w:tc>
      </w:tr>
      <w:tr>
        <w:trPr>
          <w:trHeight w:val="270"/>
        </w:trPr>
        <w:tc>
          <w:tcPr>
            <w:tcW w:w="5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Weighted average shares outstanding - basic</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106.7</w:t>
            </w:r>
          </w:p>
        </w:tc>
      </w:tr>
      <w:tr>
        <w:trPr>
          <w:trHeight w:val="23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 diluted</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139"/>
          </w:cols>
          <w:pgMar w:left="320" w:top="890" w:right="1440"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TABLE 3</w:t>
      </w:r>
    </w:p>
    <w:p>
      <w:pPr>
        <w:spacing w:after="0" w:line="252"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RECONCILIATION OF GAAP TO NON-GAAP FINANCIAL INFORMATION (Unaudited)</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i w:val="1"/>
          <w:iCs w:val="1"/>
          <w:color w:val="auto"/>
        </w:rPr>
        <w:t>(In millions, except per share data)</w:t>
      </w:r>
    </w:p>
    <w:p>
      <w:pPr>
        <w:spacing w:after="0" w:line="167" w:lineRule="exact"/>
        <w:rPr>
          <w:sz w:val="20"/>
          <w:szCs w:val="20"/>
          <w:color w:val="auto"/>
        </w:rPr>
      </w:pPr>
    </w:p>
    <w:p>
      <w:pPr>
        <w:jc w:val="center"/>
        <w:ind w:left="6260"/>
        <w:spacing w:after="0"/>
        <w:rPr>
          <w:sz w:val="20"/>
          <w:szCs w:val="20"/>
          <w:color w:val="auto"/>
        </w:rPr>
      </w:pPr>
      <w:r>
        <w:rPr>
          <w:rFonts w:ascii="Arial" w:cs="Arial" w:eastAsia="Arial" w:hAnsi="Arial"/>
          <w:sz w:val="18"/>
          <w:szCs w:val="18"/>
          <w:b w:val="1"/>
          <w:bCs w:val="1"/>
          <w:color w:val="auto"/>
        </w:rPr>
        <w:t>Three Months Ended</w:t>
      </w:r>
    </w:p>
    <w:p>
      <w:pPr>
        <w:jc w:val="center"/>
        <w:ind w:left="6260"/>
        <w:spacing w:after="0"/>
        <w:rPr>
          <w:sz w:val="20"/>
          <w:szCs w:val="20"/>
          <w:color w:val="auto"/>
        </w:rPr>
      </w:pPr>
      <w:r>
        <w:rPr>
          <w:rFonts w:ascii="Arial" w:cs="Arial" w:eastAsia="Arial" w:hAnsi="Arial"/>
          <w:sz w:val="18"/>
          <w:szCs w:val="18"/>
          <w:b w:val="1"/>
          <w:bCs w:val="1"/>
          <w:color w:val="auto"/>
        </w:rPr>
        <w:t>March 31,</w:t>
      </w:r>
    </w:p>
    <w:p>
      <w:pPr>
        <w:spacing w:after="0" w:line="22" w:lineRule="exact"/>
        <w:rPr>
          <w:sz w:val="20"/>
          <w:szCs w:val="20"/>
          <w:color w:val="auto"/>
        </w:rPr>
      </w:pPr>
    </w:p>
    <w:tbl>
      <w:tblPr>
        <w:tblLayout w:type="fixed"/>
        <w:tblInd w:w="1260" w:type="dxa"/>
        <w:tblCellMar>
          <w:top w:w="0" w:type="dxa"/>
          <w:left w:w="0" w:type="dxa"/>
          <w:bottom w:w="0" w:type="dxa"/>
          <w:right w:w="0" w:type="dxa"/>
        </w:tblCellMar>
      </w:tblPr>
      <w:tr>
        <w:trPr>
          <w:trHeight w:val="225"/>
        </w:trPr>
        <w:tc>
          <w:tcPr>
            <w:tcW w:w="62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2025</w:t>
            </w:r>
          </w:p>
        </w:tc>
      </w:tr>
      <w:tr>
        <w:trPr>
          <w:trHeight w:val="223"/>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R&amp;D</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1,327.4</w:t>
            </w:r>
          </w:p>
        </w:tc>
      </w:tr>
      <w:tr>
        <w:trPr>
          <w:trHeight w:val="230"/>
        </w:trPr>
        <w:tc>
          <w:tcPr>
            <w:tcW w:w="62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Stock-based compensation expense</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(141.0)</w:t>
            </w: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R&amp;D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1,186.4</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6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SG&amp;A</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633.0</w:t>
            </w:r>
          </w:p>
        </w:tc>
      </w:tr>
      <w:tr>
        <w:trPr>
          <w:trHeight w:val="230"/>
        </w:trPr>
        <w:tc>
          <w:tcPr>
            <w:tcW w:w="628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(89.2)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(95.2)</w:t>
            </w:r>
          </w:p>
        </w:tc>
      </w:tr>
      <w:tr>
        <w:trPr>
          <w:trHeight w:val="229"/>
        </w:trPr>
        <w:tc>
          <w:tcPr>
            <w:tcW w:w="6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Litigation settlements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2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costs</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SG&amp;A</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537.0</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6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COGS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265.5</w:t>
            </w:r>
          </w:p>
        </w:tc>
      </w:tr>
      <w:tr>
        <w:trPr>
          <w:trHeight w:val="229"/>
        </w:trPr>
        <w:tc>
          <w:tcPr>
            <w:tcW w:w="628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(19.5)</w:t>
            </w:r>
          </w:p>
        </w:tc>
      </w:tr>
      <w:tr>
        <w:trPr>
          <w:trHeight w:val="230"/>
        </w:trPr>
        <w:tc>
          <w:tcPr>
            <w:tcW w:w="6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Intangible asset amortization expense</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r>
      <w:tr>
        <w:trPr>
          <w:trHeight w:val="229"/>
        </w:trPr>
        <w:tc>
          <w:tcPr>
            <w:tcW w:w="62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Temporary manufacturing interruption-related costs</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COGS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217.3</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6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COCM</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w:t>
            </w:r>
          </w:p>
        </w:tc>
      </w:tr>
      <w:tr>
        <w:trPr>
          <w:trHeight w:val="230"/>
        </w:trPr>
        <w:tc>
          <w:tcPr>
            <w:tcW w:w="62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Temporary manufacturing interruption-related costs</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COCM</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198.8</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6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other income (expense), net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313.3</w:t>
            </w:r>
          </w:p>
        </w:tc>
      </w:tr>
      <w:tr>
        <w:trPr>
          <w:trHeight w:val="230"/>
        </w:trPr>
        <w:tc>
          <w:tcPr>
            <w:tcW w:w="62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Gains on marketable and other securities, net</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(139.9)</w:t>
            </w: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other income (expense), net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173.4</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6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net income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808.7</w:t>
            </w:r>
          </w:p>
        </w:tc>
      </w:tr>
      <w:tr>
        <w:trPr>
          <w:trHeight w:val="230"/>
        </w:trPr>
        <w:tc>
          <w:tcPr>
            <w:tcW w:w="6280" w:type="dxa"/>
            <w:vAlign w:val="bottom"/>
          </w:tcPr>
          <w:p>
            <w:pPr>
              <w:ind w:left="220"/>
              <w:spacing w:after="0"/>
              <w:rPr>
                <w:sz w:val="20"/>
                <w:szCs w:val="20"/>
                <w:color w:val="auto"/>
              </w:rPr>
            </w:pPr>
            <w:r>
              <w:rPr>
                <w:rFonts w:ascii="Arial" w:cs="Arial" w:eastAsia="Arial" w:hAnsi="Arial"/>
                <w:sz w:val="18"/>
                <w:szCs w:val="18"/>
                <w:color w:val="auto"/>
              </w:rPr>
              <w:t>Total of GAAP to non-GAAP reconciling items above</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376.7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145.3</w:t>
            </w:r>
          </w:p>
        </w:tc>
      </w:tr>
      <w:tr>
        <w:trPr>
          <w:trHeight w:val="230"/>
        </w:trPr>
        <w:tc>
          <w:tcPr>
            <w:tcW w:w="6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effect of GAAP to non-GAAP reconciling items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r>
      <w:tr>
        <w:trPr>
          <w:trHeight w:val="230"/>
        </w:trPr>
        <w:tc>
          <w:tcPr>
            <w:tcW w:w="62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Income tax expense: Shortfall from stock-based compensation</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net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928.4</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6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net income per share - basic</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w:t>
            </w: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Non-GAAP net income per share - diluted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9.47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8.22</w:t>
            </w:r>
          </w:p>
        </w:tc>
      </w:tr>
      <w:tr>
        <w:trPr>
          <w:trHeight w:val="162"/>
        </w:trPr>
        <w:tc>
          <w:tcPr>
            <w:tcW w:w="6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229"/>
        </w:trPr>
        <w:tc>
          <w:tcPr>
            <w:tcW w:w="6280" w:type="dxa"/>
            <w:vAlign w:val="bottom"/>
          </w:tcPr>
          <w:p>
            <w:pPr>
              <w:ind w:left="20"/>
              <w:spacing w:after="0"/>
              <w:rPr>
                <w:sz w:val="20"/>
                <w:szCs w:val="20"/>
                <w:color w:val="auto"/>
              </w:rPr>
            </w:pPr>
            <w:r>
              <w:rPr>
                <w:rFonts w:ascii="Arial" w:cs="Arial" w:eastAsia="Arial" w:hAnsi="Arial"/>
                <w:sz w:val="18"/>
                <w:szCs w:val="18"/>
                <w:i w:val="1"/>
                <w:iCs w:val="1"/>
                <w:color w:val="auto"/>
              </w:rPr>
              <w:t>Shares used in calculating:</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net income per share - basic</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w:t>
            </w:r>
          </w:p>
        </w:tc>
      </w:tr>
      <w:tr>
        <w:trPr>
          <w:trHeight w:val="239"/>
        </w:trPr>
        <w:tc>
          <w:tcPr>
            <w:tcW w:w="6280" w:type="dxa"/>
            <w:vAlign w:val="bottom"/>
          </w:tcPr>
          <w:p>
            <w:pPr>
              <w:ind w:left="20"/>
              <w:spacing w:after="0"/>
              <w:rPr>
                <w:sz w:val="20"/>
                <w:szCs w:val="20"/>
                <w:color w:val="auto"/>
              </w:rPr>
            </w:pPr>
            <w:r>
              <w:rPr>
                <w:rFonts w:ascii="Arial" w:cs="Arial" w:eastAsia="Arial" w:hAnsi="Arial"/>
                <w:sz w:val="18"/>
                <w:szCs w:val="18"/>
                <w:color w:val="auto"/>
              </w:rPr>
              <w:t>Non-GAAP net income per share - diluted</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109.8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113.0</w:t>
            </w:r>
          </w:p>
        </w:tc>
      </w:tr>
      <w:tr>
        <w:trPr>
          <w:trHeight w:val="841"/>
        </w:trPr>
        <w:tc>
          <w:tcPr>
            <w:tcW w:w="6280" w:type="dxa"/>
            <w:vAlign w:val="bottom"/>
          </w:tcPr>
          <w:p>
            <w:pPr>
              <w:ind w:left="4280"/>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0139"/>
          </w:cols>
          <w:pgMar w:left="320" w:top="890" w:right="1440"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 xml:space="preserve">RECONCILIATION OF GAAP TO NON-GAAP FINANCIAL INFORMATION (Unaudited) </w:t>
      </w:r>
      <w:r>
        <w:rPr>
          <w:rFonts w:ascii="Arial" w:cs="Arial" w:eastAsia="Arial" w:hAnsi="Arial"/>
          <w:sz w:val="18"/>
          <w:szCs w:val="18"/>
          <w:b w:val="1"/>
          <w:bCs w:val="1"/>
          <w:i w:val="1"/>
          <w:iCs w:val="1"/>
          <w:color w:val="auto"/>
        </w:rPr>
        <w:t>(continued)</w:t>
      </w:r>
    </w:p>
    <w:p>
      <w:pPr>
        <w:spacing w:after="0" w:line="200" w:lineRule="exact"/>
        <w:rPr>
          <w:sz w:val="20"/>
          <w:szCs w:val="20"/>
          <w:color w:val="auto"/>
        </w:rPr>
      </w:pPr>
    </w:p>
    <w:p>
      <w:pPr>
        <w:spacing w:after="0" w:line="228" w:lineRule="exact"/>
        <w:rPr>
          <w:sz w:val="20"/>
          <w:szCs w:val="20"/>
          <w:color w:val="auto"/>
        </w:rPr>
      </w:pPr>
    </w:p>
    <w:p>
      <w:pPr>
        <w:jc w:val="center"/>
        <w:ind w:left="6220"/>
        <w:spacing w:after="0"/>
        <w:rPr>
          <w:sz w:val="20"/>
          <w:szCs w:val="20"/>
          <w:color w:val="auto"/>
        </w:rPr>
      </w:pPr>
      <w:r>
        <w:rPr>
          <w:rFonts w:ascii="Arial" w:cs="Arial" w:eastAsia="Arial" w:hAnsi="Arial"/>
          <w:sz w:val="18"/>
          <w:szCs w:val="18"/>
          <w:b w:val="1"/>
          <w:bCs w:val="1"/>
          <w:color w:val="auto"/>
        </w:rPr>
        <w:t>Three Months Ended</w:t>
      </w:r>
    </w:p>
    <w:p>
      <w:pPr>
        <w:jc w:val="center"/>
        <w:ind w:left="6220"/>
        <w:spacing w:after="0"/>
        <w:rPr>
          <w:sz w:val="20"/>
          <w:szCs w:val="20"/>
          <w:color w:val="auto"/>
        </w:rPr>
      </w:pPr>
      <w:r>
        <w:rPr>
          <w:rFonts w:ascii="Arial" w:cs="Arial" w:eastAsia="Arial" w:hAnsi="Arial"/>
          <w:sz w:val="18"/>
          <w:szCs w:val="18"/>
          <w:b w:val="1"/>
          <w:bCs w:val="1"/>
          <w:color w:val="auto"/>
        </w:rPr>
        <w:t>March 31,</w:t>
      </w:r>
    </w:p>
    <w:p>
      <w:pPr>
        <w:spacing w:after="0" w:line="22" w:lineRule="exact"/>
        <w:rPr>
          <w:sz w:val="20"/>
          <w:szCs w:val="20"/>
          <w:color w:val="auto"/>
        </w:rPr>
      </w:pPr>
    </w:p>
    <w:tbl>
      <w:tblPr>
        <w:tblLayout w:type="fixed"/>
        <w:tblInd w:w="100" w:type="dxa"/>
        <w:tblCellMar>
          <w:top w:w="0" w:type="dxa"/>
          <w:left w:w="0" w:type="dxa"/>
          <w:bottom w:w="0" w:type="dxa"/>
          <w:right w:w="0" w:type="dxa"/>
        </w:tblCellMar>
      </w:tblPr>
      <w:tr>
        <w:trPr>
          <w:trHeight w:val="225"/>
        </w:trPr>
        <w:tc>
          <w:tcPr>
            <w:tcW w:w="62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2026</w:t>
            </w:r>
          </w:p>
        </w:tc>
        <w:tc>
          <w:tcPr>
            <w:tcW w:w="16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209"/>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Effective tax rate reconciliation:</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20" w:type="dxa"/>
            <w:vAlign w:val="bottom"/>
          </w:tcPr>
          <w:p>
            <w:pPr>
              <w:ind w:left="20"/>
              <w:spacing w:after="0"/>
              <w:rPr>
                <w:sz w:val="20"/>
                <w:szCs w:val="20"/>
                <w:color w:val="auto"/>
              </w:rPr>
            </w:pPr>
            <w:r>
              <w:rPr>
                <w:rFonts w:ascii="Arial" w:cs="Arial" w:eastAsia="Arial" w:hAnsi="Arial"/>
                <w:sz w:val="18"/>
                <w:szCs w:val="18"/>
                <w:color w:val="auto"/>
              </w:rPr>
              <w:t>GAAP ETR</w:t>
            </w:r>
          </w:p>
        </w:tc>
        <w:tc>
          <w:tcPr>
            <w:tcW w:w="2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12.5%</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effect of GAAP to non-GAAP reconciling items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62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Income tax expense: Shortfall from stock-based compensation</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(0.1%)</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ETR</w:t>
            </w:r>
          </w:p>
        </w:tc>
        <w:tc>
          <w:tcPr>
            <w:tcW w:w="2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13.9%</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Gross margin on net product sales reconciliation:</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20" w:type="dxa"/>
            <w:vAlign w:val="bottom"/>
          </w:tcPr>
          <w:p>
            <w:pPr>
              <w:ind w:left="20"/>
              <w:spacing w:after="0"/>
              <w:rPr>
                <w:sz w:val="20"/>
                <w:szCs w:val="20"/>
                <w:color w:val="auto"/>
              </w:rPr>
            </w:pPr>
            <w:r>
              <w:rPr>
                <w:rFonts w:ascii="Arial" w:cs="Arial" w:eastAsia="Arial" w:hAnsi="Arial"/>
                <w:sz w:val="18"/>
                <w:szCs w:val="18"/>
                <w:color w:val="auto"/>
              </w:rPr>
              <w:t>GAAP gross margin on net product sales</w:t>
            </w:r>
          </w:p>
        </w:tc>
        <w:tc>
          <w:tcPr>
            <w:tcW w:w="2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76%</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 expense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6220" w:type="dxa"/>
            <w:vAlign w:val="bottom"/>
          </w:tcPr>
          <w:p>
            <w:pPr>
              <w:ind w:left="220"/>
              <w:spacing w:after="0"/>
              <w:rPr>
                <w:sz w:val="20"/>
                <w:szCs w:val="20"/>
                <w:color w:val="auto"/>
              </w:rPr>
            </w:pPr>
            <w:r>
              <w:rPr>
                <w:rFonts w:ascii="Arial" w:cs="Arial" w:eastAsia="Arial" w:hAnsi="Arial"/>
                <w:sz w:val="18"/>
                <w:szCs w:val="18"/>
                <w:color w:val="auto"/>
              </w:rPr>
              <w:t>Intangible asset amortization expense</w:t>
            </w:r>
          </w:p>
        </w:tc>
        <w:tc>
          <w:tcPr>
            <w:tcW w:w="2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Temporary manufacturing interruption-related costs</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220" w:type="dxa"/>
            <w:vAlign w:val="bottom"/>
          </w:tcPr>
          <w:p>
            <w:pPr>
              <w:ind w:left="20"/>
              <w:spacing w:after="0"/>
              <w:rPr>
                <w:sz w:val="20"/>
                <w:szCs w:val="20"/>
                <w:color w:val="auto"/>
              </w:rPr>
            </w:pPr>
            <w:r>
              <w:rPr>
                <w:rFonts w:ascii="Arial" w:cs="Arial" w:eastAsia="Arial" w:hAnsi="Arial"/>
                <w:sz w:val="18"/>
                <w:szCs w:val="18"/>
                <w:color w:val="auto"/>
              </w:rPr>
              <w:t>Non-GAAP gross margin on net product sales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86%</w:t>
            </w:r>
          </w:p>
        </w:tc>
        <w:tc>
          <w:tcPr>
            <w:tcW w:w="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6220" w:type="dxa"/>
            <w:vAlign w:val="bottom"/>
          </w:tcPr>
          <w:p>
            <w:pPr>
              <w:ind w:left="20"/>
              <w:spacing w:after="0"/>
              <w:rPr>
                <w:sz w:val="20"/>
                <w:szCs w:val="20"/>
                <w:color w:val="auto"/>
              </w:rPr>
            </w:pPr>
            <w:r>
              <w:rPr>
                <w:rFonts w:ascii="Arial" w:cs="Arial" w:eastAsia="Arial" w:hAnsi="Arial"/>
                <w:sz w:val="18"/>
                <w:szCs w:val="18"/>
                <w:i w:val="1"/>
                <w:iCs w:val="1"/>
                <w:color w:val="auto"/>
              </w:rPr>
              <w:t>Free cash flow reconciliation:</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1,078.9</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1,045.1</w:t>
            </w:r>
          </w:p>
        </w:tc>
        <w:tc>
          <w:tcPr>
            <w:tcW w:w="0" w:type="dxa"/>
            <w:vAlign w:val="bottom"/>
          </w:tcPr>
          <w:p>
            <w:pPr>
              <w:spacing w:after="0"/>
              <w:rPr>
                <w:sz w:val="1"/>
                <w:szCs w:val="1"/>
                <w:color w:val="auto"/>
              </w:rPr>
            </w:pPr>
          </w:p>
        </w:tc>
      </w:tr>
      <w:tr>
        <w:trPr>
          <w:trHeight w:val="229"/>
        </w:trPr>
        <w:tc>
          <w:tcPr>
            <w:tcW w:w="62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Capital expenditures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(230.6)</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(229.3)</w:t>
            </w:r>
          </w:p>
        </w:tc>
        <w:tc>
          <w:tcPr>
            <w:tcW w:w="0" w:type="dxa"/>
            <w:vAlign w:val="bottom"/>
          </w:tcPr>
          <w:p>
            <w:pPr>
              <w:spacing w:after="0"/>
              <w:rPr>
                <w:sz w:val="1"/>
                <w:szCs w:val="1"/>
                <w:color w:val="auto"/>
              </w:rPr>
            </w:pPr>
          </w:p>
        </w:tc>
      </w:tr>
      <w:tr>
        <w:trPr>
          <w:trHeight w:val="248"/>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Free cash flow</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848.3</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815.8</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bottom w:val="single" w:sz="8" w:color="CCEEFF"/>
            </w:tcBorders>
            <w:vMerge w:val="restart"/>
          </w:tcPr>
          <w:p>
            <w:pPr>
              <w:ind w:left="4320"/>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5"/>
        </w:trPr>
        <w:tc>
          <w:tcPr>
            <w:tcW w:w="62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133" w:right="1440"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TABLE 4</w:t>
      </w:r>
    </w:p>
    <w:p>
      <w:pPr>
        <w:spacing w:after="0" w:line="252"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COLLABORATION REVENUE (Unaudited)</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i w:val="1"/>
          <w:iCs w:val="1"/>
          <w:color w:val="auto"/>
        </w:rPr>
        <w:t>(In millions)</w:t>
      </w:r>
    </w:p>
    <w:p>
      <w:pPr>
        <w:spacing w:after="0" w:line="167"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Three Months Ended</w:t>
      </w:r>
    </w:p>
    <w:p>
      <w:pPr>
        <w:jc w:val="center"/>
        <w:ind w:left="6180"/>
        <w:spacing w:after="0"/>
        <w:rPr>
          <w:sz w:val="20"/>
          <w:szCs w:val="20"/>
          <w:color w:val="auto"/>
        </w:rPr>
      </w:pPr>
      <w:r>
        <w:rPr>
          <w:rFonts w:ascii="Arial" w:cs="Arial" w:eastAsia="Arial" w:hAnsi="Arial"/>
          <w:sz w:val="18"/>
          <w:szCs w:val="18"/>
          <w:b w:val="1"/>
          <w:bCs w:val="1"/>
          <w:color w:val="auto"/>
        </w:rPr>
        <w:t>March 31,</w:t>
      </w:r>
    </w:p>
    <w:p>
      <w:pPr>
        <w:spacing w:after="0" w:line="22" w:lineRule="exact"/>
        <w:rPr>
          <w:sz w:val="20"/>
          <w:szCs w:val="20"/>
          <w:color w:val="auto"/>
        </w:rPr>
      </w:pPr>
    </w:p>
    <w:tbl>
      <w:tblPr>
        <w:tblLayout w:type="fixed"/>
        <w:tblInd w:w="1300" w:type="dxa"/>
        <w:tblCellMar>
          <w:top w:w="0" w:type="dxa"/>
          <w:left w:w="0" w:type="dxa"/>
          <w:bottom w:w="0" w:type="dxa"/>
          <w:right w:w="0" w:type="dxa"/>
        </w:tblCellMar>
      </w:tblPr>
      <w:tr>
        <w:trPr>
          <w:trHeight w:val="225"/>
        </w:trPr>
        <w:tc>
          <w:tcPr>
            <w:tcW w:w="62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209"/>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Sanofi collaboration revenue: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6200" w:type="dxa"/>
            <w:vAlign w:val="bottom"/>
          </w:tcPr>
          <w:p>
            <w:pPr>
              <w:ind w:left="180"/>
              <w:spacing w:after="0" w:line="176" w:lineRule="exact"/>
              <w:rPr>
                <w:sz w:val="20"/>
                <w:szCs w:val="20"/>
                <w:color w:val="auto"/>
              </w:rPr>
            </w:pPr>
            <w:r>
              <w:rPr>
                <w:rFonts w:ascii="Arial" w:cs="Arial" w:eastAsia="Arial" w:hAnsi="Arial"/>
                <w:sz w:val="18"/>
                <w:szCs w:val="18"/>
                <w:color w:val="auto"/>
              </w:rPr>
              <w:t>Regeneron's share of profits in connection with commercialization of</w:t>
            </w: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1,450.8</w:t>
            </w:r>
          </w:p>
        </w:tc>
        <w:tc>
          <w:tcPr>
            <w:tcW w:w="100" w:type="dxa"/>
            <w:vAlign w:val="bottom"/>
          </w:tcPr>
          <w:p>
            <w:pPr>
              <w:spacing w:after="0"/>
              <w:rPr>
                <w:sz w:val="15"/>
                <w:szCs w:val="15"/>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1,018.2</w:t>
            </w:r>
          </w:p>
        </w:tc>
        <w:tc>
          <w:tcPr>
            <w:tcW w:w="0" w:type="dxa"/>
            <w:vAlign w:val="bottom"/>
          </w:tcPr>
          <w:p>
            <w:pPr>
              <w:spacing w:after="0"/>
              <w:rPr>
                <w:sz w:val="1"/>
                <w:szCs w:val="1"/>
                <w:color w:val="auto"/>
              </w:rPr>
            </w:pPr>
          </w:p>
        </w:tc>
      </w:tr>
      <w:tr>
        <w:trPr>
          <w:trHeight w:val="243"/>
        </w:trPr>
        <w:tc>
          <w:tcPr>
            <w:tcW w:w="6200" w:type="dxa"/>
            <w:vAlign w:val="bottom"/>
          </w:tcPr>
          <w:p>
            <w:pPr>
              <w:ind w:left="340"/>
              <w:spacing w:after="0"/>
              <w:rPr>
                <w:sz w:val="20"/>
                <w:szCs w:val="20"/>
                <w:color w:val="auto"/>
              </w:rPr>
            </w:pPr>
            <w:r>
              <w:rPr>
                <w:rFonts w:ascii="Arial" w:cs="Arial" w:eastAsia="Arial" w:hAnsi="Arial"/>
                <w:sz w:val="18"/>
                <w:szCs w:val="18"/>
                <w:color w:val="auto"/>
              </w:rPr>
              <w:t>antibodies</w:t>
            </w:r>
          </w:p>
        </w:tc>
        <w:tc>
          <w:tcPr>
            <w:tcW w:w="240" w:type="dxa"/>
            <w:vAlign w:val="bottom"/>
            <w:vMerge w:val="continue"/>
          </w:tcPr>
          <w:p>
            <w:pPr>
              <w:spacing w:after="0"/>
              <w:rPr>
                <w:sz w:val="21"/>
                <w:szCs w:val="21"/>
                <w:color w:val="auto"/>
              </w:rPr>
            </w:pPr>
          </w:p>
        </w:tc>
        <w:tc>
          <w:tcPr>
            <w:tcW w:w="9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vMerge w:val="continue"/>
          </w:tcPr>
          <w:p>
            <w:pPr>
              <w:spacing w:after="0"/>
              <w:rPr>
                <w:sz w:val="21"/>
                <w:szCs w:val="21"/>
                <w:color w:val="auto"/>
              </w:rPr>
            </w:pPr>
          </w:p>
        </w:tc>
        <w:tc>
          <w:tcPr>
            <w:tcW w:w="9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Reimbursement for manufacturing of commercial supplies</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0" w:type="dxa"/>
            <w:vAlign w:val="bottom"/>
          </w:tcPr>
          <w:p>
            <w:pPr>
              <w:spacing w:after="0"/>
              <w:rPr>
                <w:sz w:val="1"/>
                <w:szCs w:val="1"/>
                <w:color w:val="auto"/>
              </w:rPr>
            </w:pPr>
          </w:p>
        </w:tc>
      </w:tr>
      <w:tr>
        <w:trPr>
          <w:trHeight w:val="223"/>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Sanofi collaboration revenue</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1,605.1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1,183.2</w:t>
            </w:r>
          </w:p>
        </w:tc>
        <w:tc>
          <w:tcPr>
            <w:tcW w:w="0" w:type="dxa"/>
            <w:vAlign w:val="bottom"/>
          </w:tcPr>
          <w:p>
            <w:pPr>
              <w:spacing w:after="0"/>
              <w:rPr>
                <w:sz w:val="1"/>
                <w:szCs w:val="1"/>
                <w:color w:val="auto"/>
              </w:rPr>
            </w:pPr>
          </w:p>
        </w:tc>
      </w:tr>
      <w:tr>
        <w:trPr>
          <w:trHeight w:val="250"/>
        </w:trPr>
        <w:tc>
          <w:tcPr>
            <w:tcW w:w="6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200" w:type="dxa"/>
            <w:vAlign w:val="bottom"/>
          </w:tcPr>
          <w:p>
            <w:pPr>
              <w:ind w:left="20"/>
              <w:spacing w:after="0"/>
              <w:rPr>
                <w:sz w:val="20"/>
                <w:szCs w:val="20"/>
                <w:color w:val="auto"/>
              </w:rPr>
            </w:pPr>
            <w:r>
              <w:rPr>
                <w:rFonts w:ascii="Arial" w:cs="Arial" w:eastAsia="Arial" w:hAnsi="Arial"/>
                <w:sz w:val="18"/>
                <w:szCs w:val="18"/>
                <w:i w:val="1"/>
                <w:iCs w:val="1"/>
                <w:color w:val="auto"/>
              </w:rPr>
              <w:t>Bayer collaboration revenue:</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2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Regeneron's share of profits in connection with commercialization of</w:t>
            </w:r>
          </w:p>
        </w:tc>
        <w:tc>
          <w:tcPr>
            <w:tcW w:w="2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317.3</w:t>
            </w:r>
          </w:p>
        </w:tc>
        <w:tc>
          <w:tcPr>
            <w:tcW w:w="0" w:type="dxa"/>
            <w:vAlign w:val="bottom"/>
          </w:tcPr>
          <w:p>
            <w:pPr>
              <w:spacing w:after="0"/>
              <w:rPr>
                <w:sz w:val="1"/>
                <w:szCs w:val="1"/>
                <w:color w:val="auto"/>
              </w:rPr>
            </w:pPr>
          </w:p>
        </w:tc>
      </w:tr>
      <w:tr>
        <w:trPr>
          <w:trHeight w:val="243"/>
        </w:trPr>
        <w:tc>
          <w:tcPr>
            <w:tcW w:w="6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EYLEA 8 mg and EYLEA outside the United States</w:t>
            </w:r>
          </w:p>
        </w:tc>
        <w:tc>
          <w:tcPr>
            <w:tcW w:w="240" w:type="dxa"/>
            <w:vAlign w:val="bottom"/>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2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Reimbursement for manufacturing of commercial supplies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23"/>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Bayer collaboration revenue</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343.9</w:t>
            </w:r>
          </w:p>
        </w:tc>
        <w:tc>
          <w:tcPr>
            <w:tcW w:w="0" w:type="dxa"/>
            <w:vAlign w:val="bottom"/>
          </w:tcPr>
          <w:p>
            <w:pPr>
              <w:spacing w:after="0"/>
              <w:rPr>
                <w:sz w:val="1"/>
                <w:szCs w:val="1"/>
                <w:color w:val="auto"/>
              </w:rPr>
            </w:pPr>
          </w:p>
        </w:tc>
      </w:tr>
      <w:tr>
        <w:trPr>
          <w:trHeight w:val="250"/>
        </w:trPr>
        <w:tc>
          <w:tcPr>
            <w:tcW w:w="6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collaboration revenue</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0"/>
        </w:trPr>
        <w:tc>
          <w:tcPr>
            <w:tcW w:w="62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collaboration revenue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1,531.2</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139"/>
          </w:cols>
          <w:pgMar w:left="320" w:top="890" w:right="1440"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TABLE 5</w:t>
      </w:r>
    </w:p>
    <w:p>
      <w:pPr>
        <w:spacing w:after="0" w:line="77" w:lineRule="exact"/>
        <w:rPr>
          <w:sz w:val="20"/>
          <w:szCs w:val="20"/>
          <w:color w:val="auto"/>
        </w:rPr>
      </w:pPr>
    </w:p>
    <w:p>
      <w:pPr>
        <w:jc w:val="center"/>
        <w:ind w:left="340" w:right="2200"/>
        <w:spacing w:after="0" w:line="284" w:lineRule="auto"/>
        <w:rPr>
          <w:sz w:val="20"/>
          <w:szCs w:val="20"/>
          <w:color w:val="auto"/>
        </w:rPr>
      </w:pPr>
      <w:r>
        <w:rPr>
          <w:rFonts w:ascii="Arial" w:cs="Arial" w:eastAsia="Arial" w:hAnsi="Arial"/>
          <w:sz w:val="18"/>
          <w:szCs w:val="18"/>
          <w:b w:val="1"/>
          <w:bCs w:val="1"/>
          <w:color w:val="auto"/>
        </w:rPr>
        <w:t xml:space="preserve">REGENERON PHARMACEUTICALS, INC. NET PRODUCT SALES OF REGENERON-DISCOVERED PRODUCTS (Unaudited) </w:t>
      </w:r>
      <w:r>
        <w:rPr>
          <w:rFonts w:ascii="Arial" w:cs="Arial" w:eastAsia="Arial" w:hAnsi="Arial"/>
          <w:sz w:val="18"/>
          <w:szCs w:val="18"/>
          <w:b w:val="1"/>
          <w:bCs w:val="1"/>
          <w:i w:val="1"/>
          <w:iCs w:val="1"/>
          <w:color w:val="auto"/>
        </w:rPr>
        <w:t>(In millions)</w:t>
      </w:r>
    </w:p>
    <w:p>
      <w:pPr>
        <w:spacing w:after="0" w:line="307" w:lineRule="exact"/>
        <w:rPr>
          <w:sz w:val="20"/>
          <w:szCs w:val="20"/>
          <w:color w:val="auto"/>
        </w:rPr>
      </w:pPr>
    </w:p>
    <w:p>
      <w:pPr>
        <w:jc w:val="center"/>
        <w:ind w:left="1280"/>
        <w:spacing w:after="0"/>
        <w:rPr>
          <w:sz w:val="20"/>
          <w:szCs w:val="20"/>
          <w:color w:val="auto"/>
        </w:rPr>
      </w:pPr>
      <w:r>
        <w:rPr>
          <w:rFonts w:ascii="Arial" w:cs="Arial" w:eastAsia="Arial" w:hAnsi="Arial"/>
          <w:sz w:val="18"/>
          <w:szCs w:val="18"/>
          <w:b w:val="1"/>
          <w:bCs w:val="1"/>
          <w:color w:val="auto"/>
        </w:rPr>
        <w:t>Three Months Ended</w:t>
      </w:r>
    </w:p>
    <w:p>
      <w:pPr>
        <w:jc w:val="center"/>
        <w:ind w:left="1280"/>
        <w:spacing w:after="0"/>
        <w:rPr>
          <w:sz w:val="20"/>
          <w:szCs w:val="20"/>
          <w:color w:val="auto"/>
        </w:rPr>
      </w:pPr>
      <w:r>
        <w:rPr>
          <w:rFonts w:ascii="Arial" w:cs="Arial" w:eastAsia="Arial" w:hAnsi="Arial"/>
          <w:sz w:val="18"/>
          <w:szCs w:val="18"/>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9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2026</w:t>
            </w:r>
          </w:p>
        </w:tc>
        <w:tc>
          <w:tcPr>
            <w:tcW w:w="1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2025</w:t>
            </w:r>
          </w:p>
        </w:tc>
        <w:tc>
          <w:tcPr>
            <w:tcW w:w="1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ind w:right="23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2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ind w:left="100"/>
              <w:spacing w:after="0"/>
              <w:rPr>
                <w:sz w:val="20"/>
                <w:szCs w:val="20"/>
                <w:color w:val="auto"/>
              </w:rPr>
            </w:pPr>
            <w:r>
              <w:rPr>
                <w:rFonts w:ascii="Arial" w:cs="Arial" w:eastAsia="Arial" w:hAnsi="Arial"/>
                <w:sz w:val="18"/>
                <w:szCs w:val="18"/>
                <w:b w:val="1"/>
                <w:bCs w:val="1"/>
                <w:color w:val="auto"/>
              </w:rPr>
              <w:t>U.S.</w:t>
            </w:r>
          </w:p>
        </w:tc>
        <w:tc>
          <w:tcPr>
            <w:tcW w:w="200" w:type="dxa"/>
            <w:vAlign w:val="bottom"/>
          </w:tcPr>
          <w:p>
            <w:pPr>
              <w:spacing w:after="0"/>
              <w:rPr>
                <w:sz w:val="19"/>
                <w:szCs w:val="19"/>
                <w:color w:val="auto"/>
              </w:rPr>
            </w:pPr>
          </w:p>
        </w:tc>
        <w:tc>
          <w:tcPr>
            <w:tcW w:w="940" w:type="dxa"/>
            <w:vAlign w:val="bottom"/>
            <w:gridSpan w:val="2"/>
          </w:tcPr>
          <w:p>
            <w:pPr>
              <w:ind w:left="100"/>
              <w:spacing w:after="0"/>
              <w:rPr>
                <w:sz w:val="20"/>
                <w:szCs w:val="20"/>
                <w:color w:val="auto"/>
              </w:rPr>
            </w:pPr>
            <w:r>
              <w:rPr>
                <w:rFonts w:ascii="Arial" w:cs="Arial" w:eastAsia="Arial" w:hAnsi="Arial"/>
                <w:sz w:val="18"/>
                <w:szCs w:val="18"/>
                <w:b w:val="1"/>
                <w:bCs w:val="1"/>
                <w:color w:val="auto"/>
              </w:rPr>
              <w:t>ROW</w:t>
            </w:r>
          </w:p>
        </w:tc>
        <w:tc>
          <w:tcPr>
            <w:tcW w:w="200" w:type="dxa"/>
            <w:vAlign w:val="bottom"/>
          </w:tcPr>
          <w:p>
            <w:pPr>
              <w:spacing w:after="0"/>
              <w:rPr>
                <w:sz w:val="19"/>
                <w:szCs w:val="19"/>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ind w:left="100"/>
              <w:spacing w:after="0"/>
              <w:rPr>
                <w:sz w:val="20"/>
                <w:szCs w:val="20"/>
                <w:color w:val="auto"/>
              </w:rPr>
            </w:pPr>
            <w:r>
              <w:rPr>
                <w:rFonts w:ascii="Arial" w:cs="Arial" w:eastAsia="Arial" w:hAnsi="Arial"/>
                <w:sz w:val="18"/>
                <w:szCs w:val="18"/>
                <w:b w:val="1"/>
                <w:bCs w:val="1"/>
                <w:color w:val="auto"/>
              </w:rPr>
              <w:t>U.S.</w:t>
            </w:r>
          </w:p>
        </w:tc>
        <w:tc>
          <w:tcPr>
            <w:tcW w:w="200" w:type="dxa"/>
            <w:vAlign w:val="bottom"/>
          </w:tcPr>
          <w:p>
            <w:pPr>
              <w:spacing w:after="0"/>
              <w:rPr>
                <w:sz w:val="19"/>
                <w:szCs w:val="19"/>
                <w:color w:val="auto"/>
              </w:rPr>
            </w:pPr>
          </w:p>
        </w:tc>
        <w:tc>
          <w:tcPr>
            <w:tcW w:w="940" w:type="dxa"/>
            <w:vAlign w:val="bottom"/>
            <w:gridSpan w:val="2"/>
          </w:tcPr>
          <w:p>
            <w:pPr>
              <w:ind w:left="100"/>
              <w:spacing w:after="0"/>
              <w:rPr>
                <w:sz w:val="20"/>
                <w:szCs w:val="20"/>
                <w:color w:val="auto"/>
              </w:rPr>
            </w:pPr>
            <w:r>
              <w:rPr>
                <w:rFonts w:ascii="Arial" w:cs="Arial" w:eastAsia="Arial" w:hAnsi="Arial"/>
                <w:sz w:val="18"/>
                <w:szCs w:val="18"/>
                <w:b w:val="1"/>
                <w:bCs w:val="1"/>
                <w:color w:val="auto"/>
              </w:rPr>
              <w:t>ROW</w:t>
            </w:r>
          </w:p>
        </w:tc>
        <w:tc>
          <w:tcPr>
            <w:tcW w:w="200" w:type="dxa"/>
            <w:vAlign w:val="bottom"/>
          </w:tcPr>
          <w:p>
            <w:pPr>
              <w:spacing w:after="0"/>
              <w:rPr>
                <w:sz w:val="19"/>
                <w:szCs w:val="19"/>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1520" w:type="dxa"/>
            <w:vAlign w:val="bottom"/>
          </w:tcPr>
          <w:p>
            <w:pPr>
              <w:jc w:val="right"/>
              <w:ind w:right="130"/>
              <w:spacing w:after="0"/>
              <w:rPr>
                <w:sz w:val="20"/>
                <w:szCs w:val="20"/>
                <w:color w:val="auto"/>
              </w:rPr>
            </w:pPr>
            <w:r>
              <w:rPr>
                <w:rFonts w:ascii="Arial" w:cs="Arial" w:eastAsia="Arial" w:hAnsi="Arial"/>
                <w:sz w:val="18"/>
                <w:szCs w:val="18"/>
                <w:b w:val="1"/>
                <w:bCs w:val="1"/>
                <w:color w:val="auto"/>
              </w:rPr>
              <w:t>(Total Sales)</w:t>
            </w:r>
          </w:p>
        </w:tc>
      </w:tr>
      <w:tr>
        <w:trPr>
          <w:trHeight w:val="223"/>
        </w:trPr>
        <w:tc>
          <w:tcPr>
            <w:tcW w:w="292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Dupixent</w:t>
            </w:r>
            <w:r>
              <w:rPr>
                <w:rFonts w:ascii="Arial" w:cs="Arial" w:eastAsia="Arial" w:hAnsi="Arial"/>
                <w:sz w:val="23"/>
                <w:szCs w:val="23"/>
                <w:color w:val="auto"/>
                <w:vertAlign w:val="superscript"/>
              </w:rPr>
              <w:t>(a)</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3,558.4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1,321.7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4,880.1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2,629.4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3,665.6</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29"/>
        </w:trPr>
        <w:tc>
          <w:tcPr>
            <w:tcW w:w="2920" w:type="dxa"/>
            <w:vAlign w:val="bottom"/>
          </w:tcPr>
          <w:p>
            <w:pPr>
              <w:ind w:left="20"/>
              <w:spacing w:after="0" w:line="230" w:lineRule="exact"/>
              <w:rPr>
                <w:sz w:val="20"/>
                <w:szCs w:val="20"/>
                <w:color w:val="auto"/>
              </w:rPr>
            </w:pPr>
            <w:r>
              <w:rPr>
                <w:rFonts w:ascii="Arial" w:cs="Arial" w:eastAsia="Arial" w:hAnsi="Arial"/>
                <w:sz w:val="18"/>
                <w:szCs w:val="18"/>
                <w:color w:val="auto"/>
              </w:rPr>
              <w:t>EYLEA HD</w:t>
            </w:r>
            <w:r>
              <w:rPr>
                <w:rFonts w:ascii="Arial" w:cs="Arial" w:eastAsia="Arial" w:hAnsi="Arial"/>
                <w:sz w:val="23"/>
                <w:szCs w:val="23"/>
                <w:color w:val="auto"/>
                <w:vertAlign w:val="superscript"/>
              </w:rPr>
              <w:t>(b)</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468.4</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332.5</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800.9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306.8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146.4</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453.2</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77%</w:t>
            </w:r>
          </w:p>
        </w:tc>
      </w:tr>
      <w:tr>
        <w:trPr>
          <w:trHeight w:val="229"/>
        </w:trPr>
        <w:tc>
          <w:tcPr>
            <w:tcW w:w="29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EYLEA</w:t>
            </w:r>
            <w:r>
              <w:rPr>
                <w:rFonts w:ascii="Arial" w:cs="Arial" w:eastAsia="Arial" w:hAnsi="Arial"/>
                <w:sz w:val="23"/>
                <w:szCs w:val="23"/>
                <w:color w:val="auto"/>
                <w:vertAlign w:val="superscript"/>
              </w:rPr>
              <w:t>(b)</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1,447.4</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23"/>
        </w:trPr>
        <w:tc>
          <w:tcPr>
            <w:tcW w:w="2920" w:type="dxa"/>
            <w:vAlign w:val="bottom"/>
          </w:tcPr>
          <w:p>
            <w:pPr>
              <w:ind w:left="140"/>
              <w:spacing w:after="0"/>
              <w:rPr>
                <w:sz w:val="20"/>
                <w:szCs w:val="20"/>
                <w:color w:val="auto"/>
              </w:rPr>
            </w:pPr>
            <w:r>
              <w:rPr>
                <w:rFonts w:ascii="Arial" w:cs="Arial" w:eastAsia="Arial" w:hAnsi="Arial"/>
                <w:sz w:val="18"/>
                <w:szCs w:val="18"/>
                <w:color w:val="auto"/>
              </w:rPr>
              <w:t>Total EYLEA HD and EYLEA</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941.5</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728.7</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1,670.2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1,042.8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857.8</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1,900.6</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29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Libtayo</w:t>
            </w:r>
            <w:r>
              <w:rPr>
                <w:rFonts w:ascii="Arial" w:cs="Arial" w:eastAsia="Arial" w:hAnsi="Arial"/>
                <w:sz w:val="23"/>
                <w:szCs w:val="23"/>
                <w:color w:val="auto"/>
                <w:vertAlign w:val="superscript"/>
              </w:rPr>
              <w:t>(c)</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285.1</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2920" w:type="dxa"/>
            <w:vAlign w:val="bottom"/>
          </w:tcPr>
          <w:p>
            <w:pPr>
              <w:ind w:left="20"/>
              <w:spacing w:after="0" w:line="230" w:lineRule="exact"/>
              <w:rPr>
                <w:sz w:val="20"/>
                <w:szCs w:val="20"/>
                <w:color w:val="auto"/>
              </w:rPr>
            </w:pPr>
            <w:r>
              <w:rPr>
                <w:rFonts w:ascii="Arial" w:cs="Arial" w:eastAsia="Arial" w:hAnsi="Arial"/>
                <w:sz w:val="18"/>
                <w:szCs w:val="18"/>
                <w:color w:val="auto"/>
              </w:rPr>
              <w:t>Praluent</w:t>
            </w:r>
            <w:r>
              <w:rPr>
                <w:rFonts w:ascii="Arial" w:cs="Arial" w:eastAsia="Arial" w:hAnsi="Arial"/>
                <w:sz w:val="23"/>
                <w:szCs w:val="23"/>
                <w:color w:val="auto"/>
                <w:vertAlign w:val="superscript"/>
              </w:rPr>
              <w:t>(d)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66.6</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179.1</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245.7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136.5</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193.3</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229"/>
        </w:trPr>
        <w:tc>
          <w:tcPr>
            <w:tcW w:w="29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Kevzara</w:t>
            </w:r>
            <w:r>
              <w:rPr>
                <w:rFonts w:ascii="Arial" w:cs="Arial" w:eastAsia="Arial" w:hAnsi="Arial"/>
                <w:sz w:val="23"/>
                <w:szCs w:val="23"/>
                <w:color w:val="auto"/>
                <w:vertAlign w:val="superscript"/>
              </w:rPr>
              <w:t>(a)</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9"/>
        </w:trPr>
        <w:tc>
          <w:tcPr>
            <w:tcW w:w="2920" w:type="dxa"/>
            <w:vAlign w:val="bottom"/>
          </w:tcPr>
          <w:p>
            <w:pPr>
              <w:ind w:left="20"/>
              <w:spacing w:after="0"/>
              <w:rPr>
                <w:sz w:val="20"/>
                <w:szCs w:val="20"/>
                <w:color w:val="auto"/>
              </w:rPr>
            </w:pPr>
            <w:r>
              <w:rPr>
                <w:rFonts w:ascii="Arial" w:cs="Arial" w:eastAsia="Arial" w:hAnsi="Arial"/>
                <w:sz w:val="18"/>
                <w:szCs w:val="18"/>
                <w:color w:val="auto"/>
              </w:rPr>
              <w:t>Lynozyfic</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29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Other products</w:t>
            </w:r>
            <w:r>
              <w:rPr>
                <w:rFonts w:ascii="Arial" w:cs="Arial" w:eastAsia="Arial" w:hAnsi="Arial"/>
                <w:sz w:val="23"/>
                <w:szCs w:val="23"/>
                <w:color w:val="auto"/>
                <w:vertAlign w:val="superscript"/>
              </w:rPr>
              <w:t>(e)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w:t>
            </w:r>
          </w:p>
        </w:tc>
      </w:tr>
    </w:tbl>
    <w:p>
      <w:pPr>
        <w:spacing w:after="0" w:line="148" w:lineRule="exact"/>
        <w:rPr>
          <w:sz w:val="20"/>
          <w:szCs w:val="20"/>
          <w:color w:val="auto"/>
        </w:rPr>
      </w:pPr>
    </w:p>
    <w:p>
      <w:pPr>
        <w:ind w:left="240" w:right="80"/>
        <w:spacing w:after="0" w:line="245" w:lineRule="auto"/>
        <w:rPr>
          <w:sz w:val="20"/>
          <w:szCs w:val="20"/>
          <w:color w:val="auto"/>
        </w:rPr>
      </w:pPr>
      <w:r>
        <w:rPr>
          <w:rFonts w:ascii="Arial" w:cs="Arial" w:eastAsia="Arial" w:hAnsi="Arial"/>
          <w:sz w:val="16"/>
          <w:szCs w:val="16"/>
          <w:color w:val="auto"/>
        </w:rPr>
        <w:t>Note: The table above includes net product sales of Regeneron-discovered products. Such net product sales are recorded by the Company or others, as further described in the footnotes below.</w:t>
      </w:r>
    </w:p>
    <w:p>
      <w:pPr>
        <w:spacing w:after="0" w:line="16" w:lineRule="exact"/>
        <w:rPr>
          <w:sz w:val="20"/>
          <w:szCs w:val="20"/>
          <w:color w:val="auto"/>
        </w:rPr>
      </w:pPr>
    </w:p>
    <w:p>
      <w:pPr>
        <w:ind w:left="360" w:hanging="118"/>
        <w:spacing w:after="0"/>
        <w:tabs>
          <w:tab w:leader="none" w:pos="360" w:val="left"/>
        </w:tabs>
        <w:numPr>
          <w:ilvl w:val="0"/>
          <w:numId w:val="17"/>
        </w:numPr>
        <w:rPr>
          <w:rFonts w:ascii="Arial" w:cs="Arial" w:eastAsia="Arial" w:hAnsi="Arial"/>
          <w:sz w:val="18"/>
          <w:szCs w:val="18"/>
          <w:color w:val="auto"/>
        </w:rPr>
      </w:pPr>
      <w:r>
        <w:rPr>
          <w:rFonts w:ascii="Arial" w:cs="Arial" w:eastAsia="Arial" w:hAnsi="Arial"/>
          <w:sz w:val="16"/>
          <w:szCs w:val="16"/>
          <w:color w:val="auto"/>
        </w:rPr>
        <w:t>Percentage not meaningful</w:t>
      </w:r>
    </w:p>
    <w:p>
      <w:pPr>
        <w:spacing w:after="0" w:line="50" w:lineRule="exact"/>
        <w:rPr>
          <w:sz w:val="20"/>
          <w:szCs w:val="20"/>
          <w:color w:val="auto"/>
        </w:rPr>
      </w:pPr>
    </w:p>
    <w:p>
      <w:pPr>
        <w:ind w:left="240" w:right="120" w:firstLine="2"/>
        <w:spacing w:after="0" w:line="206" w:lineRule="auto"/>
        <w:tabs>
          <w:tab w:leader="none" w:pos="428" w:val="left"/>
        </w:tabs>
        <w:numPr>
          <w:ilvl w:val="0"/>
          <w:numId w:val="18"/>
        </w:numPr>
        <w:rPr>
          <w:rFonts w:ascii="Arial" w:cs="Arial" w:eastAsia="Arial" w:hAnsi="Arial"/>
          <w:sz w:val="22"/>
          <w:szCs w:val="22"/>
          <w:color w:val="auto"/>
          <w:vertAlign w:val="superscript"/>
        </w:rPr>
      </w:pPr>
      <w:r>
        <w:rPr>
          <w:rFonts w:ascii="Arial" w:cs="Arial" w:eastAsia="Arial" w:hAnsi="Arial"/>
          <w:sz w:val="16"/>
          <w:szCs w:val="16"/>
          <w:color w:val="auto"/>
        </w:rPr>
        <w:t>Sanofi records global net product sales of Dupixent and Kevzara, and the Company records its share of profits in connection with global sales of such products within Collaboration revenue</w:t>
      </w:r>
    </w:p>
    <w:p>
      <w:pPr>
        <w:spacing w:after="0" w:line="2" w:lineRule="exact"/>
        <w:rPr>
          <w:rFonts w:ascii="Arial" w:cs="Arial" w:eastAsia="Arial" w:hAnsi="Arial"/>
          <w:sz w:val="22"/>
          <w:szCs w:val="22"/>
          <w:color w:val="auto"/>
          <w:vertAlign w:val="superscript"/>
        </w:rPr>
      </w:pPr>
    </w:p>
    <w:p>
      <w:pPr>
        <w:ind w:left="240" w:right="520" w:firstLine="2"/>
        <w:spacing w:after="0" w:line="206" w:lineRule="auto"/>
        <w:tabs>
          <w:tab w:leader="none" w:pos="428" w:val="left"/>
        </w:tabs>
        <w:numPr>
          <w:ilvl w:val="0"/>
          <w:numId w:val="18"/>
        </w:numPr>
        <w:rPr>
          <w:rFonts w:ascii="Arial" w:cs="Arial" w:eastAsia="Arial" w:hAnsi="Arial"/>
          <w:sz w:val="22"/>
          <w:szCs w:val="22"/>
          <w:color w:val="auto"/>
          <w:vertAlign w:val="superscript"/>
        </w:rPr>
      </w:pPr>
      <w:r>
        <w:rPr>
          <w:rFonts w:ascii="Arial" w:cs="Arial" w:eastAsia="Arial" w:hAnsi="Arial"/>
          <w:sz w:val="16"/>
          <w:szCs w:val="16"/>
          <w:color w:val="auto"/>
        </w:rPr>
        <w:t>The Company records net product sales of EYLEA HD and EYLEA in the United States, and Bayer records net product sales outside the United States. The Company records its share of profits in connection with sales outside the United States within Collaboration revenue.</w:t>
      </w:r>
    </w:p>
    <w:p>
      <w:pPr>
        <w:spacing w:after="0" w:line="1" w:lineRule="exact"/>
        <w:rPr>
          <w:rFonts w:ascii="Arial" w:cs="Arial" w:eastAsia="Arial" w:hAnsi="Arial"/>
          <w:sz w:val="22"/>
          <w:szCs w:val="22"/>
          <w:color w:val="auto"/>
          <w:vertAlign w:val="superscript"/>
        </w:rPr>
      </w:pPr>
    </w:p>
    <w:p>
      <w:pPr>
        <w:ind w:left="420" w:hanging="178"/>
        <w:spacing w:after="0" w:line="204" w:lineRule="auto"/>
        <w:tabs>
          <w:tab w:leader="none" w:pos="420" w:val="left"/>
        </w:tabs>
        <w:numPr>
          <w:ilvl w:val="0"/>
          <w:numId w:val="18"/>
        </w:numPr>
        <w:rPr>
          <w:rFonts w:ascii="Arial" w:cs="Arial" w:eastAsia="Arial" w:hAnsi="Arial"/>
          <w:sz w:val="22"/>
          <w:szCs w:val="22"/>
          <w:color w:val="auto"/>
          <w:vertAlign w:val="superscript"/>
        </w:rPr>
      </w:pPr>
      <w:r>
        <w:rPr>
          <w:rFonts w:ascii="Arial" w:cs="Arial" w:eastAsia="Arial" w:hAnsi="Arial"/>
          <w:sz w:val="16"/>
          <w:szCs w:val="16"/>
          <w:color w:val="auto"/>
        </w:rPr>
        <w:t>The Company records global net product sales of Libtayo and pays Sanofi a royalty on such sales</w:t>
      </w:r>
    </w:p>
    <w:p>
      <w:pPr>
        <w:spacing w:after="0" w:line="18" w:lineRule="exact"/>
        <w:rPr>
          <w:rFonts w:ascii="Arial" w:cs="Arial" w:eastAsia="Arial" w:hAnsi="Arial"/>
          <w:sz w:val="22"/>
          <w:szCs w:val="22"/>
          <w:color w:val="auto"/>
          <w:vertAlign w:val="superscript"/>
        </w:rPr>
      </w:pPr>
    </w:p>
    <w:p>
      <w:pPr>
        <w:ind w:left="240" w:right="220" w:firstLine="2"/>
        <w:spacing w:after="0" w:line="198" w:lineRule="auto"/>
        <w:tabs>
          <w:tab w:leader="none" w:pos="428" w:val="left"/>
        </w:tabs>
        <w:numPr>
          <w:ilvl w:val="0"/>
          <w:numId w:val="18"/>
        </w:numPr>
        <w:rPr>
          <w:rFonts w:ascii="Arial" w:cs="Arial" w:eastAsia="Arial" w:hAnsi="Arial"/>
          <w:sz w:val="22"/>
          <w:szCs w:val="22"/>
          <w:color w:val="auto"/>
          <w:vertAlign w:val="superscript"/>
        </w:rPr>
      </w:pPr>
      <w:r>
        <w:rPr>
          <w:rFonts w:ascii="Arial" w:cs="Arial" w:eastAsia="Arial" w:hAnsi="Arial"/>
          <w:sz w:val="16"/>
          <w:szCs w:val="16"/>
          <w:color w:val="auto"/>
        </w:rPr>
        <w:t>The Company records net product sales of Praluent in the United States. Sanofi records net product sales of Praluent outside the United States and pays the Company a royalty on such sales, which is recorded within Other revenue.</w:t>
      </w:r>
    </w:p>
    <w:p>
      <w:pPr>
        <w:spacing w:after="0" w:line="1" w:lineRule="exact"/>
        <w:rPr>
          <w:rFonts w:ascii="Arial" w:cs="Arial" w:eastAsia="Arial" w:hAnsi="Arial"/>
          <w:sz w:val="22"/>
          <w:szCs w:val="22"/>
          <w:color w:val="auto"/>
          <w:vertAlign w:val="superscript"/>
        </w:rPr>
      </w:pPr>
    </w:p>
    <w:p>
      <w:pPr>
        <w:ind w:left="240" w:right="120" w:firstLine="2"/>
        <w:spacing w:after="0" w:line="246" w:lineRule="auto"/>
        <w:tabs>
          <w:tab w:leader="none" w:pos="412" w:val="left"/>
        </w:tabs>
        <w:numPr>
          <w:ilvl w:val="0"/>
          <w:numId w:val="18"/>
        </w:numPr>
        <w:rPr>
          <w:rFonts w:ascii="Arial" w:cs="Arial" w:eastAsia="Arial" w:hAnsi="Arial"/>
          <w:sz w:val="20"/>
          <w:szCs w:val="20"/>
          <w:color w:val="auto"/>
          <w:vertAlign w:val="superscript"/>
        </w:rPr>
      </w:pPr>
      <w:r>
        <w:rPr>
          <w:rFonts w:ascii="Arial" w:cs="Arial" w:eastAsia="Arial" w:hAnsi="Arial"/>
          <w:sz w:val="14"/>
          <w:szCs w:val="14"/>
          <w:color w:val="auto"/>
        </w:rPr>
        <w:t>Included in this line item are products which are sold by the Company and others. Refer to "First Quarter 2026 Financial Results" section above for a listing of net product sales recorded by the Company. Not included in this line item are net product sales of ARCALYST</w:t>
      </w:r>
      <w:r>
        <w:rPr>
          <w:rFonts w:ascii="Times New Roman" w:cs="Times New Roman" w:eastAsia="Times New Roman" w:hAnsi="Times New Roman"/>
          <w:sz w:val="18"/>
          <w:szCs w:val="18"/>
          <w:color w:val="auto"/>
          <w:vertAlign w:val="superscript"/>
        </w:rPr>
        <w:t>®</w:t>
      </w:r>
      <w:r>
        <w:rPr>
          <w:rFonts w:ascii="Arial" w:cs="Arial" w:eastAsia="Arial" w:hAnsi="Arial"/>
          <w:sz w:val="14"/>
          <w:szCs w:val="14"/>
          <w:color w:val="auto"/>
        </w:rPr>
        <w:t>, which are recorded by Kiniksa.</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lvl w:ilvl="1">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1)"/>
      <w:numFmt w:val="lowerLetter"/>
      <w:start w:val="1"/>
    </w:lvl>
  </w:abstractNum>
  <w:abstractNum w:abstractNumId="16">
    <w:nsid w:val="519B500D"/>
    <w:multiLevelType w:val="hybridMultilevel"/>
    <w:lvl w:ilvl="0">
      <w:lvlJc w:val="left"/>
      <w:lvlText w:val="*"/>
      <w:numFmt w:val="bullet"/>
      <w:start w:val="1"/>
    </w:lvl>
  </w:abstractNum>
  <w:abstractNum w:abstractNumId="17">
    <w:nsid w:val="431BD7B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2026-04-29T05:51:57Z</dcterms:created>
  <dcterms:modified xsi:type="dcterms:W3CDTF">2026-04-29T05:51:57Z</dcterms:modified>
</cp:coreProperties>
</file>