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220"/>
        <w:spacing w:after="0"/>
        <w:rPr>
          <w:sz w:val="20"/>
          <w:szCs w:val="20"/>
          <w:color w:val="auto"/>
        </w:rPr>
      </w:pPr>
      <w:r>
        <w:rPr>
          <w:rFonts w:ascii="Arial" w:cs="Arial" w:eastAsia="Arial" w:hAnsi="Arial"/>
          <w:sz w:val="25"/>
          <w:szCs w:val="25"/>
          <w:b w:val="1"/>
          <w:bCs w:val="1"/>
          <w:color w:val="auto"/>
        </w:rPr>
        <w:t>SECURITIES AND EXCHANGE COMMISSION</w:t>
      </w:r>
    </w:p>
    <w:p>
      <w:pPr>
        <w:spacing w:after="0" w:line="262" w:lineRule="exact"/>
        <w:rPr>
          <w:sz w:val="20"/>
          <w:szCs w:val="20"/>
          <w:color w:val="auto"/>
        </w:rPr>
      </w:pP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6" w:lineRule="exact"/>
        <w:rPr>
          <w:sz w:val="20"/>
          <w:szCs w:val="20"/>
          <w:color w:val="auto"/>
        </w:rPr>
      </w:pPr>
    </w:p>
    <w:p>
      <w:pPr>
        <w:ind w:left="4940"/>
        <w:spacing w:after="0"/>
        <w:rPr>
          <w:sz w:val="20"/>
          <w:szCs w:val="20"/>
          <w:color w:val="auto"/>
        </w:rPr>
      </w:pPr>
      <w:r>
        <w:rPr>
          <w:rFonts w:ascii="Arial" w:cs="Arial" w:eastAsia="Arial" w:hAnsi="Arial"/>
          <w:sz w:val="22"/>
          <w:szCs w:val="22"/>
          <w:b w:val="1"/>
          <w:bCs w:val="1"/>
          <w:color w:val="auto"/>
        </w:rPr>
        <w:t>SCHEDULE TO</w:t>
      </w:r>
    </w:p>
    <w:p>
      <w:pPr>
        <w:spacing w:after="0" w:line="14" w:lineRule="exact"/>
        <w:rPr>
          <w:sz w:val="20"/>
          <w:szCs w:val="20"/>
          <w:color w:val="auto"/>
        </w:rPr>
      </w:pPr>
    </w:p>
    <w:p>
      <w:pPr>
        <w:jc w:val="center"/>
        <w:ind w:left="2540"/>
        <w:spacing w:after="0" w:line="234" w:lineRule="auto"/>
        <w:rPr>
          <w:sz w:val="20"/>
          <w:szCs w:val="20"/>
          <w:color w:val="auto"/>
        </w:rPr>
      </w:pPr>
      <w:r>
        <w:rPr>
          <w:rFonts w:ascii="Arial" w:cs="Arial" w:eastAsia="Arial" w:hAnsi="Arial"/>
          <w:sz w:val="22"/>
          <w:szCs w:val="22"/>
          <w:b w:val="1"/>
          <w:bCs w:val="1"/>
          <w:color w:val="auto"/>
        </w:rPr>
        <w:t>TENDER OFFER STATEMENT UNDER SECTION 14(d)(1) OR 13(e)(1) OF THE SECURITIES EXCHANGE ACT OF 1934 (Amendment No.)</w:t>
      </w:r>
    </w:p>
    <w:p>
      <w:pPr>
        <w:spacing w:after="0" w:line="382" w:lineRule="exact"/>
        <w:rPr>
          <w:sz w:val="20"/>
          <w:szCs w:val="20"/>
          <w:color w:val="auto"/>
        </w:rPr>
      </w:pPr>
    </w:p>
    <w:p>
      <w:pPr>
        <w:ind w:left="2660"/>
        <w:spacing w:after="0"/>
        <w:rPr>
          <w:sz w:val="20"/>
          <w:szCs w:val="20"/>
          <w:color w:val="auto"/>
        </w:rPr>
      </w:pPr>
      <w:r>
        <w:rPr>
          <w:rFonts w:ascii="Arial" w:cs="Arial" w:eastAsia="Arial" w:hAnsi="Arial"/>
          <w:sz w:val="41"/>
          <w:szCs w:val="41"/>
          <w:b w:val="1"/>
          <w:bCs w:val="1"/>
          <w:color w:val="auto"/>
        </w:rPr>
        <w:t>Regeneron Pharmaceuticals, Inc.</w:t>
      </w:r>
    </w:p>
    <w:p>
      <w:pPr>
        <w:spacing w:after="0" w:line="200" w:lineRule="exact"/>
        <w:rPr>
          <w:sz w:val="20"/>
          <w:szCs w:val="20"/>
          <w:color w:val="auto"/>
        </w:rPr>
      </w:pPr>
    </w:p>
    <w:p>
      <w:pPr>
        <w:spacing w:after="0" w:line="28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(Name of Subject Company (Issuer))</w:t>
      </w:r>
    </w:p>
    <w:p>
      <w:pPr>
        <w:spacing w:after="0" w:line="200" w:lineRule="exact"/>
        <w:rPr>
          <w:sz w:val="20"/>
          <w:szCs w:val="20"/>
          <w:color w:val="auto"/>
        </w:rPr>
      </w:pPr>
    </w:p>
    <w:p>
      <w:pPr>
        <w:spacing w:after="0" w:line="212" w:lineRule="exact"/>
        <w:rPr>
          <w:sz w:val="20"/>
          <w:szCs w:val="20"/>
          <w:color w:val="auto"/>
        </w:rPr>
      </w:pPr>
    </w:p>
    <w:p>
      <w:pPr>
        <w:ind w:left="2660"/>
        <w:spacing w:after="0"/>
        <w:rPr>
          <w:sz w:val="20"/>
          <w:szCs w:val="20"/>
          <w:color w:val="auto"/>
        </w:rPr>
      </w:pPr>
      <w:r>
        <w:rPr>
          <w:rFonts w:ascii="Arial" w:cs="Arial" w:eastAsia="Arial" w:hAnsi="Arial"/>
          <w:sz w:val="41"/>
          <w:szCs w:val="41"/>
          <w:b w:val="1"/>
          <w:bCs w:val="1"/>
          <w:color w:val="auto"/>
        </w:rPr>
        <w:t>Regeneron Pharmaceuticals, Inc.</w:t>
      </w:r>
    </w:p>
    <w:p>
      <w:pPr>
        <w:spacing w:after="0" w:line="200" w:lineRule="exact"/>
        <w:rPr>
          <w:sz w:val="20"/>
          <w:szCs w:val="20"/>
          <w:color w:val="auto"/>
        </w:rPr>
      </w:pPr>
    </w:p>
    <w:p>
      <w:pPr>
        <w:spacing w:after="0" w:line="28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(Name of Filing Person (Offeror))</w:t>
      </w:r>
    </w:p>
    <w:p>
      <w:pPr>
        <w:spacing w:after="0" w:line="181"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Options under the 1990 Long-Term Incentive Plan</w:t>
      </w:r>
    </w:p>
    <w:p>
      <w:pPr>
        <w:spacing w:after="0" w:line="2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and 2000 Long-Term Incentive Plan</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to Purchase Common Stock, Par Value $.001 Per Share,</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Having an Exercise Price Per Share of $18.00 or More</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(Title of Class of Securities)</w:t>
      </w:r>
    </w:p>
    <w:p>
      <w:pPr>
        <w:spacing w:after="0" w:line="166"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00075886F1</w:t>
      </w:r>
    </w:p>
    <w:p>
      <w:pPr>
        <w:spacing w:after="0" w:line="27"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(CUSIP Number of Class of Securities)</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(Underlying Common Stock)</w:t>
      </w:r>
    </w:p>
    <w:p>
      <w:pPr>
        <w:spacing w:after="0" w:line="180"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Stuart Kolinski, Esq.</w:t>
      </w:r>
    </w:p>
    <w:p>
      <w:pPr>
        <w:spacing w:after="0" w:line="2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Vice President, General Counsel and Secretary</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Regeneron Pharmaceuticals, Inc.</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777 Old Saw Mill River Road</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Tarrytown, New York 10591</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(914) 347-7000</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(Name, Address and Telephone Number of Person Authorized to</w:t>
      </w:r>
    </w:p>
    <w:p>
      <w:pPr>
        <w:spacing w:after="0" w:line="9"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Receive Notices and Communications on Behalf of Filing Person)</w:t>
      </w:r>
    </w:p>
    <w:p>
      <w:pPr>
        <w:spacing w:after="0" w:line="170"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i w:val="1"/>
          <w:iCs w:val="1"/>
          <w:color w:val="auto"/>
        </w:rPr>
        <w:t>Copy to:</w:t>
      </w:r>
    </w:p>
    <w:p>
      <w:pPr>
        <w:spacing w:after="0" w:line="181"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Kent A. Coit, Esq.</w:t>
      </w:r>
    </w:p>
    <w:p>
      <w:pPr>
        <w:spacing w:after="0" w:line="2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Skadden, Arps, Slate, Meagher &amp; Flom LLP</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One Beacon Street</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Boston, MA 02108</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Telephone: (617) 573-4800</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Facsimile: (617) 573-4822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00" w:type="dxa"/>
            <w:vAlign w:val="bottom"/>
          </w:tcPr>
          <w:p>
            <w:pPr>
              <w:spacing w:after="0"/>
              <w:rPr>
                <w:sz w:val="20"/>
                <w:szCs w:val="20"/>
                <w:color w:val="auto"/>
              </w:rPr>
            </w:pPr>
          </w:p>
        </w:tc>
        <w:tc>
          <w:tcPr>
            <w:tcW w:w="8520" w:type="dxa"/>
            <w:vAlign w:val="bottom"/>
            <w:gridSpan w:val="3"/>
          </w:tcPr>
          <w:p>
            <w:pPr>
              <w:jc w:val="right"/>
              <w:ind w:right="4268"/>
              <w:spacing w:after="0"/>
              <w:rPr>
                <w:sz w:val="20"/>
                <w:szCs w:val="20"/>
                <w:color w:val="auto"/>
              </w:rPr>
            </w:pPr>
            <w:r>
              <w:rPr>
                <w:rFonts w:ascii="Arial" w:cs="Arial" w:eastAsia="Arial" w:hAnsi="Arial"/>
                <w:sz w:val="18"/>
                <w:szCs w:val="18"/>
                <w:b w:val="1"/>
                <w:bCs w:val="1"/>
                <w:color w:val="auto"/>
              </w:rPr>
              <w:t>CALCULATION OF FILING FEE</w:t>
            </w:r>
          </w:p>
        </w:tc>
      </w:tr>
      <w:tr>
        <w:trPr>
          <w:trHeight w:val="569"/>
        </w:trPr>
        <w:tc>
          <w:tcPr>
            <w:tcW w:w="2900" w:type="dxa"/>
            <w:vAlign w:val="bottom"/>
          </w:tcPr>
          <w:p>
            <w:pPr>
              <w:spacing w:after="0"/>
              <w:rPr>
                <w:sz w:val="20"/>
                <w:szCs w:val="20"/>
                <w:color w:val="auto"/>
              </w:rPr>
            </w:pPr>
            <w:r>
              <w:rPr>
                <w:rFonts w:ascii="Arial" w:cs="Arial" w:eastAsia="Arial" w:hAnsi="Arial"/>
                <w:sz w:val="14"/>
                <w:szCs w:val="14"/>
                <w:b w:val="1"/>
                <w:bCs w:val="1"/>
                <w:color w:val="auto"/>
              </w:rPr>
              <w:t>Transaction Valuation*</w:t>
            </w:r>
          </w:p>
        </w:tc>
        <w:tc>
          <w:tcPr>
            <w:tcW w:w="3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60" w:type="dxa"/>
            <w:vAlign w:val="bottom"/>
          </w:tcPr>
          <w:p>
            <w:pPr>
              <w:jc w:val="right"/>
              <w:ind w:right="1328"/>
              <w:spacing w:after="0"/>
              <w:rPr>
                <w:sz w:val="20"/>
                <w:szCs w:val="20"/>
                <w:color w:val="auto"/>
              </w:rPr>
            </w:pPr>
            <w:r>
              <w:rPr>
                <w:rFonts w:ascii="Arial" w:cs="Arial" w:eastAsia="Arial" w:hAnsi="Arial"/>
                <w:sz w:val="14"/>
                <w:szCs w:val="14"/>
                <w:b w:val="1"/>
                <w:bCs w:val="1"/>
                <w:color w:val="auto"/>
              </w:rPr>
              <w:t>Amount of Filing Fee**</w:t>
            </w:r>
          </w:p>
        </w:tc>
      </w:tr>
      <w:tr>
        <w:trPr>
          <w:trHeight w:val="53"/>
        </w:trPr>
        <w:tc>
          <w:tcPr>
            <w:tcW w:w="2900" w:type="dxa"/>
            <w:vAlign w:val="bottom"/>
            <w:tcBorders>
              <w:bottom w:val="single" w:sz="8" w:color="808080"/>
            </w:tcBorders>
          </w:tcPr>
          <w:p>
            <w:pPr>
              <w:spacing w:after="0"/>
              <w:rPr>
                <w:sz w:val="4"/>
                <w:szCs w:val="4"/>
                <w:color w:val="auto"/>
              </w:rPr>
            </w:pPr>
          </w:p>
        </w:tc>
        <w:tc>
          <w:tcPr>
            <w:tcW w:w="3720" w:type="dxa"/>
            <w:vAlign w:val="bottom"/>
            <w:tcBorders>
              <w:bottom w:val="single" w:sz="8" w:color="808080"/>
            </w:tcBorders>
          </w:tcPr>
          <w:p>
            <w:pPr>
              <w:spacing w:after="0"/>
              <w:rPr>
                <w:sz w:val="4"/>
                <w:szCs w:val="4"/>
                <w:color w:val="auto"/>
              </w:rPr>
            </w:pPr>
          </w:p>
        </w:tc>
        <w:tc>
          <w:tcPr>
            <w:tcW w:w="540" w:type="dxa"/>
            <w:vAlign w:val="bottom"/>
          </w:tcPr>
          <w:p>
            <w:pPr>
              <w:spacing w:after="0"/>
              <w:rPr>
                <w:sz w:val="4"/>
                <w:szCs w:val="4"/>
                <w:color w:val="auto"/>
              </w:rPr>
            </w:pPr>
          </w:p>
        </w:tc>
        <w:tc>
          <w:tcPr>
            <w:tcW w:w="4260" w:type="dxa"/>
            <w:vAlign w:val="bottom"/>
            <w:tcBorders>
              <w:bottom w:val="single" w:sz="8" w:color="808080"/>
            </w:tcBorders>
          </w:tcPr>
          <w:p>
            <w:pPr>
              <w:spacing w:after="0"/>
              <w:rPr>
                <w:sz w:val="4"/>
                <w:szCs w:val="4"/>
                <w:color w:val="auto"/>
              </w:rPr>
            </w:pPr>
          </w:p>
        </w:tc>
      </w:tr>
      <w:tr>
        <w:trPr>
          <w:trHeight w:val="291"/>
        </w:trPr>
        <w:tc>
          <w:tcPr>
            <w:tcW w:w="2900" w:type="dxa"/>
            <w:vAlign w:val="bottom"/>
          </w:tcPr>
          <w:p>
            <w:pPr>
              <w:spacing w:after="0"/>
              <w:rPr>
                <w:sz w:val="20"/>
                <w:szCs w:val="20"/>
                <w:color w:val="auto"/>
              </w:rPr>
            </w:pPr>
            <w:r>
              <w:rPr>
                <w:rFonts w:ascii="Arial" w:cs="Arial" w:eastAsia="Arial" w:hAnsi="Arial"/>
                <w:sz w:val="18"/>
                <w:szCs w:val="18"/>
                <w:color w:val="auto"/>
              </w:rPr>
              <w:t>$13,162,587.66</w:t>
            </w:r>
          </w:p>
        </w:tc>
        <w:tc>
          <w:tcPr>
            <w:tcW w:w="8520" w:type="dxa"/>
            <w:vAlign w:val="bottom"/>
            <w:gridSpan w:val="3"/>
          </w:tcPr>
          <w:p>
            <w:pPr>
              <w:jc w:val="right"/>
              <w:ind w:right="1788"/>
              <w:spacing w:after="0"/>
              <w:rPr>
                <w:sz w:val="20"/>
                <w:szCs w:val="20"/>
                <w:color w:val="auto"/>
              </w:rPr>
            </w:pPr>
            <w:r>
              <w:rPr>
                <w:rFonts w:ascii="Arial" w:cs="Arial" w:eastAsia="Arial" w:hAnsi="Arial"/>
                <w:sz w:val="18"/>
                <w:szCs w:val="18"/>
                <w:color w:val="auto"/>
              </w:rPr>
              <w:t>$1,667.70</w:t>
            </w:r>
          </w:p>
        </w:tc>
      </w:tr>
    </w:tbl>
    <w:p>
      <w:pPr>
        <w:spacing w:after="0" w:line="202" w:lineRule="exact"/>
        <w:rPr>
          <w:sz w:val="20"/>
          <w:szCs w:val="20"/>
          <w:color w:val="auto"/>
        </w:rPr>
      </w:pPr>
    </w:p>
    <w:p>
      <w:pPr>
        <w:ind w:left="460" w:right="300" w:hanging="452"/>
        <w:spacing w:after="0" w:line="286" w:lineRule="auto"/>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Calculated solely for purposes of determining the filing fee. This amount assumes that options to purchase 4,847,581 shares of common stock of Regeneron Pharmaceuticals, Inc. having an approximate aggregate value of $13,162,587.66 will be exchanged pursuant to this Offer. The aggregate value of such options was calculated based on the Black-Scholes option pricing model, as of November 3, 2004.</w:t>
      </w:r>
    </w:p>
    <w:p>
      <w:pPr>
        <w:spacing w:after="0" w:line="166" w:lineRule="exact"/>
        <w:rPr>
          <w:sz w:val="20"/>
          <w:szCs w:val="20"/>
          <w:color w:val="auto"/>
        </w:rPr>
      </w:pPr>
    </w:p>
    <w:p>
      <w:pPr>
        <w:ind w:left="460" w:right="340" w:hanging="452"/>
        <w:spacing w:after="0" w:line="277"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amount of the filing fee, calculated in accordance with Rule 0-11 of the Securities Exchange Act of 1934, as amended, equals $126.70 for each $1,000,000 of the aggregate value of this transaction.</w:t>
      </w:r>
    </w:p>
    <w:p>
      <w:pPr>
        <w:spacing w:after="0" w:line="170" w:lineRule="exact"/>
        <w:rPr>
          <w:sz w:val="20"/>
          <w:szCs w:val="20"/>
          <w:color w:val="auto"/>
        </w:rPr>
      </w:pPr>
    </w:p>
    <w:p>
      <w:pPr>
        <w:ind w:left="460" w:right="26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ectPr>
          <w:pgSz w:w="11900" w:h="16838" w:orient="portrait"/>
          <w:cols w:equalWidth="0" w:num="1">
            <w:col w:w="11420"/>
          </w:cols>
          <w:pgMar w:left="240" w:top="419" w:right="23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Amount Previously Paid: Not applicable.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Form or Registration No.: Not applicable.</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Filing Party: Not applicable.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Date Filed: Not applicable.</w:t>
      </w:r>
    </w:p>
    <w:p>
      <w:pPr>
        <w:spacing w:after="0" w:line="200" w:lineRule="exact"/>
        <w:rPr>
          <w:sz w:val="20"/>
          <w:szCs w:val="20"/>
          <w:color w:val="auto"/>
        </w:rPr>
      </w:pPr>
    </w:p>
    <w:p>
      <w:pPr>
        <w:sectPr>
          <w:pgSz w:w="11900" w:h="16838" w:orient="portrait"/>
          <w:cols w:equalWidth="0" w:num="2">
            <w:col w:w="6480" w:space="720"/>
            <w:col w:w="4220"/>
          </w:cols>
          <w:pgMar w:left="240" w:top="419" w:right="239" w:bottom="1440" w:gutter="0" w:footer="0" w:header="0"/>
          <w:type w:val="continuous"/>
        </w:sectPr>
      </w:pPr>
    </w:p>
    <w:p>
      <w:pPr>
        <w:spacing w:after="0" w:line="22" w:lineRule="exact"/>
        <w:rPr>
          <w:sz w:val="20"/>
          <w:szCs w:val="20"/>
          <w:color w:val="auto"/>
        </w:rPr>
      </w:pPr>
    </w:p>
    <w:p>
      <w:pPr>
        <w:ind w:right="2140" w:firstLine="8"/>
        <w:spacing w:after="0" w:line="477" w:lineRule="auto"/>
        <w:tabs>
          <w:tab w:leader="none" w:pos="459"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box if the filing relates solely to preliminary communications made before the commencement of a tender offer. Check the appropriate boxes below to designate any transactions to which the statement relates:</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 third-party tender offer subject to Rule 14d-1.</w:t>
      </w:r>
    </w:p>
    <w:p>
      <w:pPr>
        <w:spacing w:after="0" w:line="225" w:lineRule="exact"/>
        <w:rPr>
          <w:sz w:val="20"/>
          <w:szCs w:val="20"/>
          <w:color w:val="auto"/>
        </w:rPr>
      </w:pPr>
    </w:p>
    <w:p>
      <w:pPr>
        <w:ind w:left="660" w:hanging="206"/>
        <w:spacing w:after="0"/>
        <w:tabs>
          <w:tab w:leader="none" w:pos="6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issuer tender offer subject to Rule 13e-4.</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 going-private transaction subject to Rule 13e-3.</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 amendment to Schedule 13D under Rule 13d-2.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Check the following box if the filing is a final amendment reporting the results of the tender offer: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ind w:left="320"/>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1. Summary Term Sheet</w:t>
        </w:r>
      </w:hyperlink>
    </w:p>
    <w:p>
      <w:pPr>
        <w:ind w:left="320"/>
        <w:spacing w:after="0" w:line="238"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2. Subject Company Information</w:t>
        </w:r>
      </w:hyperlink>
    </w:p>
    <w:p>
      <w:pPr>
        <w:ind w:left="320"/>
        <w:spacing w:after="0" w:line="230"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3. Identity and Background of Filing Person</w:t>
        </w:r>
      </w:hyperlink>
    </w:p>
    <w:p>
      <w:pPr>
        <w:ind w:left="320"/>
        <w:spacing w:after="0" w:line="231"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4. Terms of the Transaction</w:t>
        </w:r>
      </w:hyperlink>
    </w:p>
    <w:p>
      <w:pPr>
        <w:spacing w:after="0" w:line="1" w:lineRule="exact"/>
        <w:rPr>
          <w:sz w:val="20"/>
          <w:szCs w:val="20"/>
          <w:color w:val="auto"/>
        </w:rPr>
      </w:pPr>
    </w:p>
    <w:p>
      <w:pPr>
        <w:ind w:left="320" w:right="4220"/>
        <w:spacing w:after="0" w:line="267" w:lineRule="auto"/>
        <w:rPr>
          <w:rFonts w:ascii="Arial" w:cs="Arial" w:eastAsia="Arial" w:hAnsi="Arial"/>
          <w:sz w:val="19"/>
          <w:szCs w:val="19"/>
          <w:u w:val="single" w:color="auto"/>
          <w:color w:val="0000EE"/>
        </w:rPr>
      </w:pPr>
      <w:hyperlink w:anchor="page6">
        <w:r>
          <w:rPr>
            <w:rFonts w:ascii="Arial" w:cs="Arial" w:eastAsia="Arial" w:hAnsi="Arial"/>
            <w:sz w:val="19"/>
            <w:szCs w:val="19"/>
            <w:u w:val="single" w:color="auto"/>
            <w:color w:val="0000EE"/>
          </w:rPr>
          <w:t>Item 5. Past Contacts, Transactions, Negotiations and Agreements</w:t>
        </w:r>
      </w:hyperlink>
      <w:r>
        <w:rPr>
          <w:rFonts w:ascii="Arial" w:cs="Arial" w:eastAsia="Arial" w:hAnsi="Arial"/>
          <w:sz w:val="19"/>
          <w:szCs w:val="19"/>
          <w:u w:val="single" w:color="auto"/>
          <w:color w:val="0000EE"/>
        </w:rPr>
        <w:t xml:space="preserve"> </w:t>
      </w:r>
      <w:hyperlink w:anchor="page6">
        <w:r>
          <w:rPr>
            <w:rFonts w:ascii="Arial" w:cs="Arial" w:eastAsia="Arial" w:hAnsi="Arial"/>
            <w:sz w:val="19"/>
            <w:szCs w:val="19"/>
            <w:u w:val="single" w:color="auto"/>
            <w:color w:val="0000EE"/>
          </w:rPr>
          <w:t>Item 6. Purposes of the Transaction and Plans or Proposals</w:t>
        </w:r>
      </w:hyperlink>
      <w:r>
        <w:rPr>
          <w:rFonts w:ascii="Arial" w:cs="Arial" w:eastAsia="Arial" w:hAnsi="Arial"/>
          <w:sz w:val="19"/>
          <w:szCs w:val="19"/>
          <w:u w:val="single" w:color="auto"/>
          <w:color w:val="0000EE"/>
        </w:rPr>
        <w:t xml:space="preserve"> </w:t>
      </w:r>
      <w:hyperlink w:anchor="page6">
        <w:r>
          <w:rPr>
            <w:rFonts w:ascii="Arial" w:cs="Arial" w:eastAsia="Arial" w:hAnsi="Arial"/>
            <w:sz w:val="19"/>
            <w:szCs w:val="19"/>
            <w:u w:val="single" w:color="auto"/>
            <w:color w:val="0000EE"/>
          </w:rPr>
          <w:t>Item 7. Source and Amount of Funds or Other Consideration</w:t>
        </w:r>
      </w:hyperlink>
      <w:r>
        <w:rPr>
          <w:rFonts w:ascii="Arial" w:cs="Arial" w:eastAsia="Arial" w:hAnsi="Arial"/>
          <w:sz w:val="19"/>
          <w:szCs w:val="19"/>
          <w:u w:val="single" w:color="auto"/>
          <w:color w:val="0000EE"/>
        </w:rPr>
        <w:t xml:space="preserve"> </w:t>
      </w:r>
      <w:hyperlink w:anchor="page6">
        <w:r>
          <w:rPr>
            <w:rFonts w:ascii="Arial" w:cs="Arial" w:eastAsia="Arial" w:hAnsi="Arial"/>
            <w:sz w:val="19"/>
            <w:szCs w:val="19"/>
            <w:u w:val="single" w:color="auto"/>
            <w:color w:val="0000EE"/>
          </w:rPr>
          <w:t>Item 8. Interest in Securities of the Subject Company</w:t>
        </w:r>
      </w:hyperlink>
    </w:p>
    <w:p>
      <w:pPr>
        <w:ind w:left="320"/>
        <w:spacing w:after="0" w:line="230"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Item 9. Persons/Assets, Retained, Employed, Compensated or Used</w:t>
        </w:r>
      </w:hyperlink>
    </w:p>
    <w:p>
      <w:pPr>
        <w:ind w:left="320"/>
        <w:spacing w:after="0" w:line="231"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Item 10. Financial Statements</w:t>
        </w:r>
      </w:hyperlink>
    </w:p>
    <w:p>
      <w:pPr>
        <w:ind w:left="320"/>
        <w:spacing w:after="0" w:line="231"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Item 11. Additional Information</w:t>
        </w:r>
      </w:hyperlink>
    </w:p>
    <w:p>
      <w:pPr>
        <w:ind w:left="320"/>
        <w:spacing w:after="0" w:line="230"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Item 12. Exhibits</w:t>
        </w:r>
      </w:hyperlink>
    </w:p>
    <w:p>
      <w:pPr>
        <w:ind w:left="320"/>
        <w:spacing w:after="0" w:line="231" w:lineRule="auto"/>
        <w:rPr>
          <w:rFonts w:ascii="Arial" w:cs="Arial" w:eastAsia="Arial" w:hAnsi="Arial"/>
          <w:sz w:val="22"/>
          <w:szCs w:val="22"/>
          <w:u w:val="single" w:color="auto"/>
          <w:color w:val="0000EE"/>
        </w:rPr>
      </w:pPr>
      <w:hyperlink w:anchor="page9">
        <w:r>
          <w:rPr>
            <w:rFonts w:ascii="Arial" w:cs="Arial" w:eastAsia="Arial" w:hAnsi="Arial"/>
            <w:sz w:val="22"/>
            <w:szCs w:val="22"/>
            <w:u w:val="single" w:color="auto"/>
            <w:color w:val="0000EE"/>
          </w:rPr>
          <w:t>Item 13. Information Required by Schedule 13E-3</w:t>
        </w:r>
      </w:hyperlink>
    </w:p>
    <w:p>
      <w:pPr>
        <w:spacing w:after="0" w:line="230" w:lineRule="auto"/>
        <w:rPr>
          <w:rFonts w:ascii="Arial" w:cs="Arial" w:eastAsia="Arial" w:hAnsi="Arial"/>
          <w:sz w:val="22"/>
          <w:szCs w:val="22"/>
          <w:u w:val="single" w:color="auto"/>
          <w:color w:val="0000EE"/>
        </w:rPr>
      </w:pPr>
      <w:hyperlink w:anchor="page10">
        <w:r>
          <w:rPr>
            <w:rFonts w:ascii="Arial" w:cs="Arial" w:eastAsia="Arial" w:hAnsi="Arial"/>
            <w:sz w:val="22"/>
            <w:szCs w:val="22"/>
            <w:u w:val="single" w:color="auto"/>
            <w:color w:val="0000EE"/>
          </w:rPr>
          <w:t>SIGNATURE</w:t>
        </w:r>
      </w:hyperlink>
    </w:p>
    <w:p>
      <w:pPr>
        <w:spacing w:after="0" w:line="231" w:lineRule="auto"/>
        <w:rPr>
          <w:rFonts w:ascii="Arial" w:cs="Arial" w:eastAsia="Arial" w:hAnsi="Arial"/>
          <w:sz w:val="22"/>
          <w:szCs w:val="22"/>
          <w:u w:val="single" w:color="auto"/>
          <w:color w:val="0000EE"/>
        </w:rPr>
      </w:pPr>
      <w:hyperlink w:anchor="page11">
        <w:r>
          <w:rPr>
            <w:rFonts w:ascii="Arial" w:cs="Arial" w:eastAsia="Arial" w:hAnsi="Arial"/>
            <w:sz w:val="22"/>
            <w:szCs w:val="22"/>
            <w:u w:val="single" w:color="auto"/>
            <w:color w:val="0000EE"/>
          </w:rPr>
          <w:t>INDEX TO EXHIBITS</w:t>
        </w:r>
      </w:hyperlink>
    </w:p>
    <w:p>
      <w:pPr>
        <w:spacing w:after="0" w:line="231" w:lineRule="auto"/>
        <w:rPr>
          <w:sz w:val="20"/>
          <w:szCs w:val="20"/>
          <w:color w:val="auto"/>
        </w:rPr>
      </w:pPr>
      <w:r>
        <w:rPr>
          <w:rFonts w:ascii="Arial" w:cs="Arial" w:eastAsia="Arial" w:hAnsi="Arial"/>
          <w:sz w:val="22"/>
          <w:szCs w:val="22"/>
          <w:u w:val="single" w:color="auto"/>
          <w:color w:val="0000EE"/>
        </w:rPr>
        <w:t>EX-99.A.1.I OFFER TO EXCHANGE</w:t>
      </w:r>
    </w:p>
    <w:p>
      <w:pPr>
        <w:spacing w:after="0" w:line="230" w:lineRule="auto"/>
        <w:rPr>
          <w:sz w:val="20"/>
          <w:szCs w:val="20"/>
          <w:color w:val="auto"/>
        </w:rPr>
      </w:pPr>
      <w:r>
        <w:rPr>
          <w:rFonts w:ascii="Arial" w:cs="Arial" w:eastAsia="Arial" w:hAnsi="Arial"/>
          <w:sz w:val="22"/>
          <w:szCs w:val="22"/>
          <w:u w:val="single" w:color="auto"/>
          <w:color w:val="0000EE"/>
        </w:rPr>
        <w:t>EX-99.A.1.II FORM OF ELECTION FORM</w:t>
      </w:r>
    </w:p>
    <w:p>
      <w:pPr>
        <w:spacing w:after="0" w:line="231" w:lineRule="auto"/>
        <w:rPr>
          <w:sz w:val="20"/>
          <w:szCs w:val="20"/>
          <w:color w:val="auto"/>
        </w:rPr>
      </w:pPr>
      <w:r>
        <w:rPr>
          <w:rFonts w:ascii="Arial" w:cs="Arial" w:eastAsia="Arial" w:hAnsi="Arial"/>
          <w:sz w:val="22"/>
          <w:szCs w:val="22"/>
          <w:u w:val="single" w:color="auto"/>
          <w:color w:val="0000EE"/>
        </w:rPr>
        <w:t>EX-99.A.1.III FORM OF NOTICE OF WITHDRAWAL</w:t>
      </w:r>
    </w:p>
    <w:p>
      <w:pPr>
        <w:spacing w:after="0" w:line="231" w:lineRule="auto"/>
        <w:rPr>
          <w:sz w:val="20"/>
          <w:szCs w:val="20"/>
          <w:color w:val="auto"/>
        </w:rPr>
      </w:pPr>
      <w:r>
        <w:rPr>
          <w:rFonts w:ascii="Arial" w:cs="Arial" w:eastAsia="Arial" w:hAnsi="Arial"/>
          <w:sz w:val="22"/>
          <w:szCs w:val="22"/>
          <w:u w:val="single" w:color="auto"/>
          <w:color w:val="0000EE"/>
        </w:rPr>
        <w:t>EX-99.A.1.IV FORM OF ACCEPTANCE LETTER</w:t>
      </w:r>
    </w:p>
    <w:p>
      <w:pPr>
        <w:spacing w:after="0" w:line="230" w:lineRule="auto"/>
        <w:rPr>
          <w:sz w:val="20"/>
          <w:szCs w:val="20"/>
          <w:color w:val="auto"/>
        </w:rPr>
      </w:pPr>
      <w:r>
        <w:rPr>
          <w:rFonts w:ascii="Arial" w:cs="Arial" w:eastAsia="Arial" w:hAnsi="Arial"/>
          <w:sz w:val="22"/>
          <w:szCs w:val="22"/>
          <w:u w:val="single" w:color="auto"/>
          <w:color w:val="0000EE"/>
        </w:rPr>
        <w:t>EX-99.A.1.V FORM OF COMMUNICATION</w:t>
      </w:r>
    </w:p>
    <w:p>
      <w:pPr>
        <w:spacing w:after="0" w:line="1" w:lineRule="exact"/>
        <w:rPr>
          <w:rFonts w:ascii="Arial" w:cs="Arial" w:eastAsia="Arial" w:hAnsi="Arial"/>
          <w:sz w:val="19"/>
          <w:szCs w:val="19"/>
          <w:u w:val="single" w:color="auto"/>
          <w:color w:val="0000EE"/>
        </w:rPr>
      </w:pPr>
    </w:p>
    <w:p>
      <w:pPr>
        <w:spacing w:after="0"/>
        <w:rPr>
          <w:sz w:val="20"/>
          <w:szCs w:val="20"/>
          <w:color w:val="auto"/>
        </w:rPr>
      </w:pPr>
      <w:r>
        <w:rPr>
          <w:rFonts w:ascii="Arial" w:cs="Arial" w:eastAsia="Arial" w:hAnsi="Arial"/>
          <w:sz w:val="19"/>
          <w:szCs w:val="19"/>
          <w:u w:val="single" w:color="auto"/>
          <w:color w:val="0000EE"/>
        </w:rPr>
        <w:t>EX-99.D.7 FORM OF REPLACEMENT OPTION AGREEMENT AND NOTICE OF GRANT OF REPLACEMENT</w:t>
      </w:r>
    </w:p>
    <w:p>
      <w:pPr>
        <w:spacing w:after="0" w:line="15" w:lineRule="exact"/>
        <w:rPr>
          <w:rFonts w:ascii="Arial" w:cs="Arial" w:eastAsia="Arial" w:hAnsi="Arial"/>
          <w:sz w:val="19"/>
          <w:szCs w:val="19"/>
          <w:u w:val="single" w:color="auto"/>
          <w:color w:val="0000EE"/>
        </w:rPr>
      </w:pPr>
    </w:p>
    <w:p>
      <w:pPr>
        <w:spacing w:after="0"/>
        <w:rPr>
          <w:sz w:val="20"/>
          <w:szCs w:val="20"/>
          <w:color w:val="auto"/>
        </w:rPr>
      </w:pPr>
      <w:r>
        <w:rPr>
          <w:rFonts w:ascii="Arial" w:cs="Arial" w:eastAsia="Arial" w:hAnsi="Arial"/>
          <w:sz w:val="22"/>
          <w:szCs w:val="22"/>
          <w:u w:val="single" w:color="auto"/>
          <w:color w:val="0000EE"/>
        </w:rPr>
        <w:t>OPTIONS</w:t>
      </w:r>
    </w:p>
    <w:p>
      <w:pPr>
        <w:ind w:right="140"/>
        <w:spacing w:after="0" w:line="230" w:lineRule="auto"/>
        <w:rPr>
          <w:sz w:val="20"/>
          <w:szCs w:val="20"/>
          <w:color w:val="auto"/>
        </w:rPr>
      </w:pPr>
      <w:r>
        <w:rPr>
          <w:rFonts w:ascii="Arial" w:cs="Arial" w:eastAsia="Arial" w:hAnsi="Arial"/>
          <w:sz w:val="22"/>
          <w:szCs w:val="22"/>
          <w:u w:val="single" w:color="auto"/>
          <w:color w:val="0000EE"/>
        </w:rPr>
        <w:t>EX-99.D.8 FORM OF REPLACMENT OPTION AGREEMENT AND NOTICE OF GRANT OF REPLACEMENT OPTIONS</w:t>
      </w:r>
    </w:p>
    <w:p>
      <w:pPr>
        <w:spacing w:after="0" w:line="1" w:lineRule="exact"/>
        <w:rPr>
          <w:rFonts w:ascii="Arial" w:cs="Arial" w:eastAsia="Arial" w:hAnsi="Arial"/>
          <w:sz w:val="19"/>
          <w:szCs w:val="19"/>
          <w:u w:val="single" w:color="auto"/>
          <w:color w:val="0000EE"/>
        </w:rPr>
      </w:pPr>
    </w:p>
    <w:p>
      <w:pPr>
        <w:spacing w:after="0" w:line="237" w:lineRule="auto"/>
        <w:rPr>
          <w:sz w:val="20"/>
          <w:szCs w:val="20"/>
          <w:color w:val="auto"/>
        </w:rPr>
      </w:pPr>
      <w:r>
        <w:rPr>
          <w:rFonts w:ascii="Arial" w:cs="Arial" w:eastAsia="Arial" w:hAnsi="Arial"/>
          <w:sz w:val="22"/>
          <w:szCs w:val="22"/>
          <w:u w:val="single" w:color="auto"/>
          <w:color w:val="0000EE"/>
        </w:rPr>
        <w:t>EX-99.D.9 FORM OF REPLACEMENT OPTION AGREEMENT AND NOTICE OF GRANT OF REPLACEMENT OPTIONS</w:t>
      </w:r>
    </w:p>
    <w:p>
      <w:pPr>
        <w:spacing w:after="0" w:line="20" w:lineRule="exact"/>
        <w:rPr>
          <w:rFonts w:ascii="Arial" w:cs="Arial" w:eastAsia="Arial" w:hAnsi="Arial"/>
          <w:sz w:val="19"/>
          <w:szCs w:val="19"/>
          <w:u w:val="single" w:color="auto"/>
          <w:color w:val="0000EE"/>
        </w:rPr>
      </w:pPr>
      <w:r>
        <w:rPr>
          <w:rFonts w:ascii="Arial" w:cs="Arial" w:eastAsia="Arial" w:hAnsi="Arial"/>
          <w:sz w:val="19"/>
          <w:szCs w:val="19"/>
          <w:u w:val="single" w:color="auto"/>
          <w:color w:val="0000EE"/>
        </w:rPr>
        <w:drawing>
          <wp:anchor simplePos="0" relativeHeight="251657728" behindDoc="1" locked="0" layoutInCell="0" allowOverlap="1">
            <wp:simplePos x="0" y="0"/>
            <wp:positionH relativeFrom="column">
              <wp:posOffset>-364490</wp:posOffset>
            </wp:positionH>
            <wp:positionV relativeFrom="paragraph">
              <wp:posOffset>128905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60"/>
          </w:cols>
          <w:pgMar w:left="820" w:top="112" w:right="8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Summary Term Sheet.</w:t>
      </w:r>
    </w:p>
    <w:p>
      <w:pPr>
        <w:spacing w:after="0" w:line="202" w:lineRule="exact"/>
        <w:rPr>
          <w:sz w:val="20"/>
          <w:szCs w:val="20"/>
          <w:color w:val="auto"/>
        </w:rPr>
      </w:pPr>
    </w:p>
    <w:p>
      <w:pPr>
        <w:ind w:right="340" w:firstLine="222"/>
        <w:spacing w:after="0" w:line="277" w:lineRule="auto"/>
        <w:rPr>
          <w:sz w:val="20"/>
          <w:szCs w:val="20"/>
          <w:color w:val="auto"/>
        </w:rPr>
      </w:pPr>
      <w:r>
        <w:rPr>
          <w:rFonts w:ascii="Arial" w:cs="Arial" w:eastAsia="Arial" w:hAnsi="Arial"/>
          <w:sz w:val="18"/>
          <w:szCs w:val="18"/>
          <w:color w:val="auto"/>
        </w:rPr>
        <w:t>The information set forth on the cover page and under “Summary Term Sheet - - Questions and Answers” in the Offer to Exchange dated December 3, 2004 and attached as exhibit (a)(1) hereto (the “Offer to Exchange”) is incorporated herein by reference.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Subject Company Information.</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Name and Address.</w:t>
      </w:r>
    </w:p>
    <w:p>
      <w:pPr>
        <w:spacing w:after="0" w:line="198" w:lineRule="exact"/>
        <w:rPr>
          <w:sz w:val="20"/>
          <w:szCs w:val="20"/>
          <w:color w:val="auto"/>
        </w:rPr>
      </w:pPr>
    </w:p>
    <w:p>
      <w:pPr>
        <w:ind w:right="400" w:firstLine="222"/>
        <w:spacing w:after="0" w:line="277" w:lineRule="auto"/>
        <w:rPr>
          <w:sz w:val="20"/>
          <w:szCs w:val="20"/>
          <w:color w:val="auto"/>
        </w:rPr>
      </w:pPr>
      <w:r>
        <w:rPr>
          <w:rFonts w:ascii="Arial" w:cs="Arial" w:eastAsia="Arial" w:hAnsi="Arial"/>
          <w:sz w:val="18"/>
          <w:szCs w:val="18"/>
          <w:color w:val="auto"/>
        </w:rPr>
        <w:t>The name of the issuer is Regeneron Pharmaceuticals, Inc., a New York corporation (the “Company”). The Company’s principal executive offices are located at 777 Old Saw Mill River Road, Tarrytown, New York 10591 and its telephone number is (914) 347-7000.</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Securities.</w:t>
      </w:r>
    </w:p>
    <w:p>
      <w:pPr>
        <w:spacing w:after="0" w:line="185"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This Schedule TO relates to an offer by the Company to all eligible employees to exchange such employees’ options outstanding under the Company’s 1990 Long-Term Incentive Plan, as amended (the “1990 Plan”) and 2000 Long-Term Incentive Plan, as amended (the “2000 Plan,” and together with the 1990 Plan, the “Incentive Plans”) to purchase shares of the Company’s common stock, par value $.001 per share (the “Common Stock”), having an exercise price of $18.00 or more for replacement options (the “Replacement Options”) to purchase shares of Common Stock to be granted under the 2000 Plan, upon the terms and subject to the conditions described in the Offer to Exchange and the related Election Form (the Offer to Exchange and the Election Form, as they may be amended or supplemented from time to time, are together referred to as the “Offer”) and subject to the 2000 Plan and applicable option agreement. The information set forth in the Offer to Exchange under “Summary Term Sheet - Questions and Answers,” Section 1 - “Eligible Options and Optionholders; Number of Replacement Options; Expiration Date,” Section 2 – “Purpose and Background of the Offer,” Section 5 - “Acceptance of Options for Exchange and Grant of Replacement Options,” Section 6 - “Conditions of the Offer” and Section 8 - “Source and Amount of Consideration; Terms of Replacement Options” is incorporated herein by reference.</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Trading Market and Price.</w:t>
      </w:r>
    </w:p>
    <w:p>
      <w:pPr>
        <w:spacing w:after="0" w:line="185" w:lineRule="exact"/>
        <w:rPr>
          <w:sz w:val="20"/>
          <w:szCs w:val="20"/>
          <w:color w:val="auto"/>
        </w:rPr>
      </w:pPr>
    </w:p>
    <w:p>
      <w:pPr>
        <w:ind w:right="520" w:firstLine="222"/>
        <w:spacing w:after="0" w:line="277" w:lineRule="auto"/>
        <w:rPr>
          <w:sz w:val="20"/>
          <w:szCs w:val="20"/>
          <w:color w:val="auto"/>
        </w:rPr>
      </w:pPr>
      <w:r>
        <w:rPr>
          <w:rFonts w:ascii="Arial" w:cs="Arial" w:eastAsia="Arial" w:hAnsi="Arial"/>
          <w:sz w:val="18"/>
          <w:szCs w:val="18"/>
          <w:color w:val="auto"/>
        </w:rPr>
        <w:t>The information set forth in the Offer to Exchange under Section 7 - “Price Range of Common Stock Underlying Options” is incorporated herein by reference.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Identity and Background of Filing Person.</w:t>
      </w:r>
    </w:p>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Name and Address.</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information set forth under Item 2 - Name and Address above, and in Schedule A to the Offer to Exchange, is incorporated herein by reference.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Terms of the Transaction.</w:t>
      </w:r>
    </w:p>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Material Terms.</w:t>
      </w:r>
    </w:p>
    <w:p>
      <w:pPr>
        <w:spacing w:after="0" w:line="185" w:lineRule="exact"/>
        <w:rPr>
          <w:sz w:val="20"/>
          <w:szCs w:val="20"/>
          <w:color w:val="auto"/>
        </w:rPr>
      </w:pPr>
    </w:p>
    <w:p>
      <w:pPr>
        <w:ind w:right="20" w:firstLine="222"/>
        <w:spacing w:after="0" w:line="255" w:lineRule="auto"/>
        <w:rPr>
          <w:sz w:val="20"/>
          <w:szCs w:val="20"/>
          <w:color w:val="auto"/>
        </w:rPr>
      </w:pPr>
      <w:r>
        <w:rPr>
          <w:rFonts w:ascii="Arial" w:cs="Arial" w:eastAsia="Arial" w:hAnsi="Arial"/>
          <w:sz w:val="18"/>
          <w:szCs w:val="18"/>
          <w:color w:val="auto"/>
        </w:rPr>
        <w:t>The information set forth in the Offer to Exchange under “Summary Term Sheet - Questions and Answers,” Section 1 - “Eligible Options and Optionholders; Number of Replacement Options; Expiration Date,” Section 3 - “Procedures for Tendering Options for Exchange,” Section 4 - “Withdrawal Rights,” Section 5 - “Acceptance of Options for Exchange and Grant of Replacement Options,” Section 6 - “Conditions of the Offer,” Section 8 - “Source and Amount of Consideration; Terms of Replacement Options,” Section 11 - - “Status of Options Tendered in the Offer; Accounting Consequences of the Offer,” Section 12 - “Legal Matters; Regulatory Approvals,” Section 13 - “Certain Federal Income Tax Consequences” and Section 14 - “Extension of Offer; Termination; Amendment”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378460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Purchases.</w:t>
      </w:r>
    </w:p>
    <w:p>
      <w:pPr>
        <w:spacing w:after="0" w:line="198" w:lineRule="exact"/>
        <w:rPr>
          <w:sz w:val="20"/>
          <w:szCs w:val="20"/>
          <w:color w:val="auto"/>
        </w:rPr>
      </w:pPr>
    </w:p>
    <w:p>
      <w:pPr>
        <w:ind w:right="240" w:firstLine="222"/>
        <w:spacing w:after="0" w:line="308" w:lineRule="auto"/>
        <w:rPr>
          <w:sz w:val="20"/>
          <w:szCs w:val="20"/>
          <w:color w:val="auto"/>
        </w:rPr>
      </w:pPr>
      <w:r>
        <w:rPr>
          <w:rFonts w:ascii="Arial" w:cs="Arial" w:eastAsia="Arial" w:hAnsi="Arial"/>
          <w:sz w:val="17"/>
          <w:szCs w:val="17"/>
          <w:color w:val="auto"/>
        </w:rPr>
        <w:t>The information set forth in the Offer to Exchange under Section 1 - “Eligible Options and Optionholders; Number of Replacement Options; Expiration Date” and Section 10 - “Interests of Directors and Officers; Transactions and Arrangements” is incorporated herein by reference.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Past Contacts, Transactions, Negotiations and Agreements.</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Agreements Involving the Subject Company’s Securities.</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information set forth in the Offer to Exchange under Section 8 - “Source and Amount of Consideration; Terms of Replacement Options,” Section 10 -</w:t>
      </w:r>
    </w:p>
    <w:p>
      <w:pPr>
        <w:spacing w:after="0" w:line="46" w:lineRule="exact"/>
        <w:rPr>
          <w:sz w:val="20"/>
          <w:szCs w:val="20"/>
          <w:color w:val="auto"/>
        </w:rPr>
      </w:pPr>
    </w:p>
    <w:p>
      <w:pPr>
        <w:ind w:right="180" w:firstLine="8"/>
        <w:spacing w:after="0" w:line="261" w:lineRule="auto"/>
        <w:tabs>
          <w:tab w:leader="none" w:pos="105"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“Interests of Directors and Officers; Transactions and Arrangements” and under Section 9 - “Information Concerning Regeneron Pharmaceuticals, Inc.” is incorporated herein by reference.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Purposes of the Transaction and Plans or Proposals.</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Purposes.</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information set forth in the Offer to Exchange under Section 2 - “Purpose and Background of the Offer “ is incorporated herein by reference.</w:t>
      </w:r>
    </w:p>
    <w:p>
      <w:pPr>
        <w:spacing w:after="0" w:line="196"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Use of Securities Acquired.</w:t>
      </w:r>
    </w:p>
    <w:p>
      <w:pPr>
        <w:spacing w:after="0" w:line="185" w:lineRule="exact"/>
        <w:rPr>
          <w:sz w:val="20"/>
          <w:szCs w:val="20"/>
          <w:color w:val="auto"/>
        </w:rPr>
      </w:pPr>
    </w:p>
    <w:p>
      <w:pPr>
        <w:ind w:right="540" w:firstLine="222"/>
        <w:spacing w:after="0" w:line="308" w:lineRule="auto"/>
        <w:rPr>
          <w:sz w:val="20"/>
          <w:szCs w:val="20"/>
          <w:color w:val="auto"/>
        </w:rPr>
      </w:pPr>
      <w:r>
        <w:rPr>
          <w:rFonts w:ascii="Arial" w:cs="Arial" w:eastAsia="Arial" w:hAnsi="Arial"/>
          <w:sz w:val="17"/>
          <w:szCs w:val="17"/>
          <w:color w:val="auto"/>
        </w:rPr>
        <w:t>The information set forth in the Offer to Exchange under Section 5 - “Acceptance of Options for Exchange and Grant of Replacement Options” and Section 11 - “Status of Options Tendered in the Offer; Accounting Consequences of the Offer” is incorporated herein by reference.</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Plans.</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information set forth in the Offer to Exchange under Section 2 - “Purpose and Background of the Offer” is incorporated herein by reference.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Source and Amount of Funds or Other Consideration.</w:t>
      </w:r>
    </w:p>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Source of Funds.</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information set forth in the Offer to Exchange under Section 8 - “Source and Amount of Consideration; Terms of Replacement Options” and Section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15 - “Fees and Expenses” is incorporated herein by reference.</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Conditions.</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Borrowed Funds.</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Interest in Securities of the Subject Company.</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Securities Ownership.</w:t>
      </w:r>
    </w:p>
    <w:p>
      <w:pPr>
        <w:spacing w:after="0" w:line="185"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The information set forth in the Offer to Exchange under Section 10 - “Interests of Directors and Officers; Transactions and Arrangements” and Section 9 - “Information Concerning Regeneron Pharmaceuticals, Inc.”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Securities Transactions.</w:t>
      </w:r>
    </w:p>
    <w:p>
      <w:pPr>
        <w:spacing w:after="0" w:line="198" w:lineRule="exact"/>
        <w:rPr>
          <w:sz w:val="20"/>
          <w:szCs w:val="20"/>
          <w:color w:val="auto"/>
        </w:rPr>
      </w:pPr>
    </w:p>
    <w:p>
      <w:pPr>
        <w:ind w:right="20" w:firstLine="222"/>
        <w:spacing w:after="0" w:line="277" w:lineRule="auto"/>
        <w:rPr>
          <w:sz w:val="20"/>
          <w:szCs w:val="20"/>
          <w:color w:val="auto"/>
        </w:rPr>
      </w:pPr>
      <w:r>
        <w:rPr>
          <w:rFonts w:ascii="Arial" w:cs="Arial" w:eastAsia="Arial" w:hAnsi="Arial"/>
          <w:sz w:val="18"/>
          <w:szCs w:val="18"/>
          <w:color w:val="auto"/>
        </w:rPr>
        <w:t>The information set forth in the Offer to Exchange under Section 10 - “Interests of Directors and Officers; Transactions and Arrangements” is incorporated herein by reference.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Persons/Assets, Retained, Employed, Compensated or Used.</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Solicitations or Recommendations.</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Financial Statements.</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Financial Information.</w:t>
      </w:r>
    </w:p>
    <w:p>
      <w:pPr>
        <w:spacing w:after="0" w:line="198" w:lineRule="exact"/>
        <w:rPr>
          <w:sz w:val="20"/>
          <w:szCs w:val="20"/>
          <w:color w:val="auto"/>
        </w:rPr>
      </w:pPr>
    </w:p>
    <w:p>
      <w:pPr>
        <w:ind w:right="80" w:firstLine="222"/>
        <w:spacing w:after="0" w:line="257" w:lineRule="auto"/>
        <w:rPr>
          <w:sz w:val="20"/>
          <w:szCs w:val="20"/>
          <w:color w:val="auto"/>
        </w:rPr>
      </w:pPr>
      <w:r>
        <w:rPr>
          <w:rFonts w:ascii="Arial" w:cs="Arial" w:eastAsia="Arial" w:hAnsi="Arial"/>
          <w:sz w:val="18"/>
          <w:szCs w:val="18"/>
          <w:color w:val="auto"/>
        </w:rPr>
        <w:t>The information set forth in the Offer to Exchange under Section 9 - “Information Concerning Regeneron Pharmaceuticals, Inc. – Summary Financial Information” is incorporated herein by reference. The financial information included in Part I of our Quarterly Report on Form 10-Q for the fiscal quarter ended September 30, 2004 filed with the Securities and Exchange Commission on November 8, 2004, and the financial information included in Item 8 of our Annual Report on Form 10-K/A for the fiscal year ending December 31, 2003 filed with the Securities and Exchange Commission on March 19, 2004, is incorporated herein by reference.</w:t>
      </w:r>
    </w:p>
    <w:p>
      <w:pPr>
        <w:spacing w:after="0" w:line="148"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Pro Forma Information.</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Additional Information.</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Agreements, Regulatory Requirements and Legal Proceedings.</w:t>
      </w:r>
    </w:p>
    <w:p>
      <w:pPr>
        <w:spacing w:after="0" w:line="185" w:lineRule="exact"/>
        <w:rPr>
          <w:sz w:val="20"/>
          <w:szCs w:val="20"/>
          <w:color w:val="auto"/>
        </w:rPr>
      </w:pPr>
    </w:p>
    <w:p>
      <w:pPr>
        <w:ind w:right="40" w:firstLine="222"/>
        <w:spacing w:after="0" w:line="277" w:lineRule="auto"/>
        <w:rPr>
          <w:sz w:val="20"/>
          <w:szCs w:val="20"/>
          <w:color w:val="auto"/>
        </w:rPr>
      </w:pPr>
      <w:r>
        <w:rPr>
          <w:rFonts w:ascii="Arial" w:cs="Arial" w:eastAsia="Arial" w:hAnsi="Arial"/>
          <w:sz w:val="18"/>
          <w:szCs w:val="18"/>
          <w:color w:val="auto"/>
        </w:rPr>
        <w:t>The information set forth in the Offer to Exchange under Section 10 - “Interests of Directors and Officers; Transactions and Arrangements” and Section 12 - “Legal Matters; Regulatory Approvals” is incorporated herein by reference.</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Other Material Information.</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Exhibits.</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(a)(1)(i)</w:t>
            </w:r>
          </w:p>
        </w:tc>
        <w:tc>
          <w:tcPr>
            <w:tcW w:w="10320" w:type="dxa"/>
            <w:vAlign w:val="bottom"/>
          </w:tcPr>
          <w:p>
            <w:pPr>
              <w:ind w:left="400"/>
              <w:spacing w:after="0"/>
              <w:rPr>
                <w:sz w:val="20"/>
                <w:szCs w:val="20"/>
                <w:color w:val="auto"/>
              </w:rPr>
            </w:pPr>
            <w:r>
              <w:rPr>
                <w:rFonts w:ascii="Arial" w:cs="Arial" w:eastAsia="Arial" w:hAnsi="Arial"/>
                <w:sz w:val="18"/>
                <w:szCs w:val="18"/>
                <w:color w:val="auto"/>
              </w:rPr>
              <w:t>Offer to Exchange dated December 3, 2004.</w:t>
            </w: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(a)(1)(ii)</w:t>
            </w:r>
          </w:p>
        </w:tc>
        <w:tc>
          <w:tcPr>
            <w:tcW w:w="10320" w:type="dxa"/>
            <w:vAlign w:val="bottom"/>
          </w:tcPr>
          <w:p>
            <w:pPr>
              <w:ind w:left="400"/>
              <w:spacing w:after="0"/>
              <w:rPr>
                <w:sz w:val="20"/>
                <w:szCs w:val="20"/>
                <w:color w:val="auto"/>
              </w:rPr>
            </w:pPr>
            <w:r>
              <w:rPr>
                <w:rFonts w:ascii="Arial" w:cs="Arial" w:eastAsia="Arial" w:hAnsi="Arial"/>
                <w:sz w:val="18"/>
                <w:szCs w:val="18"/>
                <w:color w:val="auto"/>
              </w:rPr>
              <w:t>Form of Election Form.</w:t>
            </w: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(a)(1)(iii)</w:t>
            </w:r>
          </w:p>
        </w:tc>
        <w:tc>
          <w:tcPr>
            <w:tcW w:w="10320" w:type="dxa"/>
            <w:vAlign w:val="bottom"/>
          </w:tcPr>
          <w:p>
            <w:pPr>
              <w:ind w:left="400"/>
              <w:spacing w:after="0"/>
              <w:rPr>
                <w:sz w:val="20"/>
                <w:szCs w:val="20"/>
                <w:color w:val="auto"/>
              </w:rPr>
            </w:pPr>
            <w:r>
              <w:rPr>
                <w:rFonts w:ascii="Arial" w:cs="Arial" w:eastAsia="Arial" w:hAnsi="Arial"/>
                <w:sz w:val="18"/>
                <w:szCs w:val="18"/>
                <w:color w:val="auto"/>
              </w:rPr>
              <w:t>Form of Notice of Withdrawal.</w:t>
            </w: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(a)(1)(iv)</w:t>
            </w:r>
          </w:p>
        </w:tc>
        <w:tc>
          <w:tcPr>
            <w:tcW w:w="10320" w:type="dxa"/>
            <w:vAlign w:val="bottom"/>
          </w:tcPr>
          <w:p>
            <w:pPr>
              <w:ind w:left="400"/>
              <w:spacing w:after="0"/>
              <w:rPr>
                <w:sz w:val="20"/>
                <w:szCs w:val="20"/>
                <w:color w:val="auto"/>
              </w:rPr>
            </w:pPr>
            <w:r>
              <w:rPr>
                <w:rFonts w:ascii="Arial" w:cs="Arial" w:eastAsia="Arial" w:hAnsi="Arial"/>
                <w:sz w:val="18"/>
                <w:szCs w:val="18"/>
                <w:color w:val="auto"/>
              </w:rPr>
              <w:t>Form of Acceptance Letter.</w:t>
            </w: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(a)(1)(v)</w:t>
            </w:r>
          </w:p>
        </w:tc>
        <w:tc>
          <w:tcPr>
            <w:tcW w:w="10320" w:type="dxa"/>
            <w:vAlign w:val="bottom"/>
          </w:tcPr>
          <w:p>
            <w:pPr>
              <w:ind w:left="400"/>
              <w:spacing w:after="0"/>
              <w:rPr>
                <w:sz w:val="20"/>
                <w:szCs w:val="20"/>
                <w:color w:val="auto"/>
              </w:rPr>
            </w:pPr>
            <w:r>
              <w:rPr>
                <w:rFonts w:ascii="Arial" w:cs="Arial" w:eastAsia="Arial" w:hAnsi="Arial"/>
                <w:sz w:val="18"/>
                <w:szCs w:val="18"/>
                <w:color w:val="auto"/>
                <w:w w:val="92"/>
              </w:rPr>
              <w:t>Form of communication to Regeneron Pharmaceuticals, Inc. optionholders confirming receipt of Election Form or Notice of Withdrawal.</w:t>
            </w:r>
          </w:p>
        </w:tc>
      </w:tr>
      <w:tr>
        <w:trPr>
          <w:trHeight w:val="418"/>
        </w:trPr>
        <w:tc>
          <w:tcPr>
            <w:tcW w:w="1100" w:type="dxa"/>
            <w:vAlign w:val="bottom"/>
          </w:tcPr>
          <w:p>
            <w:pPr>
              <w:spacing w:after="0"/>
              <w:rPr>
                <w:sz w:val="20"/>
                <w:szCs w:val="20"/>
                <w:color w:val="auto"/>
              </w:rPr>
            </w:pPr>
            <w:r>
              <w:rPr>
                <w:rFonts w:ascii="Arial" w:cs="Arial" w:eastAsia="Arial" w:hAnsi="Arial"/>
                <w:sz w:val="18"/>
                <w:szCs w:val="18"/>
                <w:color w:val="auto"/>
              </w:rPr>
              <w:t>(a)(1)(vi)</w:t>
            </w:r>
          </w:p>
        </w:tc>
        <w:tc>
          <w:tcPr>
            <w:tcW w:w="10320" w:type="dxa"/>
            <w:vAlign w:val="bottom"/>
          </w:tcPr>
          <w:p>
            <w:pPr>
              <w:ind w:left="400"/>
              <w:spacing w:after="0"/>
              <w:rPr>
                <w:sz w:val="20"/>
                <w:szCs w:val="20"/>
                <w:color w:val="auto"/>
              </w:rPr>
            </w:pPr>
            <w:r>
              <w:rPr>
                <w:rFonts w:ascii="Arial" w:cs="Arial" w:eastAsia="Arial" w:hAnsi="Arial"/>
                <w:sz w:val="18"/>
                <w:szCs w:val="18"/>
                <w:color w:val="auto"/>
                <w:w w:val="97"/>
              </w:rPr>
              <w:t>Regeneron Pharmaceuticals, Inc. Quarterly Report on Form 10-Q for its fiscal quarter ended September 30, 2004, filed with the</w:t>
            </w:r>
          </w:p>
        </w:tc>
      </w:tr>
      <w:tr>
        <w:trPr>
          <w:trHeight w:val="230"/>
        </w:trPr>
        <w:tc>
          <w:tcPr>
            <w:tcW w:w="1100" w:type="dxa"/>
            <w:vAlign w:val="bottom"/>
          </w:tcPr>
          <w:p>
            <w:pPr>
              <w:spacing w:after="0"/>
              <w:rPr>
                <w:sz w:val="20"/>
                <w:szCs w:val="20"/>
                <w:color w:val="auto"/>
              </w:rPr>
            </w:pPr>
          </w:p>
        </w:tc>
        <w:tc>
          <w:tcPr>
            <w:tcW w:w="10320" w:type="dxa"/>
            <w:vAlign w:val="bottom"/>
          </w:tcPr>
          <w:p>
            <w:pPr>
              <w:ind w:left="400"/>
              <w:spacing w:after="0"/>
              <w:rPr>
                <w:sz w:val="20"/>
                <w:szCs w:val="20"/>
                <w:color w:val="auto"/>
              </w:rPr>
            </w:pPr>
            <w:r>
              <w:rPr>
                <w:rFonts w:ascii="Arial" w:cs="Arial" w:eastAsia="Arial" w:hAnsi="Arial"/>
                <w:sz w:val="18"/>
                <w:szCs w:val="18"/>
                <w:color w:val="auto"/>
              </w:rPr>
              <w:t>Securities and Exchange Commission on November 8, 2004 and incorporated herein by reference.</w:t>
            </w:r>
          </w:p>
        </w:tc>
      </w:tr>
      <w:tr>
        <w:trPr>
          <w:trHeight w:val="618"/>
        </w:trPr>
        <w:tc>
          <w:tcPr>
            <w:tcW w:w="1100" w:type="dxa"/>
            <w:vAlign w:val="bottom"/>
            <w:tcBorders>
              <w:bottom w:val="single" w:sz="8" w:color="808080"/>
            </w:tcBorders>
          </w:tcPr>
          <w:p>
            <w:pPr>
              <w:spacing w:after="0"/>
              <w:rPr>
                <w:sz w:val="24"/>
                <w:szCs w:val="24"/>
                <w:color w:val="auto"/>
              </w:rPr>
            </w:pPr>
          </w:p>
        </w:tc>
        <w:tc>
          <w:tcPr>
            <w:tcW w:w="103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(a)(1)(vii)</w:t>
            </w:r>
          </w:p>
        </w:tc>
        <w:tc>
          <w:tcPr>
            <w:tcW w:w="10160" w:type="dxa"/>
            <w:vAlign w:val="bottom"/>
          </w:tcPr>
          <w:p>
            <w:pPr>
              <w:ind w:left="360"/>
              <w:spacing w:after="0"/>
              <w:rPr>
                <w:sz w:val="20"/>
                <w:szCs w:val="20"/>
                <w:color w:val="auto"/>
              </w:rPr>
            </w:pPr>
            <w:r>
              <w:rPr>
                <w:rFonts w:ascii="Arial" w:cs="Arial" w:eastAsia="Arial" w:hAnsi="Arial"/>
                <w:sz w:val="18"/>
                <w:szCs w:val="18"/>
                <w:color w:val="auto"/>
                <w:w w:val="91"/>
              </w:rPr>
              <w:t>Regeneron Pharmaceuticals, Inc. Annual Report on Form 10-K/A for the fiscal year ending December 31, 2003 filed with the Securities</w:t>
            </w:r>
          </w:p>
        </w:tc>
      </w:tr>
      <w:tr>
        <w:trPr>
          <w:trHeight w:val="230"/>
        </w:trPr>
        <w:tc>
          <w:tcPr>
            <w:tcW w:w="1140" w:type="dxa"/>
            <w:vAlign w:val="bottom"/>
          </w:tcPr>
          <w:p>
            <w:pPr>
              <w:spacing w:after="0"/>
              <w:rPr>
                <w:sz w:val="20"/>
                <w:szCs w:val="20"/>
                <w:color w:val="auto"/>
              </w:rPr>
            </w:pPr>
          </w:p>
        </w:tc>
        <w:tc>
          <w:tcPr>
            <w:tcW w:w="10160" w:type="dxa"/>
            <w:vAlign w:val="bottom"/>
          </w:tcPr>
          <w:p>
            <w:pPr>
              <w:ind w:left="360"/>
              <w:spacing w:after="0"/>
              <w:rPr>
                <w:sz w:val="20"/>
                <w:szCs w:val="20"/>
                <w:color w:val="auto"/>
              </w:rPr>
            </w:pPr>
            <w:r>
              <w:rPr>
                <w:rFonts w:ascii="Arial" w:cs="Arial" w:eastAsia="Arial" w:hAnsi="Arial"/>
                <w:sz w:val="18"/>
                <w:szCs w:val="18"/>
                <w:color w:val="auto"/>
              </w:rPr>
              <w:t>and Exchange Commission on March 19, 2004 and incorporated herein by reference.</w:t>
            </w:r>
          </w:p>
        </w:tc>
      </w:tr>
      <w:tr>
        <w:trPr>
          <w:trHeight w:val="418"/>
        </w:trPr>
        <w:tc>
          <w:tcPr>
            <w:tcW w:w="1140" w:type="dxa"/>
            <w:vAlign w:val="bottom"/>
          </w:tcPr>
          <w:p>
            <w:pPr>
              <w:spacing w:after="0"/>
              <w:rPr>
                <w:sz w:val="20"/>
                <w:szCs w:val="20"/>
                <w:color w:val="auto"/>
              </w:rPr>
            </w:pPr>
            <w:r>
              <w:rPr>
                <w:rFonts w:ascii="Arial" w:cs="Arial" w:eastAsia="Arial" w:hAnsi="Arial"/>
                <w:sz w:val="18"/>
                <w:szCs w:val="18"/>
                <w:color w:val="auto"/>
              </w:rPr>
              <w:t>(a)(1)(viii)</w:t>
            </w:r>
          </w:p>
        </w:tc>
        <w:tc>
          <w:tcPr>
            <w:tcW w:w="10160" w:type="dxa"/>
            <w:vAlign w:val="bottom"/>
          </w:tcPr>
          <w:p>
            <w:pPr>
              <w:ind w:left="360"/>
              <w:spacing w:after="0"/>
              <w:rPr>
                <w:sz w:val="20"/>
                <w:szCs w:val="20"/>
                <w:color w:val="auto"/>
              </w:rPr>
            </w:pPr>
            <w:r>
              <w:rPr>
                <w:rFonts w:ascii="Arial" w:cs="Arial" w:eastAsia="Arial" w:hAnsi="Arial"/>
                <w:sz w:val="18"/>
                <w:szCs w:val="18"/>
                <w:color w:val="auto"/>
                <w:w w:val="90"/>
              </w:rPr>
              <w:t>E-mail communication to Regeneron Pharmaceuticals, Inc. employees dated November 17, 2004 filed as Exhibit 99.2 to the Company’s</w:t>
            </w:r>
          </w:p>
        </w:tc>
      </w:tr>
      <w:tr>
        <w:trPr>
          <w:trHeight w:val="230"/>
        </w:trPr>
        <w:tc>
          <w:tcPr>
            <w:tcW w:w="1140" w:type="dxa"/>
            <w:vAlign w:val="bottom"/>
          </w:tcPr>
          <w:p>
            <w:pPr>
              <w:spacing w:after="0"/>
              <w:rPr>
                <w:sz w:val="20"/>
                <w:szCs w:val="20"/>
                <w:color w:val="auto"/>
              </w:rPr>
            </w:pPr>
          </w:p>
        </w:tc>
        <w:tc>
          <w:tcPr>
            <w:tcW w:w="10160" w:type="dxa"/>
            <w:vAlign w:val="bottom"/>
          </w:tcPr>
          <w:p>
            <w:pPr>
              <w:ind w:left="360"/>
              <w:spacing w:after="0"/>
              <w:rPr>
                <w:sz w:val="20"/>
                <w:szCs w:val="20"/>
                <w:color w:val="auto"/>
              </w:rPr>
            </w:pPr>
            <w:r>
              <w:rPr>
                <w:rFonts w:ascii="Arial" w:cs="Arial" w:eastAsia="Arial" w:hAnsi="Arial"/>
                <w:sz w:val="18"/>
                <w:szCs w:val="18"/>
                <w:color w:val="auto"/>
                <w:w w:val="94"/>
              </w:rPr>
              <w:t>Schedule TO-C filed with the Securities and Exchange Commission on November 17, 2004 and incorporated herein by reference.</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(a)(2)</w:t>
            </w:r>
          </w:p>
        </w:tc>
        <w:tc>
          <w:tcPr>
            <w:tcW w:w="10160" w:type="dxa"/>
            <w:vAlign w:val="bottom"/>
          </w:tcPr>
          <w:p>
            <w:pPr>
              <w:ind w:left="360"/>
              <w:spacing w:after="0"/>
              <w:rPr>
                <w:sz w:val="20"/>
                <w:szCs w:val="20"/>
                <w:color w:val="auto"/>
              </w:rPr>
            </w:pPr>
            <w:r>
              <w:rPr>
                <w:rFonts w:ascii="Arial" w:cs="Arial" w:eastAsia="Arial" w:hAnsi="Arial"/>
                <w:sz w:val="18"/>
                <w:szCs w:val="18"/>
                <w:color w:val="auto"/>
              </w:rPr>
              <w:t>Not applicable.</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(a)(3)</w:t>
            </w:r>
          </w:p>
        </w:tc>
        <w:tc>
          <w:tcPr>
            <w:tcW w:w="10160" w:type="dxa"/>
            <w:vAlign w:val="bottom"/>
          </w:tcPr>
          <w:p>
            <w:pPr>
              <w:ind w:left="360"/>
              <w:spacing w:after="0"/>
              <w:rPr>
                <w:sz w:val="20"/>
                <w:szCs w:val="20"/>
                <w:color w:val="auto"/>
              </w:rPr>
            </w:pPr>
            <w:r>
              <w:rPr>
                <w:rFonts w:ascii="Arial" w:cs="Arial" w:eastAsia="Arial" w:hAnsi="Arial"/>
                <w:sz w:val="18"/>
                <w:szCs w:val="18"/>
                <w:color w:val="auto"/>
              </w:rPr>
              <w:t>Not applicable.</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(a)(4)</w:t>
            </w:r>
          </w:p>
        </w:tc>
        <w:tc>
          <w:tcPr>
            <w:tcW w:w="10160" w:type="dxa"/>
            <w:vAlign w:val="bottom"/>
          </w:tcPr>
          <w:p>
            <w:pPr>
              <w:ind w:left="360"/>
              <w:spacing w:after="0"/>
              <w:rPr>
                <w:sz w:val="20"/>
                <w:szCs w:val="20"/>
                <w:color w:val="auto"/>
              </w:rPr>
            </w:pPr>
            <w:r>
              <w:rPr>
                <w:rFonts w:ascii="Arial" w:cs="Arial" w:eastAsia="Arial" w:hAnsi="Arial"/>
                <w:sz w:val="18"/>
                <w:szCs w:val="18"/>
                <w:color w:val="auto"/>
              </w:rPr>
              <w:t>Not applicable.</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(a)(5)</w:t>
            </w:r>
          </w:p>
        </w:tc>
        <w:tc>
          <w:tcPr>
            <w:tcW w:w="10160" w:type="dxa"/>
            <w:vAlign w:val="bottom"/>
          </w:tcPr>
          <w:p>
            <w:pPr>
              <w:ind w:left="360"/>
              <w:spacing w:after="0"/>
              <w:rPr>
                <w:sz w:val="20"/>
                <w:szCs w:val="20"/>
                <w:color w:val="auto"/>
              </w:rPr>
            </w:pPr>
            <w:r>
              <w:rPr>
                <w:rFonts w:ascii="Arial" w:cs="Arial" w:eastAsia="Arial" w:hAnsi="Arial"/>
                <w:sz w:val="18"/>
                <w:szCs w:val="18"/>
                <w:color w:val="auto"/>
              </w:rPr>
              <w:t>Not applicable.</w:t>
            </w:r>
          </w:p>
        </w:tc>
      </w:tr>
    </w:tbl>
    <w:p>
      <w:pPr>
        <w:spacing w:after="0" w:line="202" w:lineRule="exact"/>
        <w:rPr>
          <w:sz w:val="20"/>
          <w:szCs w:val="20"/>
          <w:color w:val="auto"/>
        </w:rPr>
      </w:pPr>
    </w:p>
    <w:p>
      <w:pPr>
        <w:ind w:left="1500" w:hanging="1492"/>
        <w:spacing w:after="0"/>
        <w:tabs>
          <w:tab w:leader="none" w:pos="1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(d)(1)</w:t>
            </w:r>
          </w:p>
        </w:tc>
        <w:tc>
          <w:tcPr>
            <w:tcW w:w="10460" w:type="dxa"/>
            <w:vAlign w:val="bottom"/>
          </w:tcPr>
          <w:p>
            <w:pPr>
              <w:ind w:left="540"/>
              <w:spacing w:after="0"/>
              <w:rPr>
                <w:sz w:val="20"/>
                <w:szCs w:val="20"/>
                <w:color w:val="auto"/>
              </w:rPr>
            </w:pPr>
            <w:r>
              <w:rPr>
                <w:rFonts w:ascii="Arial" w:cs="Arial" w:eastAsia="Arial" w:hAnsi="Arial"/>
                <w:sz w:val="18"/>
                <w:szCs w:val="18"/>
                <w:color w:val="auto"/>
                <w:w w:val="96"/>
              </w:rPr>
              <w:t>Regeneron Pharmaceuticals, Inc. 1990 Long-Term Incentive Plan, as amended, filed as Exhibit 10.12 to Amendment No. 4 to the</w:t>
            </w:r>
          </w:p>
        </w:tc>
      </w:tr>
      <w:tr>
        <w:trPr>
          <w:trHeight w:val="216"/>
        </w:trPr>
        <w:tc>
          <w:tcPr>
            <w:tcW w:w="960" w:type="dxa"/>
            <w:vAlign w:val="bottom"/>
          </w:tcPr>
          <w:p>
            <w:pPr>
              <w:spacing w:after="0"/>
              <w:rPr>
                <w:sz w:val="18"/>
                <w:szCs w:val="18"/>
                <w:color w:val="auto"/>
              </w:rPr>
            </w:pPr>
          </w:p>
        </w:tc>
        <w:tc>
          <w:tcPr>
            <w:tcW w:w="10460" w:type="dxa"/>
            <w:vAlign w:val="bottom"/>
          </w:tcPr>
          <w:p>
            <w:pPr>
              <w:ind w:left="540"/>
              <w:spacing w:after="0"/>
              <w:rPr>
                <w:sz w:val="20"/>
                <w:szCs w:val="20"/>
                <w:color w:val="auto"/>
              </w:rPr>
            </w:pPr>
            <w:r>
              <w:rPr>
                <w:rFonts w:ascii="Arial" w:cs="Arial" w:eastAsia="Arial" w:hAnsi="Arial"/>
                <w:sz w:val="18"/>
                <w:szCs w:val="18"/>
                <w:color w:val="auto"/>
                <w:w w:val="95"/>
              </w:rPr>
              <w:t>Company’s Registration Statement on Form S-1, filed with the Securities and Exchange Commission on April 2, 1991 (Registration</w:t>
            </w:r>
          </w:p>
        </w:tc>
      </w:tr>
      <w:tr>
        <w:trPr>
          <w:trHeight w:val="230"/>
        </w:trPr>
        <w:tc>
          <w:tcPr>
            <w:tcW w:w="960" w:type="dxa"/>
            <w:vAlign w:val="bottom"/>
          </w:tcPr>
          <w:p>
            <w:pPr>
              <w:spacing w:after="0"/>
              <w:rPr>
                <w:sz w:val="20"/>
                <w:szCs w:val="20"/>
                <w:color w:val="auto"/>
              </w:rPr>
            </w:pPr>
          </w:p>
        </w:tc>
        <w:tc>
          <w:tcPr>
            <w:tcW w:w="10460" w:type="dxa"/>
            <w:vAlign w:val="bottom"/>
          </w:tcPr>
          <w:p>
            <w:pPr>
              <w:ind w:left="540"/>
              <w:spacing w:after="0"/>
              <w:rPr>
                <w:sz w:val="20"/>
                <w:szCs w:val="20"/>
                <w:color w:val="auto"/>
              </w:rPr>
            </w:pPr>
            <w:r>
              <w:rPr>
                <w:rFonts w:ascii="Arial" w:cs="Arial" w:eastAsia="Arial" w:hAnsi="Arial"/>
                <w:sz w:val="18"/>
                <w:szCs w:val="18"/>
                <w:color w:val="auto"/>
              </w:rPr>
              <w:t>Statement No. 033-39043) and incorporated herein by reference.</w:t>
            </w: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(d)(2)</w:t>
            </w:r>
          </w:p>
        </w:tc>
        <w:tc>
          <w:tcPr>
            <w:tcW w:w="10460" w:type="dxa"/>
            <w:vAlign w:val="bottom"/>
          </w:tcPr>
          <w:p>
            <w:pPr>
              <w:ind w:left="540"/>
              <w:spacing w:after="0"/>
              <w:rPr>
                <w:sz w:val="20"/>
                <w:szCs w:val="20"/>
                <w:color w:val="auto"/>
              </w:rPr>
            </w:pPr>
            <w:r>
              <w:rPr>
                <w:rFonts w:ascii="Arial" w:cs="Arial" w:eastAsia="Arial" w:hAnsi="Arial"/>
                <w:sz w:val="18"/>
                <w:szCs w:val="18"/>
                <w:color w:val="auto"/>
                <w:w w:val="90"/>
              </w:rPr>
              <w:t>Regeneron Pharmaceuticals, Inc. 2000 Long-Term Incentive Plan, filed as Exhibit 10.6 to the Form 10-K for Regeneron Pharmaceuticals,</w:t>
            </w:r>
          </w:p>
        </w:tc>
      </w:tr>
      <w:tr>
        <w:trPr>
          <w:trHeight w:val="216"/>
        </w:trPr>
        <w:tc>
          <w:tcPr>
            <w:tcW w:w="960" w:type="dxa"/>
            <w:vAlign w:val="bottom"/>
          </w:tcPr>
          <w:p>
            <w:pPr>
              <w:spacing w:after="0"/>
              <w:rPr>
                <w:sz w:val="18"/>
                <w:szCs w:val="18"/>
                <w:color w:val="auto"/>
              </w:rPr>
            </w:pPr>
          </w:p>
        </w:tc>
        <w:tc>
          <w:tcPr>
            <w:tcW w:w="10460" w:type="dxa"/>
            <w:vAlign w:val="bottom"/>
          </w:tcPr>
          <w:p>
            <w:pPr>
              <w:ind w:left="540"/>
              <w:spacing w:after="0"/>
              <w:rPr>
                <w:sz w:val="20"/>
                <w:szCs w:val="20"/>
                <w:color w:val="auto"/>
              </w:rPr>
            </w:pPr>
            <w:r>
              <w:rPr>
                <w:rFonts w:ascii="Arial" w:cs="Arial" w:eastAsia="Arial" w:hAnsi="Arial"/>
                <w:sz w:val="18"/>
                <w:szCs w:val="18"/>
                <w:color w:val="auto"/>
                <w:w w:val="99"/>
              </w:rPr>
              <w:t>Inc. for the fiscal year ended December 31, 2001, filed with the Securities and Exchange Commission on March 22, 2002 and</w:t>
            </w:r>
          </w:p>
        </w:tc>
      </w:tr>
      <w:tr>
        <w:trPr>
          <w:trHeight w:val="230"/>
        </w:trPr>
        <w:tc>
          <w:tcPr>
            <w:tcW w:w="960" w:type="dxa"/>
            <w:vAlign w:val="bottom"/>
          </w:tcPr>
          <w:p>
            <w:pPr>
              <w:spacing w:after="0"/>
              <w:rPr>
                <w:sz w:val="20"/>
                <w:szCs w:val="20"/>
                <w:color w:val="auto"/>
              </w:rPr>
            </w:pPr>
          </w:p>
        </w:tc>
        <w:tc>
          <w:tcPr>
            <w:tcW w:w="10460" w:type="dxa"/>
            <w:vAlign w:val="bottom"/>
          </w:tcPr>
          <w:p>
            <w:pPr>
              <w:ind w:left="540"/>
              <w:spacing w:after="0"/>
              <w:rPr>
                <w:sz w:val="20"/>
                <w:szCs w:val="20"/>
                <w:color w:val="auto"/>
              </w:rPr>
            </w:pPr>
            <w:r>
              <w:rPr>
                <w:rFonts w:ascii="Arial" w:cs="Arial" w:eastAsia="Arial" w:hAnsi="Arial"/>
                <w:sz w:val="18"/>
                <w:szCs w:val="18"/>
                <w:color w:val="auto"/>
              </w:rPr>
              <w:t>incorporated herein by reference.</w:t>
            </w: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(d)(3)</w:t>
            </w:r>
          </w:p>
        </w:tc>
        <w:tc>
          <w:tcPr>
            <w:tcW w:w="10460" w:type="dxa"/>
            <w:vAlign w:val="bottom"/>
          </w:tcPr>
          <w:p>
            <w:pPr>
              <w:ind w:left="540"/>
              <w:spacing w:after="0"/>
              <w:rPr>
                <w:sz w:val="20"/>
                <w:szCs w:val="20"/>
                <w:color w:val="auto"/>
              </w:rPr>
            </w:pPr>
            <w:r>
              <w:rPr>
                <w:rFonts w:ascii="Arial" w:cs="Arial" w:eastAsia="Arial" w:hAnsi="Arial"/>
                <w:sz w:val="18"/>
                <w:szCs w:val="18"/>
                <w:color w:val="auto"/>
                <w:w w:val="99"/>
              </w:rPr>
              <w:t>Amendment No. 1 to Regeneron Pharmaceuticals, Inc. 2000 Long-Term Incentive Plan, effective as of June 14, 2002, filed as</w:t>
            </w:r>
          </w:p>
        </w:tc>
      </w:tr>
      <w:tr>
        <w:trPr>
          <w:trHeight w:val="216"/>
        </w:trPr>
        <w:tc>
          <w:tcPr>
            <w:tcW w:w="960" w:type="dxa"/>
            <w:vAlign w:val="bottom"/>
          </w:tcPr>
          <w:p>
            <w:pPr>
              <w:spacing w:after="0"/>
              <w:rPr>
                <w:sz w:val="18"/>
                <w:szCs w:val="18"/>
                <w:color w:val="auto"/>
              </w:rPr>
            </w:pPr>
          </w:p>
        </w:tc>
        <w:tc>
          <w:tcPr>
            <w:tcW w:w="10460" w:type="dxa"/>
            <w:vAlign w:val="bottom"/>
          </w:tcPr>
          <w:p>
            <w:pPr>
              <w:ind w:left="540"/>
              <w:spacing w:after="0"/>
              <w:rPr>
                <w:sz w:val="20"/>
                <w:szCs w:val="20"/>
                <w:color w:val="auto"/>
              </w:rPr>
            </w:pPr>
            <w:r>
              <w:rPr>
                <w:rFonts w:ascii="Arial" w:cs="Arial" w:eastAsia="Arial" w:hAnsi="Arial"/>
                <w:sz w:val="18"/>
                <w:szCs w:val="18"/>
                <w:color w:val="auto"/>
                <w:w w:val="97"/>
              </w:rPr>
              <w:t>Exhibit 10.6.1 to the Form 10-K for Regeneron Pharmaceuticals, Inc. for the fiscal year ended December 31, 2002, filed with the</w:t>
            </w:r>
          </w:p>
        </w:tc>
      </w:tr>
      <w:tr>
        <w:trPr>
          <w:trHeight w:val="230"/>
        </w:trPr>
        <w:tc>
          <w:tcPr>
            <w:tcW w:w="960" w:type="dxa"/>
            <w:vAlign w:val="bottom"/>
          </w:tcPr>
          <w:p>
            <w:pPr>
              <w:spacing w:after="0"/>
              <w:rPr>
                <w:sz w:val="20"/>
                <w:szCs w:val="20"/>
                <w:color w:val="auto"/>
              </w:rPr>
            </w:pPr>
          </w:p>
        </w:tc>
        <w:tc>
          <w:tcPr>
            <w:tcW w:w="10460" w:type="dxa"/>
            <w:vAlign w:val="bottom"/>
          </w:tcPr>
          <w:p>
            <w:pPr>
              <w:ind w:left="540"/>
              <w:spacing w:after="0"/>
              <w:rPr>
                <w:sz w:val="20"/>
                <w:szCs w:val="20"/>
                <w:color w:val="auto"/>
              </w:rPr>
            </w:pPr>
            <w:r>
              <w:rPr>
                <w:rFonts w:ascii="Arial" w:cs="Arial" w:eastAsia="Arial" w:hAnsi="Arial"/>
                <w:sz w:val="18"/>
                <w:szCs w:val="18"/>
                <w:color w:val="auto"/>
              </w:rPr>
              <w:t>Securities and Exchange Commission on March 31, 2003 and incorporated herein by reference.</w:t>
            </w: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(d)(4)</w:t>
            </w:r>
          </w:p>
        </w:tc>
        <w:tc>
          <w:tcPr>
            <w:tcW w:w="10460" w:type="dxa"/>
            <w:vAlign w:val="bottom"/>
          </w:tcPr>
          <w:p>
            <w:pPr>
              <w:ind w:left="540"/>
              <w:spacing w:after="0"/>
              <w:rPr>
                <w:sz w:val="20"/>
                <w:szCs w:val="20"/>
                <w:color w:val="auto"/>
              </w:rPr>
            </w:pPr>
            <w:r>
              <w:rPr>
                <w:rFonts w:ascii="Arial" w:cs="Arial" w:eastAsia="Arial" w:hAnsi="Arial"/>
                <w:sz w:val="18"/>
                <w:szCs w:val="18"/>
                <w:color w:val="auto"/>
                <w:w w:val="94"/>
              </w:rPr>
              <w:t>Amendment No. 2 to Regeneron Pharmaceuticals, Inc. 2000 Long-Term Incentive Plan, effective as of December 20, 2002, filed as</w:t>
            </w:r>
          </w:p>
        </w:tc>
      </w:tr>
      <w:tr>
        <w:trPr>
          <w:trHeight w:val="216"/>
        </w:trPr>
        <w:tc>
          <w:tcPr>
            <w:tcW w:w="960" w:type="dxa"/>
            <w:vAlign w:val="bottom"/>
          </w:tcPr>
          <w:p>
            <w:pPr>
              <w:spacing w:after="0"/>
              <w:rPr>
                <w:sz w:val="18"/>
                <w:szCs w:val="18"/>
                <w:color w:val="auto"/>
              </w:rPr>
            </w:pPr>
          </w:p>
        </w:tc>
        <w:tc>
          <w:tcPr>
            <w:tcW w:w="10460" w:type="dxa"/>
            <w:vAlign w:val="bottom"/>
          </w:tcPr>
          <w:p>
            <w:pPr>
              <w:ind w:left="540"/>
              <w:spacing w:after="0"/>
              <w:rPr>
                <w:sz w:val="20"/>
                <w:szCs w:val="20"/>
                <w:color w:val="auto"/>
              </w:rPr>
            </w:pPr>
            <w:r>
              <w:rPr>
                <w:rFonts w:ascii="Arial" w:cs="Arial" w:eastAsia="Arial" w:hAnsi="Arial"/>
                <w:sz w:val="18"/>
                <w:szCs w:val="18"/>
                <w:color w:val="auto"/>
                <w:w w:val="97"/>
              </w:rPr>
              <w:t>Exhibit 10.6.2 to the Form 10-K for Regeneron Pharmaceuticals, Inc. for the fiscal year ended December 31, 2002, filed with the</w:t>
            </w:r>
          </w:p>
        </w:tc>
      </w:tr>
      <w:tr>
        <w:trPr>
          <w:trHeight w:val="230"/>
        </w:trPr>
        <w:tc>
          <w:tcPr>
            <w:tcW w:w="960" w:type="dxa"/>
            <w:vAlign w:val="bottom"/>
          </w:tcPr>
          <w:p>
            <w:pPr>
              <w:spacing w:after="0"/>
              <w:rPr>
                <w:sz w:val="20"/>
                <w:szCs w:val="20"/>
                <w:color w:val="auto"/>
              </w:rPr>
            </w:pPr>
          </w:p>
        </w:tc>
        <w:tc>
          <w:tcPr>
            <w:tcW w:w="10460" w:type="dxa"/>
            <w:vAlign w:val="bottom"/>
          </w:tcPr>
          <w:p>
            <w:pPr>
              <w:ind w:left="540"/>
              <w:spacing w:after="0"/>
              <w:rPr>
                <w:sz w:val="20"/>
                <w:szCs w:val="20"/>
                <w:color w:val="auto"/>
              </w:rPr>
            </w:pPr>
            <w:r>
              <w:rPr>
                <w:rFonts w:ascii="Arial" w:cs="Arial" w:eastAsia="Arial" w:hAnsi="Arial"/>
                <w:sz w:val="18"/>
                <w:szCs w:val="18"/>
                <w:color w:val="auto"/>
              </w:rPr>
              <w:t>Securities and Exchange Commission on March 31, 2003 and incorporated herein by reference.</w:t>
            </w: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(d)(5)</w:t>
            </w:r>
          </w:p>
        </w:tc>
        <w:tc>
          <w:tcPr>
            <w:tcW w:w="10460" w:type="dxa"/>
            <w:vAlign w:val="bottom"/>
          </w:tcPr>
          <w:p>
            <w:pPr>
              <w:ind w:left="540"/>
              <w:spacing w:after="0"/>
              <w:rPr>
                <w:sz w:val="20"/>
                <w:szCs w:val="20"/>
                <w:color w:val="auto"/>
              </w:rPr>
            </w:pPr>
            <w:r>
              <w:rPr>
                <w:rFonts w:ascii="Arial" w:cs="Arial" w:eastAsia="Arial" w:hAnsi="Arial"/>
                <w:sz w:val="18"/>
                <w:szCs w:val="18"/>
                <w:color w:val="auto"/>
                <w:w w:val="99"/>
              </w:rPr>
              <w:t>Amendment No. 3 to Regeneron Pharmaceuticals, Inc. 2000 Long-Term Incentive Plan, effective as of June 14, 2004, filed as</w:t>
            </w:r>
          </w:p>
        </w:tc>
      </w:tr>
      <w:tr>
        <w:trPr>
          <w:trHeight w:val="216"/>
        </w:trPr>
        <w:tc>
          <w:tcPr>
            <w:tcW w:w="960" w:type="dxa"/>
            <w:vAlign w:val="bottom"/>
          </w:tcPr>
          <w:p>
            <w:pPr>
              <w:spacing w:after="0"/>
              <w:rPr>
                <w:sz w:val="18"/>
                <w:szCs w:val="18"/>
                <w:color w:val="auto"/>
              </w:rPr>
            </w:pPr>
          </w:p>
        </w:tc>
        <w:tc>
          <w:tcPr>
            <w:tcW w:w="10460" w:type="dxa"/>
            <w:vAlign w:val="bottom"/>
          </w:tcPr>
          <w:p>
            <w:pPr>
              <w:ind w:left="540"/>
              <w:spacing w:after="0"/>
              <w:rPr>
                <w:sz w:val="20"/>
                <w:szCs w:val="20"/>
                <w:color w:val="auto"/>
              </w:rPr>
            </w:pPr>
            <w:r>
              <w:rPr>
                <w:rFonts w:ascii="Arial" w:cs="Arial" w:eastAsia="Arial" w:hAnsi="Arial"/>
                <w:sz w:val="18"/>
                <w:szCs w:val="18"/>
                <w:color w:val="auto"/>
                <w:w w:val="97"/>
              </w:rPr>
              <w:t>Exhibit 10.6.3 to the Form 10-Q for Regeneron Pharmaceuticals, Inc. for the quarterly period ended June 30, 2004, filed with the</w:t>
            </w:r>
          </w:p>
        </w:tc>
      </w:tr>
      <w:tr>
        <w:trPr>
          <w:trHeight w:val="230"/>
        </w:trPr>
        <w:tc>
          <w:tcPr>
            <w:tcW w:w="960" w:type="dxa"/>
            <w:vAlign w:val="bottom"/>
          </w:tcPr>
          <w:p>
            <w:pPr>
              <w:spacing w:after="0"/>
              <w:rPr>
                <w:sz w:val="20"/>
                <w:szCs w:val="20"/>
                <w:color w:val="auto"/>
              </w:rPr>
            </w:pPr>
          </w:p>
        </w:tc>
        <w:tc>
          <w:tcPr>
            <w:tcW w:w="10460" w:type="dxa"/>
            <w:vAlign w:val="bottom"/>
          </w:tcPr>
          <w:p>
            <w:pPr>
              <w:ind w:left="540"/>
              <w:spacing w:after="0"/>
              <w:rPr>
                <w:sz w:val="20"/>
                <w:szCs w:val="20"/>
                <w:color w:val="auto"/>
              </w:rPr>
            </w:pPr>
            <w:r>
              <w:rPr>
                <w:rFonts w:ascii="Arial" w:cs="Arial" w:eastAsia="Arial" w:hAnsi="Arial"/>
                <w:sz w:val="18"/>
                <w:szCs w:val="18"/>
                <w:color w:val="auto"/>
              </w:rPr>
              <w:t>Securities and Exchange Commission on August 5, 2004 and incorporated herein by reference.</w:t>
            </w: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(d)(6)</w:t>
            </w:r>
          </w:p>
        </w:tc>
        <w:tc>
          <w:tcPr>
            <w:tcW w:w="10460" w:type="dxa"/>
            <w:vAlign w:val="bottom"/>
          </w:tcPr>
          <w:p>
            <w:pPr>
              <w:ind w:left="540"/>
              <w:spacing w:after="0"/>
              <w:rPr>
                <w:sz w:val="20"/>
                <w:szCs w:val="20"/>
                <w:color w:val="auto"/>
              </w:rPr>
            </w:pPr>
            <w:r>
              <w:rPr>
                <w:rFonts w:ascii="Arial" w:cs="Arial" w:eastAsia="Arial" w:hAnsi="Arial"/>
                <w:sz w:val="18"/>
                <w:szCs w:val="18"/>
                <w:color w:val="auto"/>
                <w:w w:val="95"/>
              </w:rPr>
              <w:t>Amendment No. 4 to the Regeneron Pharmaceuticals, Inc. 2000 Long-Term Incentive Plan, included as Annex A to the Company’s</w:t>
            </w:r>
          </w:p>
        </w:tc>
      </w:tr>
      <w:tr>
        <w:trPr>
          <w:trHeight w:val="216"/>
        </w:trPr>
        <w:tc>
          <w:tcPr>
            <w:tcW w:w="960" w:type="dxa"/>
            <w:vAlign w:val="bottom"/>
          </w:tcPr>
          <w:p>
            <w:pPr>
              <w:spacing w:after="0"/>
              <w:rPr>
                <w:sz w:val="18"/>
                <w:szCs w:val="18"/>
                <w:color w:val="auto"/>
              </w:rPr>
            </w:pPr>
          </w:p>
        </w:tc>
        <w:tc>
          <w:tcPr>
            <w:tcW w:w="10460" w:type="dxa"/>
            <w:vAlign w:val="bottom"/>
          </w:tcPr>
          <w:p>
            <w:pPr>
              <w:ind w:left="540"/>
              <w:spacing w:after="0"/>
              <w:rPr>
                <w:sz w:val="20"/>
                <w:szCs w:val="20"/>
                <w:color w:val="auto"/>
              </w:rPr>
            </w:pPr>
            <w:r>
              <w:rPr>
                <w:rFonts w:ascii="Arial" w:cs="Arial" w:eastAsia="Arial" w:hAnsi="Arial"/>
                <w:sz w:val="18"/>
                <w:szCs w:val="18"/>
                <w:color w:val="auto"/>
                <w:w w:val="91"/>
              </w:rPr>
              <w:t>definitive proxy statement on Schedule 14A filed with the Securities and Exchange Commission on November 29, 2004 and incorporated</w:t>
            </w:r>
          </w:p>
        </w:tc>
      </w:tr>
      <w:tr>
        <w:trPr>
          <w:trHeight w:val="230"/>
        </w:trPr>
        <w:tc>
          <w:tcPr>
            <w:tcW w:w="960" w:type="dxa"/>
            <w:vAlign w:val="bottom"/>
          </w:tcPr>
          <w:p>
            <w:pPr>
              <w:spacing w:after="0"/>
              <w:rPr>
                <w:sz w:val="20"/>
                <w:szCs w:val="20"/>
                <w:color w:val="auto"/>
              </w:rPr>
            </w:pPr>
          </w:p>
        </w:tc>
        <w:tc>
          <w:tcPr>
            <w:tcW w:w="10460" w:type="dxa"/>
            <w:vAlign w:val="bottom"/>
          </w:tcPr>
          <w:p>
            <w:pPr>
              <w:ind w:left="540"/>
              <w:spacing w:after="0"/>
              <w:rPr>
                <w:sz w:val="20"/>
                <w:szCs w:val="20"/>
                <w:color w:val="auto"/>
              </w:rPr>
            </w:pPr>
            <w:r>
              <w:rPr>
                <w:rFonts w:ascii="Arial" w:cs="Arial" w:eastAsia="Arial" w:hAnsi="Arial"/>
                <w:sz w:val="18"/>
                <w:szCs w:val="18"/>
                <w:color w:val="auto"/>
              </w:rPr>
              <w:t>herein by reference.</w:t>
            </w: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(d)(7)</w:t>
            </w:r>
          </w:p>
        </w:tc>
        <w:tc>
          <w:tcPr>
            <w:tcW w:w="10460" w:type="dxa"/>
            <w:vAlign w:val="bottom"/>
          </w:tcPr>
          <w:p>
            <w:pPr>
              <w:ind w:left="540"/>
              <w:spacing w:after="0"/>
              <w:rPr>
                <w:sz w:val="20"/>
                <w:szCs w:val="20"/>
                <w:color w:val="auto"/>
              </w:rPr>
            </w:pPr>
            <w:r>
              <w:rPr>
                <w:rFonts w:ascii="Arial" w:cs="Arial" w:eastAsia="Arial" w:hAnsi="Arial"/>
                <w:sz w:val="18"/>
                <w:szCs w:val="18"/>
                <w:color w:val="auto"/>
                <w:w w:val="90"/>
              </w:rPr>
              <w:t>Form of Replacement Option Agreement and Notice of Grant of Replacement Options for employees of Regeneron Pharmaceuticals, Inc.</w:t>
            </w:r>
          </w:p>
        </w:tc>
      </w:tr>
      <w:tr>
        <w:trPr>
          <w:trHeight w:val="230"/>
        </w:trPr>
        <w:tc>
          <w:tcPr>
            <w:tcW w:w="960" w:type="dxa"/>
            <w:vAlign w:val="bottom"/>
          </w:tcPr>
          <w:p>
            <w:pPr>
              <w:spacing w:after="0"/>
              <w:rPr>
                <w:sz w:val="20"/>
                <w:szCs w:val="20"/>
                <w:color w:val="auto"/>
              </w:rPr>
            </w:pPr>
          </w:p>
        </w:tc>
        <w:tc>
          <w:tcPr>
            <w:tcW w:w="10460" w:type="dxa"/>
            <w:vAlign w:val="bottom"/>
          </w:tcPr>
          <w:p>
            <w:pPr>
              <w:ind w:left="540"/>
              <w:spacing w:after="0"/>
              <w:rPr>
                <w:sz w:val="20"/>
                <w:szCs w:val="20"/>
                <w:color w:val="auto"/>
              </w:rPr>
            </w:pPr>
            <w:r>
              <w:rPr>
                <w:rFonts w:ascii="Arial" w:cs="Arial" w:eastAsia="Arial" w:hAnsi="Arial"/>
                <w:sz w:val="18"/>
                <w:szCs w:val="18"/>
                <w:color w:val="auto"/>
              </w:rPr>
              <w:t>other than vice presidents.</w:t>
            </w: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(d)(8)</w:t>
            </w:r>
          </w:p>
        </w:tc>
        <w:tc>
          <w:tcPr>
            <w:tcW w:w="10460" w:type="dxa"/>
            <w:vAlign w:val="bottom"/>
          </w:tcPr>
          <w:p>
            <w:pPr>
              <w:ind w:left="540"/>
              <w:spacing w:after="0"/>
              <w:rPr>
                <w:sz w:val="20"/>
                <w:szCs w:val="20"/>
                <w:color w:val="auto"/>
              </w:rPr>
            </w:pPr>
            <w:r>
              <w:rPr>
                <w:rFonts w:ascii="Arial" w:cs="Arial" w:eastAsia="Arial" w:hAnsi="Arial"/>
                <w:sz w:val="18"/>
                <w:szCs w:val="18"/>
                <w:color w:val="auto"/>
                <w:w w:val="90"/>
              </w:rPr>
              <w:t>Form of Replacement Option Agreement and Notice of Grant of Replacement Options for vice presidents of Regeneron Pharmaceuticals,</w:t>
            </w:r>
          </w:p>
        </w:tc>
      </w:tr>
      <w:tr>
        <w:trPr>
          <w:trHeight w:val="230"/>
        </w:trPr>
        <w:tc>
          <w:tcPr>
            <w:tcW w:w="960" w:type="dxa"/>
            <w:vAlign w:val="bottom"/>
          </w:tcPr>
          <w:p>
            <w:pPr>
              <w:spacing w:after="0"/>
              <w:rPr>
                <w:sz w:val="20"/>
                <w:szCs w:val="20"/>
                <w:color w:val="auto"/>
              </w:rPr>
            </w:pPr>
          </w:p>
        </w:tc>
        <w:tc>
          <w:tcPr>
            <w:tcW w:w="10460" w:type="dxa"/>
            <w:vAlign w:val="bottom"/>
          </w:tcPr>
          <w:p>
            <w:pPr>
              <w:ind w:left="540"/>
              <w:spacing w:after="0"/>
              <w:rPr>
                <w:sz w:val="20"/>
                <w:szCs w:val="20"/>
                <w:color w:val="auto"/>
              </w:rPr>
            </w:pPr>
            <w:r>
              <w:rPr>
                <w:rFonts w:ascii="Arial" w:cs="Arial" w:eastAsia="Arial" w:hAnsi="Arial"/>
                <w:sz w:val="18"/>
                <w:szCs w:val="18"/>
                <w:color w:val="auto"/>
              </w:rPr>
              <w:t>Inc.</w:t>
            </w:r>
          </w:p>
        </w:tc>
      </w:tr>
      <w:tr>
        <w:trPr>
          <w:trHeight w:val="632"/>
        </w:trPr>
        <w:tc>
          <w:tcPr>
            <w:tcW w:w="960" w:type="dxa"/>
            <w:vAlign w:val="bottom"/>
            <w:tcBorders>
              <w:bottom w:val="single" w:sz="8" w:color="808080"/>
            </w:tcBorders>
          </w:tcPr>
          <w:p>
            <w:pPr>
              <w:spacing w:after="0"/>
              <w:rPr>
                <w:sz w:val="24"/>
                <w:szCs w:val="24"/>
                <w:color w:val="auto"/>
              </w:rPr>
            </w:pPr>
          </w:p>
        </w:tc>
        <w:tc>
          <w:tcPr>
            <w:tcW w:w="104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(d)(9)</w:t>
            </w:r>
          </w:p>
        </w:tc>
        <w:tc>
          <w:tcPr>
            <w:tcW w:w="10420" w:type="dxa"/>
            <w:vAlign w:val="bottom"/>
          </w:tcPr>
          <w:p>
            <w:pPr>
              <w:ind w:left="500"/>
              <w:spacing w:after="0"/>
              <w:rPr>
                <w:sz w:val="20"/>
                <w:szCs w:val="20"/>
                <w:color w:val="auto"/>
              </w:rPr>
            </w:pPr>
            <w:r>
              <w:rPr>
                <w:rFonts w:ascii="Arial" w:cs="Arial" w:eastAsia="Arial" w:hAnsi="Arial"/>
                <w:sz w:val="18"/>
                <w:szCs w:val="18"/>
                <w:color w:val="auto"/>
                <w:w w:val="95"/>
              </w:rPr>
              <w:t>Form of Replacement Option Agreement and Notice of Grant of Replacement Options for senior vice presidents and executive vice</w:t>
            </w:r>
          </w:p>
        </w:tc>
      </w:tr>
      <w:tr>
        <w:trPr>
          <w:trHeight w:val="230"/>
        </w:trPr>
        <w:tc>
          <w:tcPr>
            <w:tcW w:w="1000" w:type="dxa"/>
            <w:vAlign w:val="bottom"/>
          </w:tcPr>
          <w:p>
            <w:pPr>
              <w:spacing w:after="0"/>
              <w:rPr>
                <w:sz w:val="20"/>
                <w:szCs w:val="20"/>
                <w:color w:val="auto"/>
              </w:rPr>
            </w:pPr>
          </w:p>
        </w:tc>
        <w:tc>
          <w:tcPr>
            <w:tcW w:w="10420" w:type="dxa"/>
            <w:vAlign w:val="bottom"/>
          </w:tcPr>
          <w:p>
            <w:pPr>
              <w:ind w:left="500"/>
              <w:spacing w:after="0"/>
              <w:rPr>
                <w:sz w:val="20"/>
                <w:szCs w:val="20"/>
                <w:color w:val="auto"/>
              </w:rPr>
            </w:pPr>
            <w:r>
              <w:rPr>
                <w:rFonts w:ascii="Arial" w:cs="Arial" w:eastAsia="Arial" w:hAnsi="Arial"/>
                <w:sz w:val="18"/>
                <w:szCs w:val="18"/>
                <w:color w:val="auto"/>
              </w:rPr>
              <w:t>presidents of Regeneron Pharmaceuticals, Inc.</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(d)(10)</w:t>
            </w:r>
          </w:p>
        </w:tc>
        <w:tc>
          <w:tcPr>
            <w:tcW w:w="10420" w:type="dxa"/>
            <w:vAlign w:val="bottom"/>
          </w:tcPr>
          <w:p>
            <w:pPr>
              <w:ind w:left="500"/>
              <w:spacing w:after="0"/>
              <w:rPr>
                <w:sz w:val="20"/>
                <w:szCs w:val="20"/>
                <w:color w:val="auto"/>
              </w:rPr>
            </w:pPr>
            <w:r>
              <w:rPr>
                <w:rFonts w:ascii="Arial" w:cs="Arial" w:eastAsia="Arial" w:hAnsi="Arial"/>
                <w:sz w:val="18"/>
                <w:szCs w:val="18"/>
                <w:color w:val="auto"/>
                <w:w w:val="91"/>
              </w:rPr>
              <w:t>Regeneron Pharmaceuticals, Inc. Registration Statements relating to Securities to be offered to employees pursuant to employee benefit</w:t>
            </w:r>
          </w:p>
        </w:tc>
      </w:tr>
      <w:tr>
        <w:trPr>
          <w:trHeight w:val="216"/>
        </w:trPr>
        <w:tc>
          <w:tcPr>
            <w:tcW w:w="1000" w:type="dxa"/>
            <w:vAlign w:val="bottom"/>
          </w:tcPr>
          <w:p>
            <w:pPr>
              <w:spacing w:after="0"/>
              <w:rPr>
                <w:sz w:val="18"/>
                <w:szCs w:val="18"/>
                <w:color w:val="auto"/>
              </w:rPr>
            </w:pPr>
          </w:p>
        </w:tc>
        <w:tc>
          <w:tcPr>
            <w:tcW w:w="10420" w:type="dxa"/>
            <w:vAlign w:val="bottom"/>
          </w:tcPr>
          <w:p>
            <w:pPr>
              <w:ind w:left="500"/>
              <w:spacing w:after="0"/>
              <w:rPr>
                <w:sz w:val="20"/>
                <w:szCs w:val="20"/>
                <w:color w:val="auto"/>
              </w:rPr>
            </w:pPr>
            <w:r>
              <w:rPr>
                <w:rFonts w:ascii="Arial" w:cs="Arial" w:eastAsia="Arial" w:hAnsi="Arial"/>
                <w:sz w:val="18"/>
                <w:szCs w:val="18"/>
                <w:color w:val="auto"/>
                <w:w w:val="93"/>
              </w:rPr>
              <w:t>plans on Form S-8 and Form S-8 POS, filed with the Securities and Exchange Commission on August 19, 1997 (File No. 333-33891),</w:t>
            </w:r>
          </w:p>
        </w:tc>
      </w:tr>
      <w:tr>
        <w:trPr>
          <w:trHeight w:val="216"/>
        </w:trPr>
        <w:tc>
          <w:tcPr>
            <w:tcW w:w="1000" w:type="dxa"/>
            <w:vAlign w:val="bottom"/>
          </w:tcPr>
          <w:p>
            <w:pPr>
              <w:spacing w:after="0"/>
              <w:rPr>
                <w:sz w:val="18"/>
                <w:szCs w:val="18"/>
                <w:color w:val="auto"/>
              </w:rPr>
            </w:pPr>
          </w:p>
        </w:tc>
        <w:tc>
          <w:tcPr>
            <w:tcW w:w="10420" w:type="dxa"/>
            <w:vAlign w:val="bottom"/>
          </w:tcPr>
          <w:p>
            <w:pPr>
              <w:ind w:left="500"/>
              <w:spacing w:after="0"/>
              <w:rPr>
                <w:sz w:val="20"/>
                <w:szCs w:val="20"/>
                <w:color w:val="auto"/>
              </w:rPr>
            </w:pPr>
            <w:r>
              <w:rPr>
                <w:rFonts w:ascii="Arial" w:cs="Arial" w:eastAsia="Arial" w:hAnsi="Arial"/>
                <w:sz w:val="18"/>
                <w:szCs w:val="18"/>
                <w:color w:val="auto"/>
                <w:w w:val="97"/>
              </w:rPr>
              <w:t>June 15, 1999 (File No. 333-80663), May 17, 2001 (File No. 333-61132), July 30, 2002 (File No. 333-80663, July 30, 2002 (File</w:t>
            </w:r>
          </w:p>
        </w:tc>
      </w:tr>
      <w:tr>
        <w:trPr>
          <w:trHeight w:val="230"/>
        </w:trPr>
        <w:tc>
          <w:tcPr>
            <w:tcW w:w="1000" w:type="dxa"/>
            <w:vAlign w:val="bottom"/>
          </w:tcPr>
          <w:p>
            <w:pPr>
              <w:spacing w:after="0"/>
              <w:rPr>
                <w:sz w:val="20"/>
                <w:szCs w:val="20"/>
                <w:color w:val="auto"/>
              </w:rPr>
            </w:pPr>
          </w:p>
        </w:tc>
        <w:tc>
          <w:tcPr>
            <w:tcW w:w="10420" w:type="dxa"/>
            <w:vAlign w:val="bottom"/>
          </w:tcPr>
          <w:p>
            <w:pPr>
              <w:ind w:left="500"/>
              <w:spacing w:after="0"/>
              <w:rPr>
                <w:sz w:val="20"/>
                <w:szCs w:val="20"/>
                <w:color w:val="auto"/>
              </w:rPr>
            </w:pPr>
            <w:r>
              <w:rPr>
                <w:rFonts w:ascii="Arial" w:cs="Arial" w:eastAsia="Arial" w:hAnsi="Arial"/>
                <w:sz w:val="18"/>
                <w:szCs w:val="18"/>
                <w:color w:val="auto"/>
              </w:rPr>
              <w:t>No. 333-97375) and September 24, 2004 (File No. 333-119257) and incorporated herein by reference.</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(d)(11)</w:t>
            </w:r>
          </w:p>
        </w:tc>
        <w:tc>
          <w:tcPr>
            <w:tcW w:w="10420" w:type="dxa"/>
            <w:vAlign w:val="bottom"/>
          </w:tcPr>
          <w:p>
            <w:pPr>
              <w:ind w:left="500"/>
              <w:spacing w:after="0"/>
              <w:rPr>
                <w:sz w:val="20"/>
                <w:szCs w:val="20"/>
                <w:color w:val="auto"/>
              </w:rPr>
            </w:pPr>
            <w:r>
              <w:rPr>
                <w:rFonts w:ascii="Arial" w:cs="Arial" w:eastAsia="Arial" w:hAnsi="Arial"/>
                <w:sz w:val="18"/>
                <w:szCs w:val="18"/>
                <w:color w:val="auto"/>
                <w:w w:val="99"/>
              </w:rPr>
              <w:t>Regeneron Pharmaceuticals, Inc. Registration Statement on Form 8-A filed with the Securities and Exchange Commission on</w:t>
            </w:r>
          </w:p>
        </w:tc>
      </w:tr>
      <w:tr>
        <w:trPr>
          <w:trHeight w:val="216"/>
        </w:trPr>
        <w:tc>
          <w:tcPr>
            <w:tcW w:w="1000" w:type="dxa"/>
            <w:vAlign w:val="bottom"/>
          </w:tcPr>
          <w:p>
            <w:pPr>
              <w:spacing w:after="0"/>
              <w:rPr>
                <w:sz w:val="18"/>
                <w:szCs w:val="18"/>
                <w:color w:val="auto"/>
              </w:rPr>
            </w:pPr>
          </w:p>
        </w:tc>
        <w:tc>
          <w:tcPr>
            <w:tcW w:w="10420" w:type="dxa"/>
            <w:vAlign w:val="bottom"/>
          </w:tcPr>
          <w:p>
            <w:pPr>
              <w:ind w:left="500"/>
              <w:spacing w:after="0"/>
              <w:rPr>
                <w:sz w:val="20"/>
                <w:szCs w:val="20"/>
                <w:color w:val="auto"/>
              </w:rPr>
            </w:pPr>
            <w:r>
              <w:rPr>
                <w:rFonts w:ascii="Arial" w:cs="Arial" w:eastAsia="Arial" w:hAnsi="Arial"/>
                <w:sz w:val="18"/>
                <w:szCs w:val="18"/>
                <w:color w:val="auto"/>
                <w:w w:val="93"/>
              </w:rPr>
              <w:t>February 20, 1991 as amended by the Registration Statement on Form 8-A/A, filed with the Securities and Exchange Commission on</w:t>
            </w:r>
          </w:p>
        </w:tc>
      </w:tr>
      <w:tr>
        <w:trPr>
          <w:trHeight w:val="230"/>
        </w:trPr>
        <w:tc>
          <w:tcPr>
            <w:tcW w:w="1000" w:type="dxa"/>
            <w:vAlign w:val="bottom"/>
          </w:tcPr>
          <w:p>
            <w:pPr>
              <w:spacing w:after="0"/>
              <w:rPr>
                <w:sz w:val="20"/>
                <w:szCs w:val="20"/>
                <w:color w:val="auto"/>
              </w:rPr>
            </w:pPr>
          </w:p>
        </w:tc>
        <w:tc>
          <w:tcPr>
            <w:tcW w:w="10420" w:type="dxa"/>
            <w:vAlign w:val="bottom"/>
          </w:tcPr>
          <w:p>
            <w:pPr>
              <w:ind w:left="500"/>
              <w:spacing w:after="0"/>
              <w:rPr>
                <w:sz w:val="20"/>
                <w:szCs w:val="20"/>
                <w:color w:val="auto"/>
              </w:rPr>
            </w:pPr>
            <w:r>
              <w:rPr>
                <w:rFonts w:ascii="Arial" w:cs="Arial" w:eastAsia="Arial" w:hAnsi="Arial"/>
                <w:sz w:val="18"/>
                <w:szCs w:val="18"/>
                <w:color w:val="auto"/>
              </w:rPr>
              <w:t>March 27, 1991 and incorporated herein by reference.</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(d)(12)</w:t>
            </w:r>
          </w:p>
        </w:tc>
        <w:tc>
          <w:tcPr>
            <w:tcW w:w="10420" w:type="dxa"/>
            <w:vAlign w:val="bottom"/>
          </w:tcPr>
          <w:p>
            <w:pPr>
              <w:ind w:left="500"/>
              <w:spacing w:after="0"/>
              <w:rPr>
                <w:sz w:val="20"/>
                <w:szCs w:val="20"/>
                <w:color w:val="auto"/>
              </w:rPr>
            </w:pPr>
            <w:r>
              <w:rPr>
                <w:rFonts w:ascii="Arial" w:cs="Arial" w:eastAsia="Arial" w:hAnsi="Arial"/>
                <w:sz w:val="18"/>
                <w:szCs w:val="18"/>
                <w:color w:val="auto"/>
                <w:w w:val="98"/>
              </w:rPr>
              <w:t>Regeneron Pharmaceuticals, Inc. Registration Statement on Form 8-A, filed with the Securities and Exchange Commission on</w:t>
            </w:r>
          </w:p>
        </w:tc>
      </w:tr>
      <w:tr>
        <w:trPr>
          <w:trHeight w:val="230"/>
        </w:trPr>
        <w:tc>
          <w:tcPr>
            <w:tcW w:w="1000" w:type="dxa"/>
            <w:vAlign w:val="bottom"/>
          </w:tcPr>
          <w:p>
            <w:pPr>
              <w:spacing w:after="0"/>
              <w:rPr>
                <w:sz w:val="20"/>
                <w:szCs w:val="20"/>
                <w:color w:val="auto"/>
              </w:rPr>
            </w:pPr>
          </w:p>
        </w:tc>
        <w:tc>
          <w:tcPr>
            <w:tcW w:w="10420" w:type="dxa"/>
            <w:vAlign w:val="bottom"/>
          </w:tcPr>
          <w:p>
            <w:pPr>
              <w:ind w:left="500"/>
              <w:spacing w:after="0"/>
              <w:rPr>
                <w:sz w:val="20"/>
                <w:szCs w:val="20"/>
                <w:color w:val="auto"/>
              </w:rPr>
            </w:pPr>
            <w:r>
              <w:rPr>
                <w:rFonts w:ascii="Arial" w:cs="Arial" w:eastAsia="Arial" w:hAnsi="Arial"/>
                <w:sz w:val="18"/>
                <w:szCs w:val="18"/>
                <w:color w:val="auto"/>
              </w:rPr>
              <w:t>October 15, 1996 and incorporated herein by reference.</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(d)(13)</w:t>
            </w:r>
          </w:p>
        </w:tc>
        <w:tc>
          <w:tcPr>
            <w:tcW w:w="10420" w:type="dxa"/>
            <w:vAlign w:val="bottom"/>
          </w:tcPr>
          <w:p>
            <w:pPr>
              <w:ind w:left="500"/>
              <w:spacing w:after="0"/>
              <w:rPr>
                <w:sz w:val="20"/>
                <w:szCs w:val="20"/>
                <w:color w:val="auto"/>
              </w:rPr>
            </w:pPr>
            <w:r>
              <w:rPr>
                <w:rFonts w:ascii="Arial" w:cs="Arial" w:eastAsia="Arial" w:hAnsi="Arial"/>
                <w:sz w:val="18"/>
                <w:szCs w:val="18"/>
                <w:color w:val="auto"/>
                <w:w w:val="91"/>
              </w:rPr>
              <w:t>Rights Agreement, dated as of September 20, 1996, between Regeneron Pharmaceuticals, Inc. and Chase Mellon Shareholder Services</w:t>
            </w:r>
          </w:p>
        </w:tc>
      </w:tr>
      <w:tr>
        <w:trPr>
          <w:trHeight w:val="230"/>
        </w:trPr>
        <w:tc>
          <w:tcPr>
            <w:tcW w:w="1000" w:type="dxa"/>
            <w:vAlign w:val="bottom"/>
          </w:tcPr>
          <w:p>
            <w:pPr>
              <w:spacing w:after="0"/>
              <w:rPr>
                <w:sz w:val="20"/>
                <w:szCs w:val="20"/>
                <w:color w:val="auto"/>
              </w:rPr>
            </w:pPr>
          </w:p>
        </w:tc>
        <w:tc>
          <w:tcPr>
            <w:tcW w:w="10420" w:type="dxa"/>
            <w:vAlign w:val="bottom"/>
          </w:tcPr>
          <w:p>
            <w:pPr>
              <w:ind w:left="500"/>
              <w:spacing w:after="0"/>
              <w:rPr>
                <w:sz w:val="20"/>
                <w:szCs w:val="20"/>
                <w:color w:val="auto"/>
              </w:rPr>
            </w:pPr>
            <w:r>
              <w:rPr>
                <w:rFonts w:ascii="Arial" w:cs="Arial" w:eastAsia="Arial" w:hAnsi="Arial"/>
                <w:sz w:val="18"/>
                <w:szCs w:val="18"/>
                <w:color w:val="auto"/>
                <w:w w:val="91"/>
              </w:rPr>
              <w:t>LLC, as Rights Agent, including the form of Rights Certificate as Exhibit B thereto, filed as Exhibit 1 to Regeneron Pharmaceuticals, Inc.</w:t>
            </w:r>
          </w:p>
        </w:tc>
      </w:tr>
    </w:tbl>
    <w:p>
      <w:pPr>
        <w:ind w:left="1500" w:right="200"/>
        <w:spacing w:after="0" w:line="261" w:lineRule="auto"/>
        <w:rPr>
          <w:sz w:val="20"/>
          <w:szCs w:val="20"/>
          <w:color w:val="auto"/>
        </w:rPr>
      </w:pPr>
      <w:r>
        <w:rPr>
          <w:rFonts w:ascii="Arial" w:cs="Arial" w:eastAsia="Arial" w:hAnsi="Arial"/>
          <w:sz w:val="18"/>
          <w:szCs w:val="18"/>
          <w:color w:val="auto"/>
        </w:rPr>
        <w:t>Registration Statement on Form 8-A, filed with the Securities and Exchange Commission on October 15, 1996 and incorporated herein by reference.</w:t>
      </w:r>
    </w:p>
    <w:p>
      <w:pPr>
        <w:spacing w:after="0" w:line="184" w:lineRule="exact"/>
        <w:rPr>
          <w:sz w:val="20"/>
          <w:szCs w:val="20"/>
          <w:color w:val="auto"/>
        </w:rPr>
      </w:pPr>
    </w:p>
    <w:p>
      <w:pPr>
        <w:ind w:left="1500" w:hanging="1492"/>
        <w:spacing w:after="0"/>
        <w:tabs>
          <w:tab w:leader="none" w:pos="1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1500" w:hanging="1492"/>
        <w:spacing w:after="0"/>
        <w:tabs>
          <w:tab w:leader="none" w:pos="1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Information Required by Schedule 13E-3.</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SIGNATURE</w:t>
      </w:r>
    </w:p>
    <w:p>
      <w:pPr>
        <w:spacing w:after="0" w:line="20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due inquiry and to the best of my knowledge and belief, I certify that the information set forth in this Schedule TO is true, complete and correct.</w:t>
      </w:r>
    </w:p>
    <w:p>
      <w:pPr>
        <w:spacing w:after="0" w:line="200" w:lineRule="exact"/>
        <w:rPr>
          <w:sz w:val="20"/>
          <w:szCs w:val="20"/>
          <w:color w:val="auto"/>
        </w:rPr>
      </w:pP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REGENERON PHARMACEUTICALS,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Stuart Kolinski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74930</wp:posOffset>
            </wp:positionV>
            <wp:extent cx="23323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17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Stuart Kolinski</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Vice President and General Counsel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3,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419" w:right="6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920" w:type="dxa"/>
            <w:vAlign w:val="bottom"/>
          </w:tcPr>
          <w:p>
            <w:pPr>
              <w:ind w:left="3360"/>
              <w:spacing w:after="0"/>
              <w:rPr>
                <w:sz w:val="20"/>
                <w:szCs w:val="20"/>
                <w:color w:val="auto"/>
              </w:rPr>
            </w:pPr>
            <w:r>
              <w:rPr>
                <w:rFonts w:ascii="Arial" w:cs="Arial" w:eastAsia="Arial" w:hAnsi="Arial"/>
                <w:sz w:val="18"/>
                <w:szCs w:val="18"/>
                <w:color w:val="auto"/>
              </w:rPr>
              <w:t>INDEX TO EXHIBITS</w:t>
            </w:r>
          </w:p>
        </w:tc>
        <w:tc>
          <w:tcPr>
            <w:tcW w:w="0" w:type="dxa"/>
            <w:vAlign w:val="bottom"/>
          </w:tcPr>
          <w:p>
            <w:pPr>
              <w:spacing w:after="0"/>
              <w:rPr>
                <w:sz w:val="1"/>
                <w:szCs w:val="1"/>
                <w:color w:val="auto"/>
              </w:rPr>
            </w:pPr>
          </w:p>
        </w:tc>
      </w:tr>
      <w:tr>
        <w:trPr>
          <w:trHeight w:val="531"/>
        </w:trPr>
        <w:tc>
          <w:tcPr>
            <w:tcW w:w="1160" w:type="dxa"/>
            <w:vAlign w:val="bottom"/>
          </w:tcPr>
          <w:p>
            <w:pPr>
              <w:ind w:left="280"/>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4"/>
                <w:szCs w:val="24"/>
                <w:color w:val="auto"/>
              </w:rPr>
            </w:pPr>
          </w:p>
        </w:tc>
        <w:tc>
          <w:tcPr>
            <w:tcW w:w="9920" w:type="dxa"/>
            <w:vAlign w:val="bottom"/>
            <w:vMerge w:val="restart"/>
          </w:tcPr>
          <w:p>
            <w:pPr>
              <w:ind w:left="402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86"/>
        </w:trPr>
        <w:tc>
          <w:tcPr>
            <w:tcW w:w="1160" w:type="dxa"/>
            <w:vAlign w:val="bottom"/>
          </w:tcPr>
          <w:p>
            <w:pPr>
              <w:ind w:left="260"/>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6"/>
                <w:szCs w:val="16"/>
                <w:color w:val="auto"/>
              </w:rPr>
            </w:pPr>
          </w:p>
        </w:tc>
        <w:tc>
          <w:tcPr>
            <w:tcW w:w="9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160" w:type="dxa"/>
            <w:vAlign w:val="bottom"/>
            <w:tcBorders>
              <w:bottom w:val="single" w:sz="8" w:color="808080"/>
            </w:tcBorders>
          </w:tcPr>
          <w:p>
            <w:pPr>
              <w:spacing w:after="0"/>
              <w:rPr>
                <w:sz w:val="4"/>
                <w:szCs w:val="4"/>
                <w:color w:val="auto"/>
              </w:rPr>
            </w:pPr>
          </w:p>
        </w:tc>
        <w:tc>
          <w:tcPr>
            <w:tcW w:w="340" w:type="dxa"/>
            <w:vAlign w:val="bottom"/>
          </w:tcPr>
          <w:p>
            <w:pPr>
              <w:spacing w:after="0"/>
              <w:rPr>
                <w:sz w:val="4"/>
                <w:szCs w:val="4"/>
                <w:color w:val="auto"/>
              </w:rPr>
            </w:pPr>
          </w:p>
        </w:tc>
        <w:tc>
          <w:tcPr>
            <w:tcW w:w="99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1160" w:type="dxa"/>
            <w:vAlign w:val="bottom"/>
          </w:tcPr>
          <w:p>
            <w:pPr>
              <w:spacing w:after="0"/>
              <w:rPr>
                <w:sz w:val="20"/>
                <w:szCs w:val="20"/>
                <w:color w:val="auto"/>
              </w:rPr>
            </w:pPr>
            <w:r>
              <w:rPr>
                <w:rFonts w:ascii="Arial" w:cs="Arial" w:eastAsia="Arial" w:hAnsi="Arial"/>
                <w:sz w:val="18"/>
                <w:szCs w:val="18"/>
                <w:color w:val="auto"/>
              </w:rPr>
              <w:t>(a)(1)(i)</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Offer to Exchange dated December 3, 2004.</w:t>
            </w: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(a)(1)(ii)</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Form of Election Form.</w:t>
            </w: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(a)(1)(iii)</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Form of Notice of Withdrawal.</w:t>
            </w: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(a)(1)(iv)</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Form of Acceptance Letter.</w:t>
            </w: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(a)(1)(v)</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2"/>
              </w:rPr>
              <w:t>Form of communication to Regeneron Pharmaceuticals, Inc. optionholders confirming receipt of Election Form or Notice of Withdrawal.</w:t>
            </w:r>
          </w:p>
        </w:tc>
        <w:tc>
          <w:tcPr>
            <w:tcW w:w="0" w:type="dxa"/>
            <w:vAlign w:val="bottom"/>
          </w:tcPr>
          <w:p>
            <w:pPr>
              <w:spacing w:after="0"/>
              <w:rPr>
                <w:sz w:val="1"/>
                <w:szCs w:val="1"/>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(a)(1)(vi)</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7"/>
              </w:rPr>
              <w:t>Regeneron Pharmaceuticals, Inc. Quarterly Report on Form 10-Q for its fiscal quarter ended September 30, 2004, filed with the</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Securities and Exchange Commission on November 8, 2004 and incorporated herein by reference.</w:t>
            </w:r>
          </w:p>
        </w:tc>
        <w:tc>
          <w:tcPr>
            <w:tcW w:w="0" w:type="dxa"/>
            <w:vAlign w:val="bottom"/>
          </w:tcPr>
          <w:p>
            <w:pPr>
              <w:spacing w:after="0"/>
              <w:rPr>
                <w:sz w:val="1"/>
                <w:szCs w:val="1"/>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(a)(1)(vii)</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2"/>
              </w:rPr>
              <w:t>Regeneron Pharmaceuticals, Inc. Annual Report on Form 10-K/A for the fiscal year ending December 31, 2003 filed with the Securities</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and Exchange Commission on March 19, 2004 and incorporated herein by reference.</w:t>
            </w:r>
          </w:p>
        </w:tc>
        <w:tc>
          <w:tcPr>
            <w:tcW w:w="0" w:type="dxa"/>
            <w:vAlign w:val="bottom"/>
          </w:tcPr>
          <w:p>
            <w:pPr>
              <w:spacing w:after="0"/>
              <w:rPr>
                <w:sz w:val="1"/>
                <w:szCs w:val="1"/>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(a)(1)(viii)</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1"/>
              </w:rPr>
              <w:t>E-mail communication to Regeneron Pharmaceuticals, Inc. employees dated November 17, 2004 filed as Exhibit 99.2 to the Company’s</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6"/>
              </w:rPr>
              <w:t>Schedule TO-C filed with the Securities and Exchange Commission on November 17, 2004 and incorporated herein by reference.</w:t>
            </w:r>
          </w:p>
        </w:tc>
        <w:tc>
          <w:tcPr>
            <w:tcW w:w="0" w:type="dxa"/>
            <w:vAlign w:val="bottom"/>
          </w:tcPr>
          <w:p>
            <w:pPr>
              <w:spacing w:after="0"/>
              <w:rPr>
                <w:sz w:val="1"/>
                <w:szCs w:val="1"/>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(d)(1)</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6"/>
              </w:rPr>
              <w:t>Regeneron Pharmaceuticals, Inc. 1990 Long-Term Incentive Plan, as amended, filed as Exhibit 10.12 to Amendment No. 4 to the</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5"/>
              </w:rPr>
              <w:t>Company’s Registration Statement on Form S-1, filed with the Securities and Exchange Commission on April 2, 1991 (Registration</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Statement No. 033-39043) and incorporated herein by reference.</w:t>
            </w:r>
          </w:p>
        </w:tc>
        <w:tc>
          <w:tcPr>
            <w:tcW w:w="0" w:type="dxa"/>
            <w:vAlign w:val="bottom"/>
          </w:tcPr>
          <w:p>
            <w:pPr>
              <w:spacing w:after="0"/>
              <w:rPr>
                <w:sz w:val="1"/>
                <w:szCs w:val="1"/>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(d)(2)</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0"/>
              </w:rPr>
              <w:t>Regeneron Pharmaceuticals, Inc. 2000 Long-Term Incentive Plan, filed as Exhibit 10.6 to the Form 10-K for Regeneron Pharmaceuticals,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9"/>
              </w:rPr>
              <w:t>Inc. for the fiscal year ended December 31, 2001, filed with the Securities and Exchange Commission on March 22, 2002 and</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(d)(3)</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9"/>
              </w:rPr>
              <w:t>Amendment No. 1 to Regeneron Pharmaceuticals, Inc. 2000 Long-Term Incentive Plan, effective as of June 14, 2002, filed as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7"/>
              </w:rPr>
              <w:t>Exhibit 10.6.1 to the Form 10-K for Regeneron Pharmaceuticals, Inc. for the fiscal year ended December 31, 2002, filed with the</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Securities and Exchange Commission on March 31, 2003 and incorporated herein by reference.</w:t>
            </w:r>
          </w:p>
        </w:tc>
        <w:tc>
          <w:tcPr>
            <w:tcW w:w="0" w:type="dxa"/>
            <w:vAlign w:val="bottom"/>
          </w:tcPr>
          <w:p>
            <w:pPr>
              <w:spacing w:after="0"/>
              <w:rPr>
                <w:sz w:val="1"/>
                <w:szCs w:val="1"/>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(d)(4)</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4"/>
              </w:rPr>
              <w:t>Amendment No. 2 to Regeneron Pharmaceuticals, Inc. 2000 Long-Term Incentive Plan, effective as of December 20, 2002, filed as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7"/>
              </w:rPr>
              <w:t>Exhibit 10.6.2 to the Form 10-K for Regeneron Pharmaceuticals, Inc. for the fiscal year ended December 31, 2002, filed with the</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Securities and Exchange Commission on March 31, 2003 and incorporated herein by reference.</w:t>
            </w:r>
          </w:p>
        </w:tc>
        <w:tc>
          <w:tcPr>
            <w:tcW w:w="0" w:type="dxa"/>
            <w:vAlign w:val="bottom"/>
          </w:tcPr>
          <w:p>
            <w:pPr>
              <w:spacing w:after="0"/>
              <w:rPr>
                <w:sz w:val="1"/>
                <w:szCs w:val="1"/>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(d)(5)</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9"/>
              </w:rPr>
              <w:t>Amendment No. 3 to Regeneron Pharmaceuticals, Inc. 2000 Long-Term Incentive Plan, effective as of June 14, 2004, filed as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7"/>
              </w:rPr>
              <w:t>Exhibit 10.6.3 to the Form 10-Q for Regeneron Pharmaceuticals, Inc. for the quarterly period ended June 30, 2004, filed with the</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Securities and Exchange Commission on August 5, 2004 and incorporated herein by reference.</w:t>
            </w:r>
          </w:p>
        </w:tc>
        <w:tc>
          <w:tcPr>
            <w:tcW w:w="0" w:type="dxa"/>
            <w:vAlign w:val="bottom"/>
          </w:tcPr>
          <w:p>
            <w:pPr>
              <w:spacing w:after="0"/>
              <w:rPr>
                <w:sz w:val="1"/>
                <w:szCs w:val="1"/>
                <w:color w:val="auto"/>
              </w:rPr>
            </w:pPr>
          </w:p>
        </w:tc>
      </w:tr>
      <w:tr>
        <w:trPr>
          <w:trHeight w:val="618"/>
        </w:trPr>
        <w:tc>
          <w:tcPr>
            <w:tcW w:w="11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99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ind w:left="280"/>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9920" w:type="dxa"/>
            <w:vAlign w:val="bottom"/>
            <w:vMerge w:val="restart"/>
          </w:tcPr>
          <w:p>
            <w:pPr>
              <w:ind w:left="402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86"/>
        </w:trPr>
        <w:tc>
          <w:tcPr>
            <w:tcW w:w="1160" w:type="dxa"/>
            <w:vAlign w:val="bottom"/>
          </w:tcPr>
          <w:p>
            <w:pPr>
              <w:ind w:left="260"/>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6"/>
                <w:szCs w:val="16"/>
                <w:color w:val="auto"/>
              </w:rPr>
            </w:pPr>
          </w:p>
        </w:tc>
        <w:tc>
          <w:tcPr>
            <w:tcW w:w="9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1160" w:type="dxa"/>
            <w:vAlign w:val="bottom"/>
            <w:tcBorders>
              <w:bottom w:val="single" w:sz="8" w:color="808080"/>
            </w:tcBorders>
          </w:tcPr>
          <w:p>
            <w:pPr>
              <w:spacing w:after="0"/>
              <w:rPr>
                <w:sz w:val="5"/>
                <w:szCs w:val="5"/>
                <w:color w:val="auto"/>
              </w:rPr>
            </w:pPr>
          </w:p>
        </w:tc>
        <w:tc>
          <w:tcPr>
            <w:tcW w:w="340" w:type="dxa"/>
            <w:vAlign w:val="bottom"/>
          </w:tcPr>
          <w:p>
            <w:pPr>
              <w:spacing w:after="0"/>
              <w:rPr>
                <w:sz w:val="5"/>
                <w:szCs w:val="5"/>
                <w:color w:val="auto"/>
              </w:rPr>
            </w:pPr>
          </w:p>
        </w:tc>
        <w:tc>
          <w:tcPr>
            <w:tcW w:w="992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1160" w:type="dxa"/>
            <w:vAlign w:val="bottom"/>
          </w:tcPr>
          <w:p>
            <w:pPr>
              <w:spacing w:after="0"/>
              <w:rPr>
                <w:sz w:val="20"/>
                <w:szCs w:val="20"/>
                <w:color w:val="auto"/>
              </w:rPr>
            </w:pPr>
            <w:r>
              <w:rPr>
                <w:rFonts w:ascii="Arial" w:cs="Arial" w:eastAsia="Arial" w:hAnsi="Arial"/>
                <w:sz w:val="18"/>
                <w:szCs w:val="18"/>
                <w:color w:val="auto"/>
              </w:rPr>
              <w:t>(d)(6)</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5"/>
              </w:rPr>
              <w:t>Amendment No. 4 to the Regeneron Pharmaceuticals, Inc. 2000 Long-Term Incentive Plan, included as Annex A to the Company’s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1"/>
              </w:rPr>
              <w:t>definitive proxy statement on Schedule 14A filed with the Securities and Exchange Commission on November 29, 2004 and incorporated</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herein by reference.</w:t>
            </w:r>
          </w:p>
        </w:tc>
        <w:tc>
          <w:tcPr>
            <w:tcW w:w="0" w:type="dxa"/>
            <w:vAlign w:val="bottom"/>
          </w:tcPr>
          <w:p>
            <w:pPr>
              <w:spacing w:after="0"/>
              <w:rPr>
                <w:sz w:val="1"/>
                <w:szCs w:val="1"/>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(d)(7)</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0"/>
              </w:rPr>
              <w:t>Form of Replacement Option Agreement and Notice of Grant of Replacement Options for employees of Regeneron Pharmaceuticals, Inc.</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other than vice presidents.</w:t>
            </w:r>
          </w:p>
        </w:tc>
        <w:tc>
          <w:tcPr>
            <w:tcW w:w="0" w:type="dxa"/>
            <w:vAlign w:val="bottom"/>
          </w:tcPr>
          <w:p>
            <w:pPr>
              <w:spacing w:after="0"/>
              <w:rPr>
                <w:sz w:val="1"/>
                <w:szCs w:val="1"/>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(d)(8)</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0"/>
              </w:rPr>
              <w:t>Form of Replacement Option Agreement and Notice of Grant of Replacement Options for vice presidents of Regeneron Pharmaceuticals,</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Inc.</w:t>
            </w:r>
          </w:p>
        </w:tc>
        <w:tc>
          <w:tcPr>
            <w:tcW w:w="0" w:type="dxa"/>
            <w:vAlign w:val="bottom"/>
          </w:tcPr>
          <w:p>
            <w:pPr>
              <w:spacing w:after="0"/>
              <w:rPr>
                <w:sz w:val="1"/>
                <w:szCs w:val="1"/>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(d)(9)</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5"/>
              </w:rPr>
              <w:t>Form of Replacement Option Agreement and Notice of Grant of Replacement Options for senior vice presidents and executive vice</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presidents of Regeneron Pharmaceuticals, Inc.</w:t>
            </w:r>
          </w:p>
        </w:tc>
        <w:tc>
          <w:tcPr>
            <w:tcW w:w="0" w:type="dxa"/>
            <w:vAlign w:val="bottom"/>
          </w:tcPr>
          <w:p>
            <w:pPr>
              <w:spacing w:after="0"/>
              <w:rPr>
                <w:sz w:val="1"/>
                <w:szCs w:val="1"/>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(d)(10)</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1"/>
              </w:rPr>
              <w:t>Regeneron Pharmaceuticals, Inc. Registration Statements relating to Securities to be offered to employees pursuant to employee benefit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3"/>
              </w:rPr>
              <w:t>plans on Form S-8 and Form S-8 POS, filed with the Securities and Exchange Commission on August 19, 1997 (File No. 333-33891),</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7"/>
              </w:rPr>
              <w:t>June 15, 1999 (File No. 333-80663), May 17, 2001 (File No. 333-61132), July 30, 2002 (File No. 333-80663, July 30, 2002 (File</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No. 333-97375) and September 24, 2004 (File No. 333-119257) and incorporated herein by reference.</w:t>
            </w:r>
          </w:p>
        </w:tc>
        <w:tc>
          <w:tcPr>
            <w:tcW w:w="0" w:type="dxa"/>
            <w:vAlign w:val="bottom"/>
          </w:tcPr>
          <w:p>
            <w:pPr>
              <w:spacing w:after="0"/>
              <w:rPr>
                <w:sz w:val="1"/>
                <w:szCs w:val="1"/>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(d)(11)</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9"/>
              </w:rPr>
              <w:t>Regeneron Pharmaceuticals, Inc. Registration Statement on Form 8-A filed with the Securities and Exchange Commission on</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3"/>
              </w:rPr>
              <w:t>February 20, 1991 as amended by the Registration Statement on Form 8-A/A, filed with the Securities and Exchange Commission on</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March 27, 1991 and incorporated herein by reference.</w:t>
            </w:r>
          </w:p>
        </w:tc>
        <w:tc>
          <w:tcPr>
            <w:tcW w:w="0" w:type="dxa"/>
            <w:vAlign w:val="bottom"/>
          </w:tcPr>
          <w:p>
            <w:pPr>
              <w:spacing w:after="0"/>
              <w:rPr>
                <w:sz w:val="1"/>
                <w:szCs w:val="1"/>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(d)(12)</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8"/>
              </w:rPr>
              <w:t>Regeneron Pharmaceuticals, Inc. Registration Statement on Form 8-A, filed with the Securities and Exchange Commission on</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October 15, 1996 and incorporated herein by reference.</w:t>
            </w:r>
          </w:p>
        </w:tc>
        <w:tc>
          <w:tcPr>
            <w:tcW w:w="0" w:type="dxa"/>
            <w:vAlign w:val="bottom"/>
          </w:tcPr>
          <w:p>
            <w:pPr>
              <w:spacing w:after="0"/>
              <w:rPr>
                <w:sz w:val="1"/>
                <w:szCs w:val="1"/>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(d)(13)</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1"/>
              </w:rPr>
              <w:t>Rights Agreement, dated as of September 20, 1996, between Regeneron Pharmaceuticals, Inc. and Chase Mellon Shareholder Services</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1"/>
              </w:rPr>
              <w:t>LLC, as Rights Agent, including the form of Rights Certificate as Exhibit B thereto, filed as Exhibit 1 to Regeneron Pharmaceuticals, Inc.</w:t>
            </w:r>
          </w:p>
        </w:tc>
        <w:tc>
          <w:tcPr>
            <w:tcW w:w="0" w:type="dxa"/>
            <w:vAlign w:val="bottom"/>
          </w:tcPr>
          <w:p>
            <w:pPr>
              <w:spacing w:after="0"/>
              <w:rPr>
                <w:sz w:val="1"/>
                <w:szCs w:val="1"/>
                <w:color w:val="auto"/>
              </w:rPr>
            </w:pPr>
          </w:p>
        </w:tc>
      </w:tr>
    </w:tbl>
    <w:p>
      <w:pPr>
        <w:ind w:left="1500" w:right="200"/>
        <w:spacing w:after="0" w:line="261" w:lineRule="auto"/>
        <w:rPr>
          <w:sz w:val="20"/>
          <w:szCs w:val="20"/>
          <w:color w:val="auto"/>
        </w:rPr>
      </w:pPr>
      <w:r>
        <w:rPr>
          <w:rFonts w:ascii="Arial" w:cs="Arial" w:eastAsia="Arial" w:hAnsi="Arial"/>
          <w:sz w:val="18"/>
          <w:szCs w:val="18"/>
          <w:color w:val="auto"/>
        </w:rPr>
        <w:t>Registration Statement on Form 8-A, filed with the Securities and Exchange Commission on October 15, 1996 and incorporated herein by reference.</w:t>
      </w:r>
    </w:p>
    <w:p>
      <w:pPr>
        <w:sectPr>
          <w:pgSz w:w="11900" w:h="16838" w:orient="portrait"/>
          <w:cols w:equalWidth="0" w:num="1">
            <w:col w:w="11420"/>
          </w:cols>
          <w:pgMar w:left="240" w:top="419" w:right="2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color w:val="auto"/>
        </w:rPr>
        <w:t>Exhibit (a)(1)(i)</w:t>
      </w:r>
    </w:p>
    <w:p>
      <w:pPr>
        <w:spacing w:after="0" w:line="194"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REGENERON PHARMACEUTICALS, INC.</w:t>
      </w:r>
    </w:p>
    <w:p>
      <w:pPr>
        <w:spacing w:after="0" w:line="185"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OFFER TO EXCHANGE</w:t>
      </w:r>
    </w:p>
    <w:p>
      <w:pPr>
        <w:spacing w:after="0" w:line="27" w:lineRule="exact"/>
        <w:rPr>
          <w:sz w:val="20"/>
          <w:szCs w:val="20"/>
          <w:color w:val="auto"/>
        </w:rPr>
      </w:pPr>
    </w:p>
    <w:p>
      <w:pPr>
        <w:jc w:val="center"/>
        <w:spacing w:after="0" w:line="252" w:lineRule="auto"/>
        <w:rPr>
          <w:sz w:val="20"/>
          <w:szCs w:val="20"/>
          <w:color w:val="auto"/>
        </w:rPr>
      </w:pPr>
      <w:r>
        <w:rPr>
          <w:rFonts w:ascii="Arial" w:cs="Arial" w:eastAsia="Arial" w:hAnsi="Arial"/>
          <w:sz w:val="18"/>
          <w:szCs w:val="18"/>
          <w:b w:val="1"/>
          <w:bCs w:val="1"/>
          <w:color w:val="auto"/>
        </w:rPr>
        <w:t>OUTSTANDING OPTIONS TO PURCHASE SHARES OF COMMON STOCK OF REGENERON PHARMACEUTICALS, INC. GRANTED UNDER THE REGENERON PHARMACEUTICALS, INC. 1990 LONG-TERM INCENTIVE PLAN AND 2000 LONG-TERM INCENTIVE PLAN HAVING AN EXERCISE PRICE PER SHARE OF $18.00 OR MORE FOR REPLACEMENT OPTIONS TO BE GRANTED UNDER THE 2000 LONG-TERM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243840</wp:posOffset>
            </wp:positionV>
            <wp:extent cx="21869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OFFER AND WITHDRAWAL RIGHTS EXPIRE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 6:00 P.M., EASTERN TIME, ON JANUARY 5,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UNLESS THE OFFER IS EXTENDED BY REGENERON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117475</wp:posOffset>
            </wp:positionV>
            <wp:extent cx="21869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339" w:lineRule="exact"/>
        <w:rPr>
          <w:sz w:val="20"/>
          <w:szCs w:val="20"/>
          <w:color w:val="auto"/>
        </w:rPr>
      </w:pPr>
    </w:p>
    <w:p>
      <w:pPr>
        <w:ind w:right="120" w:firstLine="450"/>
        <w:spacing w:after="0" w:line="291" w:lineRule="auto"/>
        <w:rPr>
          <w:sz w:val="20"/>
          <w:szCs w:val="20"/>
          <w:color w:val="auto"/>
        </w:rPr>
      </w:pPr>
      <w:r>
        <w:rPr>
          <w:rFonts w:ascii="Arial" w:cs="Arial" w:eastAsia="Arial" w:hAnsi="Arial"/>
          <w:sz w:val="16"/>
          <w:szCs w:val="16"/>
          <w:color w:val="auto"/>
        </w:rPr>
        <w:t>Regeneron Pharmaceuticals, Inc., which we refer to in this Offer to Exchange as “we,” “us,” the “Company” or “Regeneron,” is offering eligible employees a one-time opportunity to exchange (sometimes referred to as “tender”) some or all of such employees’ outstanding stock options to purchase shares of the Company’s common stock, par value $0.001 per share (the “Common Stock”) granted under the Regeneron Pharmaceuticals, Inc. 2000 Long-Term Incentive Plan, as amended (the “2000 Plan”) and the 1990 Long-Term Incentive Plan, as amended (the “1990 Plan,” and, together with the 2000 Plan, the “Stock Incentive Plans”) that have an exercise price per share of $18.00 or more, for replacement options that will be granted under the 2000 Plan (the “Option Exchange Program”). We are making the offer upon the terms and subject to the conditions set forth in this Offer to Exchange and in the related accompanying Election Form (which together, as they may be amended or supplemented from time to time, constitute the “Offer”).</w:t>
      </w:r>
    </w:p>
    <w:p>
      <w:pPr>
        <w:spacing w:after="0" w:line="140" w:lineRule="exact"/>
        <w:rPr>
          <w:sz w:val="20"/>
          <w:szCs w:val="20"/>
          <w:color w:val="auto"/>
        </w:rPr>
      </w:pPr>
    </w:p>
    <w:p>
      <w:pPr>
        <w:ind w:right="40" w:firstLine="447"/>
        <w:spacing w:after="0" w:line="297" w:lineRule="auto"/>
        <w:rPr>
          <w:sz w:val="20"/>
          <w:szCs w:val="20"/>
          <w:color w:val="auto"/>
        </w:rPr>
      </w:pPr>
      <w:r>
        <w:rPr>
          <w:rFonts w:ascii="Arial" w:cs="Arial" w:eastAsia="Arial" w:hAnsi="Arial"/>
          <w:sz w:val="16"/>
          <w:szCs w:val="16"/>
          <w:color w:val="auto"/>
        </w:rPr>
        <w:t>The Offer is being made to Company regular employees who, as of December 3, 2004, the date the Offer commenced, are actively employed by us and work an average of at least 20 hours per week, other than our non-executive employee director and our president and chief executive officer. The Offer is not being made to non-employee directors, consultants, former employees, and retirees. To remain eligible to tender eligible options for exchange and cancellation, and receive replacement options, pursuant to the Offer, you must continue to be such a regular employee on the date the Offer expires and on the date the replacement options are granted (the date and time the replacement options are granted being referred to as the “Grant Date”).</w:t>
      </w:r>
    </w:p>
    <w:p>
      <w:pPr>
        <w:spacing w:after="0" w:line="118" w:lineRule="exact"/>
        <w:rPr>
          <w:sz w:val="20"/>
          <w:szCs w:val="20"/>
          <w:color w:val="auto"/>
        </w:rPr>
      </w:pPr>
    </w:p>
    <w:p>
      <w:pPr>
        <w:ind w:right="40" w:firstLine="447"/>
        <w:spacing w:after="0" w:line="264" w:lineRule="auto"/>
        <w:rPr>
          <w:sz w:val="20"/>
          <w:szCs w:val="20"/>
          <w:color w:val="auto"/>
        </w:rPr>
      </w:pPr>
      <w:r>
        <w:rPr>
          <w:rFonts w:ascii="Arial" w:cs="Arial" w:eastAsia="Arial" w:hAnsi="Arial"/>
          <w:sz w:val="18"/>
          <w:szCs w:val="18"/>
          <w:color w:val="auto"/>
        </w:rPr>
        <w:t>The Offer will expire at 6:00 p.m., Eastern Time, on January 5, 2005, unless we extend the Offer (such date as so extended, the “Expiration Date”). The Grant Date will be on or as of the date we accept eligible options tendered for exchange in the Offer, which we expect will be on, and in any event will be promptly after, the 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370840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 w:name="page14"/>
    <w:bookmarkEnd w:id="13"/>
    <w:p>
      <w:pPr>
        <w:ind w:right="100"/>
        <w:spacing w:after="0" w:line="277" w:lineRule="auto"/>
        <w:rPr>
          <w:sz w:val="20"/>
          <w:szCs w:val="20"/>
          <w:color w:val="auto"/>
        </w:rPr>
      </w:pPr>
      <w:r>
        <w:rPr>
          <w:rFonts w:ascii="Arial" w:cs="Arial" w:eastAsia="Arial" w:hAnsi="Arial"/>
          <w:sz w:val="18"/>
          <w:szCs w:val="18"/>
          <w:color w:val="auto"/>
        </w:rPr>
        <w:t>See Section 1 – “Eligible Options and Optionholders; Number of Replacement Options; Expiration Date,” Section 5 – “Acceptance of Options for Exchange and Grant of Replacement Options” and Section 14 – “Extension of Offer; Termination; Amendment.”</w:t>
      </w:r>
    </w:p>
    <w:p>
      <w:pPr>
        <w:spacing w:after="0" w:line="143" w:lineRule="exact"/>
        <w:rPr>
          <w:sz w:val="20"/>
          <w:szCs w:val="20"/>
          <w:color w:val="auto"/>
        </w:rPr>
      </w:pPr>
    </w:p>
    <w:p>
      <w:pPr>
        <w:ind w:right="740" w:firstLine="450"/>
        <w:spacing w:after="0" w:line="308" w:lineRule="auto"/>
        <w:rPr>
          <w:sz w:val="20"/>
          <w:szCs w:val="20"/>
          <w:color w:val="auto"/>
        </w:rPr>
      </w:pPr>
      <w:r>
        <w:rPr>
          <w:rFonts w:ascii="Arial" w:cs="Arial" w:eastAsia="Arial" w:hAnsi="Arial"/>
          <w:sz w:val="17"/>
          <w:szCs w:val="17"/>
          <w:color w:val="auto"/>
        </w:rPr>
        <w:t>If you validly tender options for exchange and cancellation, and such options are accepted and cancelled, pursuant to the Offer, the number of replacement options you will receive will depend on the exercise price per share of the options you tendered, as follows:</w:t>
      </w:r>
    </w:p>
    <w:p>
      <w:pPr>
        <w:spacing w:after="0" w:line="147" w:lineRule="exact"/>
        <w:rPr>
          <w:sz w:val="20"/>
          <w:szCs w:val="20"/>
          <w:color w:val="auto"/>
        </w:rPr>
      </w:pPr>
    </w:p>
    <w:p>
      <w:pPr>
        <w:ind w:left="560" w:right="180" w:hanging="169"/>
        <w:spacing w:after="0" w:line="277" w:lineRule="auto"/>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options with an exercise price per share greater than or equal to $18.00 and less than or equal to $28.00, you will receive replacement options at an exchange ratio of one (1) replacement option for every 1.5 tendered options.</w:t>
      </w:r>
    </w:p>
    <w:p>
      <w:pPr>
        <w:spacing w:after="0" w:line="170" w:lineRule="exact"/>
        <w:rPr>
          <w:rFonts w:ascii="Arial" w:cs="Arial" w:eastAsia="Arial" w:hAnsi="Arial"/>
          <w:sz w:val="18"/>
          <w:szCs w:val="18"/>
          <w:color w:val="auto"/>
        </w:rPr>
      </w:pPr>
    </w:p>
    <w:p>
      <w:pPr>
        <w:ind w:left="560" w:right="180" w:hanging="169"/>
        <w:spacing w:after="0" w:line="277" w:lineRule="auto"/>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options with an exercise price per share greater than or equal to $28.01 and less than or equal to $37.00, you will receive replacement options at an exchange ratio of one (1) replacement option for every two (2) tendered options.</w:t>
      </w:r>
    </w:p>
    <w:p>
      <w:pPr>
        <w:spacing w:after="0" w:line="170" w:lineRule="exact"/>
        <w:rPr>
          <w:rFonts w:ascii="Arial" w:cs="Arial" w:eastAsia="Arial" w:hAnsi="Arial"/>
          <w:sz w:val="18"/>
          <w:szCs w:val="18"/>
          <w:color w:val="auto"/>
        </w:rPr>
      </w:pPr>
    </w:p>
    <w:p>
      <w:pPr>
        <w:ind w:left="560" w:hanging="169"/>
        <w:spacing w:after="0"/>
        <w:tabs>
          <w:tab w:leader="none" w:pos="560" w:val="left"/>
        </w:tabs>
        <w:numPr>
          <w:ilvl w:val="0"/>
          <w:numId w:val="9"/>
        </w:numPr>
        <w:rPr>
          <w:rFonts w:ascii="Arial" w:cs="Arial" w:eastAsia="Arial" w:hAnsi="Arial"/>
          <w:sz w:val="17"/>
          <w:szCs w:val="17"/>
          <w:color w:val="auto"/>
        </w:rPr>
      </w:pPr>
      <w:r>
        <w:rPr>
          <w:rFonts w:ascii="Arial" w:cs="Arial" w:eastAsia="Arial" w:hAnsi="Arial"/>
          <w:sz w:val="17"/>
          <w:szCs w:val="17"/>
          <w:color w:val="auto"/>
        </w:rPr>
        <w:t>For options with an exercise price per share greater than or equal to $37.01, you will receive replacement options at an exchange ratio of one</w:t>
      </w:r>
    </w:p>
    <w:p>
      <w:pPr>
        <w:spacing w:after="0" w:line="34" w:lineRule="exact"/>
        <w:rPr>
          <w:rFonts w:ascii="Arial" w:cs="Arial" w:eastAsia="Arial" w:hAnsi="Arial"/>
          <w:sz w:val="17"/>
          <w:szCs w:val="17"/>
          <w:color w:val="auto"/>
        </w:rPr>
      </w:pPr>
    </w:p>
    <w:p>
      <w:pPr>
        <w:ind w:left="560"/>
        <w:spacing w:after="0"/>
        <w:rPr>
          <w:rFonts w:ascii="Arial" w:cs="Arial" w:eastAsia="Arial" w:hAnsi="Arial"/>
          <w:sz w:val="17"/>
          <w:szCs w:val="17"/>
          <w:color w:val="auto"/>
        </w:rPr>
      </w:pPr>
      <w:r>
        <w:rPr>
          <w:rFonts w:ascii="Arial" w:cs="Arial" w:eastAsia="Arial" w:hAnsi="Arial"/>
          <w:sz w:val="18"/>
          <w:szCs w:val="18"/>
          <w:color w:val="auto"/>
        </w:rPr>
        <w:t>(1) replacement option for every three (3) tendered options.</w:t>
      </w:r>
    </w:p>
    <w:p>
      <w:pPr>
        <w:spacing w:after="0" w:line="211" w:lineRule="exact"/>
        <w:rPr>
          <w:sz w:val="20"/>
          <w:szCs w:val="20"/>
          <w:color w:val="auto"/>
        </w:rPr>
      </w:pPr>
    </w:p>
    <w:p>
      <w:pPr>
        <w:ind w:right="40" w:firstLine="450"/>
        <w:spacing w:after="0" w:line="259" w:lineRule="auto"/>
        <w:rPr>
          <w:sz w:val="20"/>
          <w:szCs w:val="20"/>
          <w:color w:val="auto"/>
        </w:rPr>
      </w:pPr>
      <w:r>
        <w:rPr>
          <w:rFonts w:ascii="Arial" w:cs="Arial" w:eastAsia="Arial" w:hAnsi="Arial"/>
          <w:sz w:val="18"/>
          <w:szCs w:val="18"/>
          <w:color w:val="auto"/>
        </w:rPr>
        <w:t>Replacement option grants will be rounded down to the nearest whole share on a grant-by-grant basis and, accordingly, replacement options will not be granted for fractional shares. Each replacement option will have an exercise price per share equal to the fair market value per share (as determined under the 2000 Plan) of the Common Stock as of the Grant Date. Replacement options will be granted pursuant to a replacement option agreement and will be subject to the 2000 Plan.</w:t>
      </w:r>
    </w:p>
    <w:p>
      <w:pPr>
        <w:spacing w:after="0" w:line="146" w:lineRule="exact"/>
        <w:rPr>
          <w:sz w:val="20"/>
          <w:szCs w:val="20"/>
          <w:color w:val="auto"/>
        </w:rPr>
      </w:pPr>
    </w:p>
    <w:p>
      <w:pPr>
        <w:jc w:val="both"/>
        <w:ind w:firstLine="447"/>
        <w:spacing w:after="0" w:line="286" w:lineRule="auto"/>
        <w:rPr>
          <w:sz w:val="20"/>
          <w:szCs w:val="20"/>
          <w:color w:val="auto"/>
        </w:rPr>
      </w:pPr>
      <w:r>
        <w:rPr>
          <w:rFonts w:ascii="Arial" w:cs="Arial" w:eastAsia="Arial" w:hAnsi="Arial"/>
          <w:sz w:val="17"/>
          <w:szCs w:val="17"/>
          <w:color w:val="auto"/>
        </w:rPr>
        <w:t>The term of the replacement options you receive in exchange for eligible options tendered and accepted for exchange in the Offer may, and the vesting schedule of such replacement options will, be different than the term and vesting schedule of your tendered options. Each replacement option will have a term equal to the greater of (1) the remaining term of the tendered option it replaces and (2) six years from the Grant Date.</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replacement option granted to:</w:t>
      </w:r>
    </w:p>
    <w:p>
      <w:pPr>
        <w:spacing w:after="0" w:line="225" w:lineRule="exact"/>
        <w:rPr>
          <w:sz w:val="20"/>
          <w:szCs w:val="20"/>
          <w:color w:val="auto"/>
        </w:rPr>
      </w:pPr>
    </w:p>
    <w:p>
      <w:pPr>
        <w:ind w:left="560" w:right="680" w:hanging="169"/>
        <w:spacing w:after="0" w:line="277" w:lineRule="auto"/>
        <w:tabs>
          <w:tab w:leader="none" w:pos="5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employee other than our executive vice president and senior vice presidents will ordinarily become vested and exercisable in equal annual installments on the first, second, third and fourth anniversaries of the Grant Date.</w:t>
      </w:r>
    </w:p>
    <w:p>
      <w:pPr>
        <w:spacing w:after="0" w:line="170" w:lineRule="exact"/>
        <w:rPr>
          <w:rFonts w:ascii="Arial" w:cs="Arial" w:eastAsia="Arial" w:hAnsi="Arial"/>
          <w:sz w:val="18"/>
          <w:szCs w:val="18"/>
          <w:color w:val="auto"/>
        </w:rPr>
      </w:pPr>
    </w:p>
    <w:p>
      <w:pPr>
        <w:ind w:left="560" w:right="160" w:hanging="169"/>
        <w:spacing w:after="0" w:line="259" w:lineRule="auto"/>
        <w:tabs>
          <w:tab w:leader="none" w:pos="5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our executive vice president and senior vice presidents will ordinarily vest with respect to all the shares underlying such option if </w:t>
      </w:r>
      <w:r>
        <w:rPr>
          <w:rFonts w:ascii="Arial" w:cs="Arial" w:eastAsia="Arial" w:hAnsi="Arial"/>
          <w:sz w:val="18"/>
          <w:szCs w:val="18"/>
          <w:i w:val="1"/>
          <w:iCs w:val="1"/>
          <w:color w:val="auto"/>
        </w:rPr>
        <w:t>both</w:t>
      </w:r>
      <w:r>
        <w:rPr>
          <w:rFonts w:ascii="Arial" w:cs="Arial" w:eastAsia="Arial" w:hAnsi="Arial"/>
          <w:sz w:val="18"/>
          <w:szCs w:val="18"/>
          <w:color w:val="auto"/>
        </w:rPr>
        <w:t xml:space="preserve"> (1) the Company’s products have achieved gross sales of at least $100 million during any consecutive twelve month period (either directly by the Company or through its licensees) </w:t>
      </w:r>
      <w:r>
        <w:rPr>
          <w:rFonts w:ascii="Arial" w:cs="Arial" w:eastAsia="Arial" w:hAnsi="Arial"/>
          <w:sz w:val="18"/>
          <w:szCs w:val="18"/>
          <w:i w:val="1"/>
          <w:iCs w:val="1"/>
          <w:color w:val="auto"/>
        </w:rPr>
        <w:t>and</w:t>
      </w:r>
      <w:r>
        <w:rPr>
          <w:rFonts w:ascii="Arial" w:cs="Arial" w:eastAsia="Arial" w:hAnsi="Arial"/>
          <w:sz w:val="18"/>
          <w:szCs w:val="18"/>
          <w:color w:val="auto"/>
        </w:rPr>
        <w:t xml:space="preserve"> (2) the specific senior or executive vice president has remained employed by the Company for at least three years from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4" w:name="page15"/>
    <w:bookmarkEnd w:id="14"/>
    <w:p>
      <w:pPr>
        <w:ind w:right="360"/>
        <w:spacing w:after="0" w:line="277" w:lineRule="auto"/>
        <w:rPr>
          <w:sz w:val="20"/>
          <w:szCs w:val="20"/>
          <w:color w:val="auto"/>
        </w:rPr>
      </w:pPr>
      <w:r>
        <w:rPr>
          <w:rFonts w:ascii="Arial" w:cs="Arial" w:eastAsia="Arial" w:hAnsi="Arial"/>
          <w:sz w:val="18"/>
          <w:szCs w:val="18"/>
          <w:color w:val="auto"/>
        </w:rPr>
        <w:t>For all replacement options, the recipient’s vesting and exercise rights will be contingent on the recipient’s continued employment through the applicable vesting dates and subject to the provisions of the 2000 Plan and the applicable option agreement.</w:t>
      </w:r>
    </w:p>
    <w:p>
      <w:pPr>
        <w:spacing w:after="0" w:line="143"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As is generally the case with respect to the options eligible to be tendered for exchange pursuant to the Offer, the option agreements for replacement options will include provisions whereby the replacement options may become fully vested in connection with a “Change in Control” of the Company, as defined in the 2000 Plan. For a detailed description of the terms of the replacement options, including the 2000 Plan, see Section 8 – “Source and Amount of Consideration; Terms of Replacement Options.”</w:t>
      </w:r>
    </w:p>
    <w:p>
      <w:pPr>
        <w:spacing w:after="0" w:line="146" w:lineRule="exact"/>
        <w:rPr>
          <w:sz w:val="20"/>
          <w:szCs w:val="20"/>
          <w:color w:val="auto"/>
        </w:rPr>
      </w:pPr>
    </w:p>
    <w:p>
      <w:pPr>
        <w:ind w:right="40" w:firstLine="443"/>
        <w:spacing w:after="0" w:line="342" w:lineRule="auto"/>
        <w:rPr>
          <w:sz w:val="20"/>
          <w:szCs w:val="20"/>
          <w:color w:val="auto"/>
        </w:rPr>
      </w:pPr>
      <w:r>
        <w:rPr>
          <w:rFonts w:ascii="Arial" w:cs="Arial" w:eastAsia="Arial" w:hAnsi="Arial"/>
          <w:sz w:val="16"/>
          <w:szCs w:val="16"/>
          <w:color w:val="auto"/>
        </w:rPr>
        <w:t>You may only tender eligible options for all or none of the shares of Common Stock subject to a particular option grant, which means that if you decide to tender any outstanding options subject to a particular option grant, you must tender all of the options subject to that grant that remain outstanding.</w:t>
      </w:r>
    </w:p>
    <w:p>
      <w:pPr>
        <w:spacing w:after="0" w:line="83" w:lineRule="exact"/>
        <w:rPr>
          <w:sz w:val="20"/>
          <w:szCs w:val="20"/>
          <w:color w:val="auto"/>
        </w:rPr>
      </w:pPr>
    </w:p>
    <w:p>
      <w:pPr>
        <w:ind w:firstLine="450"/>
        <w:spacing w:after="0" w:line="255" w:lineRule="auto"/>
        <w:rPr>
          <w:sz w:val="20"/>
          <w:szCs w:val="20"/>
          <w:color w:val="auto"/>
        </w:rPr>
      </w:pPr>
      <w:r>
        <w:rPr>
          <w:rFonts w:ascii="Arial" w:cs="Arial" w:eastAsia="Arial" w:hAnsi="Arial"/>
          <w:sz w:val="18"/>
          <w:szCs w:val="18"/>
          <w:color w:val="auto"/>
        </w:rPr>
        <w:t xml:space="preserve">Consummation of the Offer is subject to shareholder approval by the requisite vote at a special meeting of shareholders (sometimes referred to herein as the “Special Meeting of Shareholders”) of an amendment to the 2000 Plan expressly authorizing the Option Exchange Program and the other conditions described in Section 6 — “Conditions of the Offer”. The Offer is not contingent upon a minimum number of options being tendered. Shares of our Common Stock are quoted on The Nasdaq National Market, Inc. under the symbol “REGN.” On December 1, 2004, the last reported sale price of our Common Stock on The Nasdaq National Market was $9.03 per share. </w:t>
      </w:r>
      <w:r>
        <w:rPr>
          <w:rFonts w:ascii="Arial" w:cs="Arial" w:eastAsia="Arial" w:hAnsi="Arial"/>
          <w:sz w:val="18"/>
          <w:szCs w:val="18"/>
          <w:b w:val="1"/>
          <w:bCs w:val="1"/>
          <w:color w:val="auto"/>
        </w:rPr>
        <w:t>We recommend that you obtain current market quotations for our Common Stock before</w:t>
      </w:r>
      <w:r>
        <w:rPr>
          <w:rFonts w:ascii="Arial" w:cs="Arial" w:eastAsia="Arial" w:hAnsi="Arial"/>
          <w:sz w:val="18"/>
          <w:szCs w:val="18"/>
          <w:color w:val="auto"/>
        </w:rPr>
        <w:t xml:space="preserve"> </w:t>
      </w:r>
      <w:r>
        <w:rPr>
          <w:rFonts w:ascii="Arial" w:cs="Arial" w:eastAsia="Arial" w:hAnsi="Arial"/>
          <w:sz w:val="18"/>
          <w:szCs w:val="18"/>
          <w:b w:val="1"/>
          <w:bCs w:val="1"/>
          <w:color w:val="auto"/>
        </w:rPr>
        <w:t>deciding whether to tender your options.</w:t>
      </w:r>
    </w:p>
    <w:p>
      <w:pPr>
        <w:spacing w:after="0" w:line="162" w:lineRule="exact"/>
        <w:rPr>
          <w:sz w:val="20"/>
          <w:szCs w:val="20"/>
          <w:color w:val="auto"/>
        </w:rPr>
      </w:pPr>
    </w:p>
    <w:p>
      <w:pPr>
        <w:ind w:right="240" w:firstLine="450"/>
        <w:spacing w:after="0" w:line="282" w:lineRule="auto"/>
        <w:rPr>
          <w:sz w:val="20"/>
          <w:szCs w:val="20"/>
          <w:color w:val="auto"/>
        </w:rPr>
      </w:pPr>
      <w:r>
        <w:rPr>
          <w:rFonts w:ascii="Arial" w:cs="Arial" w:eastAsia="Arial" w:hAnsi="Arial"/>
          <w:sz w:val="18"/>
          <w:szCs w:val="18"/>
          <w:b w:val="1"/>
          <w:bCs w:val="1"/>
          <w:color w:val="auto"/>
        </w:rPr>
        <w:t>See the section entitled “Risk Factors” beginning on page 13 for a discussion of risks that you should consider before tendering your eligible options.</w:t>
      </w:r>
    </w:p>
    <w:p>
      <w:pPr>
        <w:spacing w:after="0" w:line="121" w:lineRule="exact"/>
        <w:rPr>
          <w:sz w:val="20"/>
          <w:szCs w:val="20"/>
          <w:color w:val="auto"/>
        </w:rPr>
      </w:pPr>
    </w:p>
    <w:p>
      <w:pPr>
        <w:ind w:right="100" w:firstLine="450"/>
        <w:spacing w:after="0" w:line="314" w:lineRule="auto"/>
        <w:rPr>
          <w:sz w:val="20"/>
          <w:szCs w:val="20"/>
          <w:color w:val="auto"/>
        </w:rPr>
      </w:pPr>
      <w:r>
        <w:rPr>
          <w:rFonts w:ascii="Arial" w:cs="Arial" w:eastAsia="Arial" w:hAnsi="Arial"/>
          <w:sz w:val="16"/>
          <w:szCs w:val="16"/>
          <w:b w:val="1"/>
          <w:bCs w:val="1"/>
          <w:color w:val="auto"/>
        </w:rPr>
        <w:t>Although our board of directors has approved the Offer, consummation of the Offer is subject to shareholder approval and the other conditions described in this Offer to Exchange. Neither we nor our board of directors makes any recommendation as to whether you should tender, or refrain from tendering, any or all of your eligible options in the Offer. You must make your own decision whether to tender your eligible options.</w:t>
      </w:r>
    </w:p>
    <w:p>
      <w:pPr>
        <w:spacing w:after="0" w:line="106" w:lineRule="exact"/>
        <w:rPr>
          <w:sz w:val="20"/>
          <w:szCs w:val="20"/>
          <w:color w:val="auto"/>
        </w:rPr>
      </w:pPr>
    </w:p>
    <w:p>
      <w:pPr>
        <w:ind w:right="160" w:firstLine="443"/>
        <w:spacing w:after="0" w:line="264" w:lineRule="auto"/>
        <w:rPr>
          <w:sz w:val="20"/>
          <w:szCs w:val="20"/>
          <w:color w:val="auto"/>
        </w:rPr>
      </w:pPr>
      <w:r>
        <w:rPr>
          <w:rFonts w:ascii="Arial" w:cs="Arial" w:eastAsia="Arial" w:hAnsi="Arial"/>
          <w:sz w:val="18"/>
          <w:szCs w:val="18"/>
          <w:color w:val="auto"/>
        </w:rPr>
        <w:t>You should direct questions about the Offer or requests for assistance or for additional copies of the Offer to Exchange or the Election Form to: Regeneron Pharmaceuticals, Inc., 777 Old Saw Mill River Road, Tarrytown, New York 10591, Attention: Human Resources Department, Option Exchange, by phone at (914) 345-STOK or to our internal e-mail address: OptionsExchange@regeneron.com.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52" w:right="25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color w:val="auto"/>
        </w:rPr>
        <w:t>IMPORTANT</w:t>
      </w:r>
    </w:p>
    <w:p>
      <w:pPr>
        <w:spacing w:after="0" w:line="198" w:lineRule="exact"/>
        <w:rPr>
          <w:sz w:val="20"/>
          <w:szCs w:val="20"/>
          <w:color w:val="auto"/>
        </w:rPr>
      </w:pPr>
    </w:p>
    <w:p>
      <w:pPr>
        <w:ind w:right="40" w:firstLine="450"/>
        <w:spacing w:after="0" w:line="273" w:lineRule="auto"/>
        <w:rPr>
          <w:sz w:val="20"/>
          <w:szCs w:val="20"/>
          <w:color w:val="auto"/>
        </w:rPr>
      </w:pPr>
      <w:r>
        <w:rPr>
          <w:rFonts w:ascii="Arial" w:cs="Arial" w:eastAsia="Arial" w:hAnsi="Arial"/>
          <w:sz w:val="17"/>
          <w:szCs w:val="17"/>
          <w:color w:val="auto"/>
        </w:rPr>
        <w:t>If you wish to tender some or all of your eligible options for exchange and cancellation, and receive replacement options pursuant to the Offer, you must complete and sign the enclosed Election Form in accordance with its instructions, and either send it by regular or overnight mail to Regeneron Pharmaceuticals, Inc., 777 Old Saw Mill River Road, Tarrytown, New York 10591, Attention: Human Resources Department, Options Exchange, or deliver it by hand to either Pam Curtis in our Tarrytown, New York location or Lynne Fuierer in our Rensselaer, New York location. Delivery by e-mail or other electronic means will not be accepted. The properly completed and duly executed Election Form must be received as specified above before the Offer expires at 6:00 p.m., Eastern Time, on January 5, 2005, or if the Offer is extended by us, the extended expiration date.</w:t>
      </w:r>
    </w:p>
    <w:p>
      <w:pPr>
        <w:spacing w:after="0" w:line="138" w:lineRule="exact"/>
        <w:rPr>
          <w:sz w:val="20"/>
          <w:szCs w:val="20"/>
          <w:color w:val="auto"/>
        </w:rPr>
      </w:pPr>
    </w:p>
    <w:p>
      <w:pPr>
        <w:jc w:val="both"/>
        <w:ind w:right="220" w:firstLine="447"/>
        <w:spacing w:after="0" w:line="264" w:lineRule="auto"/>
        <w:rPr>
          <w:sz w:val="20"/>
          <w:szCs w:val="20"/>
          <w:color w:val="auto"/>
        </w:rPr>
      </w:pPr>
      <w:r>
        <w:rPr>
          <w:rFonts w:ascii="Arial" w:cs="Arial" w:eastAsia="Arial" w:hAnsi="Arial"/>
          <w:sz w:val="18"/>
          <w:szCs w:val="18"/>
          <w:color w:val="auto"/>
        </w:rPr>
        <w:t>We are not making the Offer to, nor will we accept any tender of options from or on behalf of, optionholders in any jurisdiction in which the Offer or the acceptance of any tender of options would not be in compliance with the laws of such jurisdiction. However, we may, at our discretion, take any actions necessary for us to make the Offer to our optionholders in any such jurisdiction.</w:t>
      </w:r>
    </w:p>
    <w:p>
      <w:pPr>
        <w:spacing w:after="0" w:line="137" w:lineRule="exact"/>
        <w:rPr>
          <w:sz w:val="20"/>
          <w:szCs w:val="20"/>
          <w:color w:val="auto"/>
        </w:rPr>
      </w:pPr>
    </w:p>
    <w:p>
      <w:pPr>
        <w:ind w:firstLine="450"/>
        <w:spacing w:after="0" w:line="256" w:lineRule="auto"/>
        <w:rPr>
          <w:sz w:val="20"/>
          <w:szCs w:val="20"/>
          <w:color w:val="auto"/>
        </w:rPr>
      </w:pPr>
      <w:r>
        <w:rPr>
          <w:rFonts w:ascii="Arial" w:cs="Arial" w:eastAsia="Arial" w:hAnsi="Arial"/>
          <w:sz w:val="18"/>
          <w:szCs w:val="18"/>
          <w:b w:val="1"/>
          <w:bCs w:val="1"/>
          <w:color w:val="auto"/>
        </w:rPr>
        <w:t>Tendering eligible options for exchange, and receiving replacement options, pursuant to the Offer does not confer upon you the right to remain an employee of Regeneron. The terms of your employment with us remain unchanged. We cannot guarantee or provide you with any assurance that you will not be subject to involuntary termination or that you will otherwise remain in the employ of Regeneron until the Grant Date or thereafter. If you voluntarily terminate your employment with us, or if we terminate your employment for any reason, before the Grant Date, even if you tendered eligible options for exchange in the Offer prior to such termination, such tender will not be accepted and such eligible options will not be exchanged for replacement options.</w:t>
      </w:r>
    </w:p>
    <w:p>
      <w:pPr>
        <w:spacing w:after="0" w:line="161" w:lineRule="exact"/>
        <w:rPr>
          <w:sz w:val="20"/>
          <w:szCs w:val="20"/>
          <w:color w:val="auto"/>
        </w:rPr>
      </w:pPr>
    </w:p>
    <w:p>
      <w:pPr>
        <w:ind w:right="80" w:firstLine="450"/>
        <w:spacing w:after="0" w:line="256" w:lineRule="auto"/>
        <w:rPr>
          <w:sz w:val="20"/>
          <w:szCs w:val="20"/>
          <w:color w:val="auto"/>
        </w:rPr>
      </w:pPr>
      <w:r>
        <w:rPr>
          <w:rFonts w:ascii="Arial" w:cs="Arial" w:eastAsia="Arial" w:hAnsi="Arial"/>
          <w:sz w:val="18"/>
          <w:szCs w:val="18"/>
          <w:b w:val="1"/>
          <w:bCs w:val="1"/>
          <w:color w:val="auto"/>
        </w:rPr>
        <w:t>We have not authorized any person to make any recommendation on our behalf as to whether you should tender or refrain from tendering your options pursuant to the Offer. You should rely only on the information contained in this document or documents to which we have expressly referred you. We have not authorized anyone to give you any information or to make any representation in connection with the Offer other than the information and representations contained in this document or in the related Election Form. If anyone makes any recommendation or representation to you or gives you any information, you must not rely upon that recommendation, representation or information as having been authorized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377825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0900" w:type="dxa"/>
            <w:vAlign w:val="bottom"/>
          </w:tcPr>
          <w:p>
            <w:pPr>
              <w:spacing w:after="0"/>
              <w:rPr>
                <w:sz w:val="16"/>
                <w:szCs w:val="16"/>
                <w:color w:val="auto"/>
              </w:rPr>
            </w:pPr>
          </w:p>
        </w:tc>
        <w:tc>
          <w:tcPr>
            <w:tcW w:w="500" w:type="dxa"/>
            <w:vAlign w:val="bottom"/>
          </w:tcPr>
          <w:p>
            <w:pPr>
              <w:jc w:val="right"/>
              <w:ind w:right="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900" w:type="dxa"/>
            <w:vAlign w:val="bottom"/>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10900" w:type="dxa"/>
            <w:vAlign w:val="bottom"/>
          </w:tcPr>
          <w:p>
            <w:pPr>
              <w:spacing w:after="0"/>
              <w:rPr>
                <w:sz w:val="6"/>
                <w:szCs w:val="6"/>
                <w:color w:val="auto"/>
              </w:rPr>
            </w:pPr>
          </w:p>
        </w:tc>
        <w:tc>
          <w:tcPr>
            <w:tcW w:w="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900" w:type="dxa"/>
            <w:vAlign w:val="bottom"/>
            <w:shd w:val="clear" w:color="auto" w:fill="EEEEEE"/>
          </w:tcPr>
          <w:p>
            <w:pPr>
              <w:spacing w:after="0"/>
              <w:rPr>
                <w:sz w:val="20"/>
                <w:szCs w:val="20"/>
                <w:color w:val="auto"/>
              </w:rPr>
            </w:pPr>
            <w:r>
              <w:rPr>
                <w:rFonts w:ascii="Arial" w:cs="Arial" w:eastAsia="Arial" w:hAnsi="Arial"/>
                <w:sz w:val="18"/>
                <w:szCs w:val="18"/>
                <w:color w:val="auto"/>
              </w:rPr>
              <w:t>Summary Term Sheet — Questions and Answers</w:t>
            </w:r>
          </w:p>
        </w:tc>
        <w:tc>
          <w:tcPr>
            <w:tcW w:w="500" w:type="dxa"/>
            <w:vAlign w:val="bottom"/>
            <w:shd w:val="clear" w:color="auto" w:fill="EEEEEE"/>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900" w:type="dxa"/>
            <w:vAlign w:val="bottom"/>
          </w:tcPr>
          <w:p>
            <w:pPr>
              <w:spacing w:after="0"/>
              <w:rPr>
                <w:sz w:val="20"/>
                <w:szCs w:val="20"/>
                <w:color w:val="auto"/>
              </w:rPr>
            </w:pPr>
            <w:r>
              <w:rPr>
                <w:rFonts w:ascii="Arial" w:cs="Arial" w:eastAsia="Arial" w:hAnsi="Arial"/>
                <w:sz w:val="18"/>
                <w:szCs w:val="18"/>
                <w:color w:val="auto"/>
              </w:rPr>
              <w:t>Risk Factors</w:t>
            </w:r>
          </w:p>
        </w:tc>
        <w:tc>
          <w:tcPr>
            <w:tcW w:w="50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900" w:type="dxa"/>
            <w:vAlign w:val="bottom"/>
            <w:shd w:val="clear" w:color="auto" w:fill="EEEEEE"/>
          </w:tcPr>
          <w:p>
            <w:pPr>
              <w:spacing w:after="0"/>
              <w:rPr>
                <w:sz w:val="20"/>
                <w:szCs w:val="20"/>
                <w:color w:val="auto"/>
              </w:rPr>
            </w:pPr>
            <w:r>
              <w:rPr>
                <w:rFonts w:ascii="Arial" w:cs="Arial" w:eastAsia="Arial" w:hAnsi="Arial"/>
                <w:sz w:val="18"/>
                <w:szCs w:val="18"/>
                <w:color w:val="auto"/>
              </w:rPr>
              <w:t>The Offer</w:t>
            </w:r>
          </w:p>
        </w:tc>
        <w:tc>
          <w:tcPr>
            <w:tcW w:w="500" w:type="dxa"/>
            <w:vAlign w:val="bottom"/>
            <w:shd w:val="clear" w:color="auto" w:fill="EEEEEE"/>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900" w:type="dxa"/>
            <w:vAlign w:val="bottom"/>
          </w:tcPr>
          <w:p>
            <w:pPr>
              <w:ind w:left="120"/>
              <w:spacing w:after="0"/>
              <w:rPr>
                <w:sz w:val="20"/>
                <w:szCs w:val="20"/>
                <w:color w:val="auto"/>
              </w:rPr>
            </w:pPr>
            <w:r>
              <w:rPr>
                <w:rFonts w:ascii="Arial" w:cs="Arial" w:eastAsia="Arial" w:hAnsi="Arial"/>
                <w:sz w:val="18"/>
                <w:szCs w:val="18"/>
                <w:color w:val="auto"/>
              </w:rPr>
              <w:t>Section 1. Eligible Options and Optionholders; Number of Replacement Options; Expiration Date</w:t>
            </w:r>
          </w:p>
        </w:tc>
        <w:tc>
          <w:tcPr>
            <w:tcW w:w="50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9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Section 2. Purpose and Background of the Offer</w:t>
            </w:r>
          </w:p>
        </w:tc>
        <w:tc>
          <w:tcPr>
            <w:tcW w:w="500" w:type="dxa"/>
            <w:vAlign w:val="bottom"/>
            <w:shd w:val="clear" w:color="auto" w:fill="EEEEEE"/>
          </w:tcPr>
          <w:p>
            <w:pPr>
              <w:jc w:val="right"/>
              <w:ind w:right="1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900" w:type="dxa"/>
            <w:vAlign w:val="bottom"/>
          </w:tcPr>
          <w:p>
            <w:pPr>
              <w:ind w:left="120"/>
              <w:spacing w:after="0"/>
              <w:rPr>
                <w:sz w:val="20"/>
                <w:szCs w:val="20"/>
                <w:color w:val="auto"/>
              </w:rPr>
            </w:pPr>
            <w:r>
              <w:rPr>
                <w:rFonts w:ascii="Arial" w:cs="Arial" w:eastAsia="Arial" w:hAnsi="Arial"/>
                <w:sz w:val="18"/>
                <w:szCs w:val="18"/>
                <w:color w:val="auto"/>
              </w:rPr>
              <w:t>Section 3. Procedures for Tendering Options for Exchange</w:t>
            </w:r>
          </w:p>
        </w:tc>
        <w:tc>
          <w:tcPr>
            <w:tcW w:w="50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9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Section 4. Withdrawal Rights</w:t>
            </w:r>
          </w:p>
        </w:tc>
        <w:tc>
          <w:tcPr>
            <w:tcW w:w="500" w:type="dxa"/>
            <w:vAlign w:val="bottom"/>
            <w:shd w:val="clear" w:color="auto" w:fill="EEEEEE"/>
          </w:tcPr>
          <w:p>
            <w:pPr>
              <w:jc w:val="right"/>
              <w:ind w:right="1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900" w:type="dxa"/>
            <w:vAlign w:val="bottom"/>
          </w:tcPr>
          <w:p>
            <w:pPr>
              <w:ind w:left="120"/>
              <w:spacing w:after="0"/>
              <w:rPr>
                <w:sz w:val="20"/>
                <w:szCs w:val="20"/>
                <w:color w:val="auto"/>
              </w:rPr>
            </w:pPr>
            <w:r>
              <w:rPr>
                <w:rFonts w:ascii="Arial" w:cs="Arial" w:eastAsia="Arial" w:hAnsi="Arial"/>
                <w:sz w:val="18"/>
                <w:szCs w:val="18"/>
                <w:color w:val="auto"/>
              </w:rPr>
              <w:t>Section 5. Acceptance of Options for Exchange and Grant of Replacement Options</w:t>
            </w:r>
          </w:p>
        </w:tc>
        <w:tc>
          <w:tcPr>
            <w:tcW w:w="50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9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Section 6. Conditions of the Offer</w:t>
            </w:r>
          </w:p>
        </w:tc>
        <w:tc>
          <w:tcPr>
            <w:tcW w:w="500" w:type="dxa"/>
            <w:vAlign w:val="bottom"/>
            <w:shd w:val="clear" w:color="auto" w:fill="EEEEEE"/>
          </w:tcPr>
          <w:p>
            <w:pPr>
              <w:jc w:val="right"/>
              <w:ind w:right="1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900" w:type="dxa"/>
            <w:vAlign w:val="bottom"/>
          </w:tcPr>
          <w:p>
            <w:pPr>
              <w:ind w:left="120"/>
              <w:spacing w:after="0"/>
              <w:rPr>
                <w:sz w:val="20"/>
                <w:szCs w:val="20"/>
                <w:color w:val="auto"/>
              </w:rPr>
            </w:pPr>
            <w:r>
              <w:rPr>
                <w:rFonts w:ascii="Arial" w:cs="Arial" w:eastAsia="Arial" w:hAnsi="Arial"/>
                <w:sz w:val="18"/>
                <w:szCs w:val="18"/>
                <w:color w:val="auto"/>
              </w:rPr>
              <w:t>Section 7. Price Range of Common Stock Underlying Options</w:t>
            </w:r>
          </w:p>
        </w:tc>
        <w:tc>
          <w:tcPr>
            <w:tcW w:w="50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9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Section 8. Source and Amount of Consideration; Terms of Replacement Options</w:t>
            </w:r>
          </w:p>
        </w:tc>
        <w:tc>
          <w:tcPr>
            <w:tcW w:w="500" w:type="dxa"/>
            <w:vAlign w:val="bottom"/>
            <w:shd w:val="clear" w:color="auto" w:fill="EEEEEE"/>
          </w:tcPr>
          <w:p>
            <w:pPr>
              <w:jc w:val="right"/>
              <w:ind w:right="1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900" w:type="dxa"/>
            <w:vAlign w:val="bottom"/>
          </w:tcPr>
          <w:p>
            <w:pPr>
              <w:ind w:left="120"/>
              <w:spacing w:after="0"/>
              <w:rPr>
                <w:sz w:val="20"/>
                <w:szCs w:val="20"/>
                <w:color w:val="auto"/>
              </w:rPr>
            </w:pPr>
            <w:r>
              <w:rPr>
                <w:rFonts w:ascii="Arial" w:cs="Arial" w:eastAsia="Arial" w:hAnsi="Arial"/>
                <w:sz w:val="18"/>
                <w:szCs w:val="18"/>
                <w:color w:val="auto"/>
              </w:rPr>
              <w:t>Section 9. Information Concerning Regeneron Pharmaceuticals, Inc.</w:t>
            </w:r>
          </w:p>
        </w:tc>
        <w:tc>
          <w:tcPr>
            <w:tcW w:w="500" w:type="dxa"/>
            <w:vAlign w:val="bottom"/>
          </w:tcPr>
          <w:p>
            <w:pPr>
              <w:jc w:val="right"/>
              <w:ind w:right="1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9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Section 10. Interests of Directors and Officers; Transactions and Arrangements</w:t>
            </w:r>
          </w:p>
        </w:tc>
        <w:tc>
          <w:tcPr>
            <w:tcW w:w="500" w:type="dxa"/>
            <w:vAlign w:val="bottom"/>
            <w:shd w:val="clear" w:color="auto" w:fill="EEEEEE"/>
          </w:tcPr>
          <w:p>
            <w:pPr>
              <w:jc w:val="right"/>
              <w:ind w:right="11"/>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900" w:type="dxa"/>
            <w:vAlign w:val="bottom"/>
          </w:tcPr>
          <w:p>
            <w:pPr>
              <w:ind w:left="120"/>
              <w:spacing w:after="0"/>
              <w:rPr>
                <w:sz w:val="20"/>
                <w:szCs w:val="20"/>
                <w:color w:val="auto"/>
              </w:rPr>
            </w:pPr>
            <w:r>
              <w:rPr>
                <w:rFonts w:ascii="Arial" w:cs="Arial" w:eastAsia="Arial" w:hAnsi="Arial"/>
                <w:sz w:val="18"/>
                <w:szCs w:val="18"/>
                <w:color w:val="auto"/>
              </w:rPr>
              <w:t>Section 11. Status of Options Tendered in the Offer; Accounting Consequences of the Offer</w:t>
            </w:r>
          </w:p>
        </w:tc>
        <w:tc>
          <w:tcPr>
            <w:tcW w:w="500" w:type="dxa"/>
            <w:vAlign w:val="bottom"/>
          </w:tcPr>
          <w:p>
            <w:pPr>
              <w:jc w:val="right"/>
              <w:ind w:right="1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9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Section 12. Legal Matters; Regulatory Approvals</w:t>
            </w:r>
          </w:p>
        </w:tc>
        <w:tc>
          <w:tcPr>
            <w:tcW w:w="500" w:type="dxa"/>
            <w:vAlign w:val="bottom"/>
            <w:shd w:val="clear" w:color="auto" w:fill="EEEEEE"/>
          </w:tcPr>
          <w:p>
            <w:pPr>
              <w:jc w:val="right"/>
              <w:ind w:right="1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900" w:type="dxa"/>
            <w:vAlign w:val="bottom"/>
          </w:tcPr>
          <w:p>
            <w:pPr>
              <w:ind w:left="120"/>
              <w:spacing w:after="0"/>
              <w:rPr>
                <w:sz w:val="20"/>
                <w:szCs w:val="20"/>
                <w:color w:val="auto"/>
              </w:rPr>
            </w:pPr>
            <w:r>
              <w:rPr>
                <w:rFonts w:ascii="Arial" w:cs="Arial" w:eastAsia="Arial" w:hAnsi="Arial"/>
                <w:sz w:val="18"/>
                <w:szCs w:val="18"/>
                <w:color w:val="auto"/>
              </w:rPr>
              <w:t>Section 13. Certain Federal Income Tax Consequences</w:t>
            </w:r>
          </w:p>
        </w:tc>
        <w:tc>
          <w:tcPr>
            <w:tcW w:w="500" w:type="dxa"/>
            <w:vAlign w:val="bottom"/>
          </w:tcPr>
          <w:p>
            <w:pPr>
              <w:jc w:val="right"/>
              <w:ind w:right="1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9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Section 14. Extension of Offer; Termination; Amendment</w:t>
            </w:r>
          </w:p>
        </w:tc>
        <w:tc>
          <w:tcPr>
            <w:tcW w:w="500" w:type="dxa"/>
            <w:vAlign w:val="bottom"/>
            <w:shd w:val="clear" w:color="auto" w:fill="EEEEEE"/>
          </w:tcPr>
          <w:p>
            <w:pPr>
              <w:jc w:val="right"/>
              <w:ind w:right="11"/>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900" w:type="dxa"/>
            <w:vAlign w:val="bottom"/>
          </w:tcPr>
          <w:p>
            <w:pPr>
              <w:ind w:left="120"/>
              <w:spacing w:after="0"/>
              <w:rPr>
                <w:sz w:val="20"/>
                <w:szCs w:val="20"/>
                <w:color w:val="auto"/>
              </w:rPr>
            </w:pPr>
            <w:r>
              <w:rPr>
                <w:rFonts w:ascii="Arial" w:cs="Arial" w:eastAsia="Arial" w:hAnsi="Arial"/>
                <w:sz w:val="18"/>
                <w:szCs w:val="18"/>
                <w:color w:val="auto"/>
              </w:rPr>
              <w:t>Section 15. Fees and Expenses</w:t>
            </w:r>
          </w:p>
        </w:tc>
        <w:tc>
          <w:tcPr>
            <w:tcW w:w="500" w:type="dxa"/>
            <w:vAlign w:val="bottom"/>
          </w:tcPr>
          <w:p>
            <w:pPr>
              <w:jc w:val="right"/>
              <w:ind w:right="11"/>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9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Section 16. Forward-Looking Statements</w:t>
            </w:r>
          </w:p>
        </w:tc>
        <w:tc>
          <w:tcPr>
            <w:tcW w:w="500" w:type="dxa"/>
            <w:vAlign w:val="bottom"/>
            <w:shd w:val="clear" w:color="auto" w:fill="EEEEEE"/>
          </w:tcPr>
          <w:p>
            <w:pPr>
              <w:jc w:val="right"/>
              <w:ind w:right="11"/>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900" w:type="dxa"/>
            <w:vAlign w:val="bottom"/>
          </w:tcPr>
          <w:p>
            <w:pPr>
              <w:ind w:left="120"/>
              <w:spacing w:after="0"/>
              <w:rPr>
                <w:sz w:val="20"/>
                <w:szCs w:val="20"/>
                <w:color w:val="auto"/>
              </w:rPr>
            </w:pPr>
            <w:r>
              <w:rPr>
                <w:rFonts w:ascii="Arial" w:cs="Arial" w:eastAsia="Arial" w:hAnsi="Arial"/>
                <w:sz w:val="18"/>
                <w:szCs w:val="18"/>
                <w:color w:val="auto"/>
              </w:rPr>
              <w:t>Section 17. Additional Information</w:t>
            </w:r>
          </w:p>
        </w:tc>
        <w:tc>
          <w:tcPr>
            <w:tcW w:w="500" w:type="dxa"/>
            <w:vAlign w:val="bottom"/>
          </w:tcPr>
          <w:p>
            <w:pPr>
              <w:jc w:val="right"/>
              <w:ind w:right="11"/>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9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Section 18. Miscellaneous</w:t>
            </w:r>
          </w:p>
        </w:tc>
        <w:tc>
          <w:tcPr>
            <w:tcW w:w="500" w:type="dxa"/>
            <w:vAlign w:val="bottom"/>
            <w:shd w:val="clear" w:color="auto" w:fill="EEEEEE"/>
          </w:tcPr>
          <w:p>
            <w:pPr>
              <w:jc w:val="right"/>
              <w:ind w:right="11"/>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900" w:type="dxa"/>
            <w:vAlign w:val="bottom"/>
          </w:tcPr>
          <w:p>
            <w:pPr>
              <w:spacing w:after="0"/>
              <w:rPr>
                <w:sz w:val="20"/>
                <w:szCs w:val="20"/>
                <w:color w:val="auto"/>
              </w:rPr>
            </w:pPr>
            <w:r>
              <w:rPr>
                <w:rFonts w:ascii="Arial" w:cs="Arial" w:eastAsia="Arial" w:hAnsi="Arial"/>
                <w:sz w:val="18"/>
                <w:szCs w:val="18"/>
                <w:color w:val="auto"/>
              </w:rPr>
              <w:t>Schedule A — Information Concerning the Directors and Executive Officers of Regeneron Pharmaceuticals, Inc.</w:t>
            </w:r>
          </w:p>
        </w:tc>
        <w:tc>
          <w:tcPr>
            <w:tcW w:w="500" w:type="dxa"/>
            <w:vAlign w:val="bottom"/>
          </w:tcPr>
          <w:p>
            <w:pPr>
              <w:jc w:val="right"/>
              <w:ind w:right="11"/>
              <w:spacing w:after="0"/>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604"/>
        </w:trPr>
        <w:tc>
          <w:tcPr>
            <w:tcW w:w="20" w:type="dxa"/>
            <w:vAlign w:val="bottom"/>
            <w:tcBorders>
              <w:bottom w:val="single" w:sz="8" w:color="808080"/>
            </w:tcBorders>
          </w:tcPr>
          <w:p>
            <w:pPr>
              <w:spacing w:after="0"/>
              <w:rPr>
                <w:sz w:val="24"/>
                <w:szCs w:val="24"/>
                <w:color w:val="auto"/>
              </w:rPr>
            </w:pPr>
          </w:p>
        </w:tc>
        <w:tc>
          <w:tcPr>
            <w:tcW w:w="1090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SUMMARY TERM SHEET — QUESTIONS AND ANSWERS</w:t>
      </w:r>
    </w:p>
    <w:p>
      <w:pPr>
        <w:spacing w:after="0" w:line="202" w:lineRule="exact"/>
        <w:rPr>
          <w:sz w:val="20"/>
          <w:szCs w:val="20"/>
          <w:color w:val="auto"/>
        </w:rPr>
      </w:pPr>
    </w:p>
    <w:p>
      <w:pPr>
        <w:ind w:firstLine="447"/>
        <w:spacing w:after="0" w:line="302" w:lineRule="auto"/>
        <w:rPr>
          <w:sz w:val="20"/>
          <w:szCs w:val="20"/>
          <w:color w:val="auto"/>
        </w:rPr>
      </w:pPr>
      <w:r>
        <w:rPr>
          <w:rFonts w:ascii="Arial" w:cs="Arial" w:eastAsia="Arial" w:hAnsi="Arial"/>
          <w:sz w:val="16"/>
          <w:szCs w:val="16"/>
          <w:color w:val="auto"/>
        </w:rPr>
        <w:t>The following summary term sheet is in question and answer format and is provided to address some of the questions that you may have about the Offer. We urge you to read carefully the remainder of this Offer to Exchange and the accompanying Election Form because the information in this summary is not complete, and additional important information is contained in the remainder of this Offer to Exchange and the accompanying Election Form. We have included references to the relevant sections in the Offer to Exchange where you can find a more complete description of the topics in this summary.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securities are we offering to exchange?</w:t>
      </w:r>
    </w:p>
    <w:p>
      <w:pPr>
        <w:spacing w:after="0" w:line="189" w:lineRule="exact"/>
        <w:rPr>
          <w:sz w:val="20"/>
          <w:szCs w:val="20"/>
          <w:color w:val="auto"/>
        </w:rPr>
      </w:pPr>
    </w:p>
    <w:p>
      <w:pPr>
        <w:ind w:right="100" w:firstLine="447"/>
        <w:spacing w:after="0" w:line="286" w:lineRule="auto"/>
        <w:rPr>
          <w:sz w:val="20"/>
          <w:szCs w:val="20"/>
          <w:color w:val="auto"/>
        </w:rPr>
      </w:pPr>
      <w:r>
        <w:rPr>
          <w:rFonts w:ascii="Arial" w:cs="Arial" w:eastAsia="Arial" w:hAnsi="Arial"/>
          <w:sz w:val="17"/>
          <w:szCs w:val="17"/>
          <w:color w:val="auto"/>
        </w:rPr>
        <w:t>We are offering eligible employees a one-time opportunity to exchange outstanding stock options granted under the 2000 Plan or the 1990 Plan having an exercise price per share of $18.00 or more, properly tendered and accepted for exchange in accordance with the Offer, for replacement options to be granted under the 2000 Plan. See Section 1 – “Eligible Options and Optionholders; Number of Replacement Options; Expiration Date.”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eligible to participate in the Option Exchange Program?</w:t>
      </w:r>
    </w:p>
    <w:p>
      <w:pPr>
        <w:spacing w:after="0" w:line="189" w:lineRule="exact"/>
        <w:rPr>
          <w:sz w:val="20"/>
          <w:szCs w:val="20"/>
          <w:color w:val="auto"/>
        </w:rPr>
      </w:pPr>
    </w:p>
    <w:p>
      <w:pPr>
        <w:ind w:firstLine="450"/>
        <w:spacing w:after="0" w:line="293" w:lineRule="auto"/>
        <w:rPr>
          <w:sz w:val="20"/>
          <w:szCs w:val="20"/>
          <w:color w:val="auto"/>
        </w:rPr>
      </w:pPr>
      <w:r>
        <w:rPr>
          <w:rFonts w:ascii="Arial" w:cs="Arial" w:eastAsia="Arial" w:hAnsi="Arial"/>
          <w:sz w:val="16"/>
          <w:szCs w:val="16"/>
          <w:color w:val="auto"/>
        </w:rPr>
        <w:t>Regular employees, other than our non-executive employee director and our president and chief executive officer, who on December 3, 2004 and on the Grant Date are actively employed by us and work an average of at least 20 hours per week are eligible to participate in the Option Exchange Program and, accordingly, to tender eligible options for exchange and cancellation, and receive replacement options, pursuant to the Offer. Employees who meet the eligibility requirements at the commencement of the Offer but do not satisfy these requirements on the Grant Date are not eligible to exchange their eligible options. Our non-employee directors, consultants, former employees, and retirees are not eligible to participate in the Option Exchange Program. See Section 1 – “Eligible Options and Optionholders; Number of Replacement Options; Expiration Date – Eligible Options and Optionholders.”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are we making the Offer?</w:t>
      </w:r>
    </w:p>
    <w:p>
      <w:pPr>
        <w:spacing w:after="0" w:line="202" w:lineRule="exact"/>
        <w:rPr>
          <w:sz w:val="20"/>
          <w:szCs w:val="20"/>
          <w:color w:val="auto"/>
        </w:rPr>
      </w:pPr>
    </w:p>
    <w:p>
      <w:pPr>
        <w:ind w:right="100" w:firstLine="450"/>
        <w:spacing w:after="0" w:line="272" w:lineRule="auto"/>
        <w:rPr>
          <w:sz w:val="20"/>
          <w:szCs w:val="20"/>
          <w:color w:val="auto"/>
        </w:rPr>
      </w:pPr>
      <w:r>
        <w:rPr>
          <w:rFonts w:ascii="Arial" w:cs="Arial" w:eastAsia="Arial" w:hAnsi="Arial"/>
          <w:sz w:val="17"/>
          <w:szCs w:val="17"/>
          <w:color w:val="auto"/>
        </w:rPr>
        <w:t>Our stock incentive program is intended to help align the interests of our employees with our shareholders by encouraging ownership by employees of Company stock. The price of our Common Stock has declined sharply since 2000. As of November 3, 2004, approximately 54% of the outstanding options granted under the Stock Incentive Plans had an exercise price above $18 per share. The per share exercise prices for the annual stock option grants for employees in the past four years have been $37.78 (in December 2000), $28.01 (in December 2001), $19.43 (in December 2002), and $13.00 (in December 2003). On November 3, 2004, the date as of which option values and exchange ratios were determined for purposes of the Option Exchange Program, the closing price per share of our Common Stock on The Nasdaq National Market was $7.88. On December 1, 2004, the closing price per share of our Common Stock on The Nasdaq National Market was $9.03. The exercise prices noted above,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8" w:name="page19"/>
    <w:bookmarkEnd w:id="18"/>
    <w:p>
      <w:pPr>
        <w:ind w:right="60"/>
        <w:spacing w:after="0" w:line="276" w:lineRule="auto"/>
        <w:rPr>
          <w:sz w:val="20"/>
          <w:szCs w:val="20"/>
          <w:color w:val="auto"/>
        </w:rPr>
      </w:pPr>
      <w:r>
        <w:rPr>
          <w:rFonts w:ascii="Arial" w:cs="Arial" w:eastAsia="Arial" w:hAnsi="Arial"/>
          <w:sz w:val="17"/>
          <w:szCs w:val="17"/>
          <w:color w:val="auto"/>
        </w:rPr>
        <w:t>compared to current market values for the Common Stock, illustrate that a substantial number of the outstanding options granted pursuant to the Stock Incentive Plans are “out of the money” and no longer serve as effective incentives to retain and motivate employees. In today’s competitive market for top talent in the pharmaceutical and biotechnology industries, the Compensation Committee of the board of directors and the board believe that it is important for the future success of the Company to revitalize the incentive value of our stock incentive program as part of our overall compensation program to retain, motivate and reward employees. See Section 2 – “Purpose and Background of the Offer.”</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don’t we simply reprice the current options?</w:t>
      </w:r>
    </w:p>
    <w:p>
      <w:pPr>
        <w:spacing w:after="0" w:line="189" w:lineRule="exact"/>
        <w:rPr>
          <w:sz w:val="20"/>
          <w:szCs w:val="20"/>
          <w:color w:val="auto"/>
        </w:rPr>
      </w:pPr>
    </w:p>
    <w:p>
      <w:pPr>
        <w:ind w:firstLine="447"/>
        <w:spacing w:after="0" w:line="276" w:lineRule="auto"/>
        <w:rPr>
          <w:sz w:val="20"/>
          <w:szCs w:val="20"/>
          <w:color w:val="auto"/>
        </w:rPr>
      </w:pPr>
      <w:r>
        <w:rPr>
          <w:rFonts w:ascii="Arial" w:cs="Arial" w:eastAsia="Arial" w:hAnsi="Arial"/>
          <w:sz w:val="17"/>
          <w:szCs w:val="17"/>
          <w:color w:val="auto"/>
        </w:rPr>
        <w:t>The Offer is intended to revitalize our stock incentive program by permitting eligible optionholders to voluntarily exchange their “out of the money” eligible options with exercise prices of $18 or more for replacement options with an exercise price per share of our Common Stock equal to the fair market value as of the date of grant of the replacements options (determined in accordance with the 2000 Plan). However, unlike a mere repricing, the Offer is intended to provide for an exchange of options based approximately on fair values of options tendered and replacement options granted, with aggregate values favorable to shareholders, thereby striking a balance between the interests of employees and the interests of our shareholders.</w:t>
      </w:r>
    </w:p>
    <w:p>
      <w:pPr>
        <w:spacing w:after="0" w:line="132" w:lineRule="exact"/>
        <w:rPr>
          <w:sz w:val="20"/>
          <w:szCs w:val="20"/>
          <w:color w:val="auto"/>
        </w:rPr>
      </w:pPr>
    </w:p>
    <w:p>
      <w:pPr>
        <w:ind w:right="240" w:firstLine="450"/>
        <w:spacing w:after="0" w:line="293" w:lineRule="auto"/>
        <w:rPr>
          <w:sz w:val="20"/>
          <w:szCs w:val="20"/>
          <w:color w:val="auto"/>
        </w:rPr>
      </w:pPr>
      <w:r>
        <w:rPr>
          <w:rFonts w:ascii="Arial" w:cs="Arial" w:eastAsia="Arial" w:hAnsi="Arial"/>
          <w:sz w:val="16"/>
          <w:szCs w:val="16"/>
          <w:color w:val="auto"/>
        </w:rPr>
        <w:t>By granting replacement options which will be exercisable for fewer shares than the existing eligible options tendered for exchange in the Offer, the Offer is also designed to reduce the number of outstanding options. If 100% of eligible options were tendered for exchange and accepted, and grants of replacement options were made, pursuant to the Offer, the number of shares of Common Stock underlying options outstanding would be reduced by approximately 2,271,216 shares. The actual net reduction in shares of Common Stock underlying options outstanding will depend on the extent to which eligible options are tendered for exchange and accepted pursuant to the Offer. The shares underlying options which are tendered for exchange and accepted pursuant to Offer will be returned to the 2000 Plan and will be available for future grants of options or other awards under the 2000 Plan.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the conditions of the Offer?</w:t>
      </w:r>
    </w:p>
    <w:p>
      <w:pPr>
        <w:spacing w:after="0" w:line="189" w:lineRule="exact"/>
        <w:rPr>
          <w:sz w:val="20"/>
          <w:szCs w:val="20"/>
          <w:color w:val="auto"/>
        </w:rPr>
      </w:pPr>
    </w:p>
    <w:p>
      <w:pPr>
        <w:ind w:right="80" w:firstLine="450"/>
        <w:spacing w:after="0" w:line="286" w:lineRule="auto"/>
        <w:rPr>
          <w:sz w:val="20"/>
          <w:szCs w:val="20"/>
          <w:color w:val="auto"/>
        </w:rPr>
      </w:pPr>
      <w:r>
        <w:rPr>
          <w:rFonts w:ascii="Arial" w:cs="Arial" w:eastAsia="Arial" w:hAnsi="Arial"/>
          <w:sz w:val="17"/>
          <w:szCs w:val="17"/>
          <w:color w:val="auto"/>
        </w:rPr>
        <w:t>Completion of the exchange of options pursuant to the Offer is subject to a number of conditions. These include, among other things, shareholder approval of the amendment of the 2000 Plan expressly authorizing the Option Exchange Program. This and various other conditions are more fully described in Section 6 – “Conditions of the Offer.” The Offer is not conditioned upon a minimum number of options being tendered.</w:t>
      </w:r>
    </w:p>
    <w:p>
      <w:pPr>
        <w:spacing w:after="0" w:line="121"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What happens if the Company’s shareholders do not approve at the Special Meeting of Shareholders the amendment to the 2000 Plan to expressly authorize the Option Exchange Program?</w:t>
      </w:r>
    </w:p>
    <w:p>
      <w:pPr>
        <w:spacing w:after="0" w:line="139" w:lineRule="exact"/>
        <w:rPr>
          <w:sz w:val="20"/>
          <w:szCs w:val="20"/>
          <w:color w:val="auto"/>
        </w:rPr>
      </w:pPr>
    </w:p>
    <w:p>
      <w:pPr>
        <w:ind w:right="120" w:firstLine="447"/>
        <w:spacing w:after="0" w:line="277" w:lineRule="auto"/>
        <w:rPr>
          <w:sz w:val="20"/>
          <w:szCs w:val="20"/>
          <w:color w:val="auto"/>
        </w:rPr>
      </w:pPr>
      <w:r>
        <w:rPr>
          <w:rFonts w:ascii="Arial" w:cs="Arial" w:eastAsia="Arial" w:hAnsi="Arial"/>
          <w:sz w:val="18"/>
          <w:szCs w:val="18"/>
          <w:color w:val="auto"/>
        </w:rPr>
        <w:t>The Offer will not be consummated, there will be no exchange of options under the Option Exchange Program, and the Option Exchange Program and the Offer will</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9" w:name="page20"/>
    <w:bookmarkEnd w:id="19"/>
    <w:p>
      <w:pPr>
        <w:ind w:right="160"/>
        <w:spacing w:after="0" w:line="264" w:lineRule="auto"/>
        <w:rPr>
          <w:sz w:val="20"/>
          <w:szCs w:val="20"/>
          <w:color w:val="auto"/>
        </w:rPr>
      </w:pPr>
      <w:r>
        <w:rPr>
          <w:rFonts w:ascii="Arial" w:cs="Arial" w:eastAsia="Arial" w:hAnsi="Arial"/>
          <w:sz w:val="18"/>
          <w:szCs w:val="18"/>
          <w:color w:val="auto"/>
        </w:rPr>
        <w:t>automatically terminate, if the amendment to the 2000 Plan to expressly authorize the Option Exchange Program does not receive the requisite affirmative vote of shareholders at the Special Meeting of Shareholders to be held on December 17, 2004, or any adjournment or postponement thereof. See Section 6 – “Conditions of the Offer.”</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Are there any eligibility requirements that I must satisfy to tender my options for exchange and receive the replacement options?</w:t>
      </w:r>
    </w:p>
    <w:p>
      <w:pPr>
        <w:spacing w:after="0" w:line="189" w:lineRule="exact"/>
        <w:rPr>
          <w:sz w:val="20"/>
          <w:szCs w:val="20"/>
          <w:color w:val="auto"/>
        </w:rPr>
      </w:pPr>
    </w:p>
    <w:p>
      <w:pPr>
        <w:ind w:right="20" w:firstLine="218"/>
        <w:spacing w:after="0" w:line="255" w:lineRule="auto"/>
        <w:rPr>
          <w:sz w:val="20"/>
          <w:szCs w:val="20"/>
          <w:color w:val="auto"/>
        </w:rPr>
      </w:pPr>
      <w:r>
        <w:rPr>
          <w:rFonts w:ascii="Arial" w:cs="Arial" w:eastAsia="Arial" w:hAnsi="Arial"/>
          <w:sz w:val="18"/>
          <w:szCs w:val="18"/>
          <w:color w:val="auto"/>
        </w:rPr>
        <w:t>Yes. To participate in the Option Exchange Program and receive replacement options, you must hold eligible options as well as meet the eligibility requirements described in this Offer to Exchange and remain continuously employed by the Company as a regular actively employed employee who works an average of at least 20 hours per week through the Grant Date. If you are no longer actively employed by the Company on the Grant Date for any reason, you will not be eligible to exchange your options for replacement options. Participation in the Option Exchange Program does not confer upon you the right to remain employed by us. See Section 1 – “Eligible Options and Optionholders; Number of Replacement Options; Expiration Date – Eligible Options and Optionholders.”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if I am out of the office or on authorized leave of absence on the date of the Offer or on the Grant Date?</w:t>
      </w:r>
    </w:p>
    <w:p>
      <w:pPr>
        <w:spacing w:after="0" w:line="202" w:lineRule="exact"/>
        <w:rPr>
          <w:sz w:val="20"/>
          <w:szCs w:val="20"/>
          <w:color w:val="auto"/>
        </w:rPr>
      </w:pPr>
    </w:p>
    <w:p>
      <w:pPr>
        <w:ind w:firstLine="215"/>
        <w:spacing w:after="0" w:line="276" w:lineRule="auto"/>
        <w:rPr>
          <w:sz w:val="20"/>
          <w:szCs w:val="20"/>
          <w:color w:val="auto"/>
        </w:rPr>
      </w:pPr>
      <w:r>
        <w:rPr>
          <w:rFonts w:ascii="Arial" w:cs="Arial" w:eastAsia="Arial" w:hAnsi="Arial"/>
          <w:sz w:val="17"/>
          <w:szCs w:val="17"/>
          <w:color w:val="auto"/>
        </w:rPr>
        <w:t>Any eligible employee who is not actively at work because of vacation, short-term leave, or other similar reasons will not be disqualified from participating in the Option Exchange Program due to this absence. Similarly, if you properly tender eligible options for exchange in the Offer which are accepted for exchange and cancellation, and you are on authorized leave on the Grant Date, then upon the terms and subject to the conditions of the Offer, you will be entitled to receive replacement options (as long as the other eligibility requirements are still met) in exchange for such tendered options. See Section 1 – “Eligible Options and Optionholders; Number of Replacement Options; Expiration Date – Eligible Options and Optionholders.”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I elect to tender for exchange eligible options, will my elections affect other components of my compensation?</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find out how many eligible options I have and what their exercise prices are?</w:t>
      </w:r>
    </w:p>
    <w:p>
      <w:pPr>
        <w:spacing w:after="0" w:line="189" w:lineRule="exact"/>
        <w:rPr>
          <w:sz w:val="20"/>
          <w:szCs w:val="20"/>
          <w:color w:val="auto"/>
        </w:rPr>
      </w:pPr>
    </w:p>
    <w:p>
      <w:pPr>
        <w:ind w:right="100" w:firstLine="447"/>
        <w:spacing w:after="0" w:line="302" w:lineRule="auto"/>
        <w:rPr>
          <w:sz w:val="20"/>
          <w:szCs w:val="20"/>
          <w:color w:val="auto"/>
        </w:rPr>
      </w:pPr>
      <w:r>
        <w:rPr>
          <w:rFonts w:ascii="Arial" w:cs="Arial" w:eastAsia="Arial" w:hAnsi="Arial"/>
          <w:sz w:val="16"/>
          <w:szCs w:val="16"/>
          <w:color w:val="auto"/>
        </w:rPr>
        <w:t>The Election Form enclosed with this Offer to Exchange includes a list of your eligible options as of December 1, 2004. In addition, you can at any time confirm what options you have, their grant dates (and remaining term), exercise prices, vesting dates, and other information by going to www.optionslink.com. Employees who do not have their optionslink password should send an email to optionslink@etrade.com and request their Regeneron logon information. You may also call 1-800-838-0908, press 0 to speak to a customer service agent, and ask for your Regeneron logon information.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Must I tender options for exchange in the Offer?</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Whether or not you tender options for exchange in the Offer is solely your decision and completely voluntary.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replacement options will I receive in exchange for my tendered options?</w:t>
      </w:r>
    </w:p>
    <w:p>
      <w:pPr>
        <w:spacing w:after="0" w:line="189" w:lineRule="exact"/>
        <w:rPr>
          <w:sz w:val="20"/>
          <w:szCs w:val="20"/>
          <w:color w:val="auto"/>
        </w:rPr>
      </w:pPr>
    </w:p>
    <w:p>
      <w:pPr>
        <w:ind w:right="100" w:firstLine="450"/>
        <w:spacing w:after="0" w:line="277" w:lineRule="auto"/>
        <w:rPr>
          <w:sz w:val="20"/>
          <w:szCs w:val="20"/>
          <w:color w:val="auto"/>
        </w:rPr>
      </w:pPr>
      <w:r>
        <w:rPr>
          <w:rFonts w:ascii="Arial" w:cs="Arial" w:eastAsia="Arial" w:hAnsi="Arial"/>
          <w:sz w:val="18"/>
          <w:szCs w:val="18"/>
          <w:color w:val="auto"/>
        </w:rPr>
        <w:t>If you meet the eligibility requirements and your options are properly tendered and accepted for exchange, you will be entitled to receive replacement options exercisable for a number of shares of our Common Stock based on the following exchange ratios:</w:t>
      </w:r>
    </w:p>
    <w:p>
      <w:pPr>
        <w:spacing w:after="0" w:line="33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820" w:type="dxa"/>
            <w:vAlign w:val="bottom"/>
            <w:vMerge w:val="restart"/>
          </w:tcPr>
          <w:p>
            <w:pPr>
              <w:jc w:val="right"/>
              <w:ind w:right="2677"/>
              <w:spacing w:after="0"/>
              <w:rPr>
                <w:sz w:val="20"/>
                <w:szCs w:val="20"/>
                <w:color w:val="auto"/>
              </w:rPr>
            </w:pPr>
            <w:r>
              <w:rPr>
                <w:rFonts w:ascii="Arial" w:cs="Arial" w:eastAsia="Arial" w:hAnsi="Arial"/>
                <w:sz w:val="14"/>
                <w:szCs w:val="14"/>
                <w:b w:val="1"/>
                <w:bCs w:val="1"/>
                <w:color w:val="auto"/>
              </w:rPr>
              <w:t>Exercise Price Range</w:t>
            </w:r>
          </w:p>
        </w:tc>
        <w:tc>
          <w:tcPr>
            <w:tcW w:w="460" w:type="dxa"/>
            <w:vAlign w:val="bottom"/>
          </w:tcPr>
          <w:p>
            <w:pPr>
              <w:spacing w:after="0"/>
              <w:rPr>
                <w:sz w:val="14"/>
                <w:szCs w:val="14"/>
                <w:color w:val="auto"/>
              </w:rPr>
            </w:pPr>
          </w:p>
        </w:tc>
        <w:tc>
          <w:tcPr>
            <w:tcW w:w="3000" w:type="dxa"/>
            <w:vAlign w:val="bottom"/>
          </w:tcPr>
          <w:p>
            <w:pPr>
              <w:jc w:val="center"/>
              <w:spacing w:after="0"/>
              <w:rPr>
                <w:sz w:val="20"/>
                <w:szCs w:val="20"/>
                <w:color w:val="auto"/>
              </w:rPr>
            </w:pPr>
            <w:r>
              <w:rPr>
                <w:rFonts w:ascii="Arial" w:cs="Arial" w:eastAsia="Arial" w:hAnsi="Arial"/>
                <w:sz w:val="14"/>
                <w:szCs w:val="14"/>
                <w:b w:val="1"/>
                <w:bCs w:val="1"/>
                <w:color w:val="auto"/>
                <w:w w:val="93"/>
              </w:rPr>
              <w:t>Exchange Ratio</w:t>
            </w:r>
          </w:p>
        </w:tc>
        <w:tc>
          <w:tcPr>
            <w:tcW w:w="0" w:type="dxa"/>
            <w:vAlign w:val="bottom"/>
          </w:tcPr>
          <w:p>
            <w:pPr>
              <w:spacing w:after="0"/>
              <w:rPr>
                <w:sz w:val="1"/>
                <w:szCs w:val="1"/>
                <w:color w:val="auto"/>
              </w:rPr>
            </w:pPr>
          </w:p>
        </w:tc>
      </w:tr>
      <w:tr>
        <w:trPr>
          <w:trHeight w:val="149"/>
        </w:trPr>
        <w:tc>
          <w:tcPr>
            <w:tcW w:w="682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3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 eligible options to be tendered and</w:t>
            </w:r>
          </w:p>
        </w:tc>
        <w:tc>
          <w:tcPr>
            <w:tcW w:w="0" w:type="dxa"/>
            <w:vAlign w:val="bottom"/>
          </w:tcPr>
          <w:p>
            <w:pPr>
              <w:spacing w:after="0"/>
              <w:rPr>
                <w:sz w:val="1"/>
                <w:szCs w:val="1"/>
                <w:color w:val="auto"/>
              </w:rPr>
            </w:pPr>
          </w:p>
        </w:tc>
      </w:tr>
      <w:tr>
        <w:trPr>
          <w:trHeight w:val="186"/>
        </w:trPr>
        <w:tc>
          <w:tcPr>
            <w:tcW w:w="6820" w:type="dxa"/>
            <w:vAlign w:val="bottom"/>
          </w:tcPr>
          <w:p>
            <w:pPr>
              <w:jc w:val="right"/>
              <w:ind w:right="2757"/>
              <w:spacing w:after="0"/>
              <w:rPr>
                <w:sz w:val="20"/>
                <w:szCs w:val="20"/>
                <w:color w:val="auto"/>
              </w:rPr>
            </w:pPr>
            <w:r>
              <w:rPr>
                <w:rFonts w:ascii="Arial" w:cs="Arial" w:eastAsia="Arial" w:hAnsi="Arial"/>
                <w:sz w:val="14"/>
                <w:szCs w:val="14"/>
                <w:b w:val="1"/>
                <w:bCs w:val="1"/>
                <w:color w:val="auto"/>
              </w:rPr>
              <w:t>of Eligible Options</w:t>
            </w:r>
          </w:p>
        </w:tc>
        <w:tc>
          <w:tcPr>
            <w:tcW w:w="460" w:type="dxa"/>
            <w:vAlign w:val="bottom"/>
          </w:tcPr>
          <w:p>
            <w:pPr>
              <w:spacing w:after="0"/>
              <w:rPr>
                <w:sz w:val="16"/>
                <w:szCs w:val="16"/>
                <w:color w:val="auto"/>
              </w:rPr>
            </w:pPr>
          </w:p>
        </w:tc>
        <w:tc>
          <w:tcPr>
            <w:tcW w:w="3000" w:type="dxa"/>
            <w:vAlign w:val="bottom"/>
          </w:tcPr>
          <w:p>
            <w:pPr>
              <w:jc w:val="center"/>
              <w:spacing w:after="0"/>
              <w:rPr>
                <w:sz w:val="20"/>
                <w:szCs w:val="20"/>
                <w:color w:val="auto"/>
              </w:rPr>
            </w:pPr>
            <w:r>
              <w:rPr>
                <w:rFonts w:ascii="Arial" w:cs="Arial" w:eastAsia="Arial" w:hAnsi="Arial"/>
                <w:sz w:val="14"/>
                <w:szCs w:val="14"/>
                <w:b w:val="1"/>
                <w:bCs w:val="1"/>
                <w:color w:val="auto"/>
                <w:w w:val="91"/>
              </w:rPr>
              <w:t>canceled for each replacement option)</w:t>
            </w:r>
          </w:p>
        </w:tc>
        <w:tc>
          <w:tcPr>
            <w:tcW w:w="0" w:type="dxa"/>
            <w:vAlign w:val="bottom"/>
          </w:tcPr>
          <w:p>
            <w:pPr>
              <w:spacing w:after="0"/>
              <w:rPr>
                <w:sz w:val="1"/>
                <w:szCs w:val="1"/>
                <w:color w:val="auto"/>
              </w:rPr>
            </w:pPr>
          </w:p>
        </w:tc>
      </w:tr>
      <w:tr>
        <w:trPr>
          <w:trHeight w:val="53"/>
        </w:trPr>
        <w:tc>
          <w:tcPr>
            <w:tcW w:w="6820" w:type="dxa"/>
            <w:vAlign w:val="bottom"/>
            <w:tcBorders>
              <w:bottom w:val="single" w:sz="8" w:color="808080"/>
            </w:tcBorders>
          </w:tcPr>
          <w:p>
            <w:pPr>
              <w:spacing w:after="0"/>
              <w:rPr>
                <w:sz w:val="4"/>
                <w:szCs w:val="4"/>
                <w:color w:val="auto"/>
              </w:rPr>
            </w:pPr>
          </w:p>
        </w:tc>
        <w:tc>
          <w:tcPr>
            <w:tcW w:w="460" w:type="dxa"/>
            <w:vAlign w:val="bottom"/>
          </w:tcPr>
          <w:p>
            <w:pPr>
              <w:spacing w:after="0"/>
              <w:rPr>
                <w:sz w:val="4"/>
                <w:szCs w:val="4"/>
                <w:color w:val="auto"/>
              </w:rPr>
            </w:pPr>
          </w:p>
        </w:tc>
        <w:tc>
          <w:tcPr>
            <w:tcW w:w="30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68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EEEEEE"/>
          </w:tcPr>
          <w:p>
            <w:pPr>
              <w:jc w:val="right"/>
              <w:ind w:right="2757"/>
              <w:spacing w:after="0"/>
              <w:rPr>
                <w:sz w:val="20"/>
                <w:szCs w:val="20"/>
                <w:color w:val="auto"/>
              </w:rPr>
            </w:pPr>
            <w:r>
              <w:rPr>
                <w:rFonts w:ascii="Arial" w:cs="Arial" w:eastAsia="Arial" w:hAnsi="Arial"/>
                <w:sz w:val="18"/>
                <w:szCs w:val="18"/>
                <w:color w:val="auto"/>
              </w:rPr>
              <w:t>$18.00 - $28.00</w:t>
            </w:r>
          </w:p>
        </w:tc>
        <w:tc>
          <w:tcPr>
            <w:tcW w:w="3460" w:type="dxa"/>
            <w:vAlign w:val="bottom"/>
            <w:gridSpan w:val="2"/>
            <w:shd w:val="clear" w:color="auto" w:fill="EEEEEE"/>
          </w:tcPr>
          <w:p>
            <w:pPr>
              <w:jc w:val="right"/>
              <w:ind w:right="1368"/>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6820" w:type="dxa"/>
            <w:vAlign w:val="bottom"/>
          </w:tcPr>
          <w:p>
            <w:pPr>
              <w:jc w:val="right"/>
              <w:ind w:right="2757"/>
              <w:spacing w:after="0"/>
              <w:rPr>
                <w:sz w:val="20"/>
                <w:szCs w:val="20"/>
                <w:color w:val="auto"/>
              </w:rPr>
            </w:pPr>
            <w:r>
              <w:rPr>
                <w:rFonts w:ascii="Arial" w:cs="Arial" w:eastAsia="Arial" w:hAnsi="Arial"/>
                <w:sz w:val="18"/>
                <w:szCs w:val="18"/>
                <w:color w:val="auto"/>
              </w:rPr>
              <w:t>$28.01 - $37.00</w:t>
            </w:r>
          </w:p>
        </w:tc>
        <w:tc>
          <w:tcPr>
            <w:tcW w:w="3460" w:type="dxa"/>
            <w:vAlign w:val="bottom"/>
            <w:gridSpan w:val="2"/>
          </w:tcPr>
          <w:p>
            <w:pPr>
              <w:jc w:val="right"/>
              <w:ind w:right="1368"/>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6820" w:type="dxa"/>
            <w:vAlign w:val="bottom"/>
            <w:shd w:val="clear" w:color="auto" w:fill="EEEEEE"/>
          </w:tcPr>
          <w:p>
            <w:pPr>
              <w:jc w:val="right"/>
              <w:ind w:right="2737"/>
              <w:spacing w:after="0"/>
              <w:rPr>
                <w:sz w:val="20"/>
                <w:szCs w:val="20"/>
                <w:color w:val="auto"/>
              </w:rPr>
            </w:pPr>
            <w:r>
              <w:rPr>
                <w:rFonts w:ascii="Arial" w:cs="Arial" w:eastAsia="Arial" w:hAnsi="Arial"/>
                <w:sz w:val="18"/>
                <w:szCs w:val="18"/>
                <w:color w:val="auto"/>
              </w:rPr>
              <w:t>$37.01 and up</w:t>
            </w:r>
          </w:p>
        </w:tc>
        <w:tc>
          <w:tcPr>
            <w:tcW w:w="3460" w:type="dxa"/>
            <w:vAlign w:val="bottom"/>
            <w:gridSpan w:val="2"/>
            <w:shd w:val="clear" w:color="auto" w:fill="EEEEEE"/>
          </w:tcPr>
          <w:p>
            <w:pPr>
              <w:jc w:val="right"/>
              <w:ind w:right="1368"/>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200" w:firstLine="450"/>
        <w:spacing w:after="0" w:line="264" w:lineRule="auto"/>
        <w:rPr>
          <w:sz w:val="20"/>
          <w:szCs w:val="20"/>
          <w:color w:val="auto"/>
        </w:rPr>
      </w:pPr>
      <w:r>
        <w:rPr>
          <w:rFonts w:ascii="Arial" w:cs="Arial" w:eastAsia="Arial" w:hAnsi="Arial"/>
          <w:sz w:val="18"/>
          <w:szCs w:val="18"/>
          <w:color w:val="auto"/>
        </w:rPr>
        <w:t>Replacement option grants will be made in accordance with the foregoing exchange ratios and will be rounded down to the nearest whole share on a grant-by-grant basis. Accordingly, replacement options will not be granted for fractional shares. See Section 1 – “Eligible Options and Optionholders; Number of Replacement Options; Expiration Date – Number of Replacement Options.”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I choose to tender eligible options for exchange in the Offer, do I have to tender all of my options?</w:t>
      </w:r>
    </w:p>
    <w:p>
      <w:pPr>
        <w:spacing w:after="0" w:line="202" w:lineRule="exact"/>
        <w:rPr>
          <w:sz w:val="20"/>
          <w:szCs w:val="20"/>
          <w:color w:val="auto"/>
        </w:rPr>
      </w:pPr>
    </w:p>
    <w:p>
      <w:pPr>
        <w:ind w:firstLine="450"/>
        <w:spacing w:after="0" w:line="288" w:lineRule="auto"/>
        <w:rPr>
          <w:sz w:val="20"/>
          <w:szCs w:val="20"/>
          <w:color w:val="auto"/>
        </w:rPr>
      </w:pPr>
      <w:r>
        <w:rPr>
          <w:rFonts w:ascii="Arial" w:cs="Arial" w:eastAsia="Arial" w:hAnsi="Arial"/>
          <w:sz w:val="16"/>
          <w:szCs w:val="16"/>
          <w:color w:val="auto"/>
        </w:rPr>
        <w:t>In order to tender an eligible option from a particular option grant, you must tender all outstanding eligible options under that grant. We are not accepting partial tenders of particular option grants. For example, if you hold an option to purchase 1,000 shares of Common Stock at an exercise price of $19.43 per share, you must tender such option in its entirety; you cannot tender only part of the option and retain the remainder of the option. On the other hand, if you have an option to purchase 1,000 shares of Common Stock at an exercise price of $19.43 per share and an option to purchase 2,000 shares of Common Stock at an exercise price of $28.01 per share, you may choose to tender for exchange all (but not less than all) of the outstanding options under either of the option grants, both of the option grants or neither of the option grants, provided such options are eligible to be tendered in the Offer. Similarly, if you have an incentive stock option to purchase 700 shares of Common Stock at an exercise price of $19.43 and a nonqualified stock option to purchase 300 shares of Common Stock at $19.43, you may choose to tender for exchange all (but not less than all) of the outstanding options under either of the option grants, both of the option grants, or neither of the option grants, provided such options are eligible to be tendered in the Offer. See Section 1 – “Eligible Options and Optionholders; Number of Replacement Options; Expiration Date – Eligible Options and Optionholders.”</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1" w:right="31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Can I tender for exchange both vested and unvested options?</w:t>
      </w:r>
    </w:p>
    <w:p>
      <w:pPr>
        <w:spacing w:after="0" w:line="202" w:lineRule="exact"/>
        <w:rPr>
          <w:sz w:val="20"/>
          <w:szCs w:val="20"/>
          <w:color w:val="auto"/>
        </w:rPr>
      </w:pPr>
    </w:p>
    <w:p>
      <w:pPr>
        <w:ind w:firstLine="443"/>
        <w:spacing w:after="0" w:line="264" w:lineRule="auto"/>
        <w:rPr>
          <w:sz w:val="20"/>
          <w:szCs w:val="20"/>
          <w:color w:val="auto"/>
        </w:rPr>
      </w:pPr>
      <w:r>
        <w:rPr>
          <w:rFonts w:ascii="Arial" w:cs="Arial" w:eastAsia="Arial" w:hAnsi="Arial"/>
          <w:sz w:val="18"/>
          <w:szCs w:val="18"/>
          <w:color w:val="auto"/>
        </w:rPr>
        <w:t>Yes. If you are an eligible optionholder, you can tender any option granted to you under the Stock Incentive Plans that has not expired by its terms and that has an exercise price above $18.00 per share. However, if an outstanding eligible option grant includes both vested and unvested options, you must tender all of both the vested and unvested options if you tender any options of such grant.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exchange options that I have already fully exercised?</w:t>
      </w:r>
    </w:p>
    <w:p>
      <w:pPr>
        <w:spacing w:after="0" w:line="189" w:lineRule="exact"/>
        <w:rPr>
          <w:sz w:val="20"/>
          <w:szCs w:val="20"/>
          <w:color w:val="auto"/>
        </w:rPr>
      </w:pPr>
    </w:p>
    <w:p>
      <w:pPr>
        <w:ind w:right="60" w:firstLine="450"/>
        <w:spacing w:after="0" w:line="277" w:lineRule="auto"/>
        <w:rPr>
          <w:sz w:val="20"/>
          <w:szCs w:val="20"/>
          <w:color w:val="auto"/>
        </w:rPr>
      </w:pPr>
      <w:r>
        <w:rPr>
          <w:rFonts w:ascii="Arial" w:cs="Arial" w:eastAsia="Arial" w:hAnsi="Arial"/>
          <w:sz w:val="18"/>
          <w:szCs w:val="18"/>
          <w:color w:val="auto"/>
        </w:rPr>
        <w:t>No. The Offer applies only to outstanding eligible options. An option grant that has been fully exercised, or any portion of a particular option grant that has been exercised, is no longer outstanding and thus is not eligible to be tendered for exchange in the Offer.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exchange the remaining portion of an eligible option grant that I have already partially exercised?</w:t>
      </w:r>
    </w:p>
    <w:p>
      <w:pPr>
        <w:spacing w:after="0" w:line="189" w:lineRule="exact"/>
        <w:rPr>
          <w:sz w:val="20"/>
          <w:szCs w:val="20"/>
          <w:color w:val="auto"/>
        </w:rPr>
      </w:pPr>
    </w:p>
    <w:p>
      <w:pPr>
        <w:ind w:right="520" w:firstLine="443"/>
        <w:spacing w:after="0" w:line="277" w:lineRule="auto"/>
        <w:rPr>
          <w:sz w:val="20"/>
          <w:szCs w:val="20"/>
          <w:color w:val="auto"/>
        </w:rPr>
      </w:pPr>
      <w:r>
        <w:rPr>
          <w:rFonts w:ascii="Arial" w:cs="Arial" w:eastAsia="Arial" w:hAnsi="Arial"/>
          <w:sz w:val="18"/>
          <w:szCs w:val="18"/>
          <w:color w:val="auto"/>
        </w:rPr>
        <w:t>Yes. If you have previously partially exercised an eligible option grant, you can still tender for exchange the remaining unexercised portion of an eligible option grant.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will the terms of my replacement options be?</w:t>
      </w:r>
    </w:p>
    <w:p>
      <w:pPr>
        <w:spacing w:after="0" w:line="202" w:lineRule="exact"/>
        <w:rPr>
          <w:sz w:val="20"/>
          <w:szCs w:val="20"/>
          <w:color w:val="auto"/>
        </w:rPr>
      </w:pPr>
    </w:p>
    <w:p>
      <w:pPr>
        <w:ind w:right="100" w:firstLine="447"/>
        <w:spacing w:after="0" w:line="259" w:lineRule="auto"/>
        <w:rPr>
          <w:sz w:val="20"/>
          <w:szCs w:val="20"/>
          <w:color w:val="auto"/>
        </w:rPr>
      </w:pPr>
      <w:r>
        <w:rPr>
          <w:rFonts w:ascii="Arial" w:cs="Arial" w:eastAsia="Arial" w:hAnsi="Arial"/>
          <w:sz w:val="18"/>
          <w:szCs w:val="18"/>
          <w:color w:val="auto"/>
        </w:rPr>
        <w:t>The replacement options that you will receive will be granted under the 2000 Plan and will be subject to the terms and conditions of the 2000 Plan and an applicable replacement option agreement, which will be substantially in the form of exhibit (d)(7), (d)(8) or (d)(9), as applicable, to the Tender Offer Statement on Schedule TO that we originally filed with the Securities and Exchange Commission (the “SEC”) on December 3, 2004 (as the same may be amended or supplemented from time to time, the “Schedule TO”).</w:t>
      </w:r>
    </w:p>
    <w:p>
      <w:pPr>
        <w:spacing w:after="0" w:line="146" w:lineRule="exact"/>
        <w:rPr>
          <w:sz w:val="20"/>
          <w:szCs w:val="20"/>
          <w:color w:val="auto"/>
        </w:rPr>
      </w:pPr>
    </w:p>
    <w:p>
      <w:pPr>
        <w:ind w:right="100" w:firstLine="447"/>
        <w:spacing w:after="0" w:line="279" w:lineRule="auto"/>
        <w:rPr>
          <w:sz w:val="20"/>
          <w:szCs w:val="20"/>
          <w:color w:val="auto"/>
        </w:rPr>
      </w:pPr>
      <w:r>
        <w:rPr>
          <w:rFonts w:ascii="Arial" w:cs="Arial" w:eastAsia="Arial" w:hAnsi="Arial"/>
          <w:sz w:val="17"/>
          <w:szCs w:val="17"/>
          <w:color w:val="auto"/>
        </w:rPr>
        <w:t>The term of the replacement options you receive in exchange for eligible options tendered and accepted for exchange in the Offer may, and the vesting schedule of such replacement options will, be different from the term and vesting schedule of your tendered options. You should carefully review the description of the replacement options and the terms and conditions of the 2000 Plan in Section 8 – “Source and Amount of Consideration; Terms of Replacement Options – Description of the Material Terms of the 2000 Plan,” before making a decision to tender your options.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will the exercise price of the replacement options be?</w:t>
      </w:r>
    </w:p>
    <w:p>
      <w:pPr>
        <w:spacing w:after="0" w:line="202" w:lineRule="exact"/>
        <w:rPr>
          <w:sz w:val="20"/>
          <w:szCs w:val="20"/>
          <w:color w:val="auto"/>
        </w:rPr>
      </w:pPr>
    </w:p>
    <w:p>
      <w:pPr>
        <w:ind w:right="180" w:firstLine="447"/>
        <w:spacing w:after="0" w:line="302" w:lineRule="auto"/>
        <w:rPr>
          <w:sz w:val="20"/>
          <w:szCs w:val="20"/>
          <w:color w:val="auto"/>
        </w:rPr>
      </w:pPr>
      <w:r>
        <w:rPr>
          <w:rFonts w:ascii="Arial" w:cs="Arial" w:eastAsia="Arial" w:hAnsi="Arial"/>
          <w:sz w:val="16"/>
          <w:szCs w:val="16"/>
          <w:color w:val="auto"/>
        </w:rPr>
        <w:t xml:space="preserve">The per share exercise price of the replacement options will be equal to the fair market value per share (as determined under the 2000 Plan) of the Common Stock on the Grant Date. Accordingly, we cannot predict the exercise price of the replacement options. </w:t>
      </w:r>
      <w:r>
        <w:rPr>
          <w:rFonts w:ascii="Arial" w:cs="Arial" w:eastAsia="Arial" w:hAnsi="Arial"/>
          <w:sz w:val="16"/>
          <w:szCs w:val="16"/>
          <w:b w:val="1"/>
          <w:bCs w:val="1"/>
          <w:color w:val="auto"/>
        </w:rPr>
        <w:t>We recommend that you obtain current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market quotations for our Common Stock before deciding whether to tender your options for exchange in the Offer. </w:t>
      </w:r>
      <w:r>
        <w:rPr>
          <w:rFonts w:ascii="Arial" w:cs="Arial" w:eastAsia="Arial" w:hAnsi="Arial"/>
          <w:sz w:val="16"/>
          <w:szCs w:val="16"/>
          <w:color w:val="auto"/>
        </w:rPr>
        <w:t>See Section 5 – “Acceptance of</w:t>
      </w:r>
      <w:r>
        <w:rPr>
          <w:rFonts w:ascii="Arial" w:cs="Arial" w:eastAsia="Arial" w:hAnsi="Arial"/>
          <w:sz w:val="16"/>
          <w:szCs w:val="16"/>
          <w:b w:val="1"/>
          <w:bCs w:val="1"/>
          <w:color w:val="auto"/>
        </w:rPr>
        <w:t xml:space="preserve"> </w:t>
      </w:r>
      <w:r>
        <w:rPr>
          <w:rFonts w:ascii="Arial" w:cs="Arial" w:eastAsia="Arial" w:hAnsi="Arial"/>
          <w:sz w:val="16"/>
          <w:szCs w:val="16"/>
          <w:color w:val="auto"/>
        </w:rPr>
        <w:t>Options for Exchange and Grant of Replacement Options” and Section 7 – “Price Range of Common Stock Underlying Options.”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What will be the term of my replacement options?</w:t>
      </w:r>
    </w:p>
    <w:p>
      <w:pPr>
        <w:spacing w:after="0" w:line="202" w:lineRule="exact"/>
        <w:rPr>
          <w:sz w:val="20"/>
          <w:szCs w:val="20"/>
          <w:color w:val="auto"/>
        </w:rPr>
      </w:pPr>
    </w:p>
    <w:p>
      <w:pPr>
        <w:ind w:right="80" w:firstLine="447"/>
        <w:spacing w:after="0" w:line="259" w:lineRule="auto"/>
        <w:rPr>
          <w:sz w:val="20"/>
          <w:szCs w:val="20"/>
          <w:color w:val="auto"/>
        </w:rPr>
      </w:pPr>
      <w:r>
        <w:rPr>
          <w:rFonts w:ascii="Arial" w:cs="Arial" w:eastAsia="Arial" w:hAnsi="Arial"/>
          <w:sz w:val="18"/>
          <w:szCs w:val="18"/>
          <w:color w:val="auto"/>
        </w:rPr>
        <w:t>The term of an option is the maximum length of time during which it may be exercised. Each replacement option granted in exchange for eligible options validly tendered and accepted pursuant to the Offer will have a maximum term equal to the greater of (1) the remaining term of the tendered option it replaces and (2) six years from the Grant Date. See Section 8 – “Source and Amount of Consideration; Terms of Replacement Options – Terms of Replacement Options.”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will my replacement options vest?</w:t>
      </w:r>
    </w:p>
    <w:p>
      <w:pPr>
        <w:spacing w:after="0" w:line="189" w:lineRule="exact"/>
        <w:rPr>
          <w:sz w:val="20"/>
          <w:szCs w:val="20"/>
          <w:color w:val="auto"/>
        </w:rPr>
      </w:pPr>
    </w:p>
    <w:p>
      <w:pPr>
        <w:ind w:firstLine="447"/>
        <w:spacing w:after="0" w:line="285" w:lineRule="auto"/>
        <w:rPr>
          <w:sz w:val="20"/>
          <w:szCs w:val="20"/>
          <w:color w:val="auto"/>
        </w:rPr>
      </w:pPr>
      <w:r>
        <w:rPr>
          <w:rFonts w:ascii="Arial" w:cs="Arial" w:eastAsia="Arial" w:hAnsi="Arial"/>
          <w:sz w:val="16"/>
          <w:szCs w:val="16"/>
          <w:color w:val="auto"/>
        </w:rPr>
        <w:t xml:space="preserve">The replacement options will vest on a different schedule than your tendered options. Each replacement option will be completely unvested upon grant. Each replacement option granted to an employee other than our executive vice president and senior vice presidents will ordinarily become vested and exercisable in equal annual installments on each of the first, second, third and fourth anniversaries of the Grant Date. Each replacement option granted to our executive vice president and senior vice presidents will ordinarily vest with respect to all the shares underlying such option if </w:t>
      </w:r>
      <w:r>
        <w:rPr>
          <w:rFonts w:ascii="Arial" w:cs="Arial" w:eastAsia="Arial" w:hAnsi="Arial"/>
          <w:sz w:val="16"/>
          <w:szCs w:val="16"/>
          <w:i w:val="1"/>
          <w:iCs w:val="1"/>
          <w:color w:val="auto"/>
        </w:rPr>
        <w:t>both</w:t>
      </w:r>
      <w:r>
        <w:rPr>
          <w:rFonts w:ascii="Arial" w:cs="Arial" w:eastAsia="Arial" w:hAnsi="Arial"/>
          <w:sz w:val="16"/>
          <w:szCs w:val="16"/>
          <w:color w:val="auto"/>
        </w:rPr>
        <w:t xml:space="preserve"> (i) the Company’s products have achieved gross sales of at least $100 million during any consecutive twelve month period (either directly by the Company or through its licensees) </w:t>
      </w:r>
      <w:r>
        <w:rPr>
          <w:rFonts w:ascii="Arial" w:cs="Arial" w:eastAsia="Arial" w:hAnsi="Arial"/>
          <w:sz w:val="16"/>
          <w:szCs w:val="16"/>
          <w:i w:val="1"/>
          <w:iCs w:val="1"/>
          <w:color w:val="auto"/>
        </w:rPr>
        <w:t>and</w:t>
      </w:r>
    </w:p>
    <w:p>
      <w:pPr>
        <w:spacing w:after="0" w:line="2" w:lineRule="exact"/>
        <w:rPr>
          <w:sz w:val="20"/>
          <w:szCs w:val="20"/>
          <w:color w:val="auto"/>
        </w:rPr>
      </w:pPr>
    </w:p>
    <w:p>
      <w:pPr>
        <w:ind w:right="240" w:firstLine="8"/>
        <w:spacing w:after="0" w:line="255" w:lineRule="auto"/>
        <w:tabs>
          <w:tab w:leader="none" w:pos="2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specific senior or executive vice president has remained employed by the Company for at least three years from the Grant Date. For all replacement options, the recipient’s vesting and exercise rights will be contingent on the recipient’s continued employment through the applicable vesting dates and subject to the provisions of the 2000 Plan and the applicable option agreement.</w:t>
      </w:r>
    </w:p>
    <w:p>
      <w:pPr>
        <w:spacing w:after="0" w:line="163"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As is generally the case with respect to the options eligible for exchange pursuant to the Option Exchange Program, the option agreements for replacement options will include provisions whereby the replacement options may become fully vested in connection with a “Change in Control” of the Company, as defined in the 2000 Plan. For a more detailed discussion of the vesting of the replacement options, please see Section 8 – “Source and Amount of Consideration; Terms of Replacement Options – Terms of Replacement Options.”</w:t>
      </w:r>
    </w:p>
    <w:p>
      <w:pPr>
        <w:spacing w:after="0" w:line="142"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Will I lose the benefits of any vesting I have under my existing options if I tender those options in the Offer and they are accepted for exchange and canceled?</w:t>
      </w:r>
    </w:p>
    <w:p>
      <w:pPr>
        <w:spacing w:after="0" w:line="125" w:lineRule="exact"/>
        <w:rPr>
          <w:sz w:val="20"/>
          <w:szCs w:val="20"/>
          <w:color w:val="auto"/>
        </w:rPr>
      </w:pPr>
    </w:p>
    <w:p>
      <w:pPr>
        <w:ind w:right="160" w:firstLine="443"/>
        <w:spacing w:after="0" w:line="264" w:lineRule="auto"/>
        <w:rPr>
          <w:sz w:val="20"/>
          <w:szCs w:val="20"/>
          <w:color w:val="auto"/>
        </w:rPr>
      </w:pPr>
      <w:r>
        <w:rPr>
          <w:rFonts w:ascii="Arial" w:cs="Arial" w:eastAsia="Arial" w:hAnsi="Arial"/>
          <w:sz w:val="18"/>
          <w:szCs w:val="18"/>
          <w:color w:val="auto"/>
        </w:rPr>
        <w:t>Yes. You will lose the benefits of any vesting under options you validly tender which are accepted and exchanged for replacement options pursuant to the Offer. The replacement options we grant will vest in accordance with the schedule described above and in Section 8 – “Source and Amount of Consideration; Terms of Replacement Options – Terms of Replacement Options.”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my current options are incentive stock options, will my replacement options be incentive stock options?</w:t>
      </w:r>
    </w:p>
    <w:p>
      <w:pPr>
        <w:spacing w:after="0" w:line="189" w:lineRule="exact"/>
        <w:rPr>
          <w:sz w:val="20"/>
          <w:szCs w:val="20"/>
          <w:color w:val="auto"/>
        </w:rPr>
      </w:pPr>
    </w:p>
    <w:p>
      <w:pPr>
        <w:ind w:right="20" w:firstLine="450"/>
        <w:spacing w:after="0" w:line="277" w:lineRule="auto"/>
        <w:rPr>
          <w:sz w:val="20"/>
          <w:szCs w:val="20"/>
          <w:color w:val="auto"/>
        </w:rPr>
      </w:pPr>
      <w:r>
        <w:rPr>
          <w:rFonts w:ascii="Arial" w:cs="Arial" w:eastAsia="Arial" w:hAnsi="Arial"/>
          <w:sz w:val="18"/>
          <w:szCs w:val="18"/>
          <w:color w:val="auto"/>
        </w:rPr>
        <w:t>If options tendered for exchange in the Offer qualified as incentive stock options under U.S. tax laws, then the replacement options for employees other than our executive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23" w:name="page24"/>
    <w:bookmarkEnd w:id="23"/>
    <w:p>
      <w:pPr>
        <w:spacing w:after="0" w:line="253" w:lineRule="auto"/>
        <w:rPr>
          <w:sz w:val="20"/>
          <w:szCs w:val="20"/>
          <w:color w:val="auto"/>
        </w:rPr>
      </w:pPr>
      <w:r>
        <w:rPr>
          <w:rFonts w:ascii="Arial" w:cs="Arial" w:eastAsia="Arial" w:hAnsi="Arial"/>
          <w:sz w:val="18"/>
          <w:szCs w:val="18"/>
          <w:color w:val="auto"/>
        </w:rPr>
        <w:t>vice president and senior vice presidents will also be incentive stock options to the fullest extent permitted under Section 422 of the Internal Revenue Code of 1986, as amended. However, the holding period required in order for such options to be entitled to the favorable tax treatment available for incentive stock options (which generally provides that stock acquired pursuant to such options may not be disposed of within two years from the date of grant and one year from the date of exercise) will recommence as of the Grant Date. Replacement options for our executive vice president and senior vice presidents will not be incentive stock options. If your replacement options are incentive stock options, pursuant to applicable U.S. federal income tax law, we may need to limit the number of future incentive stock option awards you may receive that are scheduled to become vested and exercisable in the same year(s) as the replacement options. Options that are not eligible for treatment as incentive stock options may be granted as nonqualified stock options. See Section 8 – “Source and Amount of Consideration; Terms of Replacement Options – Certain Federal Income Tax Consequences” and Section 13 – “Certain Federal Income Tax Consequences.”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I have to pay taxes if I exchange my options in the Offer?</w:t>
      </w:r>
    </w:p>
    <w:p>
      <w:pPr>
        <w:spacing w:after="0" w:line="189" w:lineRule="exact"/>
        <w:rPr>
          <w:sz w:val="20"/>
          <w:szCs w:val="20"/>
          <w:color w:val="auto"/>
        </w:rPr>
      </w:pPr>
    </w:p>
    <w:p>
      <w:pPr>
        <w:jc w:val="both"/>
        <w:ind w:right="480" w:firstLine="450"/>
        <w:spacing w:after="0" w:line="264" w:lineRule="auto"/>
        <w:rPr>
          <w:sz w:val="20"/>
          <w:szCs w:val="20"/>
          <w:color w:val="auto"/>
        </w:rPr>
      </w:pPr>
      <w:r>
        <w:rPr>
          <w:rFonts w:ascii="Arial" w:cs="Arial" w:eastAsia="Arial" w:hAnsi="Arial"/>
          <w:sz w:val="18"/>
          <w:szCs w:val="18"/>
          <w:color w:val="auto"/>
        </w:rPr>
        <w:t>If you exchange your current options for replacement options, we believe that you will not be required under current law to recognize income for United States federal income tax purposes at the time of the exchange. We recommend that you consult with your own tax advisor to determine the tax consequences to you of the Offer. See Section 13 – “Certain Federal Income Tax Consequences.”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I have any rights or benefits with respect to options I tender in the Offer?</w:t>
      </w:r>
    </w:p>
    <w:p>
      <w:pPr>
        <w:spacing w:after="0" w:line="202" w:lineRule="exact"/>
        <w:rPr>
          <w:sz w:val="20"/>
          <w:szCs w:val="20"/>
          <w:color w:val="auto"/>
        </w:rPr>
      </w:pPr>
    </w:p>
    <w:p>
      <w:pPr>
        <w:ind w:right="140" w:firstLine="450"/>
        <w:spacing w:after="0" w:line="277" w:lineRule="auto"/>
        <w:rPr>
          <w:sz w:val="20"/>
          <w:szCs w:val="20"/>
          <w:color w:val="auto"/>
        </w:rPr>
      </w:pPr>
      <w:r>
        <w:rPr>
          <w:rFonts w:ascii="Arial" w:cs="Arial" w:eastAsia="Arial" w:hAnsi="Arial"/>
          <w:sz w:val="18"/>
          <w:szCs w:val="18"/>
          <w:color w:val="auto"/>
        </w:rPr>
        <w:t>No. Options tendered and accepted for exchange in the Offer will be cancelled and you will no longer have any rights or benefits under those options. See Section 5 – “Acceptance of Options for Exchange and Grant of Replacement Options.”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I tender options in the Offer, will I be able to receive other option grants before I receive my replacement options?</w:t>
      </w:r>
    </w:p>
    <w:p>
      <w:pPr>
        <w:spacing w:after="0" w:line="189" w:lineRule="exact"/>
        <w:rPr>
          <w:sz w:val="20"/>
          <w:szCs w:val="20"/>
          <w:color w:val="auto"/>
        </w:rPr>
      </w:pPr>
    </w:p>
    <w:p>
      <w:pPr>
        <w:ind w:right="220" w:firstLine="447"/>
        <w:spacing w:after="0" w:line="264" w:lineRule="auto"/>
        <w:rPr>
          <w:sz w:val="20"/>
          <w:szCs w:val="20"/>
          <w:color w:val="auto"/>
        </w:rPr>
      </w:pPr>
      <w:r>
        <w:rPr>
          <w:rFonts w:ascii="Arial" w:cs="Arial" w:eastAsia="Arial" w:hAnsi="Arial"/>
          <w:sz w:val="18"/>
          <w:szCs w:val="18"/>
          <w:color w:val="auto"/>
        </w:rPr>
        <w:t>We intend to continue to grant option awards to employees from time to time as part of our normal compensation program. We expect that many employees eligible to participate in the Option Exchange Program will receive additional option grants, in accordance with the Company’s past practice, in December 2004. See Section 10 – “Interests of Directors and Officers; Transactions and Arrangements.”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happens to options that I choose not to tender or that are not accepted for exchange in the Offer?</w:t>
      </w:r>
    </w:p>
    <w:p>
      <w:pPr>
        <w:spacing w:after="0" w:line="189" w:lineRule="exact"/>
        <w:rPr>
          <w:sz w:val="20"/>
          <w:szCs w:val="20"/>
          <w:color w:val="auto"/>
        </w:rPr>
      </w:pPr>
    </w:p>
    <w:p>
      <w:pPr>
        <w:ind w:right="120" w:firstLine="450"/>
        <w:spacing w:after="0" w:line="277" w:lineRule="auto"/>
        <w:rPr>
          <w:sz w:val="20"/>
          <w:szCs w:val="20"/>
          <w:color w:val="auto"/>
        </w:rPr>
      </w:pPr>
      <w:r>
        <w:rPr>
          <w:rFonts w:ascii="Arial" w:cs="Arial" w:eastAsia="Arial" w:hAnsi="Arial"/>
          <w:sz w:val="18"/>
          <w:szCs w:val="18"/>
          <w:color w:val="auto"/>
        </w:rPr>
        <w:t>Nothing. Options that you choose not to tender for exchange, or that we do not accept for exchange in the Offer, will remain outstanding and retain all their current terms, including exercise price, term and vesting schedule.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What if Regeneron enters into a merger or other similar transaction?</w:t>
      </w:r>
    </w:p>
    <w:p>
      <w:pPr>
        <w:spacing w:after="0" w:line="202" w:lineRule="exact"/>
        <w:rPr>
          <w:sz w:val="20"/>
          <w:szCs w:val="20"/>
          <w:color w:val="auto"/>
        </w:rPr>
      </w:pPr>
    </w:p>
    <w:p>
      <w:pPr>
        <w:ind w:right="280" w:firstLine="440"/>
        <w:spacing w:after="0" w:line="264" w:lineRule="auto"/>
        <w:rPr>
          <w:sz w:val="20"/>
          <w:szCs w:val="20"/>
          <w:color w:val="auto"/>
        </w:rPr>
      </w:pPr>
      <w:r>
        <w:rPr>
          <w:rFonts w:ascii="Arial" w:cs="Arial" w:eastAsia="Arial" w:hAnsi="Arial"/>
          <w:sz w:val="18"/>
          <w:szCs w:val="18"/>
          <w:color w:val="auto"/>
        </w:rPr>
        <w:t>As is generally the case with respect to the option agreements for options eligible to be tendered in the Offer, the option agreements for replacement options will include provisions whereby the replacement options may become fully vested in connection with a “Change in Control” of the Company, as defined in the 2000 Plan.</w:t>
      </w:r>
    </w:p>
    <w:p>
      <w:pPr>
        <w:spacing w:after="0" w:line="141" w:lineRule="exact"/>
        <w:rPr>
          <w:sz w:val="20"/>
          <w:szCs w:val="20"/>
          <w:color w:val="auto"/>
        </w:rPr>
      </w:pPr>
    </w:p>
    <w:p>
      <w:pPr>
        <w:ind w:firstLine="447"/>
        <w:spacing w:after="0" w:line="273" w:lineRule="auto"/>
        <w:rPr>
          <w:sz w:val="20"/>
          <w:szCs w:val="20"/>
          <w:color w:val="auto"/>
        </w:rPr>
      </w:pPr>
      <w:r>
        <w:rPr>
          <w:rFonts w:ascii="Arial" w:cs="Arial" w:eastAsia="Arial" w:hAnsi="Arial"/>
          <w:sz w:val="17"/>
          <w:szCs w:val="17"/>
          <w:color w:val="auto"/>
        </w:rPr>
        <w:t>We may terminate the Offer before the Expiration Date, if we determine that it is inadvisable for us to proceed with the Offer or to accept and cancel options tendered for exchange because a tender or exchange offer with respect to some or all of our capital stock, or a merger or acquisition proposal for us, is proposed, announced or made by another person or entity or is publicly disclosed. Currently, the Company has no plans to enter into a business combination such as those referred to in the previous sentence. See Section 2 – “Purpose and Background of the Offer,” Section 6 – “Conditions of the Offer,” Section 8 – “Source and Amount of Consideration; Terms of Replacement Options – Description of the Material Terms of the 2000 Plan,” and the applicable replacement option agreement in the form of exhibit (d)(7), (d)(8) or (d)(9), as applicable, to the Schedule TO.</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happens if the Offer is not consummated?</w:t>
      </w:r>
    </w:p>
    <w:p>
      <w:pPr>
        <w:spacing w:after="0" w:line="202" w:lineRule="exact"/>
        <w:rPr>
          <w:sz w:val="20"/>
          <w:szCs w:val="20"/>
          <w:color w:val="auto"/>
        </w:rPr>
      </w:pPr>
    </w:p>
    <w:p>
      <w:pPr>
        <w:ind w:right="240" w:firstLine="450"/>
        <w:spacing w:after="0" w:line="264" w:lineRule="auto"/>
        <w:rPr>
          <w:sz w:val="20"/>
          <w:szCs w:val="20"/>
          <w:color w:val="auto"/>
        </w:rPr>
      </w:pPr>
      <w:r>
        <w:rPr>
          <w:rFonts w:ascii="Arial" w:cs="Arial" w:eastAsia="Arial" w:hAnsi="Arial"/>
          <w:sz w:val="18"/>
          <w:szCs w:val="18"/>
          <w:color w:val="auto"/>
        </w:rPr>
        <w:t>If we do not accept any options tendered for exchange and not withdrawn, you will keep all of your current options and you will not receive replacement options. No changes will be made to your existing options and they will remain outstanding with their current terms, including exercise price, term and vesting schedule, until they are exercised or expire by their terms.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does the Offer expire? Can the Offer be extended?</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Offer expires on January 5, 2005, at 6:00 p.m., Eastern Time, unless we extend it.</w:t>
      </w:r>
    </w:p>
    <w:p>
      <w:pPr>
        <w:spacing w:after="0" w:line="198" w:lineRule="exact"/>
        <w:rPr>
          <w:sz w:val="20"/>
          <w:szCs w:val="20"/>
          <w:color w:val="auto"/>
        </w:rPr>
      </w:pPr>
    </w:p>
    <w:p>
      <w:pPr>
        <w:ind w:right="80" w:firstLine="440"/>
        <w:spacing w:after="0" w:line="264" w:lineRule="auto"/>
        <w:rPr>
          <w:sz w:val="20"/>
          <w:szCs w:val="20"/>
          <w:color w:val="auto"/>
        </w:rPr>
      </w:pPr>
      <w:r>
        <w:rPr>
          <w:rFonts w:ascii="Arial" w:cs="Arial" w:eastAsia="Arial" w:hAnsi="Arial"/>
          <w:sz w:val="18"/>
          <w:szCs w:val="18"/>
          <w:color w:val="auto"/>
        </w:rPr>
        <w:t>Although we do not currently intend to do so, we may, in our discretion, extend the Offer at any time. If the Offer is extended, we will provide appropriate notice of the extension no later than 9:00 a.m., Eastern Time, on the next business day following the previously scheduled Expiration Date of the Offer. See Section 14 – “Extension of Offer; Termination; Amendment.”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tender my options for exchange in the Offer?</w:t>
      </w:r>
    </w:p>
    <w:p>
      <w:pPr>
        <w:spacing w:after="0" w:line="189" w:lineRule="exact"/>
        <w:rPr>
          <w:sz w:val="20"/>
          <w:szCs w:val="20"/>
          <w:color w:val="auto"/>
        </w:rPr>
      </w:pPr>
    </w:p>
    <w:p>
      <w:pPr>
        <w:ind w:right="140" w:firstLine="450"/>
        <w:spacing w:after="0" w:line="302" w:lineRule="auto"/>
        <w:rPr>
          <w:sz w:val="20"/>
          <w:szCs w:val="20"/>
          <w:color w:val="auto"/>
        </w:rPr>
      </w:pPr>
      <w:r>
        <w:rPr>
          <w:rFonts w:ascii="Arial" w:cs="Arial" w:eastAsia="Arial" w:hAnsi="Arial"/>
          <w:sz w:val="16"/>
          <w:szCs w:val="16"/>
          <w:color w:val="auto"/>
        </w:rPr>
        <w:t>In order to validly tender eligible options for exchange in the Offer, you must, in accordance with the instructions set forth in the Election Form, properly complete, duly execute and deliver to us the Election Form prior to the Expiration Date. Delivery of the Election Form must either be by regular or overnight mail to Regeneron Pharmaceuticals, Inc., 777 Old Saw Mill River Road, Tarrytown, New York 10591, Attention: Human Resources Department, Options Exchange, or by hand to either Pam Curtis in our Tarrytown, New York location or Lynne Fuierer in our Rensselaer, New York location.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Delivery by e-mail or other electronic means will not be accepted. We will only accept a properly executed paper copy of the Election Form.</w:t>
      </w:r>
    </w:p>
    <w:p>
      <w:pPr>
        <w:spacing w:after="0" w:line="198" w:lineRule="exact"/>
        <w:rPr>
          <w:sz w:val="20"/>
          <w:szCs w:val="20"/>
          <w:color w:val="auto"/>
        </w:rPr>
      </w:pPr>
    </w:p>
    <w:p>
      <w:pPr>
        <w:ind w:firstLine="447"/>
        <w:spacing w:after="0" w:line="264" w:lineRule="auto"/>
        <w:rPr>
          <w:sz w:val="20"/>
          <w:szCs w:val="20"/>
          <w:color w:val="auto"/>
        </w:rPr>
      </w:pPr>
      <w:r>
        <w:rPr>
          <w:rFonts w:ascii="Arial" w:cs="Arial" w:eastAsia="Arial" w:hAnsi="Arial"/>
          <w:sz w:val="18"/>
          <w:szCs w:val="18"/>
          <w:color w:val="auto"/>
        </w:rPr>
        <w:t>We reserve the right to reject any or all tenders of options that we determine are not in appropriate form or that we determine are unlawful to accept. Otherwise, we expect to accept all eligible options that are properly and timely tendered for exchange and not validly withdrawn. See Section 3 – “Procedures for Tendering Options for Exchange” and Section 4 – “Withdrawal Rights.”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During what period of time may I withdraw previously tendered options?</w:t>
      </w:r>
    </w:p>
    <w:p>
      <w:pPr>
        <w:spacing w:after="0" w:line="189" w:lineRule="exact"/>
        <w:rPr>
          <w:sz w:val="20"/>
          <w:szCs w:val="20"/>
          <w:color w:val="auto"/>
        </w:rPr>
      </w:pPr>
    </w:p>
    <w:p>
      <w:pPr>
        <w:ind w:right="20" w:firstLine="443"/>
        <w:spacing w:after="0" w:line="255" w:lineRule="auto"/>
        <w:rPr>
          <w:sz w:val="20"/>
          <w:szCs w:val="20"/>
          <w:color w:val="auto"/>
        </w:rPr>
      </w:pPr>
      <w:r>
        <w:rPr>
          <w:rFonts w:ascii="Arial" w:cs="Arial" w:eastAsia="Arial" w:hAnsi="Arial"/>
          <w:sz w:val="18"/>
          <w:szCs w:val="18"/>
          <w:color w:val="auto"/>
        </w:rPr>
        <w:t>You may withdraw options you tendered for exchange at any time before the Offer expires at 6:00 p.m., Eastern Time, on the Expiration Date. To withdraw options tendered for exchange, you must deliver to us prior to the Expiration Date a properly completed and signed written Notice of Withdrawal in substantially the form enclosed with this Offer to Exchange. Delivery of the Notice of Withdrawal must either be by regular or overnight mail to Regeneron Pharmaceuticals, Inc., 777 Old Saw Mill River Road, Tarrytown, New York 10591, Attention: Human Resources Department, Options Exchange, or by hand to either Pam Curtis in our Tarrytown, New York location or Lynne Fuierer in our Rensselaer, New York location. Delivery by e-mail or other electronic means will not be accepted.</w:t>
      </w:r>
    </w:p>
    <w:p>
      <w:pPr>
        <w:spacing w:after="0" w:line="166" w:lineRule="exact"/>
        <w:rPr>
          <w:sz w:val="20"/>
          <w:szCs w:val="20"/>
          <w:color w:val="auto"/>
        </w:rPr>
      </w:pPr>
    </w:p>
    <w:p>
      <w:pPr>
        <w:jc w:val="both"/>
        <w:ind w:right="300" w:firstLine="450"/>
        <w:spacing w:after="0" w:line="264" w:lineRule="auto"/>
        <w:rPr>
          <w:sz w:val="20"/>
          <w:szCs w:val="20"/>
          <w:color w:val="auto"/>
        </w:rPr>
      </w:pPr>
      <w:r>
        <w:rPr>
          <w:rFonts w:ascii="Arial" w:cs="Arial" w:eastAsia="Arial" w:hAnsi="Arial"/>
          <w:sz w:val="18"/>
          <w:szCs w:val="18"/>
          <w:color w:val="auto"/>
        </w:rPr>
        <w:t>Once you have withdrawn options, you may re-tender options for exchange only by again following the tender procedures described in this Offer to Exchange and the accompanying Election Form. See Section 4 – “Withdrawal Rights” and Section 3 – “Procedures for Tendering Options for Exchange – Proper Tender of Eligible Options.”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mind and elect not to tender certain options, or elect to tender additional options, after I submit an Election Form?</w:t>
      </w:r>
    </w:p>
    <w:p>
      <w:pPr>
        <w:spacing w:after="0" w:line="189" w:lineRule="exact"/>
        <w:rPr>
          <w:sz w:val="20"/>
          <w:szCs w:val="20"/>
          <w:color w:val="auto"/>
        </w:rPr>
      </w:pPr>
    </w:p>
    <w:p>
      <w:pPr>
        <w:ind w:right="60" w:firstLine="443"/>
        <w:spacing w:after="0" w:line="254" w:lineRule="auto"/>
        <w:rPr>
          <w:sz w:val="20"/>
          <w:szCs w:val="20"/>
          <w:color w:val="auto"/>
        </w:rPr>
      </w:pPr>
      <w:r>
        <w:rPr>
          <w:rFonts w:ascii="Arial" w:cs="Arial" w:eastAsia="Arial" w:hAnsi="Arial"/>
          <w:sz w:val="18"/>
          <w:szCs w:val="18"/>
          <w:color w:val="auto"/>
        </w:rPr>
        <w:t>Yes. If you submitted an Election Form and you want to withdraw some or all of the options you marked for tender on that form, you may withdraw your tender of such options by delivering to us prior to the Expiration Date a properly completed and signed Notice of Withdrawal (in the form enclosed with the Offer to Exchange) indicating which options you are withdrawing. If you wish to tender for exchange additional options that you had not marked for tender on your previous Election Form, you may elect to tender for exchange those additional options by delivering to us prior to the Expiration Date an additional properly completed and signed Election Form (in the form enclosed with this Offer to Exchange) selecting for tender for exchange such additional option grants. You may only tender for exchange all options subject to a particular grant. If you deliver an Election Form or a Notice of Withdrawal with respect to some but not all options subject to a particular grant, we may, in our sole discretion, determine that you have elected to tender for exchange all or none of the options underlying such grant.</w:t>
      </w:r>
    </w:p>
    <w:p>
      <w:pPr>
        <w:spacing w:after="0" w:line="165" w:lineRule="exact"/>
        <w:rPr>
          <w:sz w:val="20"/>
          <w:szCs w:val="20"/>
          <w:color w:val="auto"/>
        </w:rPr>
      </w:pPr>
    </w:p>
    <w:p>
      <w:pPr>
        <w:ind w:right="460" w:firstLine="443"/>
        <w:spacing w:after="0" w:line="264" w:lineRule="auto"/>
        <w:rPr>
          <w:sz w:val="20"/>
          <w:szCs w:val="20"/>
          <w:color w:val="auto"/>
        </w:rPr>
      </w:pPr>
      <w:r>
        <w:rPr>
          <w:rFonts w:ascii="Arial" w:cs="Arial" w:eastAsia="Arial" w:hAnsi="Arial"/>
          <w:sz w:val="18"/>
          <w:szCs w:val="18"/>
          <w:color w:val="auto"/>
        </w:rPr>
        <w:t>You may request additional copies of the Notice of Withdrawal or Election Form by contacting us by phone at (914) 345-STOK or by e-mail at OptionsExchange@regeneron.com. Delivery of the Notice of Withdrawal or the additional Election Form must either be by regular or overnight mail to Regeneron</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6" w:name="page27"/>
    <w:bookmarkEnd w:id="26"/>
    <w:p>
      <w:pPr>
        <w:ind w:right="60"/>
        <w:spacing w:after="0" w:line="259" w:lineRule="auto"/>
        <w:rPr>
          <w:sz w:val="20"/>
          <w:szCs w:val="20"/>
          <w:color w:val="auto"/>
        </w:rPr>
      </w:pPr>
      <w:r>
        <w:rPr>
          <w:rFonts w:ascii="Arial" w:cs="Arial" w:eastAsia="Arial" w:hAnsi="Arial"/>
          <w:sz w:val="18"/>
          <w:szCs w:val="18"/>
          <w:color w:val="auto"/>
        </w:rPr>
        <w:t>Pharmaceuticals, Inc., 777 Old Saw Mill River Road, Tarrytown, New York 10591, Attention: Human Resources Department, Options Exchange, or by hand to either Pam Curtis in our Tarrytown, New York location or Lynne Fuierer in our Rensselaer, New York location. Delivery by e-mail or other electronic means will not be accepted. See Section 3 – “Procedures for Tendering Options for Exchange – Proper Tender of Eligible Options” and Section 4 – “Withdrawal Rights.”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will I receive my replacement options?</w:t>
      </w:r>
    </w:p>
    <w:p>
      <w:pPr>
        <w:spacing w:after="0" w:line="189" w:lineRule="exact"/>
        <w:rPr>
          <w:sz w:val="20"/>
          <w:szCs w:val="20"/>
          <w:color w:val="auto"/>
        </w:rPr>
      </w:pPr>
    </w:p>
    <w:p>
      <w:pPr>
        <w:ind w:right="40" w:firstLine="450"/>
        <w:spacing w:after="0" w:line="312" w:lineRule="auto"/>
        <w:rPr>
          <w:sz w:val="20"/>
          <w:szCs w:val="20"/>
          <w:color w:val="auto"/>
        </w:rPr>
      </w:pPr>
      <w:r>
        <w:rPr>
          <w:rFonts w:ascii="Arial" w:cs="Arial" w:eastAsia="Arial" w:hAnsi="Arial"/>
          <w:sz w:val="16"/>
          <w:szCs w:val="16"/>
          <w:color w:val="auto"/>
        </w:rPr>
        <w:t>Promptly after the Expiration Date, we will publicly disclose the approximate aggregate number of options accepted and canceled in the Offer, the date of acceptance (which will also be the Grant Date and which we expect will be on, and in any event will be promptly after, the Expiration Date), the exercise price per share of the replacement options and the approximate aggregate number of shares of Common Stock underlying such replacement options.</w:t>
      </w:r>
    </w:p>
    <w:p>
      <w:pPr>
        <w:spacing w:after="0" w:line="106" w:lineRule="exact"/>
        <w:rPr>
          <w:sz w:val="20"/>
          <w:szCs w:val="20"/>
          <w:color w:val="auto"/>
        </w:rPr>
      </w:pPr>
    </w:p>
    <w:p>
      <w:pPr>
        <w:ind w:firstLine="450"/>
        <w:spacing w:after="0" w:line="259" w:lineRule="auto"/>
        <w:rPr>
          <w:sz w:val="20"/>
          <w:szCs w:val="20"/>
          <w:color w:val="auto"/>
        </w:rPr>
      </w:pPr>
      <w:r>
        <w:rPr>
          <w:rFonts w:ascii="Arial" w:cs="Arial" w:eastAsia="Arial" w:hAnsi="Arial"/>
          <w:sz w:val="18"/>
          <w:szCs w:val="18"/>
          <w:color w:val="auto"/>
        </w:rPr>
        <w:t>If you participated in the Option Exchange Program, you will receive a notice from us as soon as practicable after the Grant Date indicating the number of shares of Common Stock subject to the options you tendered and we accepted for exchange, the number of shares subject to the replacement option grant(s) and the exercise price per share of your replacement options. See Section 5 – “Acceptance of Options for Exchange and Grant of Replacement Options.”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After I am granted a replacement option, what happens if that replacement option ends up “out of the money”?</w:t>
      </w:r>
    </w:p>
    <w:p>
      <w:pPr>
        <w:spacing w:after="0" w:line="189" w:lineRule="exact"/>
        <w:rPr>
          <w:sz w:val="20"/>
          <w:szCs w:val="20"/>
          <w:color w:val="auto"/>
        </w:rPr>
      </w:pPr>
    </w:p>
    <w:p>
      <w:pPr>
        <w:ind w:right="20" w:firstLine="447"/>
        <w:spacing w:after="0" w:line="297" w:lineRule="auto"/>
        <w:rPr>
          <w:sz w:val="20"/>
          <w:szCs w:val="20"/>
          <w:color w:val="auto"/>
        </w:rPr>
      </w:pPr>
      <w:r>
        <w:rPr>
          <w:rFonts w:ascii="Arial" w:cs="Arial" w:eastAsia="Arial" w:hAnsi="Arial"/>
          <w:sz w:val="16"/>
          <w:szCs w:val="16"/>
          <w:color w:val="auto"/>
        </w:rPr>
        <w:t xml:space="preserve">The Offer is a one-time offer. We do not expect to make the same or a similar offer in the future. If a replacement option remains “out of the money” after it vests, and until its expiration, it will then be worthless. Please note that unlike prior stock options granted under the Stock Incentive Plans, which generally are valid for up to ten years from the date of grant (subject to continued employment and the other terms of the plans), your replacement option will expire on the later of (1) the remaining term of the tendered option it replaces and (2) six years from the Grant Date. </w:t>
      </w:r>
      <w:r>
        <w:rPr>
          <w:rFonts w:ascii="Arial" w:cs="Arial" w:eastAsia="Arial" w:hAnsi="Arial"/>
          <w:sz w:val="16"/>
          <w:szCs w:val="16"/>
          <w:b w:val="1"/>
          <w:bCs w:val="1"/>
          <w:color w:val="auto"/>
        </w:rPr>
        <w:t>We can provide no assurance as to the</w:t>
      </w:r>
      <w:r>
        <w:rPr>
          <w:rFonts w:ascii="Arial" w:cs="Arial" w:eastAsia="Arial" w:hAnsi="Arial"/>
          <w:sz w:val="16"/>
          <w:szCs w:val="16"/>
          <w:color w:val="auto"/>
        </w:rPr>
        <w:t xml:space="preserve"> </w:t>
      </w:r>
      <w:r>
        <w:rPr>
          <w:rFonts w:ascii="Arial" w:cs="Arial" w:eastAsia="Arial" w:hAnsi="Arial"/>
          <w:sz w:val="16"/>
          <w:szCs w:val="16"/>
          <w:b w:val="1"/>
          <w:bCs w:val="1"/>
          <w:color w:val="auto"/>
        </w:rPr>
        <w:t>price of our Common Stock in the future and nothing contained herein or in the documents you receive is a claim as to our future prospects.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does Regeneron and its board of directors think of the Offer?</w:t>
      </w:r>
    </w:p>
    <w:p>
      <w:pPr>
        <w:spacing w:after="0" w:line="202" w:lineRule="exact"/>
        <w:rPr>
          <w:sz w:val="20"/>
          <w:szCs w:val="20"/>
          <w:color w:val="auto"/>
        </w:rPr>
      </w:pPr>
    </w:p>
    <w:p>
      <w:pPr>
        <w:ind w:right="240" w:firstLine="440"/>
        <w:spacing w:after="0" w:line="255" w:lineRule="auto"/>
        <w:rPr>
          <w:sz w:val="20"/>
          <w:szCs w:val="20"/>
          <w:color w:val="auto"/>
        </w:rPr>
      </w:pPr>
      <w:r>
        <w:rPr>
          <w:rFonts w:ascii="Arial" w:cs="Arial" w:eastAsia="Arial" w:hAnsi="Arial"/>
          <w:sz w:val="18"/>
          <w:szCs w:val="18"/>
          <w:color w:val="auto"/>
        </w:rPr>
        <w:t>Although our board of directors has approved the Offer, subject to shareholder approval of an amendment to the 2000 Plan expressly authorizing the Option Exchange Program, in light of the unique circumstances of individual optionholders, as well as the risks associated with the Offer described in this Offer to Exchange under “Risk Factors” neither we nor our board of directors makes any recommendation as to whether you should tender or refrain from tendering your options for exchange. You must make your own decision whether to tender options. For questions regarding tax implications or other investment-related questions, you should consult with your own legal counsel, accountant, financial and tax advisors. See Section 2 – “Purpose and Background of the Offer.”</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Whom can I talk to if I have questions about my existing options or about the Offer?</w:t>
      </w:r>
    </w:p>
    <w:p>
      <w:pPr>
        <w:spacing w:after="0" w:line="202" w:lineRule="exact"/>
        <w:rPr>
          <w:sz w:val="20"/>
          <w:szCs w:val="20"/>
          <w:color w:val="auto"/>
        </w:rPr>
      </w:pPr>
    </w:p>
    <w:p>
      <w:pPr>
        <w:ind w:firstLine="450"/>
        <w:spacing w:after="0" w:line="264" w:lineRule="auto"/>
        <w:rPr>
          <w:sz w:val="20"/>
          <w:szCs w:val="20"/>
          <w:color w:val="auto"/>
        </w:rPr>
      </w:pPr>
      <w:r>
        <w:rPr>
          <w:rFonts w:ascii="Arial" w:cs="Arial" w:eastAsia="Arial" w:hAnsi="Arial"/>
          <w:sz w:val="18"/>
          <w:szCs w:val="18"/>
          <w:color w:val="auto"/>
        </w:rPr>
        <w:t>For additional information or assistance concerning the Offer, you should contact us at Regeneron Pharmaceuticals, Inc., 777 Old Saw Mill River Road, Tarrytown, New York 10591, Attention: Human Resources Department, Option Exchange, by phone at (914) 345-STOK or at our internal e-mail address: OptionsExchange@regeneron.com.</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should I decide whether or not to exchange my eligible options for replacement options?</w:t>
      </w:r>
    </w:p>
    <w:p>
      <w:pPr>
        <w:spacing w:after="0" w:line="189" w:lineRule="exact"/>
        <w:rPr>
          <w:sz w:val="20"/>
          <w:szCs w:val="20"/>
          <w:color w:val="auto"/>
        </w:rPr>
      </w:pPr>
    </w:p>
    <w:p>
      <w:pPr>
        <w:ind w:right="120" w:firstLine="447"/>
        <w:spacing w:after="0" w:line="259" w:lineRule="auto"/>
        <w:rPr>
          <w:sz w:val="20"/>
          <w:szCs w:val="20"/>
          <w:color w:val="auto"/>
        </w:rPr>
      </w:pPr>
      <w:r>
        <w:rPr>
          <w:rFonts w:ascii="Arial" w:cs="Arial" w:eastAsia="Arial" w:hAnsi="Arial"/>
          <w:sz w:val="18"/>
          <w:szCs w:val="18"/>
          <w:color w:val="auto"/>
        </w:rPr>
        <w:t>We understand that this may be a difficult decision. There are no guarantees of our future performance, the future prices of our Common Stock, or the price of our Common Stock on the Grant Date or thereafter. We advise you to consult with your financial advisor regarding the relative benefits of tendering your eligible options for exchange and cancellation pursuant to the Offer or holding your eligible options at different future market prices for our Common Stock.</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28" w:name="page29"/>
    <w:bookmarkEnd w:id="28"/>
    <w:p>
      <w:pPr>
        <w:jc w:val="center"/>
        <w:ind w:right="-20"/>
        <w:spacing w:after="0"/>
        <w:rPr>
          <w:sz w:val="20"/>
          <w:szCs w:val="20"/>
          <w:color w:val="auto"/>
        </w:rPr>
      </w:pPr>
      <w:r>
        <w:rPr>
          <w:rFonts w:ascii="Arial" w:cs="Arial" w:eastAsia="Arial" w:hAnsi="Arial"/>
          <w:sz w:val="16"/>
          <w:szCs w:val="16"/>
          <w:b w:val="1"/>
          <w:bCs w:val="1"/>
          <w:color w:val="auto"/>
        </w:rPr>
        <w:t>[this page intentionally left blank]</w:t>
      </w:r>
    </w:p>
    <w:p>
      <w:pPr>
        <w:sectPr>
          <w:pgSz w:w="11900" w:h="16838" w:orient="portrait"/>
          <w:cols w:equalWidth="0" w:num="1">
            <w:col w:w="9019"/>
          </w:cols>
          <w:pgMar w:left="1440" w:top="931" w:right="1440"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164465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type w:val="continuous"/>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02"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Tendering options for exchange in the Offer involves a number of potential risks, including those described below. You should carefully consider the risks described below and the risk factors under the caption “Risk Factors” in our Quarterly Report on Form 10-Q for the quarter ended September 30, 2004, filed with the SEC on November 8, 2004. You should consider these risks and are encouraged to speak with an investment and tax advisor as necessary before deciding whether or not to tender your options for exchange in the Offer. In addition, we strongly urge you to read carefully the rest of this Offer to Exchange, the accompanying Election Form and other documents to which we have referred you before deciding whether or not to tender options for exchange in the Offer.</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Your replacement options will have fewer underlying shares of Common Stock than the eligible options you tender for exchange.</w:t>
      </w:r>
    </w:p>
    <w:p>
      <w:pPr>
        <w:spacing w:after="0" w:line="189" w:lineRule="exact"/>
        <w:rPr>
          <w:sz w:val="20"/>
          <w:szCs w:val="20"/>
          <w:color w:val="auto"/>
        </w:rPr>
      </w:pPr>
    </w:p>
    <w:p>
      <w:pPr>
        <w:ind w:right="440" w:firstLine="443"/>
        <w:spacing w:after="0" w:line="259" w:lineRule="auto"/>
        <w:rPr>
          <w:sz w:val="20"/>
          <w:szCs w:val="20"/>
          <w:color w:val="auto"/>
        </w:rPr>
      </w:pPr>
      <w:r>
        <w:rPr>
          <w:rFonts w:ascii="Arial" w:cs="Arial" w:eastAsia="Arial" w:hAnsi="Arial"/>
          <w:sz w:val="18"/>
          <w:szCs w:val="18"/>
          <w:color w:val="auto"/>
        </w:rPr>
        <w:t>Your replacement options will be exercisable for only a portion of the total number of shares of Common Stock underlying your existing eligible options. As a result, depending on the market price of our Common Stock, you may benefit more from holding your existing eligible options than by exchanging them for replacement options. We advise you to consult with your financial advisor regarding the potential benefits of holding your existing eligible options at different market prices for our Common Stock.</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Your replacement options will have a new vesting schedule.</w:t>
      </w:r>
    </w:p>
    <w:p>
      <w:pPr>
        <w:spacing w:after="0" w:line="189" w:lineRule="exact"/>
        <w:rPr>
          <w:sz w:val="20"/>
          <w:szCs w:val="20"/>
          <w:color w:val="auto"/>
        </w:rPr>
      </w:pPr>
    </w:p>
    <w:p>
      <w:pPr>
        <w:ind w:firstLine="450"/>
        <w:spacing w:after="0" w:line="255" w:lineRule="auto"/>
        <w:rPr>
          <w:sz w:val="20"/>
          <w:szCs w:val="20"/>
          <w:color w:val="auto"/>
        </w:rPr>
      </w:pPr>
      <w:r>
        <w:rPr>
          <w:rFonts w:ascii="Arial" w:cs="Arial" w:eastAsia="Arial" w:hAnsi="Arial"/>
          <w:sz w:val="18"/>
          <w:szCs w:val="18"/>
          <w:color w:val="auto"/>
        </w:rPr>
        <w:t>Regardless of the vested status of the eligible options that you tender for exchange in the Offer, your replacement options will be subject to a new vesting schedule as described in this Offer to Exchange and the applicable option agreement. All replacement options will be completely unvested upon grant. Therefore, subject to the conditions of the applicable option agreement and the terms of the 2000 Plan, if your employment with us terminates following the Grant Date, either voluntarily or involuntarily, your replacement options may be forfeited unvested or you may have a lesser percentage vested interest in them at the time your employment with us is terminated as compared to your vested interest in the eligible options you tendered for exchange and which were cancelled pursuant to the Offer.</w:t>
      </w:r>
    </w:p>
    <w:p>
      <w:pPr>
        <w:spacing w:after="0" w:line="149"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Tax Related Risks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Some or all of your replacement options may not qualify as incentive stock options.</w:t>
      </w:r>
    </w:p>
    <w:p>
      <w:pPr>
        <w:spacing w:after="0" w:line="189" w:lineRule="exact"/>
        <w:rPr>
          <w:sz w:val="20"/>
          <w:szCs w:val="20"/>
          <w:color w:val="auto"/>
        </w:rPr>
      </w:pPr>
    </w:p>
    <w:p>
      <w:pPr>
        <w:ind w:firstLine="450"/>
        <w:spacing w:after="0" w:line="257" w:lineRule="auto"/>
        <w:rPr>
          <w:sz w:val="20"/>
          <w:szCs w:val="20"/>
          <w:color w:val="auto"/>
        </w:rPr>
      </w:pPr>
      <w:r>
        <w:rPr>
          <w:rFonts w:ascii="Arial" w:cs="Arial" w:eastAsia="Arial" w:hAnsi="Arial"/>
          <w:sz w:val="18"/>
          <w:szCs w:val="18"/>
          <w:color w:val="auto"/>
        </w:rPr>
        <w:t>Replacement options granted to our executive vice president and senior vice presidents will not be incentive stock options. In addition, replacement options granted to other employees in exchange for incentive stock options tendered for exchange and accepted pursuant to the Offer may not qualify as incentive stock options due to certain limitations on the extent to which options which become exercisable in a given calendar year may be treated as incentive stock options. To the extent that this occurs, you will not be eligible for the favorable tax treatment that may be available for incentive stock options, which generally may be exercised without an immediate tax liability for the</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30" w:name="page31"/>
    <w:bookmarkEnd w:id="30"/>
    <w:p>
      <w:pPr>
        <w:spacing w:after="0"/>
        <w:rPr>
          <w:sz w:val="20"/>
          <w:szCs w:val="20"/>
          <w:color w:val="auto"/>
        </w:rPr>
      </w:pPr>
      <w:r>
        <w:rPr>
          <w:rFonts w:ascii="Arial" w:cs="Arial" w:eastAsia="Arial" w:hAnsi="Arial"/>
          <w:sz w:val="17"/>
          <w:szCs w:val="17"/>
          <w:color w:val="auto"/>
        </w:rPr>
        <w:t>optionee and which allow the optionee under certain circumstances to receive capital gains tax treatment upon disposition of the underlying shares.</w:t>
      </w:r>
    </w:p>
    <w:p>
      <w:pPr>
        <w:spacing w:after="0" w:line="206" w:lineRule="exact"/>
        <w:rPr>
          <w:sz w:val="20"/>
          <w:szCs w:val="20"/>
          <w:color w:val="auto"/>
        </w:rPr>
      </w:pPr>
    </w:p>
    <w:p>
      <w:pPr>
        <w:ind w:firstLine="450"/>
        <w:spacing w:after="0" w:line="266" w:lineRule="auto"/>
        <w:rPr>
          <w:sz w:val="20"/>
          <w:szCs w:val="20"/>
          <w:color w:val="auto"/>
        </w:rPr>
      </w:pPr>
      <w:r>
        <w:rPr>
          <w:rFonts w:ascii="Arial" w:cs="Arial" w:eastAsia="Arial" w:hAnsi="Arial"/>
          <w:sz w:val="18"/>
          <w:szCs w:val="18"/>
          <w:b w:val="1"/>
          <w:bCs w:val="1"/>
          <w:color w:val="auto"/>
        </w:rPr>
        <w:t>If you are a resident of the U.S. but subject to foreign tax laws, there may be tax and social insurance consequences that may apply to you for tendering eligible options in exchange for replacement options pursuant to the Offer. You should be certain to consult your own tax advisors to discuss these consequences.</w:t>
      </w:r>
    </w:p>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935" w:right="39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THE OFFER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ELIGIBLE OPTIONS AND OPTIONHOLDERS; NUMBER OF REPLACEMENT OPTIONS; EXPIRATION DATE.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Eligible Options and Optionholders.</w:t>
      </w:r>
    </w:p>
    <w:p>
      <w:pPr>
        <w:spacing w:after="0" w:line="189" w:lineRule="exact"/>
        <w:rPr>
          <w:sz w:val="20"/>
          <w:szCs w:val="20"/>
          <w:color w:val="auto"/>
        </w:rPr>
      </w:pPr>
    </w:p>
    <w:p>
      <w:pPr>
        <w:ind w:right="40" w:firstLine="450"/>
        <w:spacing w:after="0" w:line="257" w:lineRule="auto"/>
        <w:rPr>
          <w:sz w:val="20"/>
          <w:szCs w:val="20"/>
          <w:color w:val="auto"/>
        </w:rPr>
      </w:pPr>
      <w:r>
        <w:rPr>
          <w:rFonts w:ascii="Arial" w:cs="Arial" w:eastAsia="Arial" w:hAnsi="Arial"/>
          <w:sz w:val="18"/>
          <w:szCs w:val="18"/>
          <w:color w:val="auto"/>
        </w:rPr>
        <w:t>Upon the terms and subject to the conditions of the Offer, we are offering to grant options under the 2000 Plan in exchange (at the exchange ratios described herein) for eligible outstanding options under the Stock Incentive Plans that are properly tendered by eligible optionholders in accordance with Section 3 (and not validly withdrawn in accordance with Section 4) before the Expiration Date and accepted for exchange by the Company. All outstanding options owned by eligible optionholders that have an exercise price per share of $18.00 or more issued under the 2000 Plan or the 1990 Plan are eligible to be tendered for exchange in the Offer.</w:t>
      </w:r>
    </w:p>
    <w:p>
      <w:pPr>
        <w:spacing w:after="0" w:line="161" w:lineRule="exact"/>
        <w:rPr>
          <w:sz w:val="20"/>
          <w:szCs w:val="20"/>
          <w:color w:val="auto"/>
        </w:rPr>
      </w:pPr>
    </w:p>
    <w:p>
      <w:pPr>
        <w:ind w:right="40" w:firstLine="443"/>
        <w:spacing w:after="0" w:line="257" w:lineRule="auto"/>
        <w:rPr>
          <w:sz w:val="20"/>
          <w:szCs w:val="20"/>
          <w:color w:val="auto"/>
        </w:rPr>
      </w:pPr>
      <w:r>
        <w:rPr>
          <w:rFonts w:ascii="Arial" w:cs="Arial" w:eastAsia="Arial" w:hAnsi="Arial"/>
          <w:sz w:val="18"/>
          <w:szCs w:val="18"/>
          <w:color w:val="auto"/>
        </w:rPr>
        <w:t>You will be an “eligible optionholder” and thus be eligible to tender your eligible options for exchange and cancellation, and to receive replacement options, pursuant to the Offer if, on December 3, 2004, the date the Offer commenced, you were a Company regular employee who was actively employed by us and working an average of at least 20 hours per week, excluding our non-executive employee director and our president and chief executive officer. Non-employee directors, consultants, former employees and retirees are also not eligible optionholders. There are currently approximately 509 eligible optionholders.</w:t>
      </w:r>
    </w:p>
    <w:p>
      <w:pPr>
        <w:spacing w:after="0" w:line="148" w:lineRule="exact"/>
        <w:rPr>
          <w:sz w:val="20"/>
          <w:szCs w:val="20"/>
          <w:color w:val="auto"/>
        </w:rPr>
      </w:pPr>
    </w:p>
    <w:p>
      <w:pPr>
        <w:ind w:firstLine="450"/>
        <w:spacing w:after="0" w:line="293" w:lineRule="auto"/>
        <w:rPr>
          <w:sz w:val="20"/>
          <w:szCs w:val="20"/>
          <w:color w:val="auto"/>
        </w:rPr>
      </w:pPr>
      <w:r>
        <w:rPr>
          <w:rFonts w:ascii="Arial" w:cs="Arial" w:eastAsia="Arial" w:hAnsi="Arial"/>
          <w:sz w:val="16"/>
          <w:szCs w:val="16"/>
          <w:color w:val="auto"/>
        </w:rPr>
        <w:t>If on the Grant Date a Company regular employee who was an eligible optionholder on December 3, 2004, the date the Offer to Exchange commenced, is no longer a Company regular employee for any reason, including retirement, termination, voluntary resignation, layoff, death or disability, that optionholder will not be an eligible optionholder and will not be eligible to tender options for exchange and cancellation, or to receive replacement options, pursuant to the Offer. A Company regular employee who is on an authorized leave of absence and is otherwise on December 3, 2004 and through the Grant Date, an eligible optionholder, will be an eligible optionholder for purposes of the Offer. Leave is considered “authorized” if it was approved in accordance with policies or practices of the Company, as determined by the Company in its sole discretion (including vacation and short-term leave).</w:t>
      </w:r>
    </w:p>
    <w:p>
      <w:pPr>
        <w:spacing w:after="0" w:line="124" w:lineRule="exact"/>
        <w:rPr>
          <w:sz w:val="20"/>
          <w:szCs w:val="20"/>
          <w:color w:val="auto"/>
        </w:rPr>
      </w:pPr>
    </w:p>
    <w:p>
      <w:pPr>
        <w:ind w:right="40" w:firstLine="447"/>
        <w:spacing w:after="0" w:line="297" w:lineRule="auto"/>
        <w:rPr>
          <w:sz w:val="20"/>
          <w:szCs w:val="20"/>
          <w:color w:val="auto"/>
        </w:rPr>
      </w:pPr>
      <w:r>
        <w:rPr>
          <w:rFonts w:ascii="Arial" w:cs="Arial" w:eastAsia="Arial" w:hAnsi="Arial"/>
          <w:sz w:val="16"/>
          <w:szCs w:val="16"/>
          <w:color w:val="auto"/>
        </w:rPr>
        <w:t>Tendering eligible options and receiving replacement options in exchange, pursuant to the Offer does not confer upon you the right to remain an employee of the Company. The terms of your employment with us remain unchanged. We cannot guarantee or provide you with any assurance that you will not be subject to involuntary termination or that you will otherwise remain in the employ of the Company until the Grant Date or thereafter. If you voluntarily terminate your employment with us, or if we terminate your employment for any reason, before the Grant Date, even if you tendered eligible options for exchange in the Offer prior to such termination, such tender will not be accepted and such eligible options will not be exchanged for replacement options.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2" w:name="page33"/>
    <w:bookmarkEnd w:id="32"/>
    <w:p>
      <w:pPr>
        <w:ind w:right="60" w:firstLine="450"/>
        <w:spacing w:after="0" w:line="288" w:lineRule="auto"/>
        <w:rPr>
          <w:sz w:val="20"/>
          <w:szCs w:val="20"/>
          <w:color w:val="auto"/>
        </w:rPr>
      </w:pPr>
      <w:r>
        <w:rPr>
          <w:rFonts w:ascii="Arial" w:cs="Arial" w:eastAsia="Arial" w:hAnsi="Arial"/>
          <w:sz w:val="16"/>
          <w:szCs w:val="16"/>
          <w:color w:val="auto"/>
        </w:rPr>
        <w:t>In order to tender an eligible option from a particular option grant, you must tender all outstanding eligible options under that grant. We are not accepting partial tenders of particular option grants. For example, if you hold an option to purchase 1,000 shares of Common Stock at an exercise price of $19.43 per share, you must tender such option in its entirety; you cannot tender only part of the option and retain the remainder of the option. On the other hand, if you have an option to purchase 1,000 shares of Common Stock at an exercise price of $19.43 per share and an option to purchase 2,000 shares of Common Stock at an exercise price of $28.01 per share, you may choose to tender for exchange all (but not less than all) of the outstanding options under either of the option grants, both of the option grants or neither of the option grants, provided such options are eligible to be tendered in the Offer. Similarly, if you have an incentive stock option to purchase 700 shares of Common Stock at an exercise price of $19.43 and a nonqualified stock option to purchase 300 shares of Common Stock at $19.43, you may choose to tender for exchange all (but not less than all) of the outstanding options under either of the option grants, both of the option grants, or neither of the option grants, provided such options are eligible to be tendered in the Offer. If you have previously partially exercised an eligible option grant, you can still tender for exchange in the Offer the remaining unexercised portion of such eligible option grant.</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information related to the options eligible to be tendered for exchange in the Offer:</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1"/>
              </w:rPr>
              <w:t>Number of Shares</w:t>
            </w: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20" w:type="dxa"/>
            <w:vAlign w:val="bottom"/>
            <w:gridSpan w:val="3"/>
            <w:vMerge w:val="continue"/>
          </w:tcPr>
          <w:p>
            <w:pPr>
              <w:spacing w:after="0"/>
              <w:rPr>
                <w:sz w:val="12"/>
                <w:szCs w:val="12"/>
                <w:color w:val="auto"/>
              </w:rPr>
            </w:pPr>
          </w:p>
        </w:tc>
        <w:tc>
          <w:tcPr>
            <w:tcW w:w="460" w:type="dxa"/>
            <w:vAlign w:val="bottom"/>
          </w:tcPr>
          <w:p>
            <w:pPr>
              <w:spacing w:after="0"/>
              <w:rPr>
                <w:sz w:val="12"/>
                <w:szCs w:val="12"/>
                <w:color w:val="auto"/>
              </w:rPr>
            </w:pPr>
          </w:p>
        </w:tc>
        <w:tc>
          <w:tcPr>
            <w:tcW w:w="16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480" w:type="dxa"/>
            <w:vAlign w:val="bottom"/>
          </w:tcPr>
          <w:p>
            <w:pPr>
              <w:spacing w:after="0"/>
              <w:rPr>
                <w:sz w:val="12"/>
                <w:szCs w:val="12"/>
                <w:color w:val="auto"/>
              </w:rPr>
            </w:pPr>
          </w:p>
        </w:tc>
        <w:tc>
          <w:tcPr>
            <w:tcW w:w="11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Exercise Price Range</w:t>
            </w:r>
          </w:p>
        </w:tc>
        <w:tc>
          <w:tcPr>
            <w:tcW w:w="460" w:type="dxa"/>
            <w:vAlign w:val="bottom"/>
          </w:tcPr>
          <w:p>
            <w:pPr>
              <w:spacing w:after="0"/>
              <w:rPr>
                <w:sz w:val="12"/>
                <w:szCs w:val="12"/>
                <w:color w:val="auto"/>
              </w:rPr>
            </w:pPr>
          </w:p>
        </w:tc>
        <w:tc>
          <w:tcPr>
            <w:tcW w:w="28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Underlying Eligible</w:t>
            </w:r>
          </w:p>
        </w:tc>
        <w:tc>
          <w:tcPr>
            <w:tcW w:w="460" w:type="dxa"/>
            <w:vAlign w:val="bottom"/>
          </w:tcPr>
          <w:p>
            <w:pPr>
              <w:spacing w:after="0"/>
              <w:rPr>
                <w:sz w:val="12"/>
                <w:szCs w:val="12"/>
                <w:color w:val="auto"/>
              </w:rPr>
            </w:pPr>
          </w:p>
        </w:tc>
        <w:tc>
          <w:tcPr>
            <w:tcW w:w="1600" w:type="dxa"/>
            <w:vAlign w:val="bottom"/>
            <w:gridSpan w:val="3"/>
            <w:vMerge w:val="continue"/>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Average Life of</w:t>
            </w:r>
          </w:p>
        </w:tc>
        <w:tc>
          <w:tcPr>
            <w:tcW w:w="0" w:type="dxa"/>
            <w:vAlign w:val="bottom"/>
          </w:tcPr>
          <w:p>
            <w:pPr>
              <w:spacing w:after="0"/>
              <w:rPr>
                <w:sz w:val="1"/>
                <w:szCs w:val="1"/>
                <w:color w:val="auto"/>
              </w:rPr>
            </w:pPr>
          </w:p>
        </w:tc>
      </w:tr>
      <w:tr>
        <w:trPr>
          <w:trHeight w:val="149"/>
        </w:trPr>
        <w:tc>
          <w:tcPr>
            <w:tcW w:w="446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80" w:type="dxa"/>
            <w:vAlign w:val="bottom"/>
            <w:gridSpan w:val="2"/>
          </w:tcPr>
          <w:p>
            <w:pPr>
              <w:jc w:val="center"/>
              <w:ind w:right="1040"/>
              <w:spacing w:after="0" w:line="149" w:lineRule="exact"/>
              <w:rPr>
                <w:sz w:val="20"/>
                <w:szCs w:val="20"/>
                <w:color w:val="auto"/>
              </w:rPr>
            </w:pPr>
            <w:r>
              <w:rPr>
                <w:rFonts w:ascii="Arial" w:cs="Arial" w:eastAsia="Arial" w:hAnsi="Arial"/>
                <w:sz w:val="14"/>
                <w:szCs w:val="14"/>
                <w:b w:val="1"/>
                <w:bCs w:val="1"/>
                <w:color w:val="auto"/>
                <w:w w:val="91"/>
              </w:rPr>
              <w:t>Options as</w:t>
            </w:r>
          </w:p>
        </w:tc>
        <w:tc>
          <w:tcPr>
            <w:tcW w:w="460" w:type="dxa"/>
            <w:vAlign w:val="bottom"/>
          </w:tcPr>
          <w:p>
            <w:pPr>
              <w:spacing w:after="0"/>
              <w:rPr>
                <w:sz w:val="12"/>
                <w:szCs w:val="12"/>
                <w:color w:val="auto"/>
              </w:rPr>
            </w:pPr>
          </w:p>
        </w:tc>
        <w:tc>
          <w:tcPr>
            <w:tcW w:w="16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Exercise Price of</w:t>
            </w:r>
          </w:p>
        </w:tc>
        <w:tc>
          <w:tcPr>
            <w:tcW w:w="480" w:type="dxa"/>
            <w:vAlign w:val="bottom"/>
          </w:tcPr>
          <w:p>
            <w:pPr>
              <w:spacing w:after="0"/>
              <w:rPr>
                <w:sz w:val="12"/>
                <w:szCs w:val="12"/>
                <w:color w:val="auto"/>
              </w:rPr>
            </w:pPr>
          </w:p>
        </w:tc>
        <w:tc>
          <w:tcPr>
            <w:tcW w:w="11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Eligible Options</w:t>
            </w:r>
          </w:p>
        </w:tc>
        <w:tc>
          <w:tcPr>
            <w:tcW w:w="0" w:type="dxa"/>
            <w:vAlign w:val="bottom"/>
          </w:tcPr>
          <w:p>
            <w:pPr>
              <w:spacing w:after="0"/>
              <w:rPr>
                <w:sz w:val="1"/>
                <w:szCs w:val="1"/>
                <w:color w:val="auto"/>
              </w:rPr>
            </w:pPr>
          </w:p>
        </w:tc>
      </w:tr>
      <w:tr>
        <w:trPr>
          <w:trHeight w:val="186"/>
        </w:trPr>
        <w:tc>
          <w:tcPr>
            <w:tcW w:w="4460" w:type="dxa"/>
            <w:vAlign w:val="bottom"/>
          </w:tcPr>
          <w:p>
            <w:pPr>
              <w:jc w:val="center"/>
              <w:spacing w:after="0"/>
              <w:rPr>
                <w:sz w:val="20"/>
                <w:szCs w:val="20"/>
                <w:color w:val="auto"/>
              </w:rPr>
            </w:pPr>
            <w:r>
              <w:rPr>
                <w:rFonts w:ascii="Arial" w:cs="Arial" w:eastAsia="Arial" w:hAnsi="Arial"/>
                <w:sz w:val="14"/>
                <w:szCs w:val="14"/>
                <w:b w:val="1"/>
                <w:bCs w:val="1"/>
                <w:color w:val="auto"/>
                <w:w w:val="92"/>
              </w:rPr>
              <w:t>of Eligible Options</w:t>
            </w:r>
          </w:p>
        </w:tc>
        <w:tc>
          <w:tcPr>
            <w:tcW w:w="460" w:type="dxa"/>
            <w:vAlign w:val="bottom"/>
          </w:tcPr>
          <w:p>
            <w:pPr>
              <w:spacing w:after="0"/>
              <w:rPr>
                <w:sz w:val="16"/>
                <w:szCs w:val="16"/>
                <w:color w:val="auto"/>
              </w:rPr>
            </w:pPr>
          </w:p>
        </w:tc>
        <w:tc>
          <w:tcPr>
            <w:tcW w:w="28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of November 3, 2004</w:t>
            </w:r>
          </w:p>
        </w:tc>
        <w:tc>
          <w:tcPr>
            <w:tcW w:w="460" w:type="dxa"/>
            <w:vAlign w:val="bottom"/>
          </w:tcPr>
          <w:p>
            <w:pPr>
              <w:spacing w:after="0"/>
              <w:rPr>
                <w:sz w:val="16"/>
                <w:szCs w:val="16"/>
                <w:color w:val="auto"/>
              </w:rPr>
            </w:pPr>
          </w:p>
        </w:tc>
        <w:tc>
          <w:tcPr>
            <w:tcW w:w="16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Eligible Options</w:t>
            </w: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53"/>
        </w:trPr>
        <w:tc>
          <w:tcPr>
            <w:tcW w:w="4460" w:type="dxa"/>
            <w:vAlign w:val="bottom"/>
            <w:tcBorders>
              <w:bottom w:val="single" w:sz="8" w:color="808080"/>
            </w:tcBorders>
          </w:tcPr>
          <w:p>
            <w:pPr>
              <w:spacing w:after="0"/>
              <w:rPr>
                <w:sz w:val="4"/>
                <w:szCs w:val="4"/>
                <w:color w:val="auto"/>
              </w:rPr>
            </w:pPr>
          </w:p>
        </w:tc>
        <w:tc>
          <w:tcPr>
            <w:tcW w:w="460" w:type="dxa"/>
            <w:vAlign w:val="bottom"/>
          </w:tcPr>
          <w:p>
            <w:pPr>
              <w:spacing w:after="0"/>
              <w:rPr>
                <w:sz w:val="4"/>
                <w:szCs w:val="4"/>
                <w:color w:val="auto"/>
              </w:rPr>
            </w:pPr>
          </w:p>
        </w:tc>
        <w:tc>
          <w:tcPr>
            <w:tcW w:w="10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1040" w:type="dxa"/>
            <w:vAlign w:val="bottom"/>
            <w:tcBorders>
              <w:bottom w:val="single" w:sz="8" w:color="808080"/>
            </w:tcBorders>
          </w:tcPr>
          <w:p>
            <w:pPr>
              <w:spacing w:after="0"/>
              <w:rPr>
                <w:sz w:val="4"/>
                <w:szCs w:val="4"/>
                <w:color w:val="auto"/>
              </w:rPr>
            </w:pPr>
          </w:p>
        </w:tc>
        <w:tc>
          <w:tcPr>
            <w:tcW w:w="460" w:type="dxa"/>
            <w:vAlign w:val="bottom"/>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4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EEEEEE"/>
          </w:tcPr>
          <w:p>
            <w:pPr>
              <w:jc w:val="right"/>
              <w:ind w:right="1516"/>
              <w:spacing w:after="0"/>
              <w:rPr>
                <w:sz w:val="20"/>
                <w:szCs w:val="20"/>
                <w:color w:val="auto"/>
              </w:rPr>
            </w:pPr>
            <w:r>
              <w:rPr>
                <w:rFonts w:ascii="Arial" w:cs="Arial" w:eastAsia="Arial" w:hAnsi="Arial"/>
                <w:sz w:val="18"/>
                <w:szCs w:val="18"/>
                <w:color w:val="auto"/>
              </w:rPr>
              <w:t>$18.00 - $28.00</w:t>
            </w:r>
          </w:p>
        </w:tc>
        <w:tc>
          <w:tcPr>
            <w:tcW w:w="3280" w:type="dxa"/>
            <w:vAlign w:val="bottom"/>
            <w:gridSpan w:val="4"/>
            <w:shd w:val="clear" w:color="auto" w:fill="EEEEEE"/>
          </w:tcPr>
          <w:p>
            <w:pPr>
              <w:jc w:val="center"/>
              <w:ind w:left="390"/>
              <w:spacing w:after="0"/>
              <w:rPr>
                <w:sz w:val="20"/>
                <w:szCs w:val="20"/>
                <w:color w:val="auto"/>
              </w:rPr>
            </w:pPr>
            <w:r>
              <w:rPr>
                <w:rFonts w:ascii="Arial" w:cs="Arial" w:eastAsia="Arial" w:hAnsi="Arial"/>
                <w:sz w:val="18"/>
                <w:szCs w:val="18"/>
                <w:color w:val="auto"/>
                <w:w w:val="89"/>
              </w:rPr>
              <w:t>2,188,294</w:t>
            </w:r>
          </w:p>
        </w:tc>
        <w:tc>
          <w:tcPr>
            <w:tcW w:w="2060" w:type="dxa"/>
            <w:vAlign w:val="bottom"/>
            <w:gridSpan w:val="4"/>
            <w:shd w:val="clear" w:color="auto" w:fill="EEEEEE"/>
          </w:tcPr>
          <w:p>
            <w:pPr>
              <w:jc w:val="right"/>
              <w:ind w:right="640"/>
              <w:spacing w:after="0"/>
              <w:rPr>
                <w:sz w:val="20"/>
                <w:szCs w:val="20"/>
                <w:color w:val="auto"/>
              </w:rPr>
            </w:pPr>
            <w:r>
              <w:rPr>
                <w:rFonts w:ascii="Arial" w:cs="Arial" w:eastAsia="Arial" w:hAnsi="Arial"/>
                <w:sz w:val="18"/>
                <w:szCs w:val="18"/>
                <w:color w:val="auto"/>
              </w:rPr>
              <w:t>$21.28</w:t>
            </w:r>
          </w:p>
        </w:tc>
        <w:tc>
          <w:tcPr>
            <w:tcW w:w="1620" w:type="dxa"/>
            <w:vAlign w:val="bottom"/>
            <w:gridSpan w:val="4"/>
            <w:shd w:val="clear" w:color="auto" w:fill="EEEEEE"/>
          </w:tcPr>
          <w:p>
            <w:pPr>
              <w:ind w:left="800"/>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16"/>
        </w:trPr>
        <w:tc>
          <w:tcPr>
            <w:tcW w:w="4460" w:type="dxa"/>
            <w:vAlign w:val="bottom"/>
          </w:tcPr>
          <w:p>
            <w:pPr>
              <w:jc w:val="right"/>
              <w:ind w:right="1516"/>
              <w:spacing w:after="0"/>
              <w:rPr>
                <w:sz w:val="20"/>
                <w:szCs w:val="20"/>
                <w:color w:val="auto"/>
              </w:rPr>
            </w:pPr>
            <w:r>
              <w:rPr>
                <w:rFonts w:ascii="Arial" w:cs="Arial" w:eastAsia="Arial" w:hAnsi="Arial"/>
                <w:sz w:val="18"/>
                <w:szCs w:val="18"/>
                <w:color w:val="auto"/>
              </w:rPr>
              <w:t>$28.01 - $37.00</w:t>
            </w:r>
          </w:p>
        </w:tc>
        <w:tc>
          <w:tcPr>
            <w:tcW w:w="3280" w:type="dxa"/>
            <w:vAlign w:val="bottom"/>
            <w:gridSpan w:val="4"/>
          </w:tcPr>
          <w:p>
            <w:pPr>
              <w:jc w:val="center"/>
              <w:ind w:left="390"/>
              <w:spacing w:after="0"/>
              <w:rPr>
                <w:sz w:val="20"/>
                <w:szCs w:val="20"/>
                <w:color w:val="auto"/>
              </w:rPr>
            </w:pPr>
            <w:r>
              <w:rPr>
                <w:rFonts w:ascii="Arial" w:cs="Arial" w:eastAsia="Arial" w:hAnsi="Arial"/>
                <w:sz w:val="18"/>
                <w:szCs w:val="18"/>
                <w:color w:val="auto"/>
                <w:w w:val="89"/>
              </w:rPr>
              <w:t>1,386,437</w:t>
            </w:r>
          </w:p>
        </w:tc>
        <w:tc>
          <w:tcPr>
            <w:tcW w:w="2060" w:type="dxa"/>
            <w:vAlign w:val="bottom"/>
            <w:gridSpan w:val="4"/>
          </w:tcPr>
          <w:p>
            <w:pPr>
              <w:jc w:val="right"/>
              <w:ind w:right="640"/>
              <w:spacing w:after="0"/>
              <w:rPr>
                <w:sz w:val="20"/>
                <w:szCs w:val="20"/>
                <w:color w:val="auto"/>
              </w:rPr>
            </w:pPr>
            <w:r>
              <w:rPr>
                <w:rFonts w:ascii="Arial" w:cs="Arial" w:eastAsia="Arial" w:hAnsi="Arial"/>
                <w:sz w:val="18"/>
                <w:szCs w:val="18"/>
                <w:color w:val="auto"/>
              </w:rPr>
              <w:t>$28.78</w:t>
            </w:r>
          </w:p>
        </w:tc>
        <w:tc>
          <w:tcPr>
            <w:tcW w:w="1620" w:type="dxa"/>
            <w:vAlign w:val="bottom"/>
            <w:gridSpan w:val="4"/>
          </w:tcPr>
          <w:p>
            <w:pPr>
              <w:ind w:left="800"/>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16"/>
        </w:trPr>
        <w:tc>
          <w:tcPr>
            <w:tcW w:w="4460" w:type="dxa"/>
            <w:vAlign w:val="bottom"/>
            <w:shd w:val="clear" w:color="auto" w:fill="EEEEEE"/>
          </w:tcPr>
          <w:p>
            <w:pPr>
              <w:jc w:val="right"/>
              <w:ind w:right="1496"/>
              <w:spacing w:after="0"/>
              <w:rPr>
                <w:sz w:val="20"/>
                <w:szCs w:val="20"/>
                <w:color w:val="auto"/>
              </w:rPr>
            </w:pPr>
            <w:r>
              <w:rPr>
                <w:rFonts w:ascii="Arial" w:cs="Arial" w:eastAsia="Arial" w:hAnsi="Arial"/>
                <w:sz w:val="18"/>
                <w:szCs w:val="18"/>
                <w:color w:val="auto"/>
              </w:rPr>
              <w:t>$37.01 and up</w:t>
            </w:r>
          </w:p>
        </w:tc>
        <w:tc>
          <w:tcPr>
            <w:tcW w:w="3280" w:type="dxa"/>
            <w:vAlign w:val="bottom"/>
            <w:gridSpan w:val="4"/>
            <w:shd w:val="clear" w:color="auto" w:fill="EEEEEE"/>
          </w:tcPr>
          <w:p>
            <w:pPr>
              <w:jc w:val="center"/>
              <w:ind w:left="390"/>
              <w:spacing w:after="0"/>
              <w:rPr>
                <w:sz w:val="20"/>
                <w:szCs w:val="20"/>
                <w:color w:val="auto"/>
              </w:rPr>
            </w:pPr>
            <w:r>
              <w:rPr>
                <w:rFonts w:ascii="Arial" w:cs="Arial" w:eastAsia="Arial" w:hAnsi="Arial"/>
                <w:sz w:val="18"/>
                <w:szCs w:val="18"/>
                <w:color w:val="auto"/>
                <w:w w:val="89"/>
              </w:rPr>
              <w:t>1,272,850</w:t>
            </w:r>
          </w:p>
        </w:tc>
        <w:tc>
          <w:tcPr>
            <w:tcW w:w="2060" w:type="dxa"/>
            <w:vAlign w:val="bottom"/>
            <w:gridSpan w:val="4"/>
            <w:shd w:val="clear" w:color="auto" w:fill="EEEEEE"/>
          </w:tcPr>
          <w:p>
            <w:pPr>
              <w:jc w:val="right"/>
              <w:ind w:right="640"/>
              <w:spacing w:after="0"/>
              <w:rPr>
                <w:sz w:val="20"/>
                <w:szCs w:val="20"/>
                <w:color w:val="auto"/>
              </w:rPr>
            </w:pPr>
            <w:r>
              <w:rPr>
                <w:rFonts w:ascii="Arial" w:cs="Arial" w:eastAsia="Arial" w:hAnsi="Arial"/>
                <w:sz w:val="18"/>
                <w:szCs w:val="18"/>
                <w:color w:val="auto"/>
              </w:rPr>
              <w:t>$40.43</w:t>
            </w:r>
          </w:p>
        </w:tc>
        <w:tc>
          <w:tcPr>
            <w:tcW w:w="1620" w:type="dxa"/>
            <w:vAlign w:val="bottom"/>
            <w:gridSpan w:val="4"/>
            <w:shd w:val="clear" w:color="auto" w:fill="EEEEEE"/>
          </w:tcPr>
          <w:p>
            <w:pPr>
              <w:ind w:left="800"/>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0"/>
        </w:trPr>
        <w:tc>
          <w:tcPr>
            <w:tcW w:w="44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Total Number of Shares Underlying Eligible Options</w:t>
            </w:r>
          </w:p>
        </w:tc>
        <w:tc>
          <w:tcPr>
            <w:tcW w:w="3280" w:type="dxa"/>
            <w:vAlign w:val="bottom"/>
            <w:gridSpan w:val="4"/>
          </w:tcPr>
          <w:p>
            <w:pPr>
              <w:spacing w:after="0" w:line="20" w:lineRule="exact"/>
              <w:rPr>
                <w:sz w:val="1"/>
                <w:szCs w:val="1"/>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460" w:type="dxa"/>
            <w:vAlign w:val="bottom"/>
            <w:vMerge w:val="continue"/>
          </w:tcPr>
          <w:p>
            <w:pPr>
              <w:spacing w:after="0"/>
              <w:rPr>
                <w:sz w:val="18"/>
                <w:szCs w:val="18"/>
                <w:color w:val="auto"/>
              </w:rPr>
            </w:pPr>
          </w:p>
        </w:tc>
        <w:tc>
          <w:tcPr>
            <w:tcW w:w="1500" w:type="dxa"/>
            <w:vAlign w:val="bottom"/>
            <w:gridSpan w:val="2"/>
          </w:tcPr>
          <w:p>
            <w:pPr>
              <w:spacing w:after="0"/>
              <w:rPr>
                <w:sz w:val="18"/>
                <w:szCs w:val="18"/>
                <w:color w:val="auto"/>
              </w:rPr>
            </w:pPr>
          </w:p>
        </w:tc>
        <w:tc>
          <w:tcPr>
            <w:tcW w:w="740" w:type="dxa"/>
            <w:vAlign w:val="bottom"/>
            <w:tcBorders>
              <w:top w:val="single" w:sz="8" w:color="808080"/>
            </w:tcBorders>
          </w:tcPr>
          <w:p>
            <w:pPr>
              <w:jc w:val="center"/>
              <w:spacing w:after="0"/>
              <w:rPr>
                <w:sz w:val="20"/>
                <w:szCs w:val="20"/>
                <w:color w:val="auto"/>
              </w:rPr>
            </w:pPr>
            <w:r>
              <w:rPr>
                <w:rFonts w:ascii="Arial" w:cs="Arial" w:eastAsia="Arial" w:hAnsi="Arial"/>
                <w:sz w:val="18"/>
                <w:szCs w:val="18"/>
                <w:color w:val="auto"/>
                <w:w w:val="89"/>
              </w:rPr>
              <w:t>4,847,581</w:t>
            </w:r>
          </w:p>
        </w:tc>
        <w:tc>
          <w:tcPr>
            <w:tcW w:w="10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42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88"/>
              </w:rPr>
              <w:t>28.46</w:t>
            </w:r>
          </w:p>
        </w:tc>
        <w:tc>
          <w:tcPr>
            <w:tcW w:w="64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320" w:type="dxa"/>
            <w:vAlign w:val="bottom"/>
            <w:tcBorders>
              <w:top w:val="single" w:sz="8" w:color="808080"/>
            </w:tcBorders>
          </w:tcPr>
          <w:p>
            <w:pPr>
              <w:spacing w:after="0"/>
              <w:rPr>
                <w:sz w:val="20"/>
                <w:szCs w:val="20"/>
                <w:color w:val="auto"/>
              </w:rPr>
            </w:pPr>
            <w:r>
              <w:rPr>
                <w:rFonts w:ascii="Arial" w:cs="Arial" w:eastAsia="Arial" w:hAnsi="Arial"/>
                <w:sz w:val="18"/>
                <w:szCs w:val="18"/>
                <w:color w:val="auto"/>
                <w:w w:val="85"/>
              </w:rPr>
              <w:t>6.93</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Replacement Options.</w:t>
      </w:r>
    </w:p>
    <w:p>
      <w:pPr>
        <w:spacing w:after="0" w:line="202" w:lineRule="exact"/>
        <w:rPr>
          <w:sz w:val="20"/>
          <w:szCs w:val="20"/>
          <w:color w:val="auto"/>
        </w:rPr>
      </w:pPr>
    </w:p>
    <w:p>
      <w:pPr>
        <w:ind w:right="760" w:firstLine="450"/>
        <w:spacing w:after="0" w:line="308" w:lineRule="auto"/>
        <w:rPr>
          <w:sz w:val="20"/>
          <w:szCs w:val="20"/>
          <w:color w:val="auto"/>
        </w:rPr>
      </w:pPr>
      <w:r>
        <w:rPr>
          <w:rFonts w:ascii="Arial" w:cs="Arial" w:eastAsia="Arial" w:hAnsi="Arial"/>
          <w:sz w:val="17"/>
          <w:szCs w:val="17"/>
          <w:color w:val="auto"/>
        </w:rPr>
        <w:t>If your options are validly tendered for exchange and accepted pursuant to the Offer, they will be cancelled and you will be entitled to receive replacement options exercisable for a number of shares of our Common Stock based on the following exchange ratios: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vMerge w:val="restart"/>
          </w:tcPr>
          <w:p>
            <w:pPr>
              <w:jc w:val="right"/>
              <w:ind w:right="3177"/>
              <w:spacing w:after="0"/>
              <w:rPr>
                <w:sz w:val="20"/>
                <w:szCs w:val="20"/>
                <w:color w:val="auto"/>
              </w:rPr>
            </w:pPr>
            <w:r>
              <w:rPr>
                <w:rFonts w:ascii="Arial" w:cs="Arial" w:eastAsia="Arial" w:hAnsi="Arial"/>
                <w:sz w:val="14"/>
                <w:szCs w:val="14"/>
                <w:b w:val="1"/>
                <w:bCs w:val="1"/>
                <w:color w:val="auto"/>
              </w:rPr>
              <w:t>Exercise Price Range</w:t>
            </w:r>
          </w:p>
        </w:tc>
        <w:tc>
          <w:tcPr>
            <w:tcW w:w="540" w:type="dxa"/>
            <w:vAlign w:val="bottom"/>
          </w:tcPr>
          <w:p>
            <w:pPr>
              <w:spacing w:after="0"/>
              <w:rPr>
                <w:sz w:val="14"/>
                <w:szCs w:val="14"/>
                <w:color w:val="auto"/>
              </w:rPr>
            </w:pPr>
          </w:p>
        </w:tc>
        <w:tc>
          <w:tcPr>
            <w:tcW w:w="3060" w:type="dxa"/>
            <w:vAlign w:val="bottom"/>
          </w:tcPr>
          <w:p>
            <w:pPr>
              <w:jc w:val="right"/>
              <w:ind w:right="968"/>
              <w:spacing w:after="0"/>
              <w:rPr>
                <w:sz w:val="20"/>
                <w:szCs w:val="20"/>
                <w:color w:val="auto"/>
              </w:rPr>
            </w:pPr>
            <w:r>
              <w:rPr>
                <w:rFonts w:ascii="Arial" w:cs="Arial" w:eastAsia="Arial" w:hAnsi="Arial"/>
                <w:sz w:val="14"/>
                <w:szCs w:val="14"/>
                <w:b w:val="1"/>
                <w:bCs w:val="1"/>
                <w:color w:val="auto"/>
              </w:rPr>
              <w:t>Exchange Ratio</w:t>
            </w:r>
          </w:p>
        </w:tc>
        <w:tc>
          <w:tcPr>
            <w:tcW w:w="0" w:type="dxa"/>
            <w:vAlign w:val="bottom"/>
          </w:tcPr>
          <w:p>
            <w:pPr>
              <w:spacing w:after="0"/>
              <w:rPr>
                <w:sz w:val="1"/>
                <w:szCs w:val="1"/>
                <w:color w:val="auto"/>
              </w:rPr>
            </w:pPr>
          </w:p>
        </w:tc>
      </w:tr>
      <w:tr>
        <w:trPr>
          <w:trHeight w:val="149"/>
        </w:trPr>
        <w:tc>
          <w:tcPr>
            <w:tcW w:w="7820" w:type="dxa"/>
            <w:vAlign w:val="bottom"/>
            <w:vMerge w:val="continue"/>
          </w:tcPr>
          <w:p>
            <w:pPr>
              <w:spacing w:after="0"/>
              <w:rPr>
                <w:sz w:val="12"/>
                <w:szCs w:val="12"/>
                <w:color w:val="auto"/>
              </w:rPr>
            </w:pPr>
          </w:p>
        </w:tc>
        <w:tc>
          <w:tcPr>
            <w:tcW w:w="3600" w:type="dxa"/>
            <w:vAlign w:val="bottom"/>
            <w:gridSpan w:val="2"/>
          </w:tcPr>
          <w:p>
            <w:pPr>
              <w:jc w:val="right"/>
              <w:ind w:right="308"/>
              <w:spacing w:after="0" w:line="149" w:lineRule="exact"/>
              <w:rPr>
                <w:sz w:val="20"/>
                <w:szCs w:val="20"/>
                <w:color w:val="auto"/>
              </w:rPr>
            </w:pPr>
            <w:r>
              <w:rPr>
                <w:rFonts w:ascii="Arial" w:cs="Arial" w:eastAsia="Arial" w:hAnsi="Arial"/>
                <w:sz w:val="14"/>
                <w:szCs w:val="14"/>
                <w:b w:val="1"/>
                <w:bCs w:val="1"/>
                <w:color w:val="auto"/>
              </w:rPr>
              <w:t>(number of eligible options to be tendered and</w:t>
            </w:r>
          </w:p>
        </w:tc>
        <w:tc>
          <w:tcPr>
            <w:tcW w:w="0" w:type="dxa"/>
            <w:vAlign w:val="bottom"/>
          </w:tcPr>
          <w:p>
            <w:pPr>
              <w:spacing w:after="0"/>
              <w:rPr>
                <w:sz w:val="1"/>
                <w:szCs w:val="1"/>
                <w:color w:val="auto"/>
              </w:rPr>
            </w:pPr>
          </w:p>
        </w:tc>
      </w:tr>
      <w:tr>
        <w:trPr>
          <w:trHeight w:val="186"/>
        </w:trPr>
        <w:tc>
          <w:tcPr>
            <w:tcW w:w="7820" w:type="dxa"/>
            <w:vAlign w:val="bottom"/>
          </w:tcPr>
          <w:p>
            <w:pPr>
              <w:jc w:val="right"/>
              <w:ind w:right="3257"/>
              <w:spacing w:after="0"/>
              <w:rPr>
                <w:sz w:val="20"/>
                <w:szCs w:val="20"/>
                <w:color w:val="auto"/>
              </w:rPr>
            </w:pPr>
            <w:r>
              <w:rPr>
                <w:rFonts w:ascii="Arial" w:cs="Arial" w:eastAsia="Arial" w:hAnsi="Arial"/>
                <w:sz w:val="14"/>
                <w:szCs w:val="14"/>
                <w:b w:val="1"/>
                <w:bCs w:val="1"/>
                <w:color w:val="auto"/>
              </w:rPr>
              <w:t>of Eligible Options</w:t>
            </w:r>
          </w:p>
        </w:tc>
        <w:tc>
          <w:tcPr>
            <w:tcW w:w="540" w:type="dxa"/>
            <w:vAlign w:val="bottom"/>
          </w:tcPr>
          <w:p>
            <w:pPr>
              <w:spacing w:after="0"/>
              <w:rPr>
                <w:sz w:val="16"/>
                <w:szCs w:val="16"/>
                <w:color w:val="auto"/>
              </w:rPr>
            </w:pPr>
          </w:p>
        </w:tc>
        <w:tc>
          <w:tcPr>
            <w:tcW w:w="3060" w:type="dxa"/>
            <w:vAlign w:val="bottom"/>
          </w:tcPr>
          <w:p>
            <w:pPr>
              <w:jc w:val="right"/>
              <w:ind w:right="288"/>
              <w:spacing w:after="0"/>
              <w:rPr>
                <w:sz w:val="20"/>
                <w:szCs w:val="20"/>
                <w:color w:val="auto"/>
              </w:rPr>
            </w:pPr>
            <w:r>
              <w:rPr>
                <w:rFonts w:ascii="Arial" w:cs="Arial" w:eastAsia="Arial" w:hAnsi="Arial"/>
                <w:sz w:val="14"/>
                <w:szCs w:val="14"/>
                <w:b w:val="1"/>
                <w:bCs w:val="1"/>
                <w:color w:val="auto"/>
              </w:rPr>
              <w:t>canceled for each replacement option)</w:t>
            </w:r>
          </w:p>
        </w:tc>
        <w:tc>
          <w:tcPr>
            <w:tcW w:w="0" w:type="dxa"/>
            <w:vAlign w:val="bottom"/>
          </w:tcPr>
          <w:p>
            <w:pPr>
              <w:spacing w:after="0"/>
              <w:rPr>
                <w:sz w:val="1"/>
                <w:szCs w:val="1"/>
                <w:color w:val="auto"/>
              </w:rPr>
            </w:pPr>
          </w:p>
        </w:tc>
      </w:tr>
      <w:tr>
        <w:trPr>
          <w:trHeight w:val="53"/>
        </w:trPr>
        <w:tc>
          <w:tcPr>
            <w:tcW w:w="7820" w:type="dxa"/>
            <w:vAlign w:val="bottom"/>
            <w:tcBorders>
              <w:bottom w:val="single" w:sz="8" w:color="808080"/>
            </w:tcBorders>
          </w:tcPr>
          <w:p>
            <w:pPr>
              <w:spacing w:after="0"/>
              <w:rPr>
                <w:sz w:val="4"/>
                <w:szCs w:val="4"/>
                <w:color w:val="auto"/>
              </w:rPr>
            </w:pPr>
          </w:p>
        </w:tc>
        <w:tc>
          <w:tcPr>
            <w:tcW w:w="540" w:type="dxa"/>
            <w:vAlign w:val="bottom"/>
          </w:tcPr>
          <w:p>
            <w:pPr>
              <w:spacing w:after="0"/>
              <w:rPr>
                <w:sz w:val="4"/>
                <w:szCs w:val="4"/>
                <w:color w:val="auto"/>
              </w:rPr>
            </w:pPr>
          </w:p>
        </w:tc>
        <w:tc>
          <w:tcPr>
            <w:tcW w:w="30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7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EEEEEE"/>
          </w:tcPr>
          <w:p>
            <w:pPr>
              <w:jc w:val="right"/>
              <w:ind w:right="3257"/>
              <w:spacing w:after="0"/>
              <w:rPr>
                <w:sz w:val="20"/>
                <w:szCs w:val="20"/>
                <w:color w:val="auto"/>
              </w:rPr>
            </w:pPr>
            <w:r>
              <w:rPr>
                <w:rFonts w:ascii="Arial" w:cs="Arial" w:eastAsia="Arial" w:hAnsi="Arial"/>
                <w:sz w:val="18"/>
                <w:szCs w:val="18"/>
                <w:color w:val="auto"/>
              </w:rPr>
              <w:t>$18.00 - $28.00</w:t>
            </w:r>
          </w:p>
        </w:tc>
        <w:tc>
          <w:tcPr>
            <w:tcW w:w="3600" w:type="dxa"/>
            <w:vAlign w:val="bottom"/>
            <w:gridSpan w:val="2"/>
            <w:shd w:val="clear" w:color="auto" w:fill="EEEEEE"/>
          </w:tcPr>
          <w:p>
            <w:pPr>
              <w:jc w:val="right"/>
              <w:ind w:right="1748"/>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7820" w:type="dxa"/>
            <w:vAlign w:val="bottom"/>
          </w:tcPr>
          <w:p>
            <w:pPr>
              <w:jc w:val="right"/>
              <w:ind w:right="3257"/>
              <w:spacing w:after="0"/>
              <w:rPr>
                <w:sz w:val="20"/>
                <w:szCs w:val="20"/>
                <w:color w:val="auto"/>
              </w:rPr>
            </w:pPr>
            <w:r>
              <w:rPr>
                <w:rFonts w:ascii="Arial" w:cs="Arial" w:eastAsia="Arial" w:hAnsi="Arial"/>
                <w:sz w:val="18"/>
                <w:szCs w:val="18"/>
                <w:color w:val="auto"/>
              </w:rPr>
              <w:t>$28.01 - $37.00</w:t>
            </w:r>
          </w:p>
        </w:tc>
        <w:tc>
          <w:tcPr>
            <w:tcW w:w="3600" w:type="dxa"/>
            <w:vAlign w:val="bottom"/>
            <w:gridSpan w:val="2"/>
          </w:tcPr>
          <w:p>
            <w:pPr>
              <w:jc w:val="right"/>
              <w:ind w:right="1748"/>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7820" w:type="dxa"/>
            <w:vAlign w:val="bottom"/>
            <w:shd w:val="clear" w:color="auto" w:fill="EEEEEE"/>
          </w:tcPr>
          <w:p>
            <w:pPr>
              <w:jc w:val="right"/>
              <w:ind w:right="3237"/>
              <w:spacing w:after="0"/>
              <w:rPr>
                <w:sz w:val="20"/>
                <w:szCs w:val="20"/>
                <w:color w:val="auto"/>
              </w:rPr>
            </w:pPr>
            <w:r>
              <w:rPr>
                <w:rFonts w:ascii="Arial" w:cs="Arial" w:eastAsia="Arial" w:hAnsi="Arial"/>
                <w:sz w:val="18"/>
                <w:szCs w:val="18"/>
                <w:color w:val="auto"/>
              </w:rPr>
              <w:t>$37.01 and up</w:t>
            </w:r>
          </w:p>
        </w:tc>
        <w:tc>
          <w:tcPr>
            <w:tcW w:w="3600" w:type="dxa"/>
            <w:vAlign w:val="bottom"/>
            <w:gridSpan w:val="2"/>
            <w:shd w:val="clear" w:color="auto" w:fill="EEEEEE"/>
          </w:tcPr>
          <w:p>
            <w:pPr>
              <w:jc w:val="right"/>
              <w:ind w:right="1748"/>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460" w:firstLine="450"/>
        <w:spacing w:after="0" w:line="277" w:lineRule="auto"/>
        <w:rPr>
          <w:sz w:val="20"/>
          <w:szCs w:val="20"/>
          <w:color w:val="auto"/>
        </w:rPr>
      </w:pPr>
      <w:r>
        <w:rPr>
          <w:rFonts w:ascii="Arial" w:cs="Arial" w:eastAsia="Arial" w:hAnsi="Arial"/>
          <w:sz w:val="18"/>
          <w:szCs w:val="18"/>
          <w:color w:val="auto"/>
        </w:rPr>
        <w:t>Replacement option grants calculated according to the exchange ratios will be rounded down to the nearest whole share on a grant-by-grant basis. Accordingly, options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3" w:name="page34"/>
    <w:bookmarkEnd w:id="33"/>
    <w:p>
      <w:pPr>
        <w:ind w:right="660"/>
        <w:spacing w:after="0" w:line="308" w:lineRule="auto"/>
        <w:rPr>
          <w:sz w:val="20"/>
          <w:szCs w:val="20"/>
          <w:color w:val="auto"/>
        </w:rPr>
      </w:pPr>
      <w:r>
        <w:rPr>
          <w:rFonts w:ascii="Arial" w:cs="Arial" w:eastAsia="Arial" w:hAnsi="Arial"/>
          <w:sz w:val="17"/>
          <w:szCs w:val="17"/>
          <w:color w:val="auto"/>
        </w:rPr>
        <w:t>will not be granted for fractional shares. All replacement options will be granted under the 2000 Plan and will be subject to the terms of an applicable replacement option agreement substantially in the form of exhibit (d)(7), (d)(8) or (d)(9), as applicable, to the Schedule TO.</w:t>
      </w:r>
    </w:p>
    <w:p>
      <w:pPr>
        <w:spacing w:after="0" w:line="120" w:lineRule="exact"/>
        <w:rPr>
          <w:sz w:val="20"/>
          <w:szCs w:val="20"/>
          <w:color w:val="auto"/>
        </w:rPr>
      </w:pPr>
    </w:p>
    <w:p>
      <w:pPr>
        <w:ind w:right="140" w:firstLine="450"/>
        <w:spacing w:after="0" w:line="273" w:lineRule="auto"/>
        <w:rPr>
          <w:sz w:val="20"/>
          <w:szCs w:val="20"/>
          <w:color w:val="auto"/>
        </w:rPr>
      </w:pPr>
      <w:r>
        <w:rPr>
          <w:rFonts w:ascii="Arial" w:cs="Arial" w:eastAsia="Arial" w:hAnsi="Arial"/>
          <w:sz w:val="17"/>
          <w:szCs w:val="17"/>
          <w:color w:val="auto"/>
        </w:rPr>
        <w:t>Of the outstanding options held by eligible employees as of November 3, 2004, the maximum number of shares of Common Stock underlying options which could be tendered for exchange pursuant to the Offer is 4,847,581, and the maximum number of shares of Common Stock underlying the replacement options which could be granted in accordance with the exchange ratios set forth in the table above is approximately 2,576,365. Executive officers who are eligible to tender eligible options and receive replacement options pursuant to the Offer, namely all our executive officers other than our president and chief executive officer (such executive officers collectively referred to as the “Eligible Officers”), hold collectively as a group 2,085,000 eligible options which, if validly tendered for exchange in the Offer, would entitle them to 1,063,500 replacement options.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Expiration Date.</w:t>
      </w:r>
    </w:p>
    <w:p>
      <w:pPr>
        <w:spacing w:after="0" w:line="189" w:lineRule="exact"/>
        <w:rPr>
          <w:sz w:val="20"/>
          <w:szCs w:val="20"/>
          <w:color w:val="auto"/>
        </w:rPr>
      </w:pPr>
    </w:p>
    <w:p>
      <w:pPr>
        <w:jc w:val="both"/>
        <w:ind w:firstLine="447"/>
        <w:spacing w:after="0" w:line="264" w:lineRule="auto"/>
        <w:rPr>
          <w:sz w:val="20"/>
          <w:szCs w:val="20"/>
          <w:color w:val="auto"/>
        </w:rPr>
      </w:pPr>
      <w:r>
        <w:rPr>
          <w:rFonts w:ascii="Arial" w:cs="Arial" w:eastAsia="Arial" w:hAnsi="Arial"/>
          <w:sz w:val="18"/>
          <w:szCs w:val="18"/>
          <w:color w:val="auto"/>
        </w:rPr>
        <w:t>The Offer is scheduled to expire at 6:00 p.m., Eastern Time, on January 5, 2005, unless we, in our discretion, extend the period of time during which the Offer will remain open. See Section 14 – “Extension of Offer; Termination; Amendment,” for a description of our rights to extend, delay, terminate or amend the Offer.</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PURPOSE AND BACKGROUND OF THE OFFER.</w:t>
      </w:r>
    </w:p>
    <w:p>
      <w:pPr>
        <w:spacing w:after="0" w:line="189" w:lineRule="exact"/>
        <w:rPr>
          <w:sz w:val="20"/>
          <w:szCs w:val="20"/>
          <w:color w:val="auto"/>
        </w:rPr>
      </w:pPr>
    </w:p>
    <w:p>
      <w:pPr>
        <w:ind w:right="140" w:firstLine="447"/>
        <w:spacing w:after="0" w:line="297" w:lineRule="auto"/>
        <w:rPr>
          <w:sz w:val="20"/>
          <w:szCs w:val="20"/>
          <w:color w:val="auto"/>
        </w:rPr>
      </w:pPr>
      <w:r>
        <w:rPr>
          <w:rFonts w:ascii="Arial" w:cs="Arial" w:eastAsia="Arial" w:hAnsi="Arial"/>
          <w:sz w:val="16"/>
          <w:szCs w:val="16"/>
          <w:color w:val="auto"/>
        </w:rPr>
        <w:t>We are making the Offer to eligible optionholders for compensatory purposes. Stock options are generally intended to help align the interests of a company’s employees with the interests of the company’s shareholders. Accordingly, a key objective of our Stock Incentive Plans is to encourage ownership of the Company by personnel whose long-term employment and efforts are considered important to the Company’s continued progress. The Compensation Committee of the board of directors, and the board, believe that the Stock Incentive Plans have proven to be effective tools that encourage stock option recipients to act in the shareholders’ interest by enabling the option recipients to have an economic stake in the Company’s success.</w:t>
      </w:r>
    </w:p>
    <w:p>
      <w:pPr>
        <w:spacing w:after="0" w:line="118" w:lineRule="exact"/>
        <w:rPr>
          <w:sz w:val="20"/>
          <w:szCs w:val="20"/>
          <w:color w:val="auto"/>
        </w:rPr>
      </w:pPr>
    </w:p>
    <w:p>
      <w:pPr>
        <w:ind w:right="100" w:firstLine="447"/>
        <w:spacing w:after="0" w:line="272" w:lineRule="auto"/>
        <w:rPr>
          <w:sz w:val="20"/>
          <w:szCs w:val="20"/>
          <w:color w:val="auto"/>
        </w:rPr>
      </w:pPr>
      <w:r>
        <w:rPr>
          <w:rFonts w:ascii="Arial" w:cs="Arial" w:eastAsia="Arial" w:hAnsi="Arial"/>
          <w:sz w:val="17"/>
          <w:szCs w:val="17"/>
          <w:color w:val="auto"/>
        </w:rPr>
        <w:t>The price of our Common Stock has declined sharply since 2000. As of November 3, 2004, approximately 54% of the outstanding options granted under the Stock Incentive Plans had an exercise price above $18 per share. The per share exercise prices for the annual stock option grants for employees in the past four years have been $37.78 (in December 2000), $28.01 (in December 2001), $19.43 (in December 2002), and $13.00 (in December 2003). On November 3, 2004, the date as of which option values and exchange ratios were determined for purposes of the Option Exchange Program, the closing price per share of Common Stock on The Nasdaq National Market was $7.88. On December 1, 2004, the closing price per share of Common Stock on The Nasdaq National Market was $9.03. The exercise prices noted above, as compared to current per share market prices for the Common Stock, illustrate that a substantial number of the outstanding options granted pursuant to the Stock Incentive Plans are “out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4" w:name="page35"/>
    <w:bookmarkEnd w:id="34"/>
    <w:p>
      <w:pPr>
        <w:ind w:right="40"/>
        <w:spacing w:after="0" w:line="259" w:lineRule="auto"/>
        <w:rPr>
          <w:sz w:val="20"/>
          <w:szCs w:val="20"/>
          <w:color w:val="auto"/>
        </w:rPr>
      </w:pPr>
      <w:r>
        <w:rPr>
          <w:rFonts w:ascii="Arial" w:cs="Arial" w:eastAsia="Arial" w:hAnsi="Arial"/>
          <w:sz w:val="18"/>
          <w:szCs w:val="18"/>
          <w:color w:val="auto"/>
        </w:rPr>
        <w:t>of the money” and no longer serve as effective incentives to retain and motivate employees. In today’s competitive market for top talent in the pharmaceutical and biotechnology industries, the Compensation Committee of the board of directors and the board believe that it is important for the future success of the Company, and thus for the enhancement of long-term shareholder value, to revitalize the incentive value of our stock option program as part of our overall compensation program to retain, motivate and reward employees.</w:t>
      </w:r>
    </w:p>
    <w:p>
      <w:pPr>
        <w:spacing w:after="0" w:line="160" w:lineRule="exact"/>
        <w:rPr>
          <w:sz w:val="20"/>
          <w:szCs w:val="20"/>
          <w:color w:val="auto"/>
        </w:rPr>
      </w:pPr>
    </w:p>
    <w:p>
      <w:pPr>
        <w:ind w:right="20" w:firstLine="447"/>
        <w:spacing w:after="0" w:line="255" w:lineRule="auto"/>
        <w:rPr>
          <w:sz w:val="20"/>
          <w:szCs w:val="20"/>
          <w:color w:val="auto"/>
        </w:rPr>
      </w:pPr>
      <w:r>
        <w:rPr>
          <w:rFonts w:ascii="Arial" w:cs="Arial" w:eastAsia="Arial" w:hAnsi="Arial"/>
          <w:sz w:val="18"/>
          <w:szCs w:val="18"/>
          <w:color w:val="auto"/>
        </w:rPr>
        <w:t>The Compensation Committee of the board of directors and the board believe that, by realigning the exercise prices of employee stock options with current per share market prices for the Common Stock, the Option Exchange Program, as implemented through the Offer, will enable the 2000 Plan to again become an important tool to help motivate the Company’s employees to create shareholder value. Furthermore, we believe that renewing vesting requirements on the replacement options should result in increased incentives for employees to remain with the Company and also reward employees for their continued dedication and loyalty in the future. In addition, we believe that establishing the performance vesting criterion for replacement options granted to our executive vice president and senior vice presidents under the Option Exchange Program will serve as an important additional incentive for those individuals to create shareholder value.</w:t>
      </w:r>
    </w:p>
    <w:p>
      <w:pPr>
        <w:spacing w:after="0" w:line="149" w:lineRule="exact"/>
        <w:rPr>
          <w:sz w:val="20"/>
          <w:szCs w:val="20"/>
          <w:color w:val="auto"/>
        </w:rPr>
      </w:pPr>
    </w:p>
    <w:p>
      <w:pPr>
        <w:ind w:firstLine="447"/>
        <w:spacing w:after="0" w:line="290" w:lineRule="auto"/>
        <w:rPr>
          <w:sz w:val="20"/>
          <w:szCs w:val="20"/>
          <w:color w:val="auto"/>
        </w:rPr>
      </w:pPr>
      <w:r>
        <w:rPr>
          <w:rFonts w:ascii="Arial" w:cs="Arial" w:eastAsia="Arial" w:hAnsi="Arial"/>
          <w:sz w:val="16"/>
          <w:szCs w:val="16"/>
          <w:color w:val="auto"/>
        </w:rPr>
        <w:t>The exchange ratios under the Option Exchange Program and the Offer (that is, how many eligible options an employee must tender for exchange in the Offer in order to receive one replacement option) were determined in a manner intended to provide for an exchange based approximately on fair values of options tendered and replacement options granted, using Black-Scholes models, with aggregate values favorable to shareholders. The Black-Scholes valuation methodology, a widely recognized and accepted valuation model to determine the value of stock options, takes into account a number of variables, including exercise price, current stock price, stock price volatility, risk-free rate of return, and the remaining term of the options being valued. In determining the exchange ratios, the Compensation Committee of the board of directors and the board considered the advice of Pearl Meyer &amp; Partners, a nationally recognized compensation consulting firm, including advice with respect to option values and exchange ratios, and used information available as of the close of business on November 3, 2004 in determining the respective values and amounts of the variables utilized in the Black-Scholes model.</w:t>
      </w:r>
    </w:p>
    <w:p>
      <w:pPr>
        <w:spacing w:after="0" w:line="126" w:lineRule="exact"/>
        <w:rPr>
          <w:sz w:val="20"/>
          <w:szCs w:val="20"/>
          <w:color w:val="auto"/>
        </w:rPr>
      </w:pPr>
    </w:p>
    <w:p>
      <w:pPr>
        <w:ind w:right="200" w:firstLine="450"/>
        <w:spacing w:after="0" w:line="277" w:lineRule="auto"/>
        <w:rPr>
          <w:sz w:val="20"/>
          <w:szCs w:val="20"/>
          <w:color w:val="auto"/>
        </w:rPr>
      </w:pPr>
      <w:r>
        <w:rPr>
          <w:rFonts w:ascii="Arial" w:cs="Arial" w:eastAsia="Arial" w:hAnsi="Arial"/>
          <w:sz w:val="18"/>
          <w:szCs w:val="18"/>
          <w:color w:val="auto"/>
        </w:rPr>
        <w:t>Except as otherwise disclosed in the Offer to Exchange or in our filings with the SEC, we presently have no plans or proposals that relate to or would result in:</w:t>
      </w:r>
    </w:p>
    <w:p>
      <w:pPr>
        <w:spacing w:after="0" w:line="170" w:lineRule="exact"/>
        <w:rPr>
          <w:sz w:val="20"/>
          <w:szCs w:val="20"/>
          <w:color w:val="auto"/>
        </w:rPr>
      </w:pPr>
    </w:p>
    <w:p>
      <w:pPr>
        <w:ind w:left="1140" w:hanging="315"/>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extraordinary corporate transaction, such as a merger, reorganization or liquidation, involving us;</w:t>
      </w:r>
    </w:p>
    <w:p>
      <w:pPr>
        <w:spacing w:after="0" w:line="225" w:lineRule="exact"/>
        <w:rPr>
          <w:rFonts w:ascii="Arial" w:cs="Arial" w:eastAsia="Arial" w:hAnsi="Arial"/>
          <w:sz w:val="18"/>
          <w:szCs w:val="18"/>
          <w:color w:val="auto"/>
        </w:rPr>
      </w:pPr>
    </w:p>
    <w:p>
      <w:pPr>
        <w:ind w:left="1140" w:hanging="315"/>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purchase, sale or transfer of a material amount of our assets;</w:t>
      </w:r>
    </w:p>
    <w:p>
      <w:pPr>
        <w:spacing w:after="0" w:line="225" w:lineRule="exact"/>
        <w:rPr>
          <w:rFonts w:ascii="Arial" w:cs="Arial" w:eastAsia="Arial" w:hAnsi="Arial"/>
          <w:sz w:val="18"/>
          <w:szCs w:val="18"/>
          <w:color w:val="auto"/>
        </w:rPr>
      </w:pPr>
    </w:p>
    <w:p>
      <w:pPr>
        <w:ind w:left="1140" w:hanging="315"/>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material change in our present dividend policy, or our indebtedness or capitalization;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35" w:name="page36"/>
    <w:bookmarkEnd w:id="35"/>
    <w:p>
      <w:pPr>
        <w:ind w:left="1140" w:right="140" w:hanging="315"/>
        <w:spacing w:after="0" w:line="277"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change in our present board of directors or senior management, including a change in the number or term of directors to fill any existing vacancies on the board of directors, or any change in an executive officer’s material terms of employment;</w:t>
      </w:r>
    </w:p>
    <w:p>
      <w:pPr>
        <w:spacing w:after="0" w:line="170" w:lineRule="exact"/>
        <w:rPr>
          <w:rFonts w:ascii="Arial" w:cs="Arial" w:eastAsia="Arial" w:hAnsi="Arial"/>
          <w:sz w:val="18"/>
          <w:szCs w:val="18"/>
          <w:color w:val="auto"/>
        </w:rPr>
      </w:pPr>
    </w:p>
    <w:p>
      <w:pPr>
        <w:ind w:left="1140" w:hanging="315"/>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other material change in our corporate structure or business;</w:t>
      </w:r>
    </w:p>
    <w:p>
      <w:pPr>
        <w:spacing w:after="0" w:line="225" w:lineRule="exact"/>
        <w:rPr>
          <w:rFonts w:ascii="Arial" w:cs="Arial" w:eastAsia="Arial" w:hAnsi="Arial"/>
          <w:sz w:val="18"/>
          <w:szCs w:val="18"/>
          <w:color w:val="auto"/>
        </w:rPr>
      </w:pPr>
    </w:p>
    <w:p>
      <w:pPr>
        <w:ind w:left="1140" w:hanging="315"/>
        <w:spacing w:after="0"/>
        <w:tabs>
          <w:tab w:leader="none" w:pos="11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Common Stock not being authorized for quotation in an automated quotation system operated by a national securities association;</w:t>
      </w:r>
    </w:p>
    <w:p>
      <w:pPr>
        <w:spacing w:after="0" w:line="236" w:lineRule="exact"/>
        <w:rPr>
          <w:rFonts w:ascii="Arial" w:cs="Arial" w:eastAsia="Arial" w:hAnsi="Arial"/>
          <w:sz w:val="17"/>
          <w:szCs w:val="17"/>
          <w:color w:val="auto"/>
        </w:rPr>
      </w:pPr>
    </w:p>
    <w:p>
      <w:pPr>
        <w:ind w:left="1140" w:right="160" w:hanging="315"/>
        <w:spacing w:after="0" w:line="277"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Common Stock becoming eligible for termination of registration pursuant to Section 12(g)(4) of the Securities Exchange Act of 1934 as amended (the “Exchange Act”);</w:t>
      </w:r>
    </w:p>
    <w:p>
      <w:pPr>
        <w:spacing w:after="0" w:line="170" w:lineRule="exact"/>
        <w:rPr>
          <w:rFonts w:ascii="Arial" w:cs="Arial" w:eastAsia="Arial" w:hAnsi="Arial"/>
          <w:sz w:val="18"/>
          <w:szCs w:val="18"/>
          <w:color w:val="auto"/>
        </w:rPr>
      </w:pPr>
    </w:p>
    <w:p>
      <w:pPr>
        <w:ind w:left="1140" w:hanging="315"/>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suspension of our obligation to file reports pursuant to Section 15(d) of the Exchange Act;</w:t>
      </w:r>
    </w:p>
    <w:p>
      <w:pPr>
        <w:spacing w:after="0" w:line="225" w:lineRule="exact"/>
        <w:rPr>
          <w:rFonts w:ascii="Arial" w:cs="Arial" w:eastAsia="Arial" w:hAnsi="Arial"/>
          <w:sz w:val="18"/>
          <w:szCs w:val="18"/>
          <w:color w:val="auto"/>
        </w:rPr>
      </w:pPr>
    </w:p>
    <w:p>
      <w:pPr>
        <w:ind w:left="1140" w:hanging="315"/>
        <w:spacing w:after="0"/>
        <w:tabs>
          <w:tab w:leader="none" w:pos="11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acquisition by any person of any material amount of our securities or the disposition of any material amount of our securities; or</w:t>
      </w:r>
    </w:p>
    <w:p>
      <w:pPr>
        <w:spacing w:after="0" w:line="236" w:lineRule="exact"/>
        <w:rPr>
          <w:rFonts w:ascii="Arial" w:cs="Arial" w:eastAsia="Arial" w:hAnsi="Arial"/>
          <w:sz w:val="17"/>
          <w:szCs w:val="17"/>
          <w:color w:val="auto"/>
        </w:rPr>
      </w:pPr>
    </w:p>
    <w:p>
      <w:pPr>
        <w:ind w:left="1140" w:hanging="405"/>
        <w:spacing w:after="0"/>
        <w:tabs>
          <w:tab w:leader="none" w:pos="11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any change in our Certificate of Incorporation or By-laws, or any actions which may impede the acquisition of control of us by any person.</w:t>
      </w:r>
    </w:p>
    <w:p>
      <w:pPr>
        <w:spacing w:after="0" w:line="248" w:lineRule="exact"/>
        <w:rPr>
          <w:sz w:val="20"/>
          <w:szCs w:val="20"/>
          <w:color w:val="auto"/>
        </w:rPr>
      </w:pPr>
    </w:p>
    <w:p>
      <w:pPr>
        <w:ind w:right="380" w:firstLine="447"/>
        <w:spacing w:after="0" w:line="277" w:lineRule="auto"/>
        <w:rPr>
          <w:sz w:val="20"/>
          <w:szCs w:val="20"/>
          <w:color w:val="auto"/>
        </w:rPr>
      </w:pPr>
      <w:r>
        <w:rPr>
          <w:rFonts w:ascii="Arial" w:cs="Arial" w:eastAsia="Arial" w:hAnsi="Arial"/>
          <w:sz w:val="18"/>
          <w:szCs w:val="18"/>
          <w:color w:val="auto"/>
        </w:rPr>
        <w:t>The Company has in the past, and may in the future, seek to raise additional capital by issuing debt securities, shares of common stock or shares of preferred stock through public offerings or private placements.</w:t>
      </w:r>
    </w:p>
    <w:p>
      <w:pPr>
        <w:spacing w:after="0" w:line="139" w:lineRule="exact"/>
        <w:rPr>
          <w:sz w:val="20"/>
          <w:szCs w:val="20"/>
          <w:color w:val="auto"/>
        </w:rPr>
      </w:pPr>
    </w:p>
    <w:p>
      <w:pPr>
        <w:ind w:firstLine="450"/>
        <w:spacing w:after="0" w:line="295" w:lineRule="auto"/>
        <w:rPr>
          <w:sz w:val="20"/>
          <w:szCs w:val="20"/>
          <w:color w:val="auto"/>
        </w:rPr>
      </w:pPr>
      <w:r>
        <w:rPr>
          <w:rFonts w:ascii="Arial" w:cs="Arial" w:eastAsia="Arial" w:hAnsi="Arial"/>
          <w:sz w:val="16"/>
          <w:szCs w:val="16"/>
          <w:b w:val="1"/>
          <w:bCs w:val="1"/>
          <w:color w:val="auto"/>
        </w:rPr>
        <w:t xml:space="preserve">Neither we nor our board of directors makes any recommendation as to whether you should tender some or all of your eligible options for exchange in the Offer, nor have we authorized any person to make any such recommendation. </w:t>
      </w:r>
      <w:r>
        <w:rPr>
          <w:rFonts w:ascii="Arial" w:cs="Arial" w:eastAsia="Arial" w:hAnsi="Arial"/>
          <w:sz w:val="16"/>
          <w:szCs w:val="16"/>
          <w:color w:val="auto"/>
        </w:rPr>
        <w:t>Depending on the market price per share of our Common</w:t>
      </w:r>
      <w:r>
        <w:rPr>
          <w:rFonts w:ascii="Arial" w:cs="Arial" w:eastAsia="Arial" w:hAnsi="Arial"/>
          <w:sz w:val="16"/>
          <w:szCs w:val="16"/>
          <w:b w:val="1"/>
          <w:bCs w:val="1"/>
          <w:color w:val="auto"/>
        </w:rPr>
        <w:t xml:space="preserve"> </w:t>
      </w:r>
      <w:r>
        <w:rPr>
          <w:rFonts w:ascii="Arial" w:cs="Arial" w:eastAsia="Arial" w:hAnsi="Arial"/>
          <w:sz w:val="16"/>
          <w:szCs w:val="16"/>
          <w:color w:val="auto"/>
        </w:rPr>
        <w:t>Stock on the Grant Date, it is possible that the replacement options could have a higher exercise price than some or all of your current eligible options. In addition, such replacement options will be completely unvested. Your decision as to whether or not to tender your options for exchange may be affected by the particular eligible options (and option agreements) which you hold. You are urged to evaluate carefully all of the information in the Offer to Exchange and the documents to which we refer you and to consult your own legal counsel, accountant, financial and tax advisors.</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must make your own decision whether to tender your options for exchange in the Offer.</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Section 3. PROCEDURES FOR TENDERING OPTIONS FOR EXCHANGE.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 Tender of Eligible Options.</w:t>
      </w:r>
    </w:p>
    <w:p>
      <w:pPr>
        <w:spacing w:after="0" w:line="189" w:lineRule="exact"/>
        <w:rPr>
          <w:sz w:val="20"/>
          <w:szCs w:val="20"/>
          <w:color w:val="auto"/>
        </w:rPr>
      </w:pPr>
    </w:p>
    <w:p>
      <w:pPr>
        <w:ind w:right="80" w:firstLine="447"/>
        <w:spacing w:after="0" w:line="293" w:lineRule="auto"/>
        <w:rPr>
          <w:sz w:val="20"/>
          <w:szCs w:val="20"/>
          <w:color w:val="auto"/>
        </w:rPr>
      </w:pPr>
      <w:r>
        <w:rPr>
          <w:rFonts w:ascii="Arial" w:cs="Arial" w:eastAsia="Arial" w:hAnsi="Arial"/>
          <w:sz w:val="16"/>
          <w:szCs w:val="16"/>
          <w:color w:val="auto"/>
        </w:rPr>
        <w:t>To validly tender your options for exchange in the Offer, you must, in accordance with the instructions set forth in the Election Form, properly complete, duly execute and deliver to us the Election Form, which must be received by us as specified below prior to 6:00 p.m., Eastern Time, on the Expiration Date. Delivery of the Election Form must either be by regular or overnight mail to Regeneron Pharmaceuticals, Inc., 777 Old Saw Mill River Road, Tarrytown, New York 10591, Attention: Human Resources Department, Options Exchange, or by hand to either Pam Curtis in our Tarrytown, New York location or Lynne Fuierer in our Rensselaer, New York location. Delivery by e-mail or other electronic means will not be accepted. We will only accept a properly completed and executed paper copy of the Election Form. We will notify you by e-mail (or interoffice mail) of our receipt of your Election Form.</w:t>
      </w:r>
    </w:p>
    <w:p>
      <w:pPr>
        <w:spacing w:after="0" w:line="124" w:lineRule="exact"/>
        <w:rPr>
          <w:sz w:val="20"/>
          <w:szCs w:val="20"/>
          <w:color w:val="auto"/>
        </w:rPr>
      </w:pPr>
    </w:p>
    <w:p>
      <w:pPr>
        <w:ind w:right="60" w:firstLine="450"/>
        <w:spacing w:after="0" w:line="259" w:lineRule="auto"/>
        <w:rPr>
          <w:sz w:val="20"/>
          <w:szCs w:val="20"/>
          <w:color w:val="auto"/>
        </w:rPr>
      </w:pPr>
      <w:r>
        <w:rPr>
          <w:rFonts w:ascii="Arial" w:cs="Arial" w:eastAsia="Arial" w:hAnsi="Arial"/>
          <w:sz w:val="18"/>
          <w:szCs w:val="18"/>
          <w:color w:val="auto"/>
        </w:rPr>
        <w:t>If you submitted an Election Form and you want to tender for exchange options under additional option grants that you had not marked for tender on that form, you may elect to tender for exchange those additional options by properly delivering to us prior to 6:00 p.m., Eastern Time, on the Expiration Date an additional properly completed and signed Election Form selecting for tender for exchange such additional options. You may only tender for exchange all options subject to a particular grant.</w:t>
      </w:r>
    </w:p>
    <w:p>
      <w:pPr>
        <w:spacing w:after="0" w:line="160" w:lineRule="exact"/>
        <w:rPr>
          <w:sz w:val="20"/>
          <w:szCs w:val="20"/>
          <w:color w:val="auto"/>
        </w:rPr>
      </w:pPr>
    </w:p>
    <w:p>
      <w:pPr>
        <w:jc w:val="both"/>
        <w:ind w:right="20" w:firstLine="450"/>
        <w:spacing w:after="0" w:line="264" w:lineRule="auto"/>
        <w:rPr>
          <w:sz w:val="20"/>
          <w:szCs w:val="20"/>
          <w:color w:val="auto"/>
        </w:rPr>
      </w:pPr>
      <w:r>
        <w:rPr>
          <w:rFonts w:ascii="Arial" w:cs="Arial" w:eastAsia="Arial" w:hAnsi="Arial"/>
          <w:sz w:val="18"/>
          <w:szCs w:val="18"/>
          <w:color w:val="auto"/>
        </w:rPr>
        <w:t>If you deliver an Election Form with respect to some but not all options subject to a particular grant, we may, in our sole discretion, determine that you have elected to tender for exchange all or none of the options underlying such grant. You may request additional copies of the Election Form by contacting us by phone at (914) 345-STOK or by e-mail at: OptionsExchange@regeneron.com.</w:t>
      </w:r>
    </w:p>
    <w:p>
      <w:pPr>
        <w:spacing w:after="0" w:line="137" w:lineRule="exact"/>
        <w:rPr>
          <w:sz w:val="20"/>
          <w:szCs w:val="20"/>
          <w:color w:val="auto"/>
        </w:rPr>
      </w:pPr>
    </w:p>
    <w:p>
      <w:pPr>
        <w:jc w:val="both"/>
        <w:ind w:right="60" w:firstLine="450"/>
        <w:spacing w:after="0" w:line="314" w:lineRule="auto"/>
        <w:rPr>
          <w:sz w:val="20"/>
          <w:szCs w:val="20"/>
          <w:color w:val="auto"/>
        </w:rPr>
      </w:pPr>
      <w:r>
        <w:rPr>
          <w:rFonts w:ascii="Arial" w:cs="Arial" w:eastAsia="Arial" w:hAnsi="Arial"/>
          <w:sz w:val="16"/>
          <w:szCs w:val="16"/>
          <w:b w:val="1"/>
          <w:bCs w:val="1"/>
          <w:color w:val="auto"/>
        </w:rPr>
        <w:t xml:space="preserve">The method of delivery of all documents, including the Election Form, is at the election and risk of the tendering optionholder. </w:t>
      </w:r>
      <w:r>
        <w:rPr>
          <w:rFonts w:ascii="Arial" w:cs="Arial" w:eastAsia="Arial" w:hAnsi="Arial"/>
          <w:sz w:val="16"/>
          <w:szCs w:val="16"/>
          <w:color w:val="auto"/>
        </w:rPr>
        <w:t>If delivery is by</w:t>
      </w:r>
      <w:r>
        <w:rPr>
          <w:rFonts w:ascii="Arial" w:cs="Arial" w:eastAsia="Arial" w:hAnsi="Arial"/>
          <w:sz w:val="16"/>
          <w:szCs w:val="16"/>
          <w:b w:val="1"/>
          <w:bCs w:val="1"/>
          <w:color w:val="auto"/>
        </w:rPr>
        <w:t xml:space="preserve"> </w:t>
      </w:r>
      <w:r>
        <w:rPr>
          <w:rFonts w:ascii="Arial" w:cs="Arial" w:eastAsia="Arial" w:hAnsi="Arial"/>
          <w:sz w:val="16"/>
          <w:szCs w:val="16"/>
          <w:color w:val="auto"/>
        </w:rPr>
        <w:t>mail, we recommend that you use registered mail with return receipt requested. In all cases, you should allow sufficient time to ensure timely delivery. Your options will not be considered tendered until we receive the necessary documentation. We will not accept delivery by e-mail or other electronic means.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Validity; Rejection of Options; Waiver of Defects; No Obligation to Give Notice of Defects.</w:t>
      </w:r>
    </w:p>
    <w:p>
      <w:pPr>
        <w:spacing w:after="0" w:line="202" w:lineRule="exact"/>
        <w:rPr>
          <w:sz w:val="20"/>
          <w:szCs w:val="20"/>
          <w:color w:val="auto"/>
        </w:rPr>
      </w:pPr>
    </w:p>
    <w:p>
      <w:pPr>
        <w:ind w:firstLine="447"/>
        <w:spacing w:after="0" w:line="255" w:lineRule="auto"/>
        <w:rPr>
          <w:sz w:val="20"/>
          <w:szCs w:val="20"/>
          <w:color w:val="auto"/>
        </w:rPr>
      </w:pPr>
      <w:r>
        <w:rPr>
          <w:rFonts w:ascii="Arial" w:cs="Arial" w:eastAsia="Arial" w:hAnsi="Arial"/>
          <w:sz w:val="18"/>
          <w:szCs w:val="18"/>
          <w:color w:val="auto"/>
        </w:rPr>
        <w:t xml:space="preserve">We will determine, in our sole discretion, all questions as to form of documents and the validity, form, eligibility, including time of receipt, and acceptance of any tender of options for exchange in the Offer. Our determination of these matters will be final and binding on all parties. </w:t>
      </w:r>
      <w:r>
        <w:rPr>
          <w:rFonts w:ascii="Arial" w:cs="Arial" w:eastAsia="Arial" w:hAnsi="Arial"/>
          <w:sz w:val="18"/>
          <w:szCs w:val="18"/>
          <w:b w:val="1"/>
          <w:bCs w:val="1"/>
          <w:color w:val="auto"/>
        </w:rPr>
        <w:t>We reserve the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right to reject any or all tenders of options that we determine are not in appropriate form or that we determine are unlawful to accept. </w:t>
      </w:r>
      <w:r>
        <w:rPr>
          <w:rFonts w:ascii="Arial" w:cs="Arial" w:eastAsia="Arial" w:hAnsi="Arial"/>
          <w:sz w:val="18"/>
          <w:szCs w:val="18"/>
          <w:color w:val="auto"/>
        </w:rPr>
        <w:t>Otherwise, we</w:t>
      </w:r>
      <w:r>
        <w:rPr>
          <w:rFonts w:ascii="Arial" w:cs="Arial" w:eastAsia="Arial" w:hAnsi="Arial"/>
          <w:sz w:val="18"/>
          <w:szCs w:val="18"/>
          <w:b w:val="1"/>
          <w:bCs w:val="1"/>
          <w:color w:val="auto"/>
        </w:rPr>
        <w:t xml:space="preserve"> </w:t>
      </w:r>
      <w:r>
        <w:rPr>
          <w:rFonts w:ascii="Arial" w:cs="Arial" w:eastAsia="Arial" w:hAnsi="Arial"/>
          <w:sz w:val="18"/>
          <w:szCs w:val="18"/>
          <w:color w:val="auto"/>
        </w:rPr>
        <w:t>expect to accept for exchange and cancellation all properly and timely tendered options which are not validly withdrawn. Subject to applicable law, including Rule 13e-4 of the Exchange Act, we may also waive any of the conditions of the Offer (other than the shareholder approval condition set forth in clause (1) of Section</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37" w:name="page38"/>
    <w:bookmarkEnd w:id="37"/>
    <w:p>
      <w:pPr>
        <w:spacing w:after="0" w:line="259" w:lineRule="auto"/>
        <w:rPr>
          <w:sz w:val="20"/>
          <w:szCs w:val="20"/>
          <w:color w:val="auto"/>
        </w:rPr>
      </w:pPr>
      <w:r>
        <w:rPr>
          <w:rFonts w:ascii="Arial" w:cs="Arial" w:eastAsia="Arial" w:hAnsi="Arial"/>
          <w:sz w:val="18"/>
          <w:szCs w:val="18"/>
          <w:color w:val="auto"/>
        </w:rPr>
        <w:t>6 - “Conditions of the Offer,” which we will not waive) or any defect or irregularity in any tender with respect to any particular eligible option or any particular eligible optionholder. No tender of options will be deemed to have been properly made until all defects or irregularities have been cured by the tendering optionholder or waived by us. Neither we, nor any other person, is obligated to give notice of any defects or irregularities in tenders, and no one will be liable for failing to give notice of any defects or irregularities.</w:t>
      </w:r>
    </w:p>
    <w:p>
      <w:pPr>
        <w:spacing w:after="0" w:line="160" w:lineRule="exact"/>
        <w:rPr>
          <w:sz w:val="20"/>
          <w:szCs w:val="20"/>
          <w:color w:val="auto"/>
        </w:rPr>
      </w:pPr>
    </w:p>
    <w:p>
      <w:pPr>
        <w:ind w:right="220" w:firstLine="447"/>
        <w:spacing w:after="0" w:line="277" w:lineRule="auto"/>
        <w:rPr>
          <w:sz w:val="20"/>
          <w:szCs w:val="20"/>
          <w:color w:val="auto"/>
        </w:rPr>
      </w:pPr>
      <w:r>
        <w:rPr>
          <w:rFonts w:ascii="Arial" w:cs="Arial" w:eastAsia="Arial" w:hAnsi="Arial"/>
          <w:sz w:val="18"/>
          <w:szCs w:val="18"/>
          <w:color w:val="auto"/>
        </w:rPr>
        <w:t>This is a one-time offer to exchange your eligible options. The Offer will expire at 6:00 p.m., Eastern Time, on January 5, 2005, unless we extend the Offer. We currently have no plans to repeat the same or a similar offer in the future.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Acceptance Constitutes an Agreement.</w:t>
      </w:r>
    </w:p>
    <w:p>
      <w:pPr>
        <w:spacing w:after="0" w:line="189" w:lineRule="exact"/>
        <w:rPr>
          <w:sz w:val="20"/>
          <w:szCs w:val="20"/>
          <w:color w:val="auto"/>
        </w:rPr>
      </w:pPr>
    </w:p>
    <w:p>
      <w:pPr>
        <w:jc w:val="both"/>
        <w:ind w:right="260" w:firstLine="443"/>
        <w:spacing w:after="0" w:line="264" w:lineRule="auto"/>
        <w:rPr>
          <w:sz w:val="20"/>
          <w:szCs w:val="20"/>
          <w:color w:val="auto"/>
        </w:rPr>
      </w:pPr>
      <w:r>
        <w:rPr>
          <w:rFonts w:ascii="Arial" w:cs="Arial" w:eastAsia="Arial" w:hAnsi="Arial"/>
          <w:sz w:val="18"/>
          <w:szCs w:val="18"/>
          <w:color w:val="auto"/>
        </w:rPr>
        <w:t>Your tender of options for exchange pursuant to the procedures described above constitutes your acceptance of the terms and conditions of the Offer. Our acceptance for exchange of your options tendered by you pursuant to the Offer will constitute a binding agreement between you and us upon the terms and subject to the conditions of the Offer.</w:t>
      </w:r>
    </w:p>
    <w:p>
      <w:pPr>
        <w:spacing w:after="0" w:line="154" w:lineRule="exact"/>
        <w:rPr>
          <w:sz w:val="20"/>
          <w:szCs w:val="20"/>
          <w:color w:val="auto"/>
        </w:rPr>
      </w:pPr>
    </w:p>
    <w:p>
      <w:pPr>
        <w:jc w:val="both"/>
        <w:ind w:right="140" w:firstLine="450"/>
        <w:spacing w:after="0" w:line="277" w:lineRule="auto"/>
        <w:rPr>
          <w:sz w:val="20"/>
          <w:szCs w:val="20"/>
          <w:color w:val="auto"/>
        </w:rPr>
      </w:pPr>
      <w:r>
        <w:rPr>
          <w:rFonts w:ascii="Arial" w:cs="Arial" w:eastAsia="Arial" w:hAnsi="Arial"/>
          <w:sz w:val="18"/>
          <w:szCs w:val="18"/>
          <w:color w:val="auto"/>
        </w:rPr>
        <w:t>Subject to our rights to extend, terminate and amend the Offer, we expect that we will accept for exchange on, and in any event will be promptly after, the Expiration Date, all eligible options validly tendered and not validly withdrawn by eligible optionholders.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WITHDRAWAL RIGHTS.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may only withdraw your options tendered for exchange in accordance with the provisions of this Section 4.</w:t>
      </w:r>
    </w:p>
    <w:p>
      <w:pPr>
        <w:spacing w:after="0" w:line="198" w:lineRule="exact"/>
        <w:rPr>
          <w:sz w:val="20"/>
          <w:szCs w:val="20"/>
          <w:color w:val="auto"/>
        </w:rPr>
      </w:pPr>
    </w:p>
    <w:p>
      <w:pPr>
        <w:jc w:val="both"/>
        <w:ind w:right="140" w:firstLine="443"/>
        <w:spacing w:after="0" w:line="257" w:lineRule="auto"/>
        <w:rPr>
          <w:sz w:val="20"/>
          <w:szCs w:val="20"/>
          <w:color w:val="auto"/>
        </w:rPr>
      </w:pPr>
      <w:r>
        <w:rPr>
          <w:rFonts w:ascii="Arial" w:cs="Arial" w:eastAsia="Arial" w:hAnsi="Arial"/>
          <w:sz w:val="18"/>
          <w:szCs w:val="18"/>
          <w:color w:val="auto"/>
        </w:rPr>
        <w:t>You may withdraw some or all of the eligible options you tendered for exchange in the Offer. If you want to withdraw any of the options you tendered for exchange, you must withdraw all tendered options for shares of Common Stock subject to a particular grant. If you deliver a Notice of Withdrawal with respect to only some but not all of the options subject to a particular grant, we may, in our sole discretion, determine that you have elected to withdraw all or none of the options underlying such grant. You may request additional copies of the Notice of Withdrawal by contacting us by phone at (914) 345-STOK or by e-mail at: OptionsExchange@regeneron.com.</w:t>
      </w:r>
    </w:p>
    <w:p>
      <w:pPr>
        <w:spacing w:after="0" w:line="148" w:lineRule="exact"/>
        <w:rPr>
          <w:sz w:val="20"/>
          <w:szCs w:val="20"/>
          <w:color w:val="auto"/>
        </w:rPr>
      </w:pPr>
    </w:p>
    <w:p>
      <w:pPr>
        <w:ind w:right="100" w:firstLine="443"/>
        <w:spacing w:after="0" w:line="297" w:lineRule="auto"/>
        <w:rPr>
          <w:sz w:val="20"/>
          <w:szCs w:val="20"/>
          <w:color w:val="auto"/>
        </w:rPr>
      </w:pPr>
      <w:r>
        <w:rPr>
          <w:rFonts w:ascii="Arial" w:cs="Arial" w:eastAsia="Arial" w:hAnsi="Arial"/>
          <w:sz w:val="16"/>
          <w:szCs w:val="16"/>
          <w:color w:val="auto"/>
        </w:rPr>
        <w:t>You may withdraw your tendered options at any time before 6:00 p.m., Eastern Time, on January 5, 2005, the currently scheduled Expiration Date of the Offer. If the Offer is extended by us beyond that time, you may withdraw your tendered options at any time until the extended Expiration Date of the Offer. In addition, if we have not accepted your options tendered for exchange before 12:00 midnight, Eastern Time, on February 1, 2005, the 40th business day following the commencement of the Offer, you may withdraw your options at any time thereafter. For purposes of the Offer, a “business day” means any day other than a Saturday, Sunday or U.S. Federal holiday and consists of the time period from 12:01 a.m. through 12:00 midnight, Eastern Time.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8" w:name="page39"/>
    <w:bookmarkEnd w:id="38"/>
    <w:p>
      <w:pPr>
        <w:ind w:right="40" w:firstLine="447"/>
        <w:spacing w:after="0" w:line="255" w:lineRule="auto"/>
        <w:rPr>
          <w:sz w:val="20"/>
          <w:szCs w:val="20"/>
          <w:color w:val="auto"/>
        </w:rPr>
      </w:pPr>
      <w:r>
        <w:rPr>
          <w:rFonts w:ascii="Arial" w:cs="Arial" w:eastAsia="Arial" w:hAnsi="Arial"/>
          <w:sz w:val="18"/>
          <w:szCs w:val="18"/>
          <w:color w:val="auto"/>
        </w:rPr>
        <w:t>To validly withdraw options tendered for exchange in the Offer, you must, in accordance with the instructions set forth in the Notice of Withdrawal, properly complete, duly execute and deliver to us the Notice of Withdrawal, which must be received by us as specified below prior to 6:00 p.m., Eastern Time, on the Expiration Date. Delivery of the Notice of Withdrawal must either be by regular or overnight mail to Regeneron Pharmaceuticals, Inc., 777 Old Saw Mill River Road, Tarrytown, New York 10591, Attention: Human Resources Department, Options Exchange, or by hand to either Pam Curtis in our Tarrytown, New York location or Lynne Fuierer in our Rensselaer, New York location. Delivery by e-mail or other electronic means will not be accepted. We will only accept a properly completed and executed paper copy of the Notice of Withdrawal. We will notify you by e-mail (or interoffice mail) of our receipt of your Notice of Withdrawal.</w:t>
      </w:r>
    </w:p>
    <w:p>
      <w:pPr>
        <w:spacing w:after="0" w:line="162" w:lineRule="exact"/>
        <w:rPr>
          <w:sz w:val="20"/>
          <w:szCs w:val="20"/>
          <w:color w:val="auto"/>
        </w:rPr>
      </w:pPr>
    </w:p>
    <w:p>
      <w:pPr>
        <w:ind w:right="180" w:firstLine="443"/>
        <w:spacing w:after="0" w:line="264" w:lineRule="auto"/>
        <w:rPr>
          <w:sz w:val="20"/>
          <w:szCs w:val="20"/>
          <w:color w:val="auto"/>
        </w:rPr>
      </w:pPr>
      <w:r>
        <w:rPr>
          <w:rFonts w:ascii="Arial" w:cs="Arial" w:eastAsia="Arial" w:hAnsi="Arial"/>
          <w:sz w:val="18"/>
          <w:szCs w:val="18"/>
          <w:color w:val="auto"/>
        </w:rPr>
        <w:t>You may not rescind any withdrawal, and any options you withdraw will thereafter be deemed not properly tendered for purposes of the Offer, unless you properly re-tender those options before the Expiration Date by following the procedures described above in Section 3 – “Procedures for Tendering Options for Exchange – Proper Tender of Eligible Options.”</w:t>
      </w:r>
    </w:p>
    <w:p>
      <w:pPr>
        <w:spacing w:after="0" w:line="141" w:lineRule="exact"/>
        <w:rPr>
          <w:sz w:val="20"/>
          <w:szCs w:val="20"/>
          <w:color w:val="auto"/>
        </w:rPr>
      </w:pPr>
    </w:p>
    <w:p>
      <w:pPr>
        <w:ind w:right="200" w:firstLine="450"/>
        <w:spacing w:after="0" w:line="264" w:lineRule="auto"/>
        <w:rPr>
          <w:sz w:val="20"/>
          <w:szCs w:val="20"/>
          <w:color w:val="auto"/>
        </w:rPr>
      </w:pPr>
      <w:r>
        <w:rPr>
          <w:rFonts w:ascii="Arial" w:cs="Arial" w:eastAsia="Arial" w:hAnsi="Arial"/>
          <w:sz w:val="18"/>
          <w:szCs w:val="18"/>
          <w:color w:val="auto"/>
        </w:rPr>
        <w:t>Neither we nor any other person is obligated to give you notice of any defects or irregularities in any notice of withdrawal, nor will anyone incur any liability for failure to give you any such notice. We will determine, in our discretion, all questions as to the form and validity, including time of receipt of Notices of Withdrawal. Our determination of these matters will be final and binding.</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ACCEPTANCE OF OPTIONS FOR EXCHANGE AND GRANT OF REPLACEMENT OPTIONS.</w:t>
      </w:r>
    </w:p>
    <w:p>
      <w:pPr>
        <w:spacing w:after="0" w:line="202" w:lineRule="exact"/>
        <w:rPr>
          <w:sz w:val="20"/>
          <w:szCs w:val="20"/>
          <w:color w:val="auto"/>
        </w:rPr>
      </w:pPr>
    </w:p>
    <w:p>
      <w:pPr>
        <w:ind w:firstLine="447"/>
        <w:spacing w:after="0" w:line="259" w:lineRule="auto"/>
        <w:rPr>
          <w:sz w:val="20"/>
          <w:szCs w:val="20"/>
          <w:color w:val="auto"/>
        </w:rPr>
      </w:pPr>
      <w:r>
        <w:rPr>
          <w:rFonts w:ascii="Arial" w:cs="Arial" w:eastAsia="Arial" w:hAnsi="Arial"/>
          <w:sz w:val="18"/>
          <w:szCs w:val="18"/>
          <w:color w:val="auto"/>
        </w:rPr>
        <w:t>We reserve the right to extend, postpone, amend or terminate the Offer. However, we expect that, upon the terms and subject to the conditions of the Offer, on, and in any event promptly after, the Expiration Date, we will accept for exchange and cancel all validly tendered eligible options that have not been validly withdrawn. Once we have accepted options validly tendered by you for exchange, such options will be canceled and you will no longer have any rights under those options.</w:t>
      </w:r>
    </w:p>
    <w:p>
      <w:pPr>
        <w:spacing w:after="0" w:line="146" w:lineRule="exact"/>
        <w:rPr>
          <w:sz w:val="20"/>
          <w:szCs w:val="20"/>
          <w:color w:val="auto"/>
        </w:rPr>
      </w:pPr>
    </w:p>
    <w:p>
      <w:pPr>
        <w:ind w:firstLine="450"/>
        <w:spacing w:after="0" w:line="271" w:lineRule="auto"/>
        <w:rPr>
          <w:sz w:val="20"/>
          <w:szCs w:val="20"/>
          <w:color w:val="auto"/>
        </w:rPr>
      </w:pPr>
      <w:r>
        <w:rPr>
          <w:rFonts w:ascii="Arial" w:cs="Arial" w:eastAsia="Arial" w:hAnsi="Arial"/>
          <w:sz w:val="17"/>
          <w:szCs w:val="17"/>
          <w:color w:val="auto"/>
        </w:rPr>
        <w:t>For purposes of the Offer, we will be deemed to have accepted for exchange options that are validly tendered for exchange and not properly withdrawn if and when we give written notice to the optionholders of our acceptance for exchange of such options, which may be by e-mail, press release or other permitted means. The replacement options will be granted on or as of the date of such acceptance, which we expect will be on, and in any event will be promptly after, the Expiration Date. Promptly following the Expiration Date, we will publicly disclose the approximate aggregate number of shares accepted and canceled in the Offer, the Grant Date, the exercise price per share of the replacement options and the approximate aggregate number of shares of Common Stock subject to replacement options. If and when we accept for exchange and cancellation your properly tendered options, you will have no further rights with respect to those cancelled options, and the stock option agreement(s) and other documentation with respect to such cancelled options will be deemed null and void. As promptly as</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39" w:name="page40"/>
    <w:bookmarkEnd w:id="39"/>
    <w:p>
      <w:pPr>
        <w:spacing w:after="0" w:line="293" w:lineRule="auto"/>
        <w:rPr>
          <w:sz w:val="20"/>
          <w:szCs w:val="20"/>
          <w:color w:val="auto"/>
        </w:rPr>
      </w:pPr>
      <w:r>
        <w:rPr>
          <w:rFonts w:ascii="Arial" w:cs="Arial" w:eastAsia="Arial" w:hAnsi="Arial"/>
          <w:sz w:val="16"/>
          <w:szCs w:val="16"/>
          <w:color w:val="auto"/>
        </w:rPr>
        <w:t>practicable after we accept tendered options for exchange and cancellation, we will send each tendering optionholder a notice indicating the number of shares of Common Stock subject to the options tendered for exchange that we have accepted and cancelled and the number of shares of Common Stock underlying the replacement options granted in exchange for such options, as well as a copy of the replacement option agreement (in the applicable form filed by us as exhibit (d)(7), (d)(8) or (d)(9), as applicable, to the Schedule TO but with the appropriate blanks filled in and the appropriate bracketed language deleted) which will be effective from and as of the Grant Date. You will only receive replacement options for eligible options properly tendered and not withdrawn which have been accepted for exchange and cancellation pursuant to the Offer, and which are outstanding as of the Grant Date.</w:t>
      </w:r>
    </w:p>
    <w:p>
      <w:pPr>
        <w:spacing w:after="0" w:line="138" w:lineRule="exact"/>
        <w:rPr>
          <w:sz w:val="20"/>
          <w:szCs w:val="20"/>
          <w:color w:val="auto"/>
        </w:rPr>
      </w:pPr>
    </w:p>
    <w:p>
      <w:pPr>
        <w:ind w:right="60" w:firstLine="447"/>
        <w:spacing w:after="0" w:line="291" w:lineRule="auto"/>
        <w:rPr>
          <w:sz w:val="20"/>
          <w:szCs w:val="20"/>
          <w:color w:val="auto"/>
        </w:rPr>
      </w:pPr>
      <w:r>
        <w:rPr>
          <w:rFonts w:ascii="Arial" w:cs="Arial" w:eastAsia="Arial" w:hAnsi="Arial"/>
          <w:sz w:val="16"/>
          <w:szCs w:val="16"/>
          <w:color w:val="auto"/>
        </w:rPr>
        <w:t>To receive replacement options in exchange for tendered options, you must remain an eligible employee of the Company through the Grant Date. If your employment with the Company ceases for any reason, or you otherwise cease to be an eligible optionholder, after you tender eligible options but before the Expiration Date, your tendered options will automatically be withdrawn from the Offer. If your employment with the Company ceases for any reason, or you otherwise cease to be an eligible optionholder, after you tender eligible options and after the Expiration Date but before we accept your tendered options for exchange and cancellation, your options will not be exchanged. In both cases, your tendered options will be treated as if they had not been tendered and you will not receive any replacement options in exchange for such tendered options. Such options will remain outstanding in accordance with their terms, subject to the termination provisions contained in your applicable stock option agreement(s) and the applicable Stock Incentive Plan.</w:t>
      </w:r>
    </w:p>
    <w:p>
      <w:pPr>
        <w:spacing w:after="0" w:line="127" w:lineRule="exact"/>
        <w:rPr>
          <w:sz w:val="20"/>
          <w:szCs w:val="20"/>
          <w:color w:val="auto"/>
        </w:rPr>
      </w:pPr>
    </w:p>
    <w:p>
      <w:pPr>
        <w:ind w:right="660" w:firstLine="447"/>
        <w:spacing w:after="0" w:line="277" w:lineRule="auto"/>
        <w:rPr>
          <w:sz w:val="20"/>
          <w:szCs w:val="20"/>
          <w:color w:val="auto"/>
        </w:rPr>
      </w:pPr>
      <w:r>
        <w:rPr>
          <w:rFonts w:ascii="Arial" w:cs="Arial" w:eastAsia="Arial" w:hAnsi="Arial"/>
          <w:sz w:val="18"/>
          <w:szCs w:val="18"/>
          <w:color w:val="auto"/>
        </w:rPr>
        <w:t>The foregoing requirements apply regardless of the reason your employment terminates, or you otherwise cease to be an eligible optionholder, including voluntary resignation, involuntary termination, death or disability.</w:t>
      </w:r>
    </w:p>
    <w:p>
      <w:pPr>
        <w:spacing w:after="0" w:line="130" w:lineRule="exact"/>
        <w:rPr>
          <w:sz w:val="20"/>
          <w:szCs w:val="20"/>
          <w:color w:val="auto"/>
        </w:rPr>
      </w:pPr>
    </w:p>
    <w:p>
      <w:pPr>
        <w:ind w:right="240" w:firstLine="450"/>
        <w:spacing w:after="0" w:line="277" w:lineRule="auto"/>
        <w:rPr>
          <w:sz w:val="20"/>
          <w:szCs w:val="20"/>
          <w:color w:val="auto"/>
        </w:rPr>
      </w:pPr>
      <w:r>
        <w:rPr>
          <w:rFonts w:ascii="Arial" w:cs="Arial" w:eastAsia="Arial" w:hAnsi="Arial"/>
          <w:sz w:val="18"/>
          <w:szCs w:val="18"/>
          <w:color w:val="auto"/>
        </w:rPr>
        <w:t>Eligible options that you choose not to tender for exchange or that we do not accept for exchange will remain outstanding until they are exercised or expire by their terms and will retain their current exercise price, term, vesting schedule and other rights and benefits.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CONDITIONS OF THE OFFER.</w:t>
      </w:r>
    </w:p>
    <w:p>
      <w:pPr>
        <w:spacing w:after="0" w:line="189" w:lineRule="exact"/>
        <w:rPr>
          <w:sz w:val="20"/>
          <w:szCs w:val="20"/>
          <w:color w:val="auto"/>
        </w:rPr>
      </w:pPr>
    </w:p>
    <w:p>
      <w:pPr>
        <w:ind w:right="100" w:firstLine="447"/>
        <w:spacing w:after="0" w:line="302" w:lineRule="auto"/>
        <w:rPr>
          <w:sz w:val="20"/>
          <w:szCs w:val="20"/>
          <w:color w:val="auto"/>
        </w:rPr>
      </w:pPr>
      <w:r>
        <w:rPr>
          <w:rFonts w:ascii="Arial" w:cs="Arial" w:eastAsia="Arial" w:hAnsi="Arial"/>
          <w:sz w:val="16"/>
          <w:szCs w:val="16"/>
          <w:color w:val="auto"/>
        </w:rPr>
        <w:t>We will not be required to accept any options tendered for exchange, and we may terminate or amend the Offer, or postpone our acceptance and cancellation of any options tendered for exchange, in each case, subject to Rule 13e-4(f)(5) under the Exchange Act, if, at any time before our acceptance of options tendered for exchange pursuant to the Offer, we determine that any of the following events has occurred and, in our reasonable judgment, the occurrence of the event makes it inadvisable for us to proceed with the Offer or to accept for exchange options tendered for exchange pursuant to the Offer:</w:t>
      </w:r>
    </w:p>
    <w:p>
      <w:pPr>
        <w:spacing w:after="0" w:line="154" w:lineRule="exact"/>
        <w:rPr>
          <w:sz w:val="20"/>
          <w:szCs w:val="20"/>
          <w:color w:val="auto"/>
        </w:rPr>
      </w:pPr>
    </w:p>
    <w:p>
      <w:pPr>
        <w:ind w:left="5620" w:right="100" w:hanging="5146"/>
        <w:spacing w:after="0" w:line="528" w:lineRule="auto"/>
        <w:tabs>
          <w:tab w:leader="none" w:pos="78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proposal to amend the 2000 Plan to expressly authorize the Option Exchange Program is not approved by the requisite vote of shareholders at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40" w:name="page41"/>
    <w:bookmarkEnd w:id="40"/>
    <w:p>
      <w:pPr>
        <w:ind w:left="326"/>
        <w:spacing w:after="0"/>
        <w:rPr>
          <w:sz w:val="20"/>
          <w:szCs w:val="20"/>
          <w:color w:val="auto"/>
        </w:rPr>
      </w:pPr>
      <w:r>
        <w:rPr>
          <w:rFonts w:ascii="Arial" w:cs="Arial" w:eastAsia="Arial" w:hAnsi="Arial"/>
          <w:sz w:val="18"/>
          <w:szCs w:val="18"/>
          <w:color w:val="auto"/>
        </w:rPr>
        <w:t>the Special Meeting of Shareholders to be held on December 17, 2004 or any adjournment or postponement thereof;</w:t>
      </w:r>
    </w:p>
    <w:p>
      <w:pPr>
        <w:spacing w:after="0" w:line="225" w:lineRule="exact"/>
        <w:rPr>
          <w:sz w:val="20"/>
          <w:szCs w:val="20"/>
          <w:color w:val="auto"/>
        </w:rPr>
      </w:pPr>
    </w:p>
    <w:p>
      <w:pPr>
        <w:ind w:left="326" w:right="40" w:hanging="326"/>
        <w:spacing w:after="0" w:line="297" w:lineRule="auto"/>
        <w:tabs>
          <w:tab w:leader="none" w:pos="326"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any threatened, instituted or pending action or proceeding by any government or governmental, regulatory or administrative agency, authority or tribunal or any other person, domestic or foreign, before any court, authority, agency or tribunal that directly or indirectly challenges the making of the Offer, the cancellation of some or all of the options tendered for exchange, the issuance of replacement options, or otherwise relates in any manner to the Offer or that, in our reasonable judgment, could materially and adversely affect the business, condition (financial or other), income, operations or prospects of the Company, or otherwise materially impair in any way the contemplated future conduct of our business;</w:t>
      </w:r>
    </w:p>
    <w:p>
      <w:pPr>
        <w:spacing w:after="0" w:line="158" w:lineRule="exact"/>
        <w:rPr>
          <w:rFonts w:ascii="Arial" w:cs="Arial" w:eastAsia="Arial" w:hAnsi="Arial"/>
          <w:sz w:val="16"/>
          <w:szCs w:val="16"/>
          <w:color w:val="auto"/>
        </w:rPr>
      </w:pPr>
    </w:p>
    <w:p>
      <w:pPr>
        <w:ind w:left="326" w:right="180" w:hanging="326"/>
        <w:spacing w:after="0" w:line="259" w:lineRule="auto"/>
        <w:tabs>
          <w:tab w:leader="none" w:pos="326"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action is threatened, pending or taken, or any approval, exemption or consent is withheld, or any statute, rule, regulation, judgment, order or injunction is threatened, proposed, sought, promulgated, enacted, entered, amended, enforced or deemed to be applicable to the Offer or us, by or from any court or any regulatory or administrative authority, agency or tribunal that, in our reasonable judgment, would or might directly or indirectly:</w:t>
      </w:r>
    </w:p>
    <w:p>
      <w:pPr>
        <w:spacing w:after="0" w:line="186" w:lineRule="exact"/>
        <w:rPr>
          <w:rFonts w:ascii="Arial" w:cs="Arial" w:eastAsia="Arial" w:hAnsi="Arial"/>
          <w:sz w:val="18"/>
          <w:szCs w:val="18"/>
          <w:color w:val="auto"/>
        </w:rPr>
      </w:pPr>
    </w:p>
    <w:p>
      <w:pPr>
        <w:ind w:left="666" w:right="260" w:hanging="305"/>
        <w:spacing w:after="0" w:line="277" w:lineRule="auto"/>
        <w:tabs>
          <w:tab w:leader="none" w:pos="666" w:val="left"/>
        </w:tabs>
        <w:numPr>
          <w:ilvl w:val="1"/>
          <w:numId w:val="15"/>
        </w:numPr>
        <w:rPr>
          <w:rFonts w:ascii="Arial" w:cs="Arial" w:eastAsia="Arial" w:hAnsi="Arial"/>
          <w:sz w:val="18"/>
          <w:szCs w:val="18"/>
          <w:color w:val="auto"/>
        </w:rPr>
      </w:pPr>
      <w:r>
        <w:rPr>
          <w:rFonts w:ascii="Arial" w:cs="Arial" w:eastAsia="Arial" w:hAnsi="Arial"/>
          <w:sz w:val="18"/>
          <w:szCs w:val="18"/>
          <w:color w:val="auto"/>
        </w:rPr>
        <w:t>make the acceptance for exchange of, or grant of replacement options for, some or all of the tendered options illegal or otherwise restrict or prohibit consummation of the Offer or otherwise relates in any manner to the Offer;</w:t>
      </w:r>
    </w:p>
    <w:p>
      <w:pPr>
        <w:spacing w:after="0" w:line="170" w:lineRule="exact"/>
        <w:rPr>
          <w:rFonts w:ascii="Arial" w:cs="Arial" w:eastAsia="Arial" w:hAnsi="Arial"/>
          <w:sz w:val="18"/>
          <w:szCs w:val="18"/>
          <w:color w:val="auto"/>
        </w:rPr>
      </w:pPr>
    </w:p>
    <w:p>
      <w:pPr>
        <w:ind w:left="666" w:hanging="315"/>
        <w:spacing w:after="0"/>
        <w:tabs>
          <w:tab w:leader="none" w:pos="666" w:val="left"/>
        </w:tabs>
        <w:numPr>
          <w:ilvl w:val="1"/>
          <w:numId w:val="15"/>
        </w:numPr>
        <w:rPr>
          <w:rFonts w:ascii="Arial" w:cs="Arial" w:eastAsia="Arial" w:hAnsi="Arial"/>
          <w:sz w:val="18"/>
          <w:szCs w:val="18"/>
          <w:color w:val="auto"/>
        </w:rPr>
      </w:pPr>
      <w:r>
        <w:rPr>
          <w:rFonts w:ascii="Arial" w:cs="Arial" w:eastAsia="Arial" w:hAnsi="Arial"/>
          <w:sz w:val="18"/>
          <w:szCs w:val="18"/>
          <w:color w:val="auto"/>
        </w:rPr>
        <w:t>require that we obtain shareholder approval in addition to the approval sought at the Special Meeting of Shareholders;</w:t>
      </w:r>
    </w:p>
    <w:p>
      <w:pPr>
        <w:spacing w:after="0" w:line="225" w:lineRule="exact"/>
        <w:rPr>
          <w:rFonts w:ascii="Arial" w:cs="Arial" w:eastAsia="Arial" w:hAnsi="Arial"/>
          <w:sz w:val="18"/>
          <w:szCs w:val="18"/>
          <w:color w:val="auto"/>
        </w:rPr>
      </w:pPr>
    </w:p>
    <w:p>
      <w:pPr>
        <w:ind w:left="666" w:right="140" w:hanging="305"/>
        <w:spacing w:after="0" w:line="277" w:lineRule="auto"/>
        <w:tabs>
          <w:tab w:leader="none" w:pos="666"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delay or restrict our ability, or render us unable, to accept for exchange, or grant replacement options for, some or all of the tendered options; or</w:t>
      </w:r>
    </w:p>
    <w:p>
      <w:pPr>
        <w:spacing w:after="0" w:line="170" w:lineRule="exact"/>
        <w:rPr>
          <w:rFonts w:ascii="Arial" w:cs="Arial" w:eastAsia="Arial" w:hAnsi="Arial"/>
          <w:sz w:val="18"/>
          <w:szCs w:val="18"/>
          <w:color w:val="auto"/>
        </w:rPr>
      </w:pPr>
    </w:p>
    <w:p>
      <w:pPr>
        <w:ind w:left="666" w:right="400" w:hanging="315"/>
        <w:spacing w:after="0" w:line="277" w:lineRule="auto"/>
        <w:tabs>
          <w:tab w:leader="none" w:pos="666" w:val="left"/>
        </w:tabs>
        <w:numPr>
          <w:ilvl w:val="1"/>
          <w:numId w:val="15"/>
        </w:numPr>
        <w:rPr>
          <w:rFonts w:ascii="Arial" w:cs="Arial" w:eastAsia="Arial" w:hAnsi="Arial"/>
          <w:sz w:val="18"/>
          <w:szCs w:val="18"/>
          <w:color w:val="auto"/>
        </w:rPr>
      </w:pPr>
      <w:r>
        <w:rPr>
          <w:rFonts w:ascii="Arial" w:cs="Arial" w:eastAsia="Arial" w:hAnsi="Arial"/>
          <w:sz w:val="18"/>
          <w:szCs w:val="18"/>
          <w:color w:val="auto"/>
        </w:rPr>
        <w:t>materially and adversely affect the business, condition (financial or other), income, operations or prospects of the Company, or otherwise materially impair in any way the contemplated future conduct of our business;</w:t>
      </w:r>
    </w:p>
    <w:p>
      <w:pPr>
        <w:spacing w:after="0" w:line="170" w:lineRule="exact"/>
        <w:rPr>
          <w:rFonts w:ascii="Arial" w:cs="Arial" w:eastAsia="Arial" w:hAnsi="Arial"/>
          <w:sz w:val="18"/>
          <w:szCs w:val="18"/>
          <w:color w:val="auto"/>
        </w:rPr>
      </w:pPr>
    </w:p>
    <w:p>
      <w:pPr>
        <w:ind w:left="326" w:hanging="326"/>
        <w:spacing w:after="0" w:line="259" w:lineRule="auto"/>
        <w:tabs>
          <w:tab w:leader="none" w:pos="326"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change or changes occur in our business, condition (financial or other), assets, income, operations, prospects or share ownership, including as a result of any changes in law or accounting principles, or there is any governmental or legal action or proceeding, law or regulation that, in our reasonable judgment, is or may be material to us or materially impairs or may materially impair the benefits, or materially increase the burden, of the Offer to us;</w:t>
      </w:r>
    </w:p>
    <w:p>
      <w:pPr>
        <w:spacing w:after="0" w:line="186" w:lineRule="exact"/>
        <w:rPr>
          <w:rFonts w:ascii="Arial" w:cs="Arial" w:eastAsia="Arial" w:hAnsi="Arial"/>
          <w:sz w:val="18"/>
          <w:szCs w:val="18"/>
          <w:color w:val="auto"/>
        </w:rPr>
      </w:pPr>
    </w:p>
    <w:p>
      <w:pPr>
        <w:ind w:left="5146" w:right="240" w:hanging="5146"/>
        <w:spacing w:after="0" w:line="528" w:lineRule="auto"/>
        <w:tabs>
          <w:tab w:leader="none" w:pos="3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general suspension of trading in, or limitation on prices for, securities on any national securities exchange or in the over-the-counter market;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-21590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6"/>
          </w:cols>
          <w:pgMar w:left="714" w:top="936" w:right="239" w:bottom="1440" w:gutter="0" w:footer="0" w:header="0"/>
        </w:sectPr>
      </w:pPr>
    </w:p>
    <w:bookmarkStart w:id="41" w:name="page42"/>
    <w:bookmarkEnd w:id="41"/>
    <w:p>
      <w:pPr>
        <w:ind w:left="800" w:hanging="326"/>
        <w:spacing w:after="0"/>
        <w:tabs>
          <w:tab w:leader="none" w:pos="8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declaration of a banking moratorium or any suspension of payments in respect of banks in the United States, whether or not mandatory; or</w:t>
      </w:r>
    </w:p>
    <w:p>
      <w:pPr>
        <w:spacing w:after="0" w:line="248" w:lineRule="exact"/>
        <w:rPr>
          <w:rFonts w:ascii="Arial" w:cs="Arial" w:eastAsia="Arial" w:hAnsi="Arial"/>
          <w:sz w:val="16"/>
          <w:szCs w:val="16"/>
          <w:color w:val="auto"/>
        </w:rPr>
      </w:pPr>
    </w:p>
    <w:p>
      <w:pPr>
        <w:ind w:left="800" w:right="320" w:hanging="326"/>
        <w:spacing w:after="0" w:line="277"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tender or exchange offer with respect to some or all of our capital stock, or a merger or acquisition proposal for us, is proposed, announced or made by another person or entity or is publicly disclosed.</w:t>
      </w:r>
    </w:p>
    <w:p>
      <w:pPr>
        <w:spacing w:after="0" w:line="170" w:lineRule="exact"/>
        <w:rPr>
          <w:sz w:val="20"/>
          <w:szCs w:val="20"/>
          <w:color w:val="auto"/>
        </w:rPr>
      </w:pPr>
    </w:p>
    <w:p>
      <w:pPr>
        <w:ind w:right="40" w:firstLine="447"/>
        <w:spacing w:after="0" w:line="272" w:lineRule="auto"/>
        <w:rPr>
          <w:sz w:val="20"/>
          <w:szCs w:val="20"/>
          <w:color w:val="auto"/>
        </w:rPr>
      </w:pPr>
      <w:r>
        <w:rPr>
          <w:rFonts w:ascii="Arial" w:cs="Arial" w:eastAsia="Arial" w:hAnsi="Arial"/>
          <w:sz w:val="17"/>
          <w:szCs w:val="17"/>
          <w:color w:val="auto"/>
        </w:rPr>
        <w:t>These conditions are for our benefit. We may assert any of these conditions in our sole discretion regardless of the circumstances giving rise to them prior to our acceptance for exchange and cancellation of eligible options tendered pursuant to the Offer. Except for the shareholder approval condition set forth in clause (1) above, which we will not waive, we may in our discretion waive any of the above conditions, in whole or in part, at any time and from time to time, prior to our acceptance for exchange and cancellation of eligible options tendered pursuant to the Offer, whether or not we waive any other condition to the Offer. Our failure at any time to exercise any of these rights will not be deemed a waiver of any such rights. The waiver of any of these rights with respect to particular facts and circumstances is not a waiver with respect to any other facts and circumstances. Any determination we make concerning the events described in this Section 6 – “Conditions of the Offer,” will be final and binding upon everyone.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PRICE RANGE OF COMMON STOCK UNDERLYING OPTIONS.</w:t>
      </w:r>
    </w:p>
    <w:p>
      <w:pPr>
        <w:spacing w:after="0" w:line="189"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Our Common Stock is quoted on The Nasdaq National Market under the symbol “REGN.” The following table shows, for the periods indicated, the range of high and low sales prices per share of our Common Stock as reported by The Nasdaq National Market.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1040" w:type="dxa"/>
            <w:vAlign w:val="bottom"/>
          </w:tcPr>
          <w:p>
            <w:pPr>
              <w:jc w:val="right"/>
              <w:ind w:right="288"/>
              <w:spacing w:after="0"/>
              <w:rPr>
                <w:sz w:val="20"/>
                <w:szCs w:val="20"/>
                <w:color w:val="auto"/>
              </w:rPr>
            </w:pPr>
            <w:r>
              <w:rPr>
                <w:rFonts w:ascii="Arial" w:cs="Arial" w:eastAsia="Arial" w:hAnsi="Arial"/>
                <w:sz w:val="14"/>
                <w:szCs w:val="14"/>
                <w:b w:val="1"/>
                <w:bCs w:val="1"/>
                <w:color w:val="auto"/>
              </w:rPr>
              <w:t>High</w:t>
            </w: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jc w:val="right"/>
              <w:ind w:right="311"/>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4440" w:type="dxa"/>
            <w:vAlign w:val="bottom"/>
          </w:tcPr>
          <w:p>
            <w:pPr>
              <w:spacing w:after="0"/>
              <w:rPr>
                <w:sz w:val="5"/>
                <w:szCs w:val="5"/>
                <w:color w:val="auto"/>
              </w:rPr>
            </w:pPr>
          </w:p>
        </w:tc>
        <w:tc>
          <w:tcPr>
            <w:tcW w:w="4320" w:type="dxa"/>
            <w:vAlign w:val="bottom"/>
          </w:tcPr>
          <w:p>
            <w:pPr>
              <w:spacing w:after="0"/>
              <w:rPr>
                <w:sz w:val="5"/>
                <w:szCs w:val="5"/>
                <w:color w:val="auto"/>
              </w:rPr>
            </w:pPr>
          </w:p>
        </w:tc>
        <w:tc>
          <w:tcPr>
            <w:tcW w:w="1040" w:type="dxa"/>
            <w:vAlign w:val="bottom"/>
            <w:tcBorders>
              <w:bottom w:val="single" w:sz="8" w:color="808080"/>
            </w:tcBorders>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440" w:type="dxa"/>
            <w:vAlign w:val="bottom"/>
          </w:tcPr>
          <w:p>
            <w:pPr>
              <w:spacing w:after="0"/>
              <w:rPr>
                <w:sz w:val="5"/>
                <w:szCs w:val="5"/>
                <w:color w:val="auto"/>
              </w:rPr>
            </w:pPr>
          </w:p>
        </w:tc>
        <w:tc>
          <w:tcPr>
            <w:tcW w:w="43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EEEEEE"/>
          </w:tcPr>
          <w:p>
            <w:pPr>
              <w:spacing w:after="0"/>
              <w:rPr>
                <w:sz w:val="20"/>
                <w:szCs w:val="20"/>
                <w:color w:val="auto"/>
              </w:rPr>
            </w:pPr>
            <w:r>
              <w:rPr>
                <w:rFonts w:ascii="Arial" w:cs="Arial" w:eastAsia="Arial" w:hAnsi="Arial"/>
                <w:sz w:val="18"/>
                <w:szCs w:val="18"/>
                <w:color w:val="auto"/>
              </w:rPr>
              <w:t>Fiscal Year ended December 31, 2002</w:t>
            </w:r>
          </w:p>
        </w:tc>
        <w:tc>
          <w:tcPr>
            <w:tcW w:w="432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20"/>
              <w:spacing w:after="0"/>
              <w:rPr>
                <w:sz w:val="20"/>
                <w:szCs w:val="20"/>
                <w:color w:val="auto"/>
              </w:rPr>
            </w:pPr>
            <w:r>
              <w:rPr>
                <w:rFonts w:ascii="Arial" w:cs="Arial" w:eastAsia="Arial" w:hAnsi="Arial"/>
                <w:sz w:val="18"/>
                <w:szCs w:val="18"/>
                <w:color w:val="auto"/>
              </w:rPr>
              <w:t>First Quarter</w:t>
            </w:r>
          </w:p>
        </w:tc>
        <w:tc>
          <w:tcPr>
            <w:tcW w:w="5360" w:type="dxa"/>
            <w:vAlign w:val="bottom"/>
            <w:gridSpan w:val="2"/>
          </w:tcPr>
          <w:p>
            <w:pPr>
              <w:jc w:val="right"/>
              <w:ind w:right="248"/>
              <w:spacing w:after="0"/>
              <w:rPr>
                <w:sz w:val="20"/>
                <w:szCs w:val="20"/>
                <w:color w:val="auto"/>
              </w:rPr>
            </w:pPr>
            <w:r>
              <w:rPr>
                <w:rFonts w:ascii="Arial" w:cs="Arial" w:eastAsia="Arial" w:hAnsi="Arial"/>
                <w:sz w:val="18"/>
                <w:szCs w:val="18"/>
                <w:color w:val="auto"/>
              </w:rPr>
              <w:t>$30.20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31"/>
              <w:spacing w:after="0"/>
              <w:rPr>
                <w:sz w:val="20"/>
                <w:szCs w:val="20"/>
                <w:color w:val="auto"/>
              </w:rPr>
            </w:pPr>
            <w:r>
              <w:rPr>
                <w:rFonts w:ascii="Arial" w:cs="Arial" w:eastAsia="Arial" w:hAnsi="Arial"/>
                <w:sz w:val="18"/>
                <w:szCs w:val="18"/>
                <w:color w:val="auto"/>
                <w:w w:val="84"/>
              </w:rPr>
              <w:t>19.74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Second Quarter</w:t>
            </w:r>
          </w:p>
        </w:tc>
        <w:tc>
          <w:tcPr>
            <w:tcW w:w="5360" w:type="dxa"/>
            <w:vAlign w:val="bottom"/>
            <w:gridSpan w:val="2"/>
            <w:shd w:val="clear" w:color="auto" w:fill="EEEEEE"/>
          </w:tcPr>
          <w:p>
            <w:pPr>
              <w:jc w:val="right"/>
              <w:ind w:right="248"/>
              <w:spacing w:after="0"/>
              <w:rPr>
                <w:sz w:val="20"/>
                <w:szCs w:val="20"/>
                <w:color w:val="auto"/>
              </w:rPr>
            </w:pPr>
            <w:r>
              <w:rPr>
                <w:rFonts w:ascii="Arial" w:cs="Arial" w:eastAsia="Arial" w:hAnsi="Arial"/>
                <w:sz w:val="18"/>
                <w:szCs w:val="18"/>
                <w:color w:val="auto"/>
              </w:rPr>
              <w:t>25.40</w:t>
            </w:r>
          </w:p>
        </w:tc>
        <w:tc>
          <w:tcPr>
            <w:tcW w:w="5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20" w:type="dxa"/>
            <w:vAlign w:val="bottom"/>
            <w:shd w:val="clear" w:color="auto" w:fill="EEEEEE"/>
          </w:tcPr>
          <w:p>
            <w:pPr>
              <w:jc w:val="right"/>
              <w:ind w:right="231"/>
              <w:spacing w:after="0"/>
              <w:rPr>
                <w:sz w:val="20"/>
                <w:szCs w:val="20"/>
                <w:color w:val="auto"/>
              </w:rPr>
            </w:pPr>
            <w:r>
              <w:rPr>
                <w:rFonts w:ascii="Arial" w:cs="Arial" w:eastAsia="Arial" w:hAnsi="Arial"/>
                <w:sz w:val="18"/>
                <w:szCs w:val="18"/>
                <w:color w:val="auto"/>
                <w:w w:val="84"/>
              </w:rPr>
              <w:t>12.21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20"/>
              <w:spacing w:after="0"/>
              <w:rPr>
                <w:sz w:val="20"/>
                <w:szCs w:val="20"/>
                <w:color w:val="auto"/>
              </w:rPr>
            </w:pPr>
            <w:r>
              <w:rPr>
                <w:rFonts w:ascii="Arial" w:cs="Arial" w:eastAsia="Arial" w:hAnsi="Arial"/>
                <w:sz w:val="18"/>
                <w:szCs w:val="18"/>
                <w:color w:val="auto"/>
              </w:rPr>
              <w:t>Third Quarter</w:t>
            </w:r>
          </w:p>
        </w:tc>
        <w:tc>
          <w:tcPr>
            <w:tcW w:w="5360" w:type="dxa"/>
            <w:vAlign w:val="bottom"/>
            <w:gridSpan w:val="2"/>
          </w:tcPr>
          <w:p>
            <w:pPr>
              <w:jc w:val="right"/>
              <w:ind w:right="248"/>
              <w:spacing w:after="0"/>
              <w:rPr>
                <w:sz w:val="20"/>
                <w:szCs w:val="20"/>
                <w:color w:val="auto"/>
              </w:rPr>
            </w:pPr>
            <w:r>
              <w:rPr>
                <w:rFonts w:ascii="Arial" w:cs="Arial" w:eastAsia="Arial" w:hAnsi="Arial"/>
                <w:sz w:val="18"/>
                <w:szCs w:val="18"/>
                <w:color w:val="auto"/>
              </w:rPr>
              <w:t>18.34</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ind w:right="231"/>
              <w:spacing w:after="0"/>
              <w:rPr>
                <w:sz w:val="20"/>
                <w:szCs w:val="20"/>
                <w:color w:val="auto"/>
              </w:rPr>
            </w:pPr>
            <w:r>
              <w:rPr>
                <w:rFonts w:ascii="Arial" w:cs="Arial" w:eastAsia="Arial" w:hAnsi="Arial"/>
                <w:sz w:val="18"/>
                <w:szCs w:val="18"/>
                <w:color w:val="auto"/>
                <w:w w:val="84"/>
              </w:rPr>
              <w:t>11.25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Fourth Quarter</w:t>
            </w:r>
          </w:p>
        </w:tc>
        <w:tc>
          <w:tcPr>
            <w:tcW w:w="5360" w:type="dxa"/>
            <w:vAlign w:val="bottom"/>
            <w:gridSpan w:val="2"/>
            <w:shd w:val="clear" w:color="auto" w:fill="EEEEEE"/>
          </w:tcPr>
          <w:p>
            <w:pPr>
              <w:jc w:val="right"/>
              <w:ind w:right="248"/>
              <w:spacing w:after="0"/>
              <w:rPr>
                <w:sz w:val="20"/>
                <w:szCs w:val="20"/>
                <w:color w:val="auto"/>
              </w:rPr>
            </w:pPr>
            <w:r>
              <w:rPr>
                <w:rFonts w:ascii="Arial" w:cs="Arial" w:eastAsia="Arial" w:hAnsi="Arial"/>
                <w:sz w:val="18"/>
                <w:szCs w:val="18"/>
                <w:color w:val="auto"/>
              </w:rPr>
              <w:t>22.85</w:t>
            </w:r>
          </w:p>
        </w:tc>
        <w:tc>
          <w:tcPr>
            <w:tcW w:w="5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20" w:type="dxa"/>
            <w:vAlign w:val="bottom"/>
            <w:shd w:val="clear" w:color="auto" w:fill="EEEEEE"/>
          </w:tcPr>
          <w:p>
            <w:pPr>
              <w:jc w:val="right"/>
              <w:ind w:right="231"/>
              <w:spacing w:after="0"/>
              <w:rPr>
                <w:sz w:val="20"/>
                <w:szCs w:val="20"/>
                <w:color w:val="auto"/>
              </w:rPr>
            </w:pPr>
            <w:r>
              <w:rPr>
                <w:rFonts w:ascii="Arial" w:cs="Arial" w:eastAsia="Arial" w:hAnsi="Arial"/>
                <w:sz w:val="18"/>
                <w:szCs w:val="18"/>
                <w:color w:val="auto"/>
                <w:w w:val="84"/>
              </w:rPr>
              <w:t>12.25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Fiscal Year ended December 31, 2003</w:t>
            </w:r>
          </w:p>
        </w:tc>
        <w:tc>
          <w:tcPr>
            <w:tcW w:w="4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First Quarter</w:t>
            </w:r>
          </w:p>
        </w:tc>
        <w:tc>
          <w:tcPr>
            <w:tcW w:w="5360" w:type="dxa"/>
            <w:vAlign w:val="bottom"/>
            <w:gridSpan w:val="2"/>
            <w:shd w:val="clear" w:color="auto" w:fill="EEEEEE"/>
          </w:tcPr>
          <w:p>
            <w:pPr>
              <w:jc w:val="right"/>
              <w:ind w:right="248"/>
              <w:spacing w:after="0"/>
              <w:rPr>
                <w:sz w:val="20"/>
                <w:szCs w:val="20"/>
                <w:color w:val="auto"/>
              </w:rPr>
            </w:pPr>
            <w:r>
              <w:rPr>
                <w:rFonts w:ascii="Arial" w:cs="Arial" w:eastAsia="Arial" w:hAnsi="Arial"/>
                <w:sz w:val="18"/>
                <w:szCs w:val="18"/>
                <w:color w:val="auto"/>
              </w:rPr>
              <w:t>$21.49</w:t>
            </w:r>
          </w:p>
        </w:tc>
        <w:tc>
          <w:tcPr>
            <w:tcW w:w="8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ind w:right="231"/>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20"/>
              <w:spacing w:after="0"/>
              <w:rPr>
                <w:sz w:val="20"/>
                <w:szCs w:val="20"/>
                <w:color w:val="auto"/>
              </w:rPr>
            </w:pPr>
            <w:r>
              <w:rPr>
                <w:rFonts w:ascii="Arial" w:cs="Arial" w:eastAsia="Arial" w:hAnsi="Arial"/>
                <w:sz w:val="18"/>
                <w:szCs w:val="18"/>
                <w:color w:val="auto"/>
              </w:rPr>
              <w:t>Second Quarter</w:t>
            </w:r>
          </w:p>
        </w:tc>
        <w:tc>
          <w:tcPr>
            <w:tcW w:w="5360" w:type="dxa"/>
            <w:vAlign w:val="bottom"/>
            <w:gridSpan w:val="2"/>
          </w:tcPr>
          <w:p>
            <w:pPr>
              <w:jc w:val="right"/>
              <w:ind w:right="248"/>
              <w:spacing w:after="0"/>
              <w:rPr>
                <w:sz w:val="20"/>
                <w:szCs w:val="20"/>
                <w:color w:val="auto"/>
              </w:rPr>
            </w:pPr>
            <w:r>
              <w:rPr>
                <w:rFonts w:ascii="Arial" w:cs="Arial" w:eastAsia="Arial" w:hAnsi="Arial"/>
                <w:sz w:val="18"/>
                <w:szCs w:val="18"/>
                <w:color w:val="auto"/>
              </w:rPr>
              <w:t>18.78</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ind w:right="231"/>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Third Quarter</w:t>
            </w:r>
          </w:p>
        </w:tc>
        <w:tc>
          <w:tcPr>
            <w:tcW w:w="5360" w:type="dxa"/>
            <w:vAlign w:val="bottom"/>
            <w:gridSpan w:val="2"/>
            <w:shd w:val="clear" w:color="auto" w:fill="EEEEEE"/>
          </w:tcPr>
          <w:p>
            <w:pPr>
              <w:jc w:val="right"/>
              <w:ind w:right="248"/>
              <w:spacing w:after="0"/>
              <w:rPr>
                <w:sz w:val="20"/>
                <w:szCs w:val="20"/>
                <w:color w:val="auto"/>
              </w:rPr>
            </w:pPr>
            <w:r>
              <w:rPr>
                <w:rFonts w:ascii="Arial" w:cs="Arial" w:eastAsia="Arial" w:hAnsi="Arial"/>
                <w:sz w:val="18"/>
                <w:szCs w:val="18"/>
                <w:color w:val="auto"/>
              </w:rPr>
              <w:t>22.35</w:t>
            </w:r>
          </w:p>
        </w:tc>
        <w:tc>
          <w:tcPr>
            <w:tcW w:w="5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20" w:type="dxa"/>
            <w:vAlign w:val="bottom"/>
            <w:shd w:val="clear" w:color="auto" w:fill="EEEEEE"/>
          </w:tcPr>
          <w:p>
            <w:pPr>
              <w:jc w:val="right"/>
              <w:ind w:right="231"/>
              <w:spacing w:after="0"/>
              <w:rPr>
                <w:sz w:val="20"/>
                <w:szCs w:val="20"/>
                <w:color w:val="auto"/>
              </w:rPr>
            </w:pPr>
            <w:r>
              <w:rPr>
                <w:rFonts w:ascii="Arial" w:cs="Arial" w:eastAsia="Arial" w:hAnsi="Arial"/>
                <w:sz w:val="18"/>
                <w:szCs w:val="18"/>
                <w:color w:val="auto"/>
                <w:w w:val="84"/>
              </w:rPr>
              <w:t>12.22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20"/>
              <w:spacing w:after="0"/>
              <w:rPr>
                <w:sz w:val="20"/>
                <w:szCs w:val="20"/>
                <w:color w:val="auto"/>
              </w:rPr>
            </w:pPr>
            <w:r>
              <w:rPr>
                <w:rFonts w:ascii="Arial" w:cs="Arial" w:eastAsia="Arial" w:hAnsi="Arial"/>
                <w:sz w:val="18"/>
                <w:szCs w:val="18"/>
                <w:color w:val="auto"/>
              </w:rPr>
              <w:t>Fourth Quarter</w:t>
            </w:r>
          </w:p>
        </w:tc>
        <w:tc>
          <w:tcPr>
            <w:tcW w:w="5360" w:type="dxa"/>
            <w:vAlign w:val="bottom"/>
            <w:gridSpan w:val="2"/>
          </w:tcPr>
          <w:p>
            <w:pPr>
              <w:jc w:val="right"/>
              <w:ind w:right="248"/>
              <w:spacing w:after="0"/>
              <w:rPr>
                <w:sz w:val="20"/>
                <w:szCs w:val="20"/>
                <w:color w:val="auto"/>
              </w:rPr>
            </w:pPr>
            <w:r>
              <w:rPr>
                <w:rFonts w:ascii="Arial" w:cs="Arial" w:eastAsia="Arial" w:hAnsi="Arial"/>
                <w:sz w:val="18"/>
                <w:szCs w:val="18"/>
                <w:color w:val="auto"/>
              </w:rPr>
              <w:t>18.72</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ind w:right="231"/>
              <w:spacing w:after="0"/>
              <w:rPr>
                <w:sz w:val="20"/>
                <w:szCs w:val="20"/>
                <w:color w:val="auto"/>
              </w:rPr>
            </w:pPr>
            <w:r>
              <w:rPr>
                <w:rFonts w:ascii="Arial" w:cs="Arial" w:eastAsia="Arial" w:hAnsi="Arial"/>
                <w:sz w:val="18"/>
                <w:szCs w:val="18"/>
                <w:color w:val="auto"/>
                <w:w w:val="84"/>
              </w:rPr>
              <w:t>11.80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EEEEEE"/>
          </w:tcPr>
          <w:p>
            <w:pPr>
              <w:spacing w:after="0"/>
              <w:rPr>
                <w:sz w:val="20"/>
                <w:szCs w:val="20"/>
                <w:color w:val="auto"/>
              </w:rPr>
            </w:pPr>
            <w:r>
              <w:rPr>
                <w:rFonts w:ascii="Arial" w:cs="Arial" w:eastAsia="Arial" w:hAnsi="Arial"/>
                <w:sz w:val="18"/>
                <w:szCs w:val="18"/>
                <w:color w:val="auto"/>
              </w:rPr>
              <w:t>Fiscal Year ending December 31, 2004</w:t>
            </w:r>
          </w:p>
        </w:tc>
        <w:tc>
          <w:tcPr>
            <w:tcW w:w="432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20"/>
              <w:spacing w:after="0"/>
              <w:rPr>
                <w:sz w:val="20"/>
                <w:szCs w:val="20"/>
                <w:color w:val="auto"/>
              </w:rPr>
            </w:pPr>
            <w:r>
              <w:rPr>
                <w:rFonts w:ascii="Arial" w:cs="Arial" w:eastAsia="Arial" w:hAnsi="Arial"/>
                <w:sz w:val="18"/>
                <w:szCs w:val="18"/>
                <w:color w:val="auto"/>
              </w:rPr>
              <w:t>First Quarter</w:t>
            </w:r>
          </w:p>
        </w:tc>
        <w:tc>
          <w:tcPr>
            <w:tcW w:w="5360" w:type="dxa"/>
            <w:vAlign w:val="bottom"/>
            <w:gridSpan w:val="2"/>
          </w:tcPr>
          <w:p>
            <w:pPr>
              <w:jc w:val="right"/>
              <w:ind w:right="248"/>
              <w:spacing w:after="0"/>
              <w:rPr>
                <w:sz w:val="20"/>
                <w:szCs w:val="20"/>
                <w:color w:val="auto"/>
              </w:rPr>
            </w:pPr>
            <w:r>
              <w:rPr>
                <w:rFonts w:ascii="Arial" w:cs="Arial" w:eastAsia="Arial" w:hAnsi="Arial"/>
                <w:sz w:val="18"/>
                <w:szCs w:val="18"/>
                <w:color w:val="auto"/>
              </w:rPr>
              <w:t>$17.00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31"/>
              <w:spacing w:after="0"/>
              <w:rPr>
                <w:sz w:val="20"/>
                <w:szCs w:val="20"/>
                <w:color w:val="auto"/>
              </w:rPr>
            </w:pPr>
            <w:r>
              <w:rPr>
                <w:rFonts w:ascii="Arial" w:cs="Arial" w:eastAsia="Arial" w:hAnsi="Arial"/>
                <w:sz w:val="18"/>
                <w:szCs w:val="18"/>
                <w:color w:val="auto"/>
                <w:w w:val="84"/>
              </w:rPr>
              <w:t>12.80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Second Quarter</w:t>
            </w:r>
          </w:p>
        </w:tc>
        <w:tc>
          <w:tcPr>
            <w:tcW w:w="5360" w:type="dxa"/>
            <w:vAlign w:val="bottom"/>
            <w:gridSpan w:val="2"/>
            <w:shd w:val="clear" w:color="auto" w:fill="EEEEEE"/>
          </w:tcPr>
          <w:p>
            <w:pPr>
              <w:jc w:val="right"/>
              <w:ind w:right="248"/>
              <w:spacing w:after="0"/>
              <w:rPr>
                <w:sz w:val="20"/>
                <w:szCs w:val="20"/>
                <w:color w:val="auto"/>
              </w:rPr>
            </w:pPr>
            <w:r>
              <w:rPr>
                <w:rFonts w:ascii="Arial" w:cs="Arial" w:eastAsia="Arial" w:hAnsi="Arial"/>
                <w:sz w:val="18"/>
                <w:szCs w:val="18"/>
                <w:color w:val="auto"/>
              </w:rPr>
              <w:t>15.85</w:t>
            </w:r>
          </w:p>
        </w:tc>
        <w:tc>
          <w:tcPr>
            <w:tcW w:w="5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20" w:type="dxa"/>
            <w:vAlign w:val="bottom"/>
            <w:shd w:val="clear" w:color="auto" w:fill="EEEEEE"/>
          </w:tcPr>
          <w:p>
            <w:pPr>
              <w:jc w:val="right"/>
              <w:ind w:right="231"/>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20"/>
              <w:spacing w:after="0"/>
              <w:rPr>
                <w:sz w:val="20"/>
                <w:szCs w:val="20"/>
                <w:color w:val="auto"/>
              </w:rPr>
            </w:pPr>
            <w:r>
              <w:rPr>
                <w:rFonts w:ascii="Arial" w:cs="Arial" w:eastAsia="Arial" w:hAnsi="Arial"/>
                <w:sz w:val="18"/>
                <w:szCs w:val="18"/>
                <w:color w:val="auto"/>
              </w:rPr>
              <w:t>Third Quarter</w:t>
            </w:r>
          </w:p>
        </w:tc>
        <w:tc>
          <w:tcPr>
            <w:tcW w:w="5360" w:type="dxa"/>
            <w:vAlign w:val="bottom"/>
            <w:gridSpan w:val="2"/>
          </w:tcPr>
          <w:p>
            <w:pPr>
              <w:jc w:val="right"/>
              <w:ind w:right="248"/>
              <w:spacing w:after="0"/>
              <w:rPr>
                <w:sz w:val="20"/>
                <w:szCs w:val="20"/>
                <w:color w:val="auto"/>
              </w:rPr>
            </w:pPr>
            <w:r>
              <w:rPr>
                <w:rFonts w:ascii="Arial" w:cs="Arial" w:eastAsia="Arial" w:hAnsi="Arial"/>
                <w:sz w:val="18"/>
                <w:szCs w:val="18"/>
                <w:color w:val="auto"/>
              </w:rPr>
              <w:t>10.80</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ind w:right="231"/>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Fourth Quarter (through December 1, 2004)</w:t>
            </w:r>
          </w:p>
        </w:tc>
        <w:tc>
          <w:tcPr>
            <w:tcW w:w="5360" w:type="dxa"/>
            <w:vAlign w:val="bottom"/>
            <w:gridSpan w:val="2"/>
            <w:shd w:val="clear" w:color="auto" w:fill="EEEEEE"/>
          </w:tcPr>
          <w:p>
            <w:pPr>
              <w:jc w:val="right"/>
              <w:ind w:right="248"/>
              <w:spacing w:after="0"/>
              <w:rPr>
                <w:sz w:val="20"/>
                <w:szCs w:val="20"/>
                <w:color w:val="auto"/>
              </w:rPr>
            </w:pPr>
            <w:r>
              <w:rPr>
                <w:rFonts w:ascii="Arial" w:cs="Arial" w:eastAsia="Arial" w:hAnsi="Arial"/>
                <w:sz w:val="18"/>
                <w:szCs w:val="18"/>
                <w:color w:val="auto"/>
              </w:rPr>
              <w:t>9.35</w:t>
            </w:r>
          </w:p>
        </w:tc>
        <w:tc>
          <w:tcPr>
            <w:tcW w:w="5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20" w:type="dxa"/>
            <w:vAlign w:val="bottom"/>
            <w:shd w:val="clear" w:color="auto" w:fill="EEEEEE"/>
          </w:tcPr>
          <w:p>
            <w:pPr>
              <w:jc w:val="right"/>
              <w:ind w:right="231"/>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4320" w:type="dxa"/>
            <w:vAlign w:val="bottom"/>
          </w:tcPr>
          <w:p>
            <w:pPr>
              <w:jc w:val="right"/>
              <w:ind w:right="2890"/>
              <w:spacing w:after="0"/>
              <w:rPr>
                <w:sz w:val="20"/>
                <w:szCs w:val="20"/>
                <w:color w:val="auto"/>
              </w:rPr>
            </w:pPr>
            <w:r>
              <w:rPr>
                <w:rFonts w:ascii="Arial" w:cs="Arial" w:eastAsia="Arial" w:hAnsi="Arial"/>
                <w:sz w:val="18"/>
                <w:szCs w:val="18"/>
                <w:color w:val="auto"/>
              </w:rPr>
              <w:t>25</w:t>
            </w: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440" w:type="dxa"/>
            <w:vAlign w:val="bottom"/>
            <w:tcBorders>
              <w:bottom w:val="single" w:sz="8" w:color="808080"/>
            </w:tcBorders>
          </w:tcPr>
          <w:p>
            <w:pPr>
              <w:spacing w:after="0"/>
              <w:rPr>
                <w:sz w:val="19"/>
                <w:szCs w:val="19"/>
                <w:color w:val="auto"/>
              </w:rPr>
            </w:pPr>
          </w:p>
        </w:tc>
        <w:tc>
          <w:tcPr>
            <w:tcW w:w="432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2" w:name="page43"/>
    <w:bookmarkEnd w:id="42"/>
    <w:p>
      <w:pPr>
        <w:ind w:right="260"/>
        <w:spacing w:after="0" w:line="282" w:lineRule="auto"/>
        <w:rPr>
          <w:sz w:val="20"/>
          <w:szCs w:val="20"/>
          <w:color w:val="auto"/>
        </w:rPr>
      </w:pPr>
      <w:r>
        <w:rPr>
          <w:rFonts w:ascii="Arial" w:cs="Arial" w:eastAsia="Arial" w:hAnsi="Arial"/>
          <w:sz w:val="18"/>
          <w:szCs w:val="18"/>
          <w:color w:val="auto"/>
        </w:rPr>
        <w:t xml:space="preserve">On December 1, 2004, the last reported sale price of our Common Stock on The Nasdaq National Market was $9.03 per share. </w:t>
      </w:r>
      <w:r>
        <w:rPr>
          <w:rFonts w:ascii="Arial" w:cs="Arial" w:eastAsia="Arial" w:hAnsi="Arial"/>
          <w:sz w:val="18"/>
          <w:szCs w:val="18"/>
          <w:b w:val="1"/>
          <w:bCs w:val="1"/>
          <w:color w:val="auto"/>
        </w:rPr>
        <w:t>We recommend that you</w:t>
      </w:r>
      <w:r>
        <w:rPr>
          <w:rFonts w:ascii="Arial" w:cs="Arial" w:eastAsia="Arial" w:hAnsi="Arial"/>
          <w:sz w:val="18"/>
          <w:szCs w:val="18"/>
          <w:color w:val="auto"/>
        </w:rPr>
        <w:t xml:space="preserve"> </w:t>
      </w:r>
      <w:r>
        <w:rPr>
          <w:rFonts w:ascii="Arial" w:cs="Arial" w:eastAsia="Arial" w:hAnsi="Arial"/>
          <w:sz w:val="18"/>
          <w:szCs w:val="18"/>
          <w:b w:val="1"/>
          <w:bCs w:val="1"/>
          <w:color w:val="auto"/>
        </w:rPr>
        <w:t>obtain current market quotations for our Common Stock before deciding whether to tender your options.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SOURCE AND AMOUNT OF CONSIDERATION; TERMS OF REPLACEMENT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Consideration.</w:t>
      </w:r>
    </w:p>
    <w:p>
      <w:pPr>
        <w:spacing w:after="0" w:line="189" w:lineRule="exact"/>
        <w:rPr>
          <w:sz w:val="20"/>
          <w:szCs w:val="20"/>
          <w:color w:val="auto"/>
        </w:rPr>
      </w:pPr>
    </w:p>
    <w:p>
      <w:pPr>
        <w:ind w:right="80" w:firstLine="447"/>
        <w:spacing w:after="0" w:line="276" w:lineRule="auto"/>
        <w:rPr>
          <w:sz w:val="20"/>
          <w:szCs w:val="20"/>
          <w:color w:val="auto"/>
        </w:rPr>
      </w:pPr>
      <w:r>
        <w:rPr>
          <w:rFonts w:ascii="Arial" w:cs="Arial" w:eastAsia="Arial" w:hAnsi="Arial"/>
          <w:sz w:val="17"/>
          <w:szCs w:val="17"/>
          <w:color w:val="auto"/>
        </w:rPr>
        <w:t>We will grant replacement options exercisable for Common Stock under the 2000 Plan in exchange for outstanding eligible options properly tendered and accepted for exchange by us pursuant to the Offer. The number of shares of Common Stock underlying the replacement options granted to you will be calculated based on the exchange ratios described below and arrived at as described in Section 2 – “Purpose and Background of the Offer.” Replacement option grants calculated according to the exchange ratios will be rounded down to the nearest whole share on a grant-by-grant basis. Accordingly, replacement options will not be issued for fractional shares. The exchange ratios are set forth below:</w:t>
      </w:r>
    </w:p>
    <w:p>
      <w:pPr>
        <w:spacing w:after="0" w:line="327"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5980" w:type="dxa"/>
            <w:vAlign w:val="bottom"/>
            <w:vMerge w:val="restart"/>
          </w:tcPr>
          <w:p>
            <w:pPr>
              <w:jc w:val="right"/>
              <w:ind w:right="2257"/>
              <w:spacing w:after="0"/>
              <w:rPr>
                <w:sz w:val="20"/>
                <w:szCs w:val="20"/>
                <w:color w:val="auto"/>
              </w:rPr>
            </w:pPr>
            <w:r>
              <w:rPr>
                <w:rFonts w:ascii="Arial" w:cs="Arial" w:eastAsia="Arial" w:hAnsi="Arial"/>
                <w:sz w:val="14"/>
                <w:szCs w:val="14"/>
                <w:b w:val="1"/>
                <w:bCs w:val="1"/>
                <w:color w:val="auto"/>
              </w:rPr>
              <w:t>Exercise Price Range</w:t>
            </w:r>
          </w:p>
        </w:tc>
        <w:tc>
          <w:tcPr>
            <w:tcW w:w="380" w:type="dxa"/>
            <w:vAlign w:val="bottom"/>
          </w:tcPr>
          <w:p>
            <w:pPr>
              <w:spacing w:after="0"/>
              <w:rPr>
                <w:sz w:val="14"/>
                <w:szCs w:val="14"/>
                <w:color w:val="auto"/>
              </w:rPr>
            </w:pPr>
          </w:p>
        </w:tc>
        <w:tc>
          <w:tcPr>
            <w:tcW w:w="2760" w:type="dxa"/>
            <w:vAlign w:val="bottom"/>
          </w:tcPr>
          <w:p>
            <w:pPr>
              <w:jc w:val="center"/>
              <w:spacing w:after="0"/>
              <w:rPr>
                <w:sz w:val="20"/>
                <w:szCs w:val="20"/>
                <w:color w:val="auto"/>
              </w:rPr>
            </w:pPr>
            <w:r>
              <w:rPr>
                <w:rFonts w:ascii="Arial" w:cs="Arial" w:eastAsia="Arial" w:hAnsi="Arial"/>
                <w:sz w:val="14"/>
                <w:szCs w:val="14"/>
                <w:b w:val="1"/>
                <w:bCs w:val="1"/>
                <w:color w:val="auto"/>
                <w:w w:val="93"/>
              </w:rPr>
              <w:t>Exchange Ratio</w:t>
            </w:r>
          </w:p>
        </w:tc>
        <w:tc>
          <w:tcPr>
            <w:tcW w:w="0" w:type="dxa"/>
            <w:vAlign w:val="bottom"/>
          </w:tcPr>
          <w:p>
            <w:pPr>
              <w:spacing w:after="0"/>
              <w:rPr>
                <w:sz w:val="1"/>
                <w:szCs w:val="1"/>
                <w:color w:val="auto"/>
              </w:rPr>
            </w:pPr>
          </w:p>
        </w:tc>
      </w:tr>
      <w:tr>
        <w:trPr>
          <w:trHeight w:val="149"/>
        </w:trPr>
        <w:tc>
          <w:tcPr>
            <w:tcW w:w="59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2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 eligible options to be tendered</w:t>
            </w:r>
          </w:p>
        </w:tc>
        <w:tc>
          <w:tcPr>
            <w:tcW w:w="0" w:type="dxa"/>
            <w:vAlign w:val="bottom"/>
          </w:tcPr>
          <w:p>
            <w:pPr>
              <w:spacing w:after="0"/>
              <w:rPr>
                <w:sz w:val="1"/>
                <w:szCs w:val="1"/>
                <w:color w:val="auto"/>
              </w:rPr>
            </w:pPr>
          </w:p>
        </w:tc>
      </w:tr>
      <w:tr>
        <w:trPr>
          <w:trHeight w:val="186"/>
        </w:trPr>
        <w:tc>
          <w:tcPr>
            <w:tcW w:w="5980" w:type="dxa"/>
            <w:vAlign w:val="bottom"/>
          </w:tcPr>
          <w:p>
            <w:pPr>
              <w:jc w:val="right"/>
              <w:ind w:right="2337"/>
              <w:spacing w:after="0"/>
              <w:rPr>
                <w:sz w:val="20"/>
                <w:szCs w:val="20"/>
                <w:color w:val="auto"/>
              </w:rPr>
            </w:pPr>
            <w:r>
              <w:rPr>
                <w:rFonts w:ascii="Arial" w:cs="Arial" w:eastAsia="Arial" w:hAnsi="Arial"/>
                <w:sz w:val="14"/>
                <w:szCs w:val="14"/>
                <w:b w:val="1"/>
                <w:bCs w:val="1"/>
                <w:color w:val="auto"/>
              </w:rPr>
              <w:t>of Eligible Options</w:t>
            </w:r>
          </w:p>
        </w:tc>
        <w:tc>
          <w:tcPr>
            <w:tcW w:w="380" w:type="dxa"/>
            <w:vAlign w:val="bottom"/>
          </w:tcPr>
          <w:p>
            <w:pPr>
              <w:spacing w:after="0"/>
              <w:rPr>
                <w:sz w:val="16"/>
                <w:szCs w:val="16"/>
                <w:color w:val="auto"/>
              </w:rPr>
            </w:pPr>
          </w:p>
        </w:tc>
        <w:tc>
          <w:tcPr>
            <w:tcW w:w="2760" w:type="dxa"/>
            <w:vAlign w:val="bottom"/>
          </w:tcPr>
          <w:p>
            <w:pPr>
              <w:jc w:val="center"/>
              <w:spacing w:after="0"/>
              <w:rPr>
                <w:sz w:val="20"/>
                <w:szCs w:val="20"/>
                <w:color w:val="auto"/>
              </w:rPr>
            </w:pPr>
            <w:r>
              <w:rPr>
                <w:rFonts w:ascii="Arial" w:cs="Arial" w:eastAsia="Arial" w:hAnsi="Arial"/>
                <w:sz w:val="14"/>
                <w:szCs w:val="14"/>
                <w:b w:val="1"/>
                <w:bCs w:val="1"/>
                <w:color w:val="auto"/>
                <w:w w:val="91"/>
              </w:rPr>
              <w:t>and canceled for each replacement option)</w:t>
            </w:r>
          </w:p>
        </w:tc>
        <w:tc>
          <w:tcPr>
            <w:tcW w:w="0" w:type="dxa"/>
            <w:vAlign w:val="bottom"/>
          </w:tcPr>
          <w:p>
            <w:pPr>
              <w:spacing w:after="0"/>
              <w:rPr>
                <w:sz w:val="1"/>
                <w:szCs w:val="1"/>
                <w:color w:val="auto"/>
              </w:rPr>
            </w:pPr>
          </w:p>
        </w:tc>
      </w:tr>
      <w:tr>
        <w:trPr>
          <w:trHeight w:val="66"/>
        </w:trPr>
        <w:tc>
          <w:tcPr>
            <w:tcW w:w="5980" w:type="dxa"/>
            <w:vAlign w:val="bottom"/>
            <w:tcBorders>
              <w:bottom w:val="single" w:sz="8" w:color="808080"/>
            </w:tcBorders>
          </w:tcPr>
          <w:p>
            <w:pPr>
              <w:spacing w:after="0"/>
              <w:rPr>
                <w:sz w:val="5"/>
                <w:szCs w:val="5"/>
                <w:color w:val="auto"/>
              </w:rPr>
            </w:pPr>
          </w:p>
        </w:tc>
        <w:tc>
          <w:tcPr>
            <w:tcW w:w="380" w:type="dxa"/>
            <w:vAlign w:val="bottom"/>
          </w:tcPr>
          <w:p>
            <w:pPr>
              <w:spacing w:after="0"/>
              <w:rPr>
                <w:sz w:val="5"/>
                <w:szCs w:val="5"/>
                <w:color w:val="auto"/>
              </w:rPr>
            </w:pPr>
          </w:p>
        </w:tc>
        <w:tc>
          <w:tcPr>
            <w:tcW w:w="276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59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EEEEEE"/>
          </w:tcPr>
          <w:p>
            <w:pPr>
              <w:jc w:val="right"/>
              <w:ind w:right="2337"/>
              <w:spacing w:after="0"/>
              <w:rPr>
                <w:sz w:val="20"/>
                <w:szCs w:val="20"/>
                <w:color w:val="auto"/>
              </w:rPr>
            </w:pPr>
            <w:r>
              <w:rPr>
                <w:rFonts w:ascii="Arial" w:cs="Arial" w:eastAsia="Arial" w:hAnsi="Arial"/>
                <w:sz w:val="18"/>
                <w:szCs w:val="18"/>
                <w:color w:val="auto"/>
              </w:rPr>
              <w:t>$18.00 - $28.00</w:t>
            </w:r>
          </w:p>
        </w:tc>
        <w:tc>
          <w:tcPr>
            <w:tcW w:w="3140" w:type="dxa"/>
            <w:vAlign w:val="bottom"/>
            <w:gridSpan w:val="2"/>
            <w:shd w:val="clear" w:color="auto" w:fill="EEEEEE"/>
          </w:tcPr>
          <w:p>
            <w:pPr>
              <w:jc w:val="right"/>
              <w:ind w:right="1228"/>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5980" w:type="dxa"/>
            <w:vAlign w:val="bottom"/>
          </w:tcPr>
          <w:p>
            <w:pPr>
              <w:jc w:val="right"/>
              <w:ind w:right="2337"/>
              <w:spacing w:after="0"/>
              <w:rPr>
                <w:sz w:val="20"/>
                <w:szCs w:val="20"/>
                <w:color w:val="auto"/>
              </w:rPr>
            </w:pPr>
            <w:r>
              <w:rPr>
                <w:rFonts w:ascii="Arial" w:cs="Arial" w:eastAsia="Arial" w:hAnsi="Arial"/>
                <w:sz w:val="18"/>
                <w:szCs w:val="18"/>
                <w:color w:val="auto"/>
              </w:rPr>
              <w:t>$28.01 - $37.00</w:t>
            </w:r>
          </w:p>
        </w:tc>
        <w:tc>
          <w:tcPr>
            <w:tcW w:w="3140" w:type="dxa"/>
            <w:vAlign w:val="bottom"/>
            <w:gridSpan w:val="2"/>
          </w:tcPr>
          <w:p>
            <w:pPr>
              <w:jc w:val="right"/>
              <w:ind w:right="1228"/>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5980" w:type="dxa"/>
            <w:vAlign w:val="bottom"/>
            <w:shd w:val="clear" w:color="auto" w:fill="EEEEEE"/>
          </w:tcPr>
          <w:p>
            <w:pPr>
              <w:jc w:val="right"/>
              <w:ind w:right="2337"/>
              <w:spacing w:after="0"/>
              <w:rPr>
                <w:sz w:val="20"/>
                <w:szCs w:val="20"/>
                <w:color w:val="auto"/>
              </w:rPr>
            </w:pPr>
            <w:r>
              <w:rPr>
                <w:rFonts w:ascii="Arial" w:cs="Arial" w:eastAsia="Arial" w:hAnsi="Arial"/>
                <w:sz w:val="18"/>
                <w:szCs w:val="18"/>
                <w:color w:val="auto"/>
              </w:rPr>
              <w:t>$37.01 and up</w:t>
            </w:r>
          </w:p>
        </w:tc>
        <w:tc>
          <w:tcPr>
            <w:tcW w:w="3140" w:type="dxa"/>
            <w:vAlign w:val="bottom"/>
            <w:gridSpan w:val="2"/>
            <w:shd w:val="clear" w:color="auto" w:fill="EEEEEE"/>
          </w:tcPr>
          <w:p>
            <w:pPr>
              <w:jc w:val="right"/>
              <w:ind w:right="1228"/>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firstLine="450"/>
        <w:spacing w:after="0" w:line="279" w:lineRule="auto"/>
        <w:rPr>
          <w:sz w:val="20"/>
          <w:szCs w:val="20"/>
          <w:color w:val="auto"/>
        </w:rPr>
      </w:pPr>
      <w:r>
        <w:rPr>
          <w:rFonts w:ascii="Arial" w:cs="Arial" w:eastAsia="Arial" w:hAnsi="Arial"/>
          <w:sz w:val="17"/>
          <w:szCs w:val="17"/>
          <w:color w:val="auto"/>
        </w:rPr>
        <w:t>Of the outstanding options held by eligible employees as of November 3, 2004, the maximum number of shares of Common Stock underlying options which could be exchanged in the Offer is 4,847,581, and the maximum number of shares of Common Stock underlying the replacement options which could be issued in accordance with the exchange ratios set forth in the table above is approximately 2,576,365. Eligible Officers hold collectively as a group 2,085,000 options which, if exchanged in full, would entitle them to 1,063,500 replacement options.</w:t>
      </w:r>
    </w:p>
    <w:p>
      <w:pPr>
        <w:spacing w:after="0" w:line="131" w:lineRule="exact"/>
        <w:rPr>
          <w:sz w:val="20"/>
          <w:szCs w:val="20"/>
          <w:color w:val="auto"/>
        </w:rPr>
      </w:pPr>
    </w:p>
    <w:p>
      <w:pPr>
        <w:ind w:right="120" w:firstLine="447"/>
        <w:spacing w:after="0" w:line="259" w:lineRule="auto"/>
        <w:rPr>
          <w:sz w:val="20"/>
          <w:szCs w:val="20"/>
          <w:color w:val="auto"/>
        </w:rPr>
      </w:pPr>
      <w:r>
        <w:rPr>
          <w:rFonts w:ascii="Arial" w:cs="Arial" w:eastAsia="Arial" w:hAnsi="Arial"/>
          <w:sz w:val="18"/>
          <w:szCs w:val="18"/>
          <w:color w:val="auto"/>
        </w:rPr>
        <w:t>The grant of replacement options pursuant to the Offer will not create any contractual or other right of the recipients to receive any future grants of stock options, restricted stock, other stock rights or any right of continued employment. However, replacement options granted in exchange for eligible options tendered for exchange with reload rights will also have reload rights. See “Description of the Material Terms of the 2000 Plan,” for a description of reload rights.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Replacement Options.</w:t>
      </w:r>
    </w:p>
    <w:p>
      <w:pPr>
        <w:spacing w:after="0" w:line="202"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All replacement options will be granted under the 2000 Plan and will be subject to the terms of a replacement option agreement substantially in the form of exhibit (d)(7), (d)(8) or (d)(9), as applicable, to the Schedule TO.</w:t>
      </w:r>
    </w:p>
    <w:p>
      <w:pPr>
        <w:spacing w:after="0" w:line="1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32" w:right="359" w:bottom="1440" w:gutter="0" w:footer="0" w:header="0"/>
        </w:sectPr>
      </w:pPr>
    </w:p>
    <w:bookmarkStart w:id="43" w:name="page44"/>
    <w:bookmarkEnd w:id="43"/>
    <w:p>
      <w:pPr>
        <w:ind w:right="320" w:firstLine="450"/>
        <w:spacing w:after="0" w:line="342" w:lineRule="auto"/>
        <w:rPr>
          <w:sz w:val="20"/>
          <w:szCs w:val="20"/>
          <w:color w:val="auto"/>
        </w:rPr>
      </w:pPr>
      <w:r>
        <w:rPr>
          <w:rFonts w:ascii="Arial" w:cs="Arial" w:eastAsia="Arial" w:hAnsi="Arial"/>
          <w:sz w:val="16"/>
          <w:szCs w:val="16"/>
          <w:color w:val="auto"/>
        </w:rPr>
        <w:t>Each replacement option will be completely unvested upon grant and will have a term equal to the greater of (1) the remaining term of the tendered option it replaces and (2) six years from the Grant Date. The term of the option is the maximum length of time during which it may be exercised.</w:t>
      </w:r>
    </w:p>
    <w:p>
      <w:pPr>
        <w:spacing w:after="0" w:line="97" w:lineRule="exact"/>
        <w:rPr>
          <w:sz w:val="20"/>
          <w:szCs w:val="20"/>
          <w:color w:val="auto"/>
        </w:rPr>
      </w:pPr>
    </w:p>
    <w:p>
      <w:pPr>
        <w:ind w:right="80" w:firstLine="450"/>
        <w:spacing w:after="0" w:line="288" w:lineRule="auto"/>
        <w:rPr>
          <w:sz w:val="20"/>
          <w:szCs w:val="20"/>
          <w:color w:val="auto"/>
        </w:rPr>
      </w:pPr>
      <w:r>
        <w:rPr>
          <w:rFonts w:ascii="Arial" w:cs="Arial" w:eastAsia="Arial" w:hAnsi="Arial"/>
          <w:sz w:val="16"/>
          <w:szCs w:val="16"/>
          <w:color w:val="auto"/>
        </w:rPr>
        <w:t xml:space="preserve">Each replacement option granted to an employee other than our executive vice president and senior vice presidents will ordinarily become vested and exercisable in equal annual installments on each of the first, second, third and fourth anniversaries of the Grant Date. Each replacement option granted to our executive vice president and senior vice presidents will ordinarily vest with respect to all the shares underlying such option if </w:t>
      </w:r>
      <w:r>
        <w:rPr>
          <w:rFonts w:ascii="Arial" w:cs="Arial" w:eastAsia="Arial" w:hAnsi="Arial"/>
          <w:sz w:val="16"/>
          <w:szCs w:val="16"/>
          <w:i w:val="1"/>
          <w:iCs w:val="1"/>
          <w:color w:val="auto"/>
        </w:rPr>
        <w:t>both</w:t>
      </w:r>
      <w:r>
        <w:rPr>
          <w:rFonts w:ascii="Arial" w:cs="Arial" w:eastAsia="Arial" w:hAnsi="Arial"/>
          <w:sz w:val="16"/>
          <w:szCs w:val="16"/>
          <w:color w:val="auto"/>
        </w:rPr>
        <w:t xml:space="preserve"> (1) the Company’s products have achieved gross sales of at least $100 million during any consecutive twelve month period (either directly by the Company or through its licensees) </w:t>
      </w:r>
      <w:r>
        <w:rPr>
          <w:rFonts w:ascii="Arial" w:cs="Arial" w:eastAsia="Arial" w:hAnsi="Arial"/>
          <w:sz w:val="16"/>
          <w:szCs w:val="16"/>
          <w:i w:val="1"/>
          <w:iCs w:val="1"/>
          <w:color w:val="auto"/>
        </w:rPr>
        <w:t>and</w:t>
      </w:r>
      <w:r>
        <w:rPr>
          <w:rFonts w:ascii="Arial" w:cs="Arial" w:eastAsia="Arial" w:hAnsi="Arial"/>
          <w:sz w:val="16"/>
          <w:szCs w:val="16"/>
          <w:color w:val="auto"/>
        </w:rPr>
        <w:t xml:space="preserve"> (2) the specific senior or executive vice president has remained employed by the Company for at least three years from the Grant Date. For all replacement options, the recipient’s vesting and exercise rights will be contingent on the recipient’s continued employment through the applicable vesting dates and subject to the provisions of the 2000 Plan and the applicable option agreement. As is generally the case with respect to the option agreements for options eligible for exchange pursuant to the Option Exchange Program, the option agreements for replacement options will include provisions whereby the replacement options may become fully vested in connection with a “Change in Control” of the Company, as defined in the 2000 Plan. Set forth below is a description of the 2000 Plan and a summary of the certain differences between the 1990 Plan and the 2000 Plan.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Material Terms of the 2000 Plan.</w:t>
      </w:r>
    </w:p>
    <w:p>
      <w:pPr>
        <w:spacing w:after="0" w:line="189" w:lineRule="exact"/>
        <w:rPr>
          <w:sz w:val="20"/>
          <w:szCs w:val="20"/>
          <w:color w:val="auto"/>
        </w:rPr>
      </w:pPr>
    </w:p>
    <w:p>
      <w:pPr>
        <w:ind w:right="60" w:firstLine="447"/>
        <w:spacing w:after="0" w:line="255" w:lineRule="auto"/>
        <w:rPr>
          <w:sz w:val="20"/>
          <w:szCs w:val="20"/>
          <w:color w:val="auto"/>
        </w:rPr>
      </w:pPr>
      <w:r>
        <w:rPr>
          <w:rFonts w:ascii="Arial" w:cs="Arial" w:eastAsia="Arial" w:hAnsi="Arial"/>
          <w:sz w:val="18"/>
          <w:szCs w:val="18"/>
          <w:color w:val="auto"/>
        </w:rPr>
        <w:t>The following description summarizes the material terms of the 2000 Plan and options granted under that plan. This description is only a summary and is not complete. We recommend that you review each of the 2000 Plan, the 1990 Plan and the applicable replacement option agreements that have been filed with the SEC as exhibits to the Schedule TO. The terms and conditions of the Stock Incentive Plans are also summarized in the prospectus relating to each plan prepared by us and previously made available to you. You may also contact us at Regeneron Pharmaceuticals, Inc., 777 Old Saw Mill River Road, Tarrytown, New York 10591 Attention: Human Resources Department, by phone at (914) 345-STOK or by e-mail at: OptionsExchange@regeneron.com, to request copies of the Stock Incentive Plans, the form of the replacement option agreement, or the prospectus relating to each plan, each of which will be provided at our expense.</w:t>
      </w:r>
    </w:p>
    <w:p>
      <w:pPr>
        <w:spacing w:after="0" w:line="162" w:lineRule="exact"/>
        <w:rPr>
          <w:sz w:val="20"/>
          <w:szCs w:val="20"/>
          <w:color w:val="auto"/>
        </w:rPr>
      </w:pPr>
    </w:p>
    <w:p>
      <w:pPr>
        <w:ind w:firstLine="450"/>
        <w:spacing w:after="0" w:line="257" w:lineRule="auto"/>
        <w:rPr>
          <w:sz w:val="20"/>
          <w:szCs w:val="20"/>
          <w:color w:val="auto"/>
        </w:rPr>
      </w:pPr>
      <w:r>
        <w:rPr>
          <w:rFonts w:ascii="Arial" w:cs="Arial" w:eastAsia="Arial" w:hAnsi="Arial"/>
          <w:sz w:val="18"/>
          <w:szCs w:val="18"/>
          <w:b w:val="1"/>
          <w:bCs w:val="1"/>
          <w:i w:val="1"/>
          <w:iCs w:val="1"/>
          <w:color w:val="auto"/>
        </w:rPr>
        <w:t xml:space="preserve">General. </w:t>
      </w:r>
      <w:r>
        <w:rPr>
          <w:rFonts w:ascii="Arial" w:cs="Arial" w:eastAsia="Arial" w:hAnsi="Arial"/>
          <w:sz w:val="18"/>
          <w:szCs w:val="18"/>
          <w:color w:val="auto"/>
        </w:rPr>
        <w:t>The Company adopted the 2000 Plan effective June 9, 2000 and the 2000 Plan has been subsequently amended to increase the total number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of Common Stock available for issuance under the plan to an aggregate of (i) 18,500,000 plus (ii) shares previously reserved for issuance under the Company’s 1990 Long-Term Incentive Plan which remained unissued as of June 14, 2002 and any shares of Common Stock underlying awards granted under such plan which are forfeited, expire or cancelled without delivery of shares of Common Stock. In addition, the 2000 Plan was amended to adjust the date of award of the automatic grants of options made to non-employee directors.</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44" w:name="page45"/>
    <w:bookmarkEnd w:id="44"/>
    <w:p>
      <w:pPr>
        <w:ind w:firstLine="440"/>
        <w:spacing w:after="0" w:line="257" w:lineRule="auto"/>
        <w:rPr>
          <w:sz w:val="20"/>
          <w:szCs w:val="20"/>
          <w:color w:val="auto"/>
        </w:rPr>
      </w:pPr>
      <w:r>
        <w:rPr>
          <w:rFonts w:ascii="Arial" w:cs="Arial" w:eastAsia="Arial" w:hAnsi="Arial"/>
          <w:sz w:val="18"/>
          <w:szCs w:val="18"/>
          <w:color w:val="auto"/>
        </w:rPr>
        <w:t>As of November 3, 2004, 9,253,339 shares remained available for issuance under the 2000 Plan and 9,390,229 shares were subject to outstanding awards (including options eligible to participate in the Option Exchange Program). The 2000 Plan is scheduled to remain in effect until the close of business on April 24, 2010, unless earlier terminated by the board of directors. Awards granted under the 2000 Plan (including awards that are issued under the Option Exchange Program) may remain in effect following the expiration of the term of the plan in accordance with the award terms. Currently, all regular employees and directors are eligible to receive grants under the 2000 Plan.</w:t>
      </w:r>
    </w:p>
    <w:p>
      <w:pPr>
        <w:spacing w:after="0" w:line="161" w:lineRule="exact"/>
        <w:rPr>
          <w:sz w:val="20"/>
          <w:szCs w:val="20"/>
          <w:color w:val="auto"/>
        </w:rPr>
      </w:pPr>
    </w:p>
    <w:p>
      <w:pPr>
        <w:ind w:right="40" w:firstLine="450"/>
        <w:spacing w:after="0" w:line="271" w:lineRule="auto"/>
        <w:rPr>
          <w:sz w:val="20"/>
          <w:szCs w:val="20"/>
          <w:color w:val="auto"/>
        </w:rPr>
      </w:pPr>
      <w:r>
        <w:rPr>
          <w:rFonts w:ascii="Arial" w:cs="Arial" w:eastAsia="Arial" w:hAnsi="Arial"/>
          <w:sz w:val="17"/>
          <w:szCs w:val="17"/>
          <w:b w:val="1"/>
          <w:bCs w:val="1"/>
          <w:i w:val="1"/>
          <w:iCs w:val="1"/>
          <w:color w:val="auto"/>
        </w:rPr>
        <w:t xml:space="preserve">Administration. </w:t>
      </w:r>
      <w:r>
        <w:rPr>
          <w:rFonts w:ascii="Arial" w:cs="Arial" w:eastAsia="Arial" w:hAnsi="Arial"/>
          <w:sz w:val="17"/>
          <w:szCs w:val="17"/>
          <w:color w:val="auto"/>
        </w:rPr>
        <w:t>The 2000 Plan is administered by the Compensation Committee of the board of directors. Each member of the Compensation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Committee is a “non-employee director” (within the meaning of Rule 16b-3 promulgated under Section 16 of the Securities Exchange Act of 1934, as amended) and an “outside director” (within the meaning of Section 162(m) of the Internal Revenue Code of 1986, as amended). In general, awards granted under the 2000 Plan become exercisable or otherwise vest at the times and upon the conditions that the Compensation Committee may determine, as reflected in the applicable award agreement. The Compensation Committee has the authority to accelerate the vesting and/or exercisability of any outstanding award at such times and under such circumstances as it, in its sole discretion, deems appropriate (for instance, upon a “Change in Control” of the Company, as defined in the 2000 Plan). Awards under the 2000 Plan (other than annual grants to non-employee directors described under “Non-employee Director Awards” below) are generally made in the discretion of the Compensation Committee.</w:t>
      </w:r>
    </w:p>
    <w:p>
      <w:pPr>
        <w:spacing w:after="0" w:line="138" w:lineRule="exact"/>
        <w:rPr>
          <w:sz w:val="20"/>
          <w:szCs w:val="20"/>
          <w:color w:val="auto"/>
        </w:rPr>
      </w:pPr>
    </w:p>
    <w:p>
      <w:pPr>
        <w:ind w:right="20" w:firstLine="450"/>
        <w:spacing w:after="0" w:line="302" w:lineRule="auto"/>
        <w:rPr>
          <w:sz w:val="20"/>
          <w:szCs w:val="20"/>
          <w:color w:val="auto"/>
        </w:rPr>
      </w:pPr>
      <w:r>
        <w:rPr>
          <w:rFonts w:ascii="Arial" w:cs="Arial" w:eastAsia="Arial" w:hAnsi="Arial"/>
          <w:sz w:val="16"/>
          <w:szCs w:val="16"/>
          <w:b w:val="1"/>
          <w:bCs w:val="1"/>
          <w:i w:val="1"/>
          <w:iCs w:val="1"/>
          <w:color w:val="auto"/>
        </w:rPr>
        <w:t xml:space="preserve">Types of Awards. </w:t>
      </w:r>
      <w:r>
        <w:rPr>
          <w:rFonts w:ascii="Arial" w:cs="Arial" w:eastAsia="Arial" w:hAnsi="Arial"/>
          <w:sz w:val="16"/>
          <w:szCs w:val="16"/>
          <w:color w:val="auto"/>
        </w:rPr>
        <w:t>There are generally four types of awards that may be granted under the 2000 Plan: Stock options (including both incentive stock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options (referred to as ISOs) within the meaning of Section 422 of the Internal Revenue Code of 1986, as amended and nonqualified stock options (referred to as NQSOs), which are options that do not qualify as ISOs), Restricted Stock, Phantom Stock, and Stock Bonus awards. In addition, the Compensation Committee in its discretion may make other awards valued in whole or in part by reference to, or otherwise based on, Common Stock.</w:t>
      </w:r>
    </w:p>
    <w:p>
      <w:pPr>
        <w:spacing w:after="0" w:line="114" w:lineRule="exact"/>
        <w:rPr>
          <w:sz w:val="20"/>
          <w:szCs w:val="20"/>
          <w:color w:val="auto"/>
        </w:rPr>
      </w:pPr>
    </w:p>
    <w:p>
      <w:pPr>
        <w:ind w:right="20" w:firstLine="450"/>
        <w:spacing w:after="0" w:line="302" w:lineRule="auto"/>
        <w:rPr>
          <w:sz w:val="20"/>
          <w:szCs w:val="20"/>
          <w:color w:val="auto"/>
        </w:rPr>
      </w:pPr>
      <w:r>
        <w:rPr>
          <w:rFonts w:ascii="Arial" w:cs="Arial" w:eastAsia="Arial" w:hAnsi="Arial"/>
          <w:sz w:val="16"/>
          <w:szCs w:val="16"/>
          <w:b w:val="1"/>
          <w:bCs w:val="1"/>
          <w:i w:val="1"/>
          <w:iCs w:val="1"/>
          <w:color w:val="auto"/>
        </w:rPr>
        <w:t xml:space="preserve">Adjustment of Shares; Certain Restrictions. </w:t>
      </w:r>
      <w:r>
        <w:rPr>
          <w:rFonts w:ascii="Arial" w:cs="Arial" w:eastAsia="Arial" w:hAnsi="Arial"/>
          <w:sz w:val="16"/>
          <w:szCs w:val="16"/>
          <w:color w:val="auto"/>
        </w:rPr>
        <w:t>All of the shares reserved for issuance under the 2000 Plan are generally subject to equitable adjustment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upon the occurrence of any stock dividend or other distribution, recapitalization, stock split, reorganization, merger, consolidation, combination, repurchase or share exchange, or other similar corporate transaction or event. The maximum number of shares of Common Stock that may be the subject of awards to a participant in any year is 1,000,000, except that such number is 1,500,000 with respect to an employee’s initial year of employment with the Company.</w:t>
      </w:r>
    </w:p>
    <w:p>
      <w:pPr>
        <w:spacing w:after="0" w:line="127" w:lineRule="exact"/>
        <w:rPr>
          <w:sz w:val="20"/>
          <w:szCs w:val="20"/>
          <w:color w:val="auto"/>
        </w:rPr>
      </w:pPr>
    </w:p>
    <w:p>
      <w:pPr>
        <w:ind w:right="60" w:firstLine="450"/>
        <w:spacing w:after="0" w:line="259" w:lineRule="auto"/>
        <w:rPr>
          <w:sz w:val="20"/>
          <w:szCs w:val="20"/>
          <w:color w:val="auto"/>
        </w:rPr>
      </w:pPr>
      <w:r>
        <w:rPr>
          <w:rFonts w:ascii="Arial" w:cs="Arial" w:eastAsia="Arial" w:hAnsi="Arial"/>
          <w:sz w:val="18"/>
          <w:szCs w:val="18"/>
          <w:b w:val="1"/>
          <w:bCs w:val="1"/>
          <w:i w:val="1"/>
          <w:iCs w:val="1"/>
          <w:color w:val="auto"/>
        </w:rPr>
        <w:t xml:space="preserve">Stock Options. </w:t>
      </w:r>
      <w:r>
        <w:rPr>
          <w:rFonts w:ascii="Arial" w:cs="Arial" w:eastAsia="Arial" w:hAnsi="Arial"/>
          <w:sz w:val="18"/>
          <w:szCs w:val="18"/>
          <w:color w:val="auto"/>
        </w:rPr>
        <w:t>Options entitle the holder to purchase shares of Common Stock during a specified period at a purchase price specified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Committee (but in the case of an ISO, at a price not less than 100% of the fair market value of the Common Stock on the day the ISO is granted). Each option granted under the 2000 Plan may be exercisable for a maximum period of 10 years from the date of grant. Options may be exercised, in whole or in part, by the payment of cash of the full option price of</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5" w:name="page46"/>
    <w:bookmarkEnd w:id="45"/>
    <w:p>
      <w:pPr>
        <w:spacing w:after="0" w:line="285" w:lineRule="auto"/>
        <w:rPr>
          <w:sz w:val="20"/>
          <w:szCs w:val="20"/>
          <w:color w:val="auto"/>
        </w:rPr>
      </w:pPr>
      <w:r>
        <w:rPr>
          <w:rFonts w:ascii="Arial" w:cs="Arial" w:eastAsia="Arial" w:hAnsi="Arial"/>
          <w:sz w:val="16"/>
          <w:szCs w:val="16"/>
          <w:color w:val="auto"/>
        </w:rPr>
        <w:t xml:space="preserve">the shares purchased, by tendering shares of Common Stock with a fair market value equal to the option price of the shares purchased, or by other methods in the discretion of the Compensation Committee. The 2000 Plan provides that, unless otherwise determined by the Compensation Committee, an option shall vest with respect to 20% of the option on the first anniversary of the date of grant and with respect to an additional 20% on each of the next four anniversaries thereof. In 2001, the Compensation Committee determined that, beginning in 2001, options granted under the 2000 Plan would vest ratably over four years, with 25% of the option vesting on each of the first four anniversaries of the date of grant. Options which are granted pursuant to the Option Exchange Program, other than options granted to our executive vice president and senior vice presidents, shall also vest ratably over a four year period, with 25% of the option vesting on each of the first four anniversaries of the date of grant. Each replacement option granted to our executive vice president and senior vice presidents will ordinarily vest with respect to all the shares underlying such option if </w:t>
      </w:r>
      <w:r>
        <w:rPr>
          <w:rFonts w:ascii="Arial" w:cs="Arial" w:eastAsia="Arial" w:hAnsi="Arial"/>
          <w:sz w:val="16"/>
          <w:szCs w:val="16"/>
          <w:i w:val="1"/>
          <w:iCs w:val="1"/>
          <w:color w:val="auto"/>
        </w:rPr>
        <w:t>both</w:t>
      </w:r>
      <w:r>
        <w:rPr>
          <w:rFonts w:ascii="Arial" w:cs="Arial" w:eastAsia="Arial" w:hAnsi="Arial"/>
          <w:sz w:val="16"/>
          <w:szCs w:val="16"/>
          <w:color w:val="auto"/>
        </w:rPr>
        <w:t xml:space="preserve"> (1) the Company’s products have achieved gross sales of at least $100 million during any consecutive twelve-month period (either directly by the Company or through its licensees) </w:t>
      </w:r>
      <w:r>
        <w:rPr>
          <w:rFonts w:ascii="Arial" w:cs="Arial" w:eastAsia="Arial" w:hAnsi="Arial"/>
          <w:sz w:val="16"/>
          <w:szCs w:val="16"/>
          <w:i w:val="1"/>
          <w:iCs w:val="1"/>
          <w:color w:val="auto"/>
        </w:rPr>
        <w:t>and</w:t>
      </w:r>
      <w:r>
        <w:rPr>
          <w:rFonts w:ascii="Arial" w:cs="Arial" w:eastAsia="Arial" w:hAnsi="Arial"/>
          <w:sz w:val="16"/>
          <w:szCs w:val="16"/>
          <w:color w:val="auto"/>
        </w:rPr>
        <w:t xml:space="preserve"> (2) the specific senior or executive vice president has remained employed by the Company for at least three years from the date of grant. Options that are exercisable as of the date of a participant’s termination of service with the Company may be exercised after such date for the period set forth in the applicable option agreement or as otherwise determined by the Compensation Committee. In the event of the death of a participant, any unexercised options held by such participant are exercisable in accordance with their terms by the participant’s heirs or personal representatives. Options held by a participant upon termination from the Company’s service for cause immediately expire (whether or not then exercisable). The Compensation Committee may provide that a participant who delivers shares of Common Stock to exercise an option will automatically be granted new options for the number of shares delivered to exercise the option (referred to as Reload Options). Reload Options will be subject to the same terms and conditions as the related option (except that the exercise price generally will be the fair market value of the Common Stock on the date the Reload Option is granted). Options with reload rights that are tendered in the Option Exchange Program will be replaced with options which also have such reload rights.</w:t>
      </w:r>
    </w:p>
    <w:p>
      <w:pPr>
        <w:spacing w:after="0" w:line="364" w:lineRule="exact"/>
        <w:rPr>
          <w:sz w:val="20"/>
          <w:szCs w:val="20"/>
          <w:color w:val="auto"/>
        </w:rPr>
      </w:pPr>
    </w:p>
    <w:p>
      <w:pPr>
        <w:ind w:right="60" w:firstLine="450"/>
        <w:spacing w:after="0" w:line="270" w:lineRule="auto"/>
        <w:rPr>
          <w:sz w:val="20"/>
          <w:szCs w:val="20"/>
          <w:color w:val="auto"/>
        </w:rPr>
      </w:pPr>
      <w:r>
        <w:rPr>
          <w:rFonts w:ascii="Arial" w:cs="Arial" w:eastAsia="Arial" w:hAnsi="Arial"/>
          <w:sz w:val="17"/>
          <w:szCs w:val="17"/>
          <w:b w:val="1"/>
          <w:bCs w:val="1"/>
          <w:i w:val="1"/>
          <w:iCs w:val="1"/>
          <w:color w:val="auto"/>
        </w:rPr>
        <w:t xml:space="preserve">Restricted Stock. </w:t>
      </w:r>
      <w:r>
        <w:rPr>
          <w:rFonts w:ascii="Arial" w:cs="Arial" w:eastAsia="Arial" w:hAnsi="Arial"/>
          <w:sz w:val="17"/>
          <w:szCs w:val="17"/>
          <w:color w:val="auto"/>
        </w:rPr>
        <w:t>Restricted Stock awards under the 2000 Plan consist of a grant of shares of restricted Common Stock. The Compensation Committee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may determine the price, if any, to be paid by a participant for each share of Restricted Stock subject to an award. A holder of Restricted Stock may vote and, if the participant remains in the service of the Company throughout the “Restricted Period” as defined in the 2000 Plan, he or she may generally receive all dividends on all such shares. However, such holder may not transfer such shares during the Restricted Period. If for any reason during the Restricted Period a holder of Restricted Stock ceases to be in the service of the Company, the holder may (and if the termination is on account of cause, shall) be required to transfer to the Company such Restricted Stock together with any dividends paid thereon. Consistent with Section 162(m) of the Internal Revenue Code, the 2000 Plan provides that (i) restrictions on Restricted Stock may, in the sole discretion of the Compensation Committee, lapse upon the achievement of certain pre-established performance goals and (ii) the maximum number of such performance-based Restricted Stock awards that may be granted to an employee in any year is 200,000.</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6" w:name="page47"/>
    <w:bookmarkEnd w:id="46"/>
    <w:p>
      <w:pPr>
        <w:ind w:right="80" w:firstLine="450"/>
        <w:spacing w:after="0" w:line="288" w:lineRule="auto"/>
        <w:rPr>
          <w:sz w:val="20"/>
          <w:szCs w:val="20"/>
          <w:color w:val="auto"/>
        </w:rPr>
      </w:pPr>
      <w:r>
        <w:rPr>
          <w:rFonts w:ascii="Arial" w:cs="Arial" w:eastAsia="Arial" w:hAnsi="Arial"/>
          <w:sz w:val="16"/>
          <w:szCs w:val="16"/>
          <w:b w:val="1"/>
          <w:bCs w:val="1"/>
          <w:i w:val="1"/>
          <w:iCs w:val="1"/>
          <w:color w:val="auto"/>
        </w:rPr>
        <w:t xml:space="preserve">Performance Criteria. </w:t>
      </w:r>
      <w:r>
        <w:rPr>
          <w:rFonts w:ascii="Arial" w:cs="Arial" w:eastAsia="Arial" w:hAnsi="Arial"/>
          <w:sz w:val="16"/>
          <w:szCs w:val="16"/>
          <w:color w:val="auto"/>
        </w:rPr>
        <w:t>The 2000 Plan provides that performance goals will be based on one or more of the following criteria: (1) return on total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 equity; (2) earnings per share of Common Stock; (3) net income (before or after taxes); (4) earnings before interest, taxes, depreciation and amortization; (5) revenues; (6) return on assets; (7) market share; (8) cost reduction goals; (9) any combination of, or a specified increase in, any of the foregoing; (10) the achievement of certain target levels of discovery and/or development of products, including without limitation, the regulatory approval of new products; (11) the achievement of certain target levels of sales of new products or licensing in or out of new drugs; (12) the formation of joint ventures, research or development collaborations, or the completion of other corporate transactions; and (13) such other criteria as the shareholders of the Company may approve. In addition, such performance goals may be based upon the attainment of specified levels of Company performance under one or more of the measures described above relative to the performance of other corporations. To the extent permitted under Section 162(m) of the Internal Revenue Code of 1986, as amended (including, without limitation, compliance with any requirements for shareholder approval), the Compensation Committee may designate additional business criteria on which the performance goals may be based or may adjust, modify, or amend the aforementioned business criteria.</w:t>
      </w:r>
    </w:p>
    <w:p>
      <w:pPr>
        <w:spacing w:after="0" w:line="142" w:lineRule="exact"/>
        <w:rPr>
          <w:sz w:val="20"/>
          <w:szCs w:val="20"/>
          <w:color w:val="auto"/>
        </w:rPr>
      </w:pPr>
    </w:p>
    <w:p>
      <w:pPr>
        <w:ind w:right="80" w:firstLine="450"/>
        <w:spacing w:after="0" w:line="276" w:lineRule="auto"/>
        <w:rPr>
          <w:sz w:val="20"/>
          <w:szCs w:val="20"/>
          <w:color w:val="auto"/>
        </w:rPr>
      </w:pPr>
      <w:r>
        <w:rPr>
          <w:rFonts w:ascii="Arial" w:cs="Arial" w:eastAsia="Arial" w:hAnsi="Arial"/>
          <w:sz w:val="17"/>
          <w:szCs w:val="17"/>
          <w:b w:val="1"/>
          <w:bCs w:val="1"/>
          <w:i w:val="1"/>
          <w:iCs w:val="1"/>
          <w:color w:val="auto"/>
        </w:rPr>
        <w:t xml:space="preserve">Phantom Stock. </w:t>
      </w:r>
      <w:r>
        <w:rPr>
          <w:rFonts w:ascii="Arial" w:cs="Arial" w:eastAsia="Arial" w:hAnsi="Arial"/>
          <w:sz w:val="17"/>
          <w:szCs w:val="17"/>
          <w:color w:val="auto"/>
        </w:rPr>
        <w:t>A Phantom Stock award is an award of the right to receive cash or Common Stock at a future date, subject to such restrictions, if 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the Compensation Committee may impose at the date of grant or thereafter, which restrictions may lapse separately or in combination at such times, under such circumstances (including without limitation a specified period of employment or the satisfaction of the performance goals described above), in such installments, or otherwise, as the Compensation Committee may determine. The grant of a Phantom Stock award payable solely in cash shall not reduce the number of shares of Common Stock with respect to which awards may be granted under the 2000 Plan.</w:t>
      </w:r>
    </w:p>
    <w:p>
      <w:pPr>
        <w:spacing w:after="0" w:line="132" w:lineRule="exact"/>
        <w:rPr>
          <w:sz w:val="20"/>
          <w:szCs w:val="20"/>
          <w:color w:val="auto"/>
        </w:rPr>
      </w:pPr>
    </w:p>
    <w:p>
      <w:pPr>
        <w:ind w:firstLine="450"/>
        <w:spacing w:after="0" w:line="277" w:lineRule="auto"/>
        <w:rPr>
          <w:sz w:val="20"/>
          <w:szCs w:val="20"/>
          <w:color w:val="auto"/>
        </w:rPr>
      </w:pPr>
      <w:r>
        <w:rPr>
          <w:rFonts w:ascii="Arial" w:cs="Arial" w:eastAsia="Arial" w:hAnsi="Arial"/>
          <w:sz w:val="18"/>
          <w:szCs w:val="18"/>
          <w:b w:val="1"/>
          <w:bCs w:val="1"/>
          <w:i w:val="1"/>
          <w:iCs w:val="1"/>
          <w:color w:val="auto"/>
        </w:rPr>
        <w:t xml:space="preserve">Stock Bonus. </w:t>
      </w:r>
      <w:r>
        <w:rPr>
          <w:rFonts w:ascii="Arial" w:cs="Arial" w:eastAsia="Arial" w:hAnsi="Arial"/>
          <w:sz w:val="18"/>
          <w:szCs w:val="18"/>
          <w:color w:val="auto"/>
        </w:rPr>
        <w:t>If the Compensation Committee grants a Stock Bonus award, a certificate for the shares of Common Stock constituting such Stock Bonus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issued in the name of the participant to whom such grant was made.</w:t>
      </w:r>
    </w:p>
    <w:p>
      <w:pPr>
        <w:spacing w:after="0" w:line="130" w:lineRule="exact"/>
        <w:rPr>
          <w:sz w:val="20"/>
          <w:szCs w:val="20"/>
          <w:color w:val="auto"/>
        </w:rPr>
      </w:pPr>
    </w:p>
    <w:p>
      <w:pPr>
        <w:ind w:firstLine="450"/>
        <w:spacing w:after="0" w:line="257" w:lineRule="auto"/>
        <w:rPr>
          <w:sz w:val="20"/>
          <w:szCs w:val="20"/>
          <w:color w:val="auto"/>
        </w:rPr>
      </w:pPr>
      <w:r>
        <w:rPr>
          <w:rFonts w:ascii="Arial" w:cs="Arial" w:eastAsia="Arial" w:hAnsi="Arial"/>
          <w:sz w:val="18"/>
          <w:szCs w:val="18"/>
          <w:b w:val="1"/>
          <w:bCs w:val="1"/>
          <w:i w:val="1"/>
          <w:iCs w:val="1"/>
          <w:color w:val="auto"/>
        </w:rPr>
        <w:t xml:space="preserve">Non-employee Director Awards. </w:t>
      </w:r>
      <w:r>
        <w:rPr>
          <w:rFonts w:ascii="Arial" w:cs="Arial" w:eastAsia="Arial" w:hAnsi="Arial"/>
          <w:sz w:val="18"/>
          <w:szCs w:val="18"/>
          <w:color w:val="auto"/>
        </w:rPr>
        <w:t>On the first business day after January 1 of each calendar year, each then serving non-employee director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is granted a NQSO to purchase 15,000 shares of Common Stock at the fair market value of such shares at the time of grant; such NQSOs become exercisable as to 33-1/3% of the shares covered thereby on each of the first, second, and third anniversaries of the date of grant, and expire (if not earlier terminated) on the tenth anniversary of the date of grant. In addition, a non-employee director may receive such other awards as are approved by a majority of the Board.</w:t>
      </w:r>
    </w:p>
    <w:p>
      <w:pPr>
        <w:spacing w:after="0" w:line="161" w:lineRule="exact"/>
        <w:rPr>
          <w:sz w:val="20"/>
          <w:szCs w:val="20"/>
          <w:color w:val="auto"/>
        </w:rPr>
      </w:pPr>
    </w:p>
    <w:p>
      <w:pPr>
        <w:ind w:right="140" w:firstLine="450"/>
        <w:spacing w:after="0" w:line="308" w:lineRule="auto"/>
        <w:rPr>
          <w:sz w:val="20"/>
          <w:szCs w:val="20"/>
          <w:color w:val="auto"/>
        </w:rPr>
      </w:pPr>
      <w:r>
        <w:rPr>
          <w:rFonts w:ascii="Arial" w:cs="Arial" w:eastAsia="Arial" w:hAnsi="Arial"/>
          <w:sz w:val="17"/>
          <w:szCs w:val="17"/>
          <w:b w:val="1"/>
          <w:bCs w:val="1"/>
          <w:i w:val="1"/>
          <w:iCs w:val="1"/>
          <w:color w:val="auto"/>
        </w:rPr>
        <w:t xml:space="preserve">Other Information. </w:t>
      </w:r>
      <w:r>
        <w:rPr>
          <w:rFonts w:ascii="Arial" w:cs="Arial" w:eastAsia="Arial" w:hAnsi="Arial"/>
          <w:sz w:val="17"/>
          <w:szCs w:val="17"/>
          <w:color w:val="auto"/>
        </w:rPr>
        <w:t>The 2000 Plan may be amended by the board of directors, subject to shareholder approval where necessary to satisfy certain legal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regulatory requirements. On December 1, 2004, the closing price of the Common Stock on the Nasdaq National Market was $9.03.</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Certain Differences between the 1990 Plan and the 2000 Plan.</w:t>
      </w:r>
    </w:p>
    <w:p>
      <w:pPr>
        <w:spacing w:after="0" w:line="202" w:lineRule="exact"/>
        <w:rPr>
          <w:sz w:val="20"/>
          <w:szCs w:val="20"/>
          <w:color w:val="auto"/>
        </w:rPr>
      </w:pPr>
    </w:p>
    <w:p>
      <w:pPr>
        <w:ind w:right="60" w:firstLine="450"/>
        <w:spacing w:after="0" w:line="288" w:lineRule="auto"/>
        <w:rPr>
          <w:sz w:val="20"/>
          <w:szCs w:val="20"/>
          <w:color w:val="auto"/>
        </w:rPr>
      </w:pPr>
      <w:r>
        <w:rPr>
          <w:rFonts w:ascii="Arial" w:cs="Arial" w:eastAsia="Arial" w:hAnsi="Arial"/>
          <w:sz w:val="16"/>
          <w:szCs w:val="16"/>
          <w:color w:val="auto"/>
        </w:rPr>
        <w:t>Replacement options granted in exchange for options granted under the 1990 Plan will be granted under the 2000 Plan and will have terms and conditions as set forth in the 2000 Plan and a replacement option agreement substantially in the form attached as exhibit (d)(7), (d)(8) or (d)(9), as applicable, to the Schedule TO. While the 1990 Plan permits the Company’s board of directors, or the committee thereof administering the 1990 Plan, to include provisions in option agreements that would accelerate the vesting of options granted thereunder in connection with a “Change in Control” of the Company, as defined in the 1990 Plan, the option agreements with respect to options granted under the 1990 Plan did not include such provisions, in contrast to many of the option agreements with respect to options granted under the 2000 Plan. The applicable option agreement with respect to replacement options granted under the 2000 Plan will include such contractual provisions whereby the replacement options may, without any action by the board of directors or a committee thereof, become fully vested in connection with a “Change in Control” of the Company, as defined in the 2000 Plan and the additional terms of such option agreement. Accordingly, and because this definition differs from that contained in the 1990 Plan, it is possible that a “Change in Control” of the Company would result in an acceleration of vesting of replacement options that would not have occurred with respect to options granted under the 1990 Plan.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Federal Income Tax Consequences.</w:t>
      </w:r>
    </w:p>
    <w:p>
      <w:pPr>
        <w:spacing w:after="0" w:line="189" w:lineRule="exact"/>
        <w:rPr>
          <w:sz w:val="20"/>
          <w:szCs w:val="20"/>
          <w:color w:val="auto"/>
        </w:rPr>
      </w:pPr>
    </w:p>
    <w:p>
      <w:pPr>
        <w:ind w:right="220" w:firstLine="450"/>
        <w:spacing w:after="0" w:line="279" w:lineRule="auto"/>
        <w:rPr>
          <w:sz w:val="20"/>
          <w:szCs w:val="20"/>
          <w:color w:val="auto"/>
        </w:rPr>
      </w:pPr>
      <w:r>
        <w:rPr>
          <w:rFonts w:ascii="Arial" w:cs="Arial" w:eastAsia="Arial" w:hAnsi="Arial"/>
          <w:sz w:val="17"/>
          <w:szCs w:val="17"/>
          <w:color w:val="auto"/>
        </w:rPr>
        <w:t>Set forth below is a discussion of certain federal income tax consequences with respect to options that may be granted pursuant to the 2000 Plan. The following discussion is a brief summary only, and reference is made to the Internal Revenue Code of 1986, as amended, and the regulations and interpretations issued thereunder for a complete statement of all relevant federal tax consequences. This summary is not intended to be exhaustive and does not describe state, local, or foreign tax consequences of participation in the 2000 Plan or in the Option Exchange Program.</w:t>
      </w:r>
    </w:p>
    <w:p>
      <w:pPr>
        <w:spacing w:after="0" w:line="144" w:lineRule="exact"/>
        <w:rPr>
          <w:sz w:val="20"/>
          <w:szCs w:val="20"/>
          <w:color w:val="auto"/>
        </w:rPr>
      </w:pPr>
    </w:p>
    <w:p>
      <w:pPr>
        <w:ind w:firstLine="450"/>
        <w:spacing w:after="0" w:line="270" w:lineRule="auto"/>
        <w:rPr>
          <w:sz w:val="20"/>
          <w:szCs w:val="20"/>
          <w:color w:val="auto"/>
        </w:rPr>
      </w:pPr>
      <w:r>
        <w:rPr>
          <w:rFonts w:ascii="Arial" w:cs="Arial" w:eastAsia="Arial" w:hAnsi="Arial"/>
          <w:sz w:val="17"/>
          <w:szCs w:val="17"/>
          <w:b w:val="1"/>
          <w:bCs w:val="1"/>
          <w:i w:val="1"/>
          <w:iCs w:val="1"/>
          <w:color w:val="auto"/>
        </w:rPr>
        <w:t xml:space="preserve">Incentive Stock Options. </w:t>
      </w:r>
      <w:r>
        <w:rPr>
          <w:rFonts w:ascii="Arial" w:cs="Arial" w:eastAsia="Arial" w:hAnsi="Arial"/>
          <w:sz w:val="17"/>
          <w:szCs w:val="17"/>
          <w:color w:val="auto"/>
        </w:rPr>
        <w:t>In general, no taxable income is realized by a participant upon the grant of an ISO. If shares of Common Stock are issued to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participant (“Option Shares”) pursuant to the exercise of an ISO granted under the 2000 Plan and the participant does not dispose of the Option Shares within the two-year period after the date of grant or within one year after the receipt of such Option Shares by the participant (a “disqualifying disposition”), then, generally (i) the participant will not realize ordinary income upon exercise and (ii) upon sale of such Option Shares, any amount realized in excess of the exercise price paid for the Option Shares will be taxed to such participant as capital gain (or loss). With respect to the replacement options, this two year period will commence as of the Grant Date, regardless of the date of grant of the options tendered for exchange. The amount by which the fair market value of the Common Stock on the exercise date of an ISO exceeds the purchase price generally will constitute an item which increases the participant’s “alternative minimum taxable income.” If Option Shares acquired upon the exercise of an ISO are disposed of in a disqualifying disposition, the participant generally would include in ordinary income in the year of disposition an amount equal to the excess of the fair market value of the Option Shares at the time of exercise (or, if less, the amount realized on the disposition of</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48" w:name="page49"/>
    <w:bookmarkEnd w:id="48"/>
    <w:p>
      <w:pPr>
        <w:ind w:right="240"/>
        <w:spacing w:after="0" w:line="264" w:lineRule="auto"/>
        <w:rPr>
          <w:sz w:val="20"/>
          <w:szCs w:val="20"/>
          <w:color w:val="auto"/>
        </w:rPr>
      </w:pPr>
      <w:r>
        <w:rPr>
          <w:rFonts w:ascii="Arial" w:cs="Arial" w:eastAsia="Arial" w:hAnsi="Arial"/>
          <w:sz w:val="18"/>
          <w:szCs w:val="18"/>
          <w:color w:val="auto"/>
        </w:rPr>
        <w:t>the Option Shares), over the exercise price paid for the Option Shares. Subject to certain exceptions, an ISO generally will not be treated as an ISO if it is exercised more than three months following termination of employment. If an ISO is exercised at a time when it no longer qualifies as an ISO, such option will be treated for tax purposes as an NQSO as discussed below.</w:t>
      </w:r>
    </w:p>
    <w:p>
      <w:pPr>
        <w:spacing w:after="0" w:line="154" w:lineRule="exact"/>
        <w:rPr>
          <w:sz w:val="20"/>
          <w:szCs w:val="20"/>
          <w:color w:val="auto"/>
        </w:rPr>
      </w:pPr>
    </w:p>
    <w:p>
      <w:pPr>
        <w:ind w:right="20" w:firstLine="450"/>
        <w:spacing w:after="0" w:line="272" w:lineRule="auto"/>
        <w:rPr>
          <w:sz w:val="20"/>
          <w:szCs w:val="20"/>
          <w:color w:val="auto"/>
        </w:rPr>
      </w:pPr>
      <w:r>
        <w:rPr>
          <w:rFonts w:ascii="Arial" w:cs="Arial" w:eastAsia="Arial" w:hAnsi="Arial"/>
          <w:sz w:val="17"/>
          <w:szCs w:val="17"/>
          <w:b w:val="1"/>
          <w:bCs w:val="1"/>
          <w:i w:val="1"/>
          <w:iCs w:val="1"/>
          <w:color w:val="auto"/>
        </w:rPr>
        <w:t xml:space="preserve">Nonqualified Stock Options. </w:t>
      </w:r>
      <w:r>
        <w:rPr>
          <w:rFonts w:ascii="Arial" w:cs="Arial" w:eastAsia="Arial" w:hAnsi="Arial"/>
          <w:sz w:val="17"/>
          <w:szCs w:val="17"/>
          <w:color w:val="auto"/>
        </w:rPr>
        <w:t>In general, no taxable income is realized by a participant upon the grant of an NQSO. Upon exercise of an NQSO,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participant generally would include in ordinary income at the time of exercise an amount equal to the excess, if any, of the fair market value of the Option Shares at the time of exercise over the exercise price paid for the Option Shares. In the event of a subsequent sale of Option Shares received upon the exercise of an NQSO, any appreciation or depreciation after the date on which taxable income is realized by the participant in respect of the option exercise will be taxed as capital gain in an amount equal to the excess of the sale proceeds for the Option Shares over the participant’s basis in such Option Shares. The participant’s basis in the Option Shares will generally equal the amount paid for the Option Shares plus the amount included in ordinary income by the participant upon exercise of the NQSO described in the immediately preceding paragraph.</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INFORMATION CONCERNING REGENERON PHARMACEUTICALS, INC.</w:t>
      </w:r>
    </w:p>
    <w:p>
      <w:pPr>
        <w:spacing w:after="0" w:line="189" w:lineRule="exact"/>
        <w:rPr>
          <w:sz w:val="20"/>
          <w:szCs w:val="20"/>
          <w:color w:val="auto"/>
        </w:rPr>
      </w:pPr>
    </w:p>
    <w:p>
      <w:pPr>
        <w:ind w:right="140" w:firstLine="450"/>
        <w:spacing w:after="0" w:line="257" w:lineRule="auto"/>
        <w:rPr>
          <w:sz w:val="20"/>
          <w:szCs w:val="20"/>
          <w:color w:val="auto"/>
        </w:rPr>
      </w:pPr>
      <w:r>
        <w:rPr>
          <w:rFonts w:ascii="Arial" w:cs="Arial" w:eastAsia="Arial" w:hAnsi="Arial"/>
          <w:sz w:val="18"/>
          <w:szCs w:val="18"/>
          <w:color w:val="auto"/>
        </w:rPr>
        <w:t>Regeneron Pharmaceuticals, Inc. is a biopharmaceutical company that discovers, develops, and intends to commercialize pharmaceutical products for the treatment of serious medical conditions. Our clinical and preclinical pipeline includes product candidates for the treatment of cancer, diseases of the eye, rheumatoid arthritis and other inflammatory conditions, allergies, asthma, obesity and other diseases and disorders. Developing and commercializing new medicines entails significant risk and expense. Since inception we have not generated any sales or profits from the commercialization of any of our product candidates.</w:t>
      </w:r>
    </w:p>
    <w:p>
      <w:pPr>
        <w:spacing w:after="0" w:line="161" w:lineRule="exact"/>
        <w:rPr>
          <w:sz w:val="20"/>
          <w:szCs w:val="20"/>
          <w:color w:val="auto"/>
        </w:rPr>
      </w:pPr>
    </w:p>
    <w:p>
      <w:pPr>
        <w:ind w:firstLine="450"/>
        <w:spacing w:after="0" w:line="270" w:lineRule="auto"/>
        <w:rPr>
          <w:sz w:val="20"/>
          <w:szCs w:val="20"/>
          <w:color w:val="auto"/>
        </w:rPr>
      </w:pPr>
      <w:r>
        <w:rPr>
          <w:rFonts w:ascii="Arial" w:cs="Arial" w:eastAsia="Arial" w:hAnsi="Arial"/>
          <w:sz w:val="17"/>
          <w:szCs w:val="17"/>
          <w:color w:val="auto"/>
        </w:rPr>
        <w:t>Our clinical candidates, as of September 30, 2004, include VEGF Trap, Interleukin-1 Trap (IL-1 Trap), Interleukin-4/Interleukin-13 Trap (IL-4/13 Trap) and AXOKINE®. VEGF Trap is a protein-based product candidate designed to bind Vascular Endothelial Growth Factor (called VEGF, also known as Vascular Permeability Factor or VPF) and the related Placental Growth Factor (called PlGF), and prevent their interaction with cell surface receptors. VEGF (and to a less validated degree, PlGF) is required for the growth of new blood vessels that are needed for tumors to grow and is a potent regulator of vascular permeability and leakage. IL-1 Trap is a protein-based product candidate designed to bind the interleukin-1 (called IL-1) cytokine and prevent its interaction with cell surface receptors. IL-1 is thought to play an important role in rheumatoid arthritis and other inflammatory diseases. IL-4/13 Trap is a protein-based product candidate designed to bind both the interleukin-4 and interleukin-13 (called IL-4 and IL-13) cytokines and prevent their interaction with cell surface receptors. IL-4 and IL-13 are thought to play a major role in diseases such as asthma, allergic disorders, and other inflammatory diseases. AXOKINE® is a protein-based product candidate designed</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to act on the brain region regulating appetite and energy expenditure. AXOKINE® is being developed for the treatment of obesity.</w:t>
      </w:r>
    </w:p>
    <w:p>
      <w:pPr>
        <w:spacing w:after="0" w:line="198" w:lineRule="exact"/>
        <w:rPr>
          <w:sz w:val="20"/>
          <w:szCs w:val="20"/>
          <w:color w:val="auto"/>
        </w:rPr>
      </w:pPr>
    </w:p>
    <w:p>
      <w:pPr>
        <w:ind w:right="80" w:firstLine="450"/>
        <w:spacing w:after="0" w:line="272" w:lineRule="auto"/>
        <w:rPr>
          <w:sz w:val="20"/>
          <w:szCs w:val="20"/>
          <w:color w:val="auto"/>
        </w:rPr>
      </w:pPr>
      <w:r>
        <w:rPr>
          <w:rFonts w:ascii="Arial" w:cs="Arial" w:eastAsia="Arial" w:hAnsi="Arial"/>
          <w:sz w:val="17"/>
          <w:szCs w:val="17"/>
          <w:color w:val="auto"/>
        </w:rPr>
        <w:t>Our core business strategy is to combine our strong foundation in basic scientific research and discovery-enabling technology with our manufacturing and clinical development capabilities to build a successful, integrated biopharmaceutical company. Our efforts have yielded a diverse and growing pipeline of product candidates that have the potential to address a variety of serious medical conditions. We believe that our ability to develop product candidates is enhanced by the application of our technology platforms. These platforms are designed to discover specific genes of therapeutic interest for a particular disease or cell type and validate targets through high-throughput production of mammalian models. We continue to invest in the development of enabling technologies to assist in our efforts to identify, develop and commercialize new product candidates. Our web address is www.regeneron.com. You should not consider the information on our website to be a part of the Offer.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of Certain Beneficial Owners.</w:t>
      </w:r>
    </w:p>
    <w:p>
      <w:pPr>
        <w:spacing w:after="0" w:line="189" w:lineRule="exact"/>
        <w:rPr>
          <w:sz w:val="20"/>
          <w:szCs w:val="20"/>
          <w:color w:val="auto"/>
        </w:rPr>
      </w:pPr>
    </w:p>
    <w:p>
      <w:pPr>
        <w:ind w:right="280" w:firstLine="450"/>
        <w:spacing w:after="0" w:line="277" w:lineRule="auto"/>
        <w:rPr>
          <w:sz w:val="20"/>
          <w:szCs w:val="20"/>
          <w:color w:val="auto"/>
        </w:rPr>
      </w:pPr>
      <w:r>
        <w:rPr>
          <w:rFonts w:ascii="Arial" w:cs="Arial" w:eastAsia="Arial" w:hAnsi="Arial"/>
          <w:sz w:val="18"/>
          <w:szCs w:val="18"/>
          <w:color w:val="auto"/>
        </w:rPr>
        <w:t>Set forth below is the name, address, and stock ownership of each person or group of persons known by the Company to own beneficially more than 5% of the outstanding shares of Common Stock and Class A Stock as of November 3, 2004.</w:t>
      </w:r>
    </w:p>
    <w:p>
      <w:pPr>
        <w:sectPr>
          <w:pgSz w:w="11900" w:h="16838" w:orient="portrait"/>
          <w:cols w:equalWidth="0" w:num="1">
            <w:col w:w="11440"/>
          </w:cols>
          <w:pgMar w:left="240" w:top="935" w:right="219" w:bottom="1440" w:gutter="0" w:footer="0" w:header="0"/>
        </w:sect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vMerge w:val="restart"/>
          </w:tcPr>
          <w:p>
            <w:pPr>
              <w:spacing w:after="0"/>
              <w:rPr>
                <w:sz w:val="20"/>
                <w:szCs w:val="20"/>
                <w:color w:val="auto"/>
              </w:rPr>
            </w:pPr>
            <w:r>
              <w:rPr>
                <w:rFonts w:ascii="Arial" w:cs="Arial" w:eastAsia="Arial" w:hAnsi="Arial"/>
                <w:sz w:val="14"/>
                <w:szCs w:val="14"/>
                <w:b w:val="1"/>
                <w:bCs w:val="1"/>
                <w:color w:val="auto"/>
              </w:rPr>
              <w:t>Name and Address</w:t>
            </w:r>
          </w:p>
        </w:tc>
        <w:tc>
          <w:tcPr>
            <w:tcW w:w="44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Shares of</w:t>
            </w:r>
          </w:p>
        </w:tc>
        <w:tc>
          <w:tcPr>
            <w:tcW w:w="0" w:type="dxa"/>
            <w:vAlign w:val="bottom"/>
          </w:tcPr>
          <w:p>
            <w:pPr>
              <w:spacing w:after="0"/>
              <w:rPr>
                <w:sz w:val="1"/>
                <w:szCs w:val="1"/>
                <w:color w:val="auto"/>
              </w:rPr>
            </w:pPr>
          </w:p>
        </w:tc>
      </w:tr>
      <w:tr>
        <w:trPr>
          <w:trHeight w:val="158"/>
        </w:trPr>
        <w:tc>
          <w:tcPr>
            <w:tcW w:w="484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144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89"/>
              </w:rPr>
              <w:t>Class A Stock</w:t>
            </w:r>
          </w:p>
        </w:tc>
        <w:tc>
          <w:tcPr>
            <w:tcW w:w="0" w:type="dxa"/>
            <w:vAlign w:val="bottom"/>
          </w:tcPr>
          <w:p>
            <w:pPr>
              <w:spacing w:after="0"/>
              <w:rPr>
                <w:sz w:val="1"/>
                <w:szCs w:val="1"/>
                <w:color w:val="auto"/>
              </w:rPr>
            </w:pPr>
          </w:p>
        </w:tc>
      </w:tr>
      <w:tr>
        <w:trPr>
          <w:trHeight w:val="269"/>
        </w:trPr>
        <w:tc>
          <w:tcPr>
            <w:tcW w:w="4840" w:type="dxa"/>
            <w:vAlign w:val="bottom"/>
            <w:tcBorders>
              <w:bottom w:val="single" w:sz="8" w:color="808080"/>
            </w:tcBorders>
          </w:tcPr>
          <w:p>
            <w:pPr>
              <w:spacing w:after="0"/>
              <w:rPr>
                <w:sz w:val="20"/>
                <w:szCs w:val="20"/>
                <w:color w:val="auto"/>
              </w:rPr>
            </w:pPr>
            <w:r>
              <w:rPr>
                <w:rFonts w:ascii="Arial" w:cs="Arial" w:eastAsia="Arial" w:hAnsi="Arial"/>
                <w:sz w:val="14"/>
                <w:szCs w:val="14"/>
                <w:b w:val="1"/>
                <w:bCs w:val="1"/>
                <w:color w:val="auto"/>
              </w:rPr>
              <w:t>of Beneficial Owner</w:t>
            </w:r>
          </w:p>
        </w:tc>
        <w:tc>
          <w:tcPr>
            <w:tcW w:w="440" w:type="dxa"/>
            <w:vAlign w:val="bottom"/>
          </w:tcPr>
          <w:p>
            <w:pPr>
              <w:spacing w:after="0"/>
              <w:rPr>
                <w:sz w:val="23"/>
                <w:szCs w:val="23"/>
                <w:color w:val="auto"/>
              </w:rPr>
            </w:pPr>
          </w:p>
        </w:tc>
        <w:tc>
          <w:tcPr>
            <w:tcW w:w="1440" w:type="dxa"/>
            <w:vAlign w:val="bottom"/>
            <w:tcBorders>
              <w:bottom w:val="single" w:sz="8" w:color="808080"/>
            </w:tcBorders>
          </w:tcPr>
          <w:p>
            <w:pPr>
              <w:jc w:val="center"/>
              <w:spacing w:after="0"/>
              <w:rPr>
                <w:sz w:val="20"/>
                <w:szCs w:val="20"/>
                <w:color w:val="auto"/>
              </w:rPr>
            </w:pPr>
            <w:r>
              <w:rPr>
                <w:rFonts w:ascii="Arial" w:cs="Arial" w:eastAsia="Arial" w:hAnsi="Arial"/>
                <w:sz w:val="14"/>
                <w:szCs w:val="14"/>
                <w:b w:val="1"/>
                <w:bCs w:val="1"/>
                <w:color w:val="auto"/>
                <w:w w:val="91"/>
              </w:rPr>
              <w:t>Beneficially Owned</w:t>
            </w:r>
            <w:r>
              <w:rPr>
                <w:rFonts w:ascii="Arial" w:cs="Arial" w:eastAsia="Arial" w:hAnsi="Arial"/>
                <w:sz w:val="23"/>
                <w:szCs w:val="23"/>
                <w:b w:val="1"/>
                <w:bCs w:val="1"/>
                <w:color w:val="auto"/>
                <w:w w:val="91"/>
                <w:vertAlign w:val="superscript"/>
              </w:rPr>
              <w:t>1</w:t>
            </w:r>
          </w:p>
        </w:tc>
        <w:tc>
          <w:tcPr>
            <w:tcW w:w="0" w:type="dxa"/>
            <w:vAlign w:val="bottom"/>
          </w:tcPr>
          <w:p>
            <w:pPr>
              <w:spacing w:after="0"/>
              <w:rPr>
                <w:sz w:val="1"/>
                <w:szCs w:val="1"/>
                <w:color w:val="auto"/>
              </w:rPr>
            </w:pPr>
          </w:p>
        </w:tc>
      </w:tr>
      <w:tr>
        <w:trPr>
          <w:trHeight w:val="277"/>
        </w:trPr>
        <w:tc>
          <w:tcPr>
            <w:tcW w:w="4840" w:type="dxa"/>
            <w:vAlign w:val="bottom"/>
          </w:tcPr>
          <w:p>
            <w:pPr>
              <w:spacing w:after="0"/>
              <w:rPr>
                <w:sz w:val="20"/>
                <w:szCs w:val="20"/>
                <w:color w:val="auto"/>
              </w:rPr>
            </w:pPr>
            <w:r>
              <w:rPr>
                <w:rFonts w:ascii="Arial" w:cs="Arial" w:eastAsia="Arial" w:hAnsi="Arial"/>
                <w:sz w:val="18"/>
                <w:szCs w:val="18"/>
                <w:color w:val="auto"/>
              </w:rPr>
              <w:t>Leonard S. Schleifer, M.D., Ph.D.</w:t>
            </w:r>
          </w:p>
        </w:tc>
        <w:tc>
          <w:tcPr>
            <w:tcW w:w="1880" w:type="dxa"/>
            <w:vAlign w:val="bottom"/>
            <w:gridSpan w:val="2"/>
          </w:tcPr>
          <w:p>
            <w:pPr>
              <w:jc w:val="center"/>
              <w:ind w:left="350"/>
              <w:spacing w:after="0" w:line="276" w:lineRule="exact"/>
              <w:rPr>
                <w:sz w:val="20"/>
                <w:szCs w:val="20"/>
                <w:color w:val="auto"/>
              </w:rPr>
            </w:pPr>
            <w:r>
              <w:rPr>
                <w:rFonts w:ascii="Arial" w:cs="Arial" w:eastAsia="Arial" w:hAnsi="Arial"/>
                <w:sz w:val="18"/>
                <w:szCs w:val="18"/>
                <w:color w:val="auto"/>
                <w:w w:val="87"/>
              </w:rPr>
              <w:t>1,769,340</w:t>
            </w:r>
            <w:r>
              <w:rPr>
                <w:rFonts w:ascii="Arial" w:cs="Arial" w:eastAsia="Arial" w:hAnsi="Arial"/>
                <w:sz w:val="30"/>
                <w:szCs w:val="30"/>
                <w:color w:val="auto"/>
                <w:w w:val="87"/>
                <w:vertAlign w:val="superscript"/>
              </w:rPr>
              <w:t>4</w:t>
            </w:r>
          </w:p>
        </w:tc>
        <w:tc>
          <w:tcPr>
            <w:tcW w:w="0" w:type="dxa"/>
            <w:vAlign w:val="bottom"/>
          </w:tcPr>
          <w:p>
            <w:pPr>
              <w:spacing w:after="0"/>
              <w:rPr>
                <w:sz w:val="1"/>
                <w:szCs w:val="1"/>
                <w:color w:val="auto"/>
              </w:rPr>
            </w:pPr>
          </w:p>
        </w:tc>
      </w:tr>
      <w:tr>
        <w:trPr>
          <w:trHeight w:val="215"/>
        </w:trPr>
        <w:tc>
          <w:tcPr>
            <w:tcW w:w="4840" w:type="dxa"/>
            <w:vAlign w:val="bottom"/>
          </w:tcPr>
          <w:p>
            <w:pPr>
              <w:ind w:left="140"/>
              <w:spacing w:after="0"/>
              <w:rPr>
                <w:sz w:val="20"/>
                <w:szCs w:val="20"/>
                <w:color w:val="auto"/>
              </w:rPr>
            </w:pPr>
            <w:r>
              <w:rPr>
                <w:rFonts w:ascii="Arial" w:cs="Arial" w:eastAsia="Arial" w:hAnsi="Arial"/>
                <w:sz w:val="18"/>
                <w:szCs w:val="18"/>
                <w:color w:val="auto"/>
              </w:rPr>
              <w:t>c/o Regeneron, Inc.</w:t>
            </w: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140"/>
              <w:spacing w:after="0"/>
              <w:rPr>
                <w:sz w:val="20"/>
                <w:szCs w:val="20"/>
                <w:color w:val="auto"/>
              </w:rPr>
            </w:pPr>
            <w:r>
              <w:rPr>
                <w:rFonts w:ascii="Arial" w:cs="Arial" w:eastAsia="Arial" w:hAnsi="Arial"/>
                <w:sz w:val="18"/>
                <w:szCs w:val="18"/>
                <w:color w:val="auto"/>
              </w:rPr>
              <w:t>777 Old Saw Mill River Road</w:t>
            </w: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140"/>
              <w:spacing w:after="0"/>
              <w:rPr>
                <w:sz w:val="20"/>
                <w:szCs w:val="20"/>
                <w:color w:val="auto"/>
              </w:rPr>
            </w:pPr>
            <w:r>
              <w:rPr>
                <w:rFonts w:ascii="Arial" w:cs="Arial" w:eastAsia="Arial" w:hAnsi="Arial"/>
                <w:sz w:val="18"/>
                <w:szCs w:val="18"/>
                <w:color w:val="auto"/>
              </w:rPr>
              <w:t>Tarrytown, NY 10591</w:t>
            </w: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Novartis Pharma AG</w:t>
            </w:r>
          </w:p>
        </w:tc>
        <w:tc>
          <w:tcPr>
            <w:tcW w:w="1880" w:type="dxa"/>
            <w:vAlign w:val="bottom"/>
            <w:gridSpan w:val="2"/>
          </w:tcPr>
          <w:p>
            <w:pPr>
              <w:jc w:val="center"/>
              <w:ind w:left="350"/>
              <w:spacing w:after="0"/>
              <w:rPr>
                <w:sz w:val="20"/>
                <w:szCs w:val="20"/>
                <w:color w:val="auto"/>
              </w:rPr>
            </w:pPr>
            <w:r>
              <w:rPr>
                <w:rFonts w:ascii="Arial" w:cs="Arial" w:eastAsia="Arial" w:hAnsi="Arial"/>
                <w:sz w:val="18"/>
                <w:szCs w:val="18"/>
                <w:color w:val="auto"/>
                <w:w w:val="79"/>
              </w:rPr>
              <w:t>0</w:t>
            </w:r>
          </w:p>
        </w:tc>
        <w:tc>
          <w:tcPr>
            <w:tcW w:w="0" w:type="dxa"/>
            <w:vAlign w:val="bottom"/>
          </w:tcPr>
          <w:p>
            <w:pPr>
              <w:spacing w:after="0"/>
              <w:rPr>
                <w:sz w:val="1"/>
                <w:szCs w:val="1"/>
                <w:color w:val="auto"/>
              </w:rPr>
            </w:pPr>
          </w:p>
        </w:tc>
      </w:tr>
      <w:tr>
        <w:trPr>
          <w:trHeight w:val="216"/>
        </w:trPr>
        <w:tc>
          <w:tcPr>
            <w:tcW w:w="4840" w:type="dxa"/>
            <w:vAlign w:val="bottom"/>
          </w:tcPr>
          <w:p>
            <w:pPr>
              <w:ind w:left="140"/>
              <w:spacing w:after="0"/>
              <w:rPr>
                <w:sz w:val="20"/>
                <w:szCs w:val="20"/>
                <w:color w:val="auto"/>
              </w:rPr>
            </w:pPr>
            <w:r>
              <w:rPr>
                <w:rFonts w:ascii="Arial" w:cs="Arial" w:eastAsia="Arial" w:hAnsi="Arial"/>
                <w:sz w:val="18"/>
                <w:szCs w:val="18"/>
                <w:color w:val="auto"/>
              </w:rPr>
              <w:t>Lichstrasse 35</w:t>
            </w: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140"/>
              <w:spacing w:after="0"/>
              <w:rPr>
                <w:sz w:val="20"/>
                <w:szCs w:val="20"/>
                <w:color w:val="auto"/>
              </w:rPr>
            </w:pPr>
            <w:r>
              <w:rPr>
                <w:rFonts w:ascii="Arial" w:cs="Arial" w:eastAsia="Arial" w:hAnsi="Arial"/>
                <w:sz w:val="18"/>
                <w:szCs w:val="18"/>
                <w:color w:val="auto"/>
              </w:rPr>
              <w:t>CH-4002 Basel, Switzerland</w:t>
            </w: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FMR Corp.</w:t>
            </w:r>
          </w:p>
        </w:tc>
        <w:tc>
          <w:tcPr>
            <w:tcW w:w="1880" w:type="dxa"/>
            <w:vAlign w:val="bottom"/>
            <w:gridSpan w:val="2"/>
          </w:tcPr>
          <w:p>
            <w:pPr>
              <w:jc w:val="center"/>
              <w:ind w:left="350"/>
              <w:spacing w:after="0"/>
              <w:rPr>
                <w:sz w:val="20"/>
                <w:szCs w:val="20"/>
                <w:color w:val="auto"/>
              </w:rPr>
            </w:pPr>
            <w:r>
              <w:rPr>
                <w:rFonts w:ascii="Arial" w:cs="Arial" w:eastAsia="Arial" w:hAnsi="Arial"/>
                <w:sz w:val="18"/>
                <w:szCs w:val="18"/>
                <w:color w:val="auto"/>
                <w:w w:val="79"/>
              </w:rPr>
              <w:t>0</w:t>
            </w:r>
          </w:p>
        </w:tc>
        <w:tc>
          <w:tcPr>
            <w:tcW w:w="0" w:type="dxa"/>
            <w:vAlign w:val="bottom"/>
          </w:tcPr>
          <w:p>
            <w:pPr>
              <w:spacing w:after="0"/>
              <w:rPr>
                <w:sz w:val="1"/>
                <w:szCs w:val="1"/>
                <w:color w:val="auto"/>
              </w:rPr>
            </w:pPr>
          </w:p>
        </w:tc>
      </w:tr>
      <w:tr>
        <w:trPr>
          <w:trHeight w:val="216"/>
        </w:trPr>
        <w:tc>
          <w:tcPr>
            <w:tcW w:w="4840" w:type="dxa"/>
            <w:vAlign w:val="bottom"/>
          </w:tcPr>
          <w:p>
            <w:pPr>
              <w:ind w:left="140"/>
              <w:spacing w:after="0"/>
              <w:rPr>
                <w:sz w:val="20"/>
                <w:szCs w:val="20"/>
                <w:color w:val="auto"/>
              </w:rPr>
            </w:pPr>
            <w:r>
              <w:rPr>
                <w:rFonts w:ascii="Arial" w:cs="Arial" w:eastAsia="Arial" w:hAnsi="Arial"/>
                <w:sz w:val="18"/>
                <w:szCs w:val="18"/>
                <w:color w:val="auto"/>
              </w:rPr>
              <w:t>82 Devonshire Street</w:t>
            </w: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140"/>
              <w:spacing w:after="0"/>
              <w:rPr>
                <w:sz w:val="20"/>
                <w:szCs w:val="20"/>
                <w:color w:val="auto"/>
              </w:rPr>
            </w:pPr>
            <w:r>
              <w:rPr>
                <w:rFonts w:ascii="Arial" w:cs="Arial" w:eastAsia="Arial" w:hAnsi="Arial"/>
                <w:sz w:val="18"/>
                <w:szCs w:val="18"/>
                <w:color w:val="auto"/>
              </w:rPr>
              <w:t>Boston, Massachusetts 02109</w:t>
            </w: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Kedge Capital Funds Limited,</w:t>
            </w:r>
          </w:p>
        </w:tc>
        <w:tc>
          <w:tcPr>
            <w:tcW w:w="1880" w:type="dxa"/>
            <w:vAlign w:val="bottom"/>
            <w:gridSpan w:val="2"/>
          </w:tcPr>
          <w:p>
            <w:pPr>
              <w:jc w:val="center"/>
              <w:ind w:left="350"/>
              <w:spacing w:after="0"/>
              <w:rPr>
                <w:sz w:val="20"/>
                <w:szCs w:val="20"/>
                <w:color w:val="auto"/>
              </w:rPr>
            </w:pPr>
            <w:r>
              <w:rPr>
                <w:rFonts w:ascii="Arial" w:cs="Arial" w:eastAsia="Arial" w:hAnsi="Arial"/>
                <w:sz w:val="18"/>
                <w:szCs w:val="18"/>
                <w:color w:val="auto"/>
                <w:w w:val="79"/>
              </w:rPr>
              <w:t>0</w:t>
            </w:r>
          </w:p>
        </w:tc>
        <w:tc>
          <w:tcPr>
            <w:tcW w:w="0" w:type="dxa"/>
            <w:vAlign w:val="bottom"/>
          </w:tcPr>
          <w:p>
            <w:pPr>
              <w:spacing w:after="0"/>
              <w:rPr>
                <w:sz w:val="1"/>
                <w:szCs w:val="1"/>
                <w:color w:val="auto"/>
              </w:rPr>
            </w:pPr>
          </w:p>
        </w:tc>
      </w:tr>
      <w:tr>
        <w:trPr>
          <w:trHeight w:val="216"/>
        </w:trPr>
        <w:tc>
          <w:tcPr>
            <w:tcW w:w="4840" w:type="dxa"/>
            <w:vAlign w:val="bottom"/>
          </w:tcPr>
          <w:p>
            <w:pPr>
              <w:ind w:left="140"/>
              <w:spacing w:after="0"/>
              <w:rPr>
                <w:sz w:val="20"/>
                <w:szCs w:val="20"/>
                <w:color w:val="auto"/>
              </w:rPr>
            </w:pPr>
            <w:r>
              <w:rPr>
                <w:rFonts w:ascii="Arial" w:cs="Arial" w:eastAsia="Arial" w:hAnsi="Arial"/>
                <w:sz w:val="18"/>
                <w:szCs w:val="18"/>
                <w:color w:val="auto"/>
              </w:rPr>
              <w:t>Special Situations 1 Fund</w:t>
            </w: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140"/>
              <w:spacing w:after="0"/>
              <w:rPr>
                <w:sz w:val="20"/>
                <w:szCs w:val="20"/>
                <w:color w:val="auto"/>
              </w:rPr>
            </w:pPr>
            <w:r>
              <w:rPr>
                <w:rFonts w:ascii="Arial" w:cs="Arial" w:eastAsia="Arial" w:hAnsi="Arial"/>
                <w:sz w:val="18"/>
                <w:szCs w:val="18"/>
                <w:color w:val="auto"/>
              </w:rPr>
              <w:t>Lord Coutanche House</w:t>
            </w: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140"/>
              <w:spacing w:after="0"/>
              <w:rPr>
                <w:sz w:val="20"/>
                <w:szCs w:val="20"/>
                <w:color w:val="auto"/>
              </w:rPr>
            </w:pPr>
            <w:r>
              <w:rPr>
                <w:rFonts w:ascii="Arial" w:cs="Arial" w:eastAsia="Arial" w:hAnsi="Arial"/>
                <w:sz w:val="18"/>
                <w:szCs w:val="18"/>
                <w:color w:val="auto"/>
              </w:rPr>
              <w:t>66-68 Esplanade St. Helier</w:t>
            </w: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140"/>
              <w:spacing w:after="0"/>
              <w:rPr>
                <w:sz w:val="20"/>
                <w:szCs w:val="20"/>
                <w:color w:val="auto"/>
              </w:rPr>
            </w:pPr>
            <w:r>
              <w:rPr>
                <w:rFonts w:ascii="Arial" w:cs="Arial" w:eastAsia="Arial" w:hAnsi="Arial"/>
                <w:sz w:val="18"/>
                <w:szCs w:val="18"/>
                <w:color w:val="auto"/>
              </w:rPr>
              <w:t>Jersey (Channel Islands)</w:t>
            </w: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140"/>
              <w:spacing w:after="0"/>
              <w:rPr>
                <w:sz w:val="20"/>
                <w:szCs w:val="20"/>
                <w:color w:val="auto"/>
              </w:rPr>
            </w:pPr>
            <w:r>
              <w:rPr>
                <w:rFonts w:ascii="Arial" w:cs="Arial" w:eastAsia="Arial" w:hAnsi="Arial"/>
                <w:sz w:val="18"/>
                <w:szCs w:val="18"/>
                <w:color w:val="auto"/>
              </w:rPr>
              <w:t>JE4 5YQ</w:t>
            </w: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Amgen Inc.</w:t>
            </w:r>
          </w:p>
        </w:tc>
        <w:tc>
          <w:tcPr>
            <w:tcW w:w="1880" w:type="dxa"/>
            <w:vAlign w:val="bottom"/>
            <w:gridSpan w:val="2"/>
          </w:tcPr>
          <w:p>
            <w:pPr>
              <w:jc w:val="center"/>
              <w:ind w:left="350"/>
              <w:spacing w:after="0"/>
              <w:rPr>
                <w:sz w:val="20"/>
                <w:szCs w:val="20"/>
                <w:color w:val="auto"/>
              </w:rPr>
            </w:pPr>
            <w:r>
              <w:rPr>
                <w:rFonts w:ascii="Arial" w:cs="Arial" w:eastAsia="Arial" w:hAnsi="Arial"/>
                <w:sz w:val="18"/>
                <w:szCs w:val="18"/>
                <w:color w:val="auto"/>
                <w:w w:val="79"/>
              </w:rPr>
              <w:t>0</w:t>
            </w:r>
          </w:p>
        </w:tc>
        <w:tc>
          <w:tcPr>
            <w:tcW w:w="0" w:type="dxa"/>
            <w:vAlign w:val="bottom"/>
          </w:tcPr>
          <w:p>
            <w:pPr>
              <w:spacing w:after="0"/>
              <w:rPr>
                <w:sz w:val="1"/>
                <w:szCs w:val="1"/>
                <w:color w:val="auto"/>
              </w:rPr>
            </w:pPr>
          </w:p>
        </w:tc>
      </w:tr>
      <w:tr>
        <w:trPr>
          <w:trHeight w:val="216"/>
        </w:trPr>
        <w:tc>
          <w:tcPr>
            <w:tcW w:w="4840" w:type="dxa"/>
            <w:vAlign w:val="bottom"/>
          </w:tcPr>
          <w:p>
            <w:pPr>
              <w:ind w:left="140"/>
              <w:spacing w:after="0"/>
              <w:rPr>
                <w:sz w:val="20"/>
                <w:szCs w:val="20"/>
                <w:color w:val="auto"/>
              </w:rPr>
            </w:pPr>
            <w:r>
              <w:rPr>
                <w:rFonts w:ascii="Arial" w:cs="Arial" w:eastAsia="Arial" w:hAnsi="Arial"/>
                <w:sz w:val="18"/>
                <w:szCs w:val="18"/>
                <w:color w:val="auto"/>
              </w:rPr>
              <w:t>One Amgen Center Drive</w:t>
            </w: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140"/>
              <w:spacing w:after="0"/>
              <w:rPr>
                <w:sz w:val="20"/>
                <w:szCs w:val="20"/>
                <w:color w:val="auto"/>
              </w:rPr>
            </w:pPr>
            <w:r>
              <w:rPr>
                <w:rFonts w:ascii="Arial" w:cs="Arial" w:eastAsia="Arial" w:hAnsi="Arial"/>
                <w:sz w:val="18"/>
                <w:szCs w:val="18"/>
                <w:color w:val="auto"/>
              </w:rPr>
              <w:t>Thousand Oaks, California 91320</w:t>
            </w: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Aventis Pharmaceuticals Inc.</w:t>
            </w:r>
          </w:p>
        </w:tc>
        <w:tc>
          <w:tcPr>
            <w:tcW w:w="1880" w:type="dxa"/>
            <w:vAlign w:val="bottom"/>
            <w:gridSpan w:val="2"/>
          </w:tcPr>
          <w:p>
            <w:pPr>
              <w:jc w:val="center"/>
              <w:ind w:left="350"/>
              <w:spacing w:after="0"/>
              <w:rPr>
                <w:sz w:val="20"/>
                <w:szCs w:val="20"/>
                <w:color w:val="auto"/>
              </w:rPr>
            </w:pPr>
            <w:r>
              <w:rPr>
                <w:rFonts w:ascii="Arial" w:cs="Arial" w:eastAsia="Arial" w:hAnsi="Arial"/>
                <w:sz w:val="18"/>
                <w:szCs w:val="18"/>
                <w:color w:val="auto"/>
                <w:w w:val="79"/>
              </w:rPr>
              <w:t>0</w:t>
            </w:r>
          </w:p>
        </w:tc>
        <w:tc>
          <w:tcPr>
            <w:tcW w:w="0" w:type="dxa"/>
            <w:vAlign w:val="bottom"/>
          </w:tcPr>
          <w:p>
            <w:pPr>
              <w:spacing w:after="0"/>
              <w:rPr>
                <w:sz w:val="1"/>
                <w:szCs w:val="1"/>
                <w:color w:val="auto"/>
              </w:rPr>
            </w:pPr>
          </w:p>
        </w:tc>
      </w:tr>
      <w:tr>
        <w:trPr>
          <w:trHeight w:val="216"/>
        </w:trPr>
        <w:tc>
          <w:tcPr>
            <w:tcW w:w="4840" w:type="dxa"/>
            <w:vAlign w:val="bottom"/>
          </w:tcPr>
          <w:p>
            <w:pPr>
              <w:ind w:left="140"/>
              <w:spacing w:after="0"/>
              <w:rPr>
                <w:sz w:val="20"/>
                <w:szCs w:val="20"/>
                <w:color w:val="auto"/>
              </w:rPr>
            </w:pPr>
            <w:r>
              <w:rPr>
                <w:rFonts w:ascii="Arial" w:cs="Arial" w:eastAsia="Arial" w:hAnsi="Arial"/>
                <w:sz w:val="18"/>
                <w:szCs w:val="18"/>
                <w:color w:val="auto"/>
              </w:rPr>
              <w:t>300 Somerset Corporate Boulevard</w:t>
            </w: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140"/>
              <w:spacing w:after="0"/>
              <w:rPr>
                <w:sz w:val="20"/>
                <w:szCs w:val="20"/>
                <w:color w:val="auto"/>
              </w:rPr>
            </w:pPr>
            <w:r>
              <w:rPr>
                <w:rFonts w:ascii="Arial" w:cs="Arial" w:eastAsia="Arial" w:hAnsi="Arial"/>
                <w:sz w:val="18"/>
                <w:szCs w:val="18"/>
                <w:color w:val="auto"/>
              </w:rPr>
              <w:t>Bridgewater, New Jersey 08807</w:t>
            </w: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-3018155</wp:posOffset>
            </wp:positionV>
            <wp:extent cx="7246620" cy="548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-2057400</wp:posOffset>
            </wp:positionV>
            <wp:extent cx="7246620" cy="4114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-822325</wp:posOffset>
            </wp:positionV>
            <wp:extent cx="7246620" cy="4114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13208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Number of Shares of</w:t>
            </w:r>
          </w:p>
        </w:tc>
        <w:tc>
          <w:tcPr>
            <w:tcW w:w="440" w:type="dxa"/>
            <w:vAlign w:val="bottom"/>
          </w:tcPr>
          <w:p>
            <w:pPr>
              <w:spacing w:after="0"/>
              <w:rPr>
                <w:sz w:val="14"/>
                <w:szCs w:val="14"/>
                <w:color w:val="auto"/>
              </w:rPr>
            </w:pPr>
          </w:p>
        </w:tc>
        <w:tc>
          <w:tcPr>
            <w:tcW w:w="14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Percentage of Common</w:t>
            </w:r>
          </w:p>
        </w:tc>
        <w:tc>
          <w:tcPr>
            <w:tcW w:w="0" w:type="dxa"/>
            <w:vAlign w:val="bottom"/>
          </w:tcPr>
          <w:p>
            <w:pPr>
              <w:spacing w:after="0"/>
              <w:rPr>
                <w:sz w:val="1"/>
                <w:szCs w:val="1"/>
                <w:color w:val="auto"/>
              </w:rPr>
            </w:pPr>
          </w:p>
        </w:tc>
      </w:tr>
      <w:tr>
        <w:trPr>
          <w:trHeight w:val="149"/>
        </w:trPr>
        <w:tc>
          <w:tcPr>
            <w:tcW w:w="240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4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Stock and Class A</w:t>
            </w:r>
          </w:p>
        </w:tc>
        <w:tc>
          <w:tcPr>
            <w:tcW w:w="0" w:type="dxa"/>
            <w:vAlign w:val="bottom"/>
          </w:tcPr>
          <w:p>
            <w:pPr>
              <w:spacing w:after="0"/>
              <w:rPr>
                <w:sz w:val="1"/>
                <w:szCs w:val="1"/>
                <w:color w:val="auto"/>
              </w:rPr>
            </w:pPr>
          </w:p>
        </w:tc>
      </w:tr>
      <w:tr>
        <w:trPr>
          <w:trHeight w:val="158"/>
        </w:trPr>
        <w:tc>
          <w:tcPr>
            <w:tcW w:w="240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3"/>
              </w:rPr>
              <w:t>Common Stock</w:t>
            </w:r>
          </w:p>
        </w:tc>
        <w:tc>
          <w:tcPr>
            <w:tcW w:w="440" w:type="dxa"/>
            <w:vAlign w:val="bottom"/>
          </w:tcPr>
          <w:p>
            <w:pPr>
              <w:spacing w:after="0"/>
              <w:rPr>
                <w:sz w:val="13"/>
                <w:szCs w:val="13"/>
                <w:color w:val="auto"/>
              </w:rPr>
            </w:pPr>
          </w:p>
        </w:tc>
        <w:tc>
          <w:tcPr>
            <w:tcW w:w="1440" w:type="dxa"/>
            <w:vAlign w:val="bottom"/>
            <w:gridSpan w:val="2"/>
          </w:tcPr>
          <w:p>
            <w:pPr>
              <w:jc w:val="center"/>
              <w:ind w:right="20"/>
              <w:spacing w:after="0" w:line="159" w:lineRule="exact"/>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269"/>
        </w:trPr>
        <w:tc>
          <w:tcPr>
            <w:tcW w:w="2400" w:type="dxa"/>
            <w:vAlign w:val="bottom"/>
            <w:tcBorders>
              <w:bottom w:val="single" w:sz="8" w:color="808080"/>
            </w:tcBorders>
          </w:tcPr>
          <w:p>
            <w:pPr>
              <w:jc w:val="center"/>
              <w:spacing w:after="0"/>
              <w:rPr>
                <w:sz w:val="20"/>
                <w:szCs w:val="20"/>
                <w:color w:val="auto"/>
              </w:rPr>
            </w:pPr>
            <w:r>
              <w:rPr>
                <w:rFonts w:ascii="Arial" w:cs="Arial" w:eastAsia="Arial" w:hAnsi="Arial"/>
                <w:sz w:val="14"/>
                <w:szCs w:val="14"/>
                <w:b w:val="1"/>
                <w:bCs w:val="1"/>
                <w:color w:val="auto"/>
                <w:w w:val="90"/>
              </w:rPr>
              <w:t>Beneficially Owned</w:t>
            </w:r>
            <w:r>
              <w:rPr>
                <w:rFonts w:ascii="Arial" w:cs="Arial" w:eastAsia="Arial" w:hAnsi="Arial"/>
                <w:sz w:val="23"/>
                <w:szCs w:val="23"/>
                <w:b w:val="1"/>
                <w:bCs w:val="1"/>
                <w:color w:val="auto"/>
                <w:w w:val="90"/>
                <w:vertAlign w:val="superscript"/>
              </w:rPr>
              <w:t>2</w:t>
            </w:r>
          </w:p>
        </w:tc>
        <w:tc>
          <w:tcPr>
            <w:tcW w:w="440" w:type="dxa"/>
            <w:vAlign w:val="bottom"/>
          </w:tcPr>
          <w:p>
            <w:pPr>
              <w:spacing w:after="0"/>
              <w:rPr>
                <w:sz w:val="23"/>
                <w:szCs w:val="23"/>
                <w:color w:val="auto"/>
              </w:rPr>
            </w:pPr>
          </w:p>
        </w:tc>
        <w:tc>
          <w:tcPr>
            <w:tcW w:w="1420" w:type="dxa"/>
            <w:vAlign w:val="bottom"/>
            <w:tcBorders>
              <w:bottom w:val="single" w:sz="8" w:color="808080"/>
            </w:tcBorders>
          </w:tcPr>
          <w:p>
            <w:pPr>
              <w:jc w:val="center"/>
              <w:spacing w:after="0"/>
              <w:rPr>
                <w:sz w:val="20"/>
                <w:szCs w:val="20"/>
                <w:color w:val="auto"/>
              </w:rPr>
            </w:pPr>
            <w:r>
              <w:rPr>
                <w:rFonts w:ascii="Arial" w:cs="Arial" w:eastAsia="Arial" w:hAnsi="Arial"/>
                <w:sz w:val="14"/>
                <w:szCs w:val="14"/>
                <w:b w:val="1"/>
                <w:bCs w:val="1"/>
                <w:color w:val="auto"/>
                <w:w w:val="91"/>
              </w:rPr>
              <w:t>Beneficially Owned</w:t>
            </w:r>
            <w:r>
              <w:rPr>
                <w:rFonts w:ascii="Arial" w:cs="Arial" w:eastAsia="Arial" w:hAnsi="Arial"/>
                <w:sz w:val="23"/>
                <w:szCs w:val="23"/>
                <w:b w:val="1"/>
                <w:bCs w:val="1"/>
                <w:color w:val="auto"/>
                <w:w w:val="91"/>
                <w:vertAlign w:val="superscript"/>
              </w:rPr>
              <w:t>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4"/>
        </w:trPr>
        <w:tc>
          <w:tcPr>
            <w:tcW w:w="2400" w:type="dxa"/>
            <w:vAlign w:val="bottom"/>
          </w:tcPr>
          <w:p>
            <w:pPr>
              <w:jc w:val="right"/>
              <w:ind w:right="678"/>
              <w:spacing w:after="0"/>
              <w:rPr>
                <w:sz w:val="20"/>
                <w:szCs w:val="20"/>
                <w:color w:val="auto"/>
              </w:rPr>
            </w:pPr>
            <w:r>
              <w:rPr>
                <w:rFonts w:ascii="Arial" w:cs="Arial" w:eastAsia="Arial" w:hAnsi="Arial"/>
                <w:sz w:val="18"/>
                <w:szCs w:val="18"/>
                <w:color w:val="auto"/>
              </w:rPr>
              <w:t>1,138,877</w:t>
            </w:r>
            <w:r>
              <w:rPr>
                <w:rFonts w:ascii="Arial" w:cs="Arial" w:eastAsia="Arial" w:hAnsi="Arial"/>
                <w:sz w:val="30"/>
                <w:szCs w:val="30"/>
                <w:color w:val="auto"/>
                <w:vertAlign w:val="superscript"/>
              </w:rPr>
              <w:t>5</w:t>
            </w:r>
          </w:p>
        </w:tc>
        <w:tc>
          <w:tcPr>
            <w:tcW w:w="1860" w:type="dxa"/>
            <w:vAlign w:val="bottom"/>
            <w:gridSpan w:val="2"/>
          </w:tcPr>
          <w:p>
            <w:pPr>
              <w:jc w:val="right"/>
              <w:ind w:right="488"/>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4"/>
        </w:trPr>
        <w:tc>
          <w:tcPr>
            <w:tcW w:w="2400" w:type="dxa"/>
            <w:vAlign w:val="bottom"/>
          </w:tcPr>
          <w:p>
            <w:pPr>
              <w:jc w:val="right"/>
              <w:ind w:right="678"/>
              <w:spacing w:after="0"/>
              <w:rPr>
                <w:sz w:val="20"/>
                <w:szCs w:val="20"/>
                <w:color w:val="auto"/>
              </w:rPr>
            </w:pPr>
            <w:r>
              <w:rPr>
                <w:rFonts w:ascii="Arial" w:cs="Arial" w:eastAsia="Arial" w:hAnsi="Arial"/>
                <w:sz w:val="18"/>
                <w:szCs w:val="18"/>
                <w:color w:val="auto"/>
              </w:rPr>
              <w:t>7,527,050</w:t>
            </w:r>
            <w:r>
              <w:rPr>
                <w:rFonts w:ascii="Arial" w:cs="Arial" w:eastAsia="Arial" w:hAnsi="Arial"/>
                <w:sz w:val="30"/>
                <w:szCs w:val="30"/>
                <w:color w:val="auto"/>
                <w:vertAlign w:val="superscript"/>
              </w:rPr>
              <w:t>6</w:t>
            </w:r>
          </w:p>
        </w:tc>
        <w:tc>
          <w:tcPr>
            <w:tcW w:w="1860" w:type="dxa"/>
            <w:vAlign w:val="bottom"/>
            <w:gridSpan w:val="2"/>
          </w:tcPr>
          <w:p>
            <w:pPr>
              <w:jc w:val="right"/>
              <w:ind w:right="488"/>
              <w:spacing w:after="0"/>
              <w:rPr>
                <w:sz w:val="20"/>
                <w:szCs w:val="20"/>
                <w:color w:val="auto"/>
              </w:rPr>
            </w:pPr>
            <w:r>
              <w:rPr>
                <w:rFonts w:ascii="Arial" w:cs="Arial" w:eastAsia="Arial" w:hAnsi="Arial"/>
                <w:sz w:val="18"/>
                <w:szCs w:val="18"/>
                <w:color w:val="auto"/>
              </w:rPr>
              <w:t>13.5%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400" w:type="dxa"/>
            <w:vAlign w:val="bottom"/>
          </w:tcPr>
          <w:p>
            <w:pPr>
              <w:jc w:val="right"/>
              <w:ind w:right="678"/>
              <w:spacing w:after="0"/>
              <w:rPr>
                <w:sz w:val="20"/>
                <w:szCs w:val="20"/>
                <w:color w:val="auto"/>
              </w:rPr>
            </w:pPr>
            <w:r>
              <w:rPr>
                <w:rFonts w:ascii="Arial" w:cs="Arial" w:eastAsia="Arial" w:hAnsi="Arial"/>
                <w:sz w:val="18"/>
                <w:szCs w:val="18"/>
                <w:color w:val="auto"/>
              </w:rPr>
              <w:t>6,381,228</w:t>
            </w:r>
            <w:r>
              <w:rPr>
                <w:rFonts w:ascii="Arial" w:cs="Arial" w:eastAsia="Arial" w:hAnsi="Arial"/>
                <w:sz w:val="30"/>
                <w:szCs w:val="30"/>
                <w:color w:val="auto"/>
                <w:vertAlign w:val="superscript"/>
              </w:rPr>
              <w:t>7</w:t>
            </w:r>
          </w:p>
        </w:tc>
        <w:tc>
          <w:tcPr>
            <w:tcW w:w="1860" w:type="dxa"/>
            <w:vAlign w:val="bottom"/>
            <w:gridSpan w:val="2"/>
          </w:tcPr>
          <w:p>
            <w:pPr>
              <w:jc w:val="right"/>
              <w:ind w:right="488"/>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400" w:type="dxa"/>
            <w:vAlign w:val="bottom"/>
          </w:tcPr>
          <w:p>
            <w:pPr>
              <w:jc w:val="right"/>
              <w:ind w:right="678"/>
              <w:spacing w:after="0"/>
              <w:rPr>
                <w:sz w:val="20"/>
                <w:szCs w:val="20"/>
                <w:color w:val="auto"/>
              </w:rPr>
            </w:pPr>
            <w:r>
              <w:rPr>
                <w:rFonts w:ascii="Arial" w:cs="Arial" w:eastAsia="Arial" w:hAnsi="Arial"/>
                <w:sz w:val="18"/>
                <w:szCs w:val="18"/>
                <w:color w:val="auto"/>
              </w:rPr>
              <w:t>4,000,000</w:t>
            </w:r>
            <w:r>
              <w:rPr>
                <w:rFonts w:ascii="Arial" w:cs="Arial" w:eastAsia="Arial" w:hAnsi="Arial"/>
                <w:sz w:val="30"/>
                <w:szCs w:val="30"/>
                <w:color w:val="auto"/>
                <w:vertAlign w:val="superscript"/>
              </w:rPr>
              <w:t>8</w:t>
            </w:r>
          </w:p>
        </w:tc>
        <w:tc>
          <w:tcPr>
            <w:tcW w:w="1860" w:type="dxa"/>
            <w:vAlign w:val="bottom"/>
            <w:gridSpan w:val="2"/>
          </w:tcPr>
          <w:p>
            <w:pPr>
              <w:jc w:val="right"/>
              <w:ind w:right="488"/>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840"/>
        <w:spacing w:after="0"/>
        <w:tabs>
          <w:tab w:leader="none" w:pos="3300" w:val="left"/>
        </w:tabs>
        <w:rPr>
          <w:sz w:val="20"/>
          <w:szCs w:val="20"/>
          <w:color w:val="auto"/>
        </w:rPr>
      </w:pPr>
      <w:r>
        <w:rPr>
          <w:rFonts w:ascii="Arial" w:cs="Arial" w:eastAsia="Arial" w:hAnsi="Arial"/>
          <w:sz w:val="18"/>
          <w:szCs w:val="18"/>
          <w:color w:val="auto"/>
        </w:rPr>
        <w:t>3,181,309</w:t>
      </w:r>
      <w:r>
        <w:rPr>
          <w:rFonts w:ascii="Arial" w:cs="Arial" w:eastAsia="Arial" w:hAnsi="Arial"/>
          <w:sz w:val="30"/>
          <w:szCs w:val="30"/>
          <w:color w:val="auto"/>
          <w:vertAlign w:val="superscript"/>
        </w:rPr>
        <w:t>9</w:t>
      </w:r>
      <w:r>
        <w:rPr>
          <w:sz w:val="20"/>
          <w:szCs w:val="20"/>
          <w:color w:val="auto"/>
        </w:rPr>
        <w:tab/>
      </w:r>
      <w:r>
        <w:rPr>
          <w:rFonts w:ascii="Arial" w:cs="Arial" w:eastAsia="Arial" w:hAnsi="Arial"/>
          <w:sz w:val="25"/>
          <w:szCs w:val="25"/>
          <w:color w:val="auto"/>
          <w:vertAlign w:val="superscript"/>
        </w:rPr>
        <w:t>5.7%</w:t>
      </w:r>
    </w:p>
    <w:p>
      <w:pPr>
        <w:spacing w:after="0" w:line="303" w:lineRule="exact"/>
        <w:rPr>
          <w:sz w:val="20"/>
          <w:szCs w:val="20"/>
          <w:color w:val="auto"/>
        </w:rPr>
      </w:pPr>
    </w:p>
    <w:p>
      <w:pPr>
        <w:ind w:left="780"/>
        <w:spacing w:after="0"/>
        <w:tabs>
          <w:tab w:leader="none" w:pos="3300" w:val="left"/>
        </w:tabs>
        <w:rPr>
          <w:sz w:val="20"/>
          <w:szCs w:val="20"/>
          <w:color w:val="auto"/>
        </w:rPr>
      </w:pPr>
      <w:r>
        <w:rPr>
          <w:rFonts w:ascii="Arial" w:cs="Arial" w:eastAsia="Arial" w:hAnsi="Arial"/>
          <w:sz w:val="18"/>
          <w:szCs w:val="18"/>
          <w:color w:val="auto"/>
        </w:rPr>
        <w:t>2,799,552</w:t>
      </w:r>
      <w:r>
        <w:rPr>
          <w:rFonts w:ascii="Arial" w:cs="Arial" w:eastAsia="Arial" w:hAnsi="Arial"/>
          <w:sz w:val="30"/>
          <w:szCs w:val="30"/>
          <w:color w:val="auto"/>
          <w:vertAlign w:val="superscript"/>
        </w:rPr>
        <w:t>10</w:t>
      </w:r>
      <w:r>
        <w:rPr>
          <w:sz w:val="20"/>
          <w:szCs w:val="20"/>
          <w:color w:val="auto"/>
        </w:rPr>
        <w:tab/>
      </w:r>
      <w:r>
        <w:rPr>
          <w:rFonts w:ascii="Arial" w:cs="Arial" w:eastAsia="Arial" w:hAnsi="Arial"/>
          <w:sz w:val="25"/>
          <w:szCs w:val="25"/>
          <w:color w:val="auto"/>
          <w:vertAlign w:val="superscript"/>
        </w:rPr>
        <w:t>5.0%</w:t>
      </w:r>
    </w:p>
    <w:p>
      <w:pPr>
        <w:spacing w:after="0" w:line="517" w:lineRule="exact"/>
        <w:rPr>
          <w:sz w:val="20"/>
          <w:szCs w:val="20"/>
          <w:color w:val="auto"/>
        </w:rPr>
      </w:pPr>
    </w:p>
    <w:p>
      <w:pPr>
        <w:sectPr>
          <w:pgSz w:w="11900" w:h="16838" w:orient="portrait"/>
          <w:cols w:equalWidth="0" w:num="2">
            <w:col w:w="6720" w:space="440"/>
            <w:col w:w="4280"/>
          </w:cols>
          <w:pgMar w:left="240" w:top="935" w:right="219" w:bottom="1440" w:gutter="0" w:footer="0" w:header="0"/>
          <w:type w:val="continuous"/>
        </w:sectPr>
      </w:pPr>
    </w:p>
    <w:p>
      <w:pPr>
        <w:spacing w:after="0" w:line="123" w:lineRule="exact"/>
        <w:rPr>
          <w:sz w:val="20"/>
          <w:szCs w:val="20"/>
          <w:color w:val="auto"/>
        </w:rPr>
      </w:pPr>
    </w:p>
    <w:p>
      <w:pPr>
        <w:ind w:left="460" w:right="300" w:hanging="405"/>
        <w:spacing w:after="0" w:line="194" w:lineRule="auto"/>
        <w:tabs>
          <w:tab w:leader="none" w:pos="460" w:val="left"/>
        </w:tabs>
        <w:numPr>
          <w:ilvl w:val="0"/>
          <w:numId w:val="17"/>
        </w:numPr>
        <w:rPr>
          <w:rFonts w:ascii="Arial" w:cs="Arial" w:eastAsia="Arial" w:hAnsi="Arial"/>
          <w:sz w:val="30"/>
          <w:szCs w:val="30"/>
          <w:color w:val="auto"/>
          <w:vertAlign w:val="superscript"/>
        </w:rPr>
      </w:pPr>
      <w:r>
        <w:rPr>
          <w:rFonts w:ascii="Arial" w:cs="Arial" w:eastAsia="Arial" w:hAnsi="Arial"/>
          <w:sz w:val="18"/>
          <w:szCs w:val="18"/>
          <w:color w:val="auto"/>
        </w:rPr>
        <w:t>We calculated beneficial ownership in accordance with the rules of the SEC. The calculation includes shares subject to options held by the person or entity in question that are exercisable currently or with in sixty days of November 3, 2004.</w:t>
      </w:r>
    </w:p>
    <w:p>
      <w:pPr>
        <w:spacing w:after="0" w:line="1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935" w:right="219" w:bottom="1440" w:gutter="0" w:footer="0" w:header="0"/>
          <w:type w:val="continuous"/>
        </w:sectPr>
      </w:pPr>
    </w:p>
    <w:bookmarkStart w:id="50" w:name="page51"/>
    <w:bookmarkEnd w:id="50"/>
    <w:p>
      <w:pPr>
        <w:ind w:left="500" w:right="240" w:hanging="405"/>
        <w:spacing w:after="0" w:line="194" w:lineRule="auto"/>
        <w:tabs>
          <w:tab w:leader="none" w:pos="500" w:val="left"/>
        </w:tabs>
        <w:numPr>
          <w:ilvl w:val="0"/>
          <w:numId w:val="18"/>
        </w:numPr>
        <w:rPr>
          <w:rFonts w:ascii="Arial" w:cs="Arial" w:eastAsia="Arial" w:hAnsi="Arial"/>
          <w:sz w:val="30"/>
          <w:szCs w:val="30"/>
          <w:color w:val="auto"/>
          <w:vertAlign w:val="superscript"/>
        </w:rPr>
      </w:pPr>
      <w:r>
        <w:rPr>
          <w:rFonts w:ascii="Arial" w:cs="Arial" w:eastAsia="Arial" w:hAnsi="Arial"/>
          <w:sz w:val="18"/>
          <w:szCs w:val="18"/>
          <w:color w:val="auto"/>
        </w:rPr>
        <w:t>We calculated beneficial ownership in accordance with the rules of the SEC. The calculation includes shares subject to options held by the person or entity in question that are exercisable currently or with in sixty days of November 3, 2004.</w:t>
      </w:r>
    </w:p>
    <w:p>
      <w:pPr>
        <w:spacing w:after="0" w:line="202" w:lineRule="exact"/>
        <w:rPr>
          <w:sz w:val="20"/>
          <w:szCs w:val="20"/>
          <w:color w:val="auto"/>
        </w:rPr>
      </w:pPr>
    </w:p>
    <w:p>
      <w:pPr>
        <w:ind w:left="500" w:right="40" w:hanging="405"/>
        <w:spacing w:after="0" w:line="221" w:lineRule="auto"/>
        <w:tabs>
          <w:tab w:leader="none" w:pos="500" w:val="left"/>
        </w:tabs>
        <w:numPr>
          <w:ilvl w:val="0"/>
          <w:numId w:val="19"/>
        </w:numPr>
        <w:rPr>
          <w:rFonts w:ascii="Arial" w:cs="Arial" w:eastAsia="Arial" w:hAnsi="Arial"/>
          <w:sz w:val="26"/>
          <w:szCs w:val="26"/>
          <w:color w:val="auto"/>
          <w:vertAlign w:val="superscript"/>
        </w:rPr>
      </w:pPr>
      <w:r>
        <w:rPr>
          <w:rFonts w:ascii="Arial" w:cs="Arial" w:eastAsia="Arial" w:hAnsi="Arial"/>
          <w:sz w:val="16"/>
          <w:szCs w:val="16"/>
          <w:color w:val="auto"/>
        </w:rPr>
        <w:t>To calculate percentage, number of shares outstanding includes 55,741,696 shares of Common Stock outstanding as of November 3, 2004, plus any shares subject to options held by the person or entity in question that are currently exercisable or exercisable within sixty days after November 3, 2004.</w:t>
      </w:r>
    </w:p>
    <w:p>
      <w:pPr>
        <w:spacing w:after="0" w:line="204" w:lineRule="exact"/>
        <w:rPr>
          <w:sz w:val="20"/>
          <w:szCs w:val="20"/>
          <w:color w:val="auto"/>
        </w:rPr>
      </w:pPr>
    </w:p>
    <w:p>
      <w:pPr>
        <w:ind w:left="500" w:right="80" w:hanging="405"/>
        <w:spacing w:after="0" w:line="209" w:lineRule="auto"/>
        <w:tabs>
          <w:tab w:leader="none" w:pos="500" w:val="left"/>
        </w:tabs>
        <w:numPr>
          <w:ilvl w:val="0"/>
          <w:numId w:val="20"/>
        </w:numPr>
        <w:rPr>
          <w:rFonts w:ascii="Arial" w:cs="Arial" w:eastAsia="Arial" w:hAnsi="Arial"/>
          <w:sz w:val="30"/>
          <w:szCs w:val="30"/>
          <w:color w:val="auto"/>
          <w:vertAlign w:val="superscript"/>
        </w:rPr>
      </w:pPr>
      <w:r>
        <w:rPr>
          <w:rFonts w:ascii="Arial" w:cs="Arial" w:eastAsia="Arial" w:hAnsi="Arial"/>
          <w:sz w:val="18"/>
          <w:szCs w:val="18"/>
          <w:color w:val="auto"/>
        </w:rPr>
        <w:t>Includes 58,550 shares of Class A Stock held directly by, or in trust for the benefit of, Dr. Schleifer’s two sons, of which Dr. Schleifer disclaims beneficial ownership. Excludes 6,500 shares of Class A Stock held by the Schleifer Family Foundation, a charitable foundation, of which Dr. Schleifer disclaims beneficial ownership.</w:t>
      </w:r>
    </w:p>
    <w:p>
      <w:pPr>
        <w:spacing w:after="0" w:line="203" w:lineRule="exact"/>
        <w:rPr>
          <w:sz w:val="20"/>
          <w:szCs w:val="20"/>
          <w:color w:val="auto"/>
        </w:rPr>
      </w:pPr>
    </w:p>
    <w:p>
      <w:pPr>
        <w:ind w:left="500" w:right="100" w:hanging="405"/>
        <w:spacing w:after="0" w:line="224" w:lineRule="auto"/>
        <w:tabs>
          <w:tab w:leader="none" w:pos="500" w:val="left"/>
        </w:tabs>
        <w:numPr>
          <w:ilvl w:val="0"/>
          <w:numId w:val="21"/>
        </w:numPr>
        <w:rPr>
          <w:rFonts w:ascii="Arial" w:cs="Arial" w:eastAsia="Arial" w:hAnsi="Arial"/>
          <w:sz w:val="30"/>
          <w:szCs w:val="30"/>
          <w:color w:val="auto"/>
          <w:vertAlign w:val="superscript"/>
        </w:rPr>
      </w:pPr>
      <w:r>
        <w:rPr>
          <w:rFonts w:ascii="Arial" w:cs="Arial" w:eastAsia="Arial" w:hAnsi="Arial"/>
          <w:sz w:val="18"/>
          <w:szCs w:val="18"/>
          <w:color w:val="auto"/>
        </w:rPr>
        <w:t>Includes 1,025,380 shares of Common Stock purchasable upon the exercise of options granted pursuant to the Stock Incentive Plans which are exercisable or become so within sixty days from November 3, 2004 and 2,293 shares of Common Stock held in an account under the Company’s 401(k) Savings Plan. Includes 1,800 shares of Common Stock held directly by, or in trust for the benefit of, Dr. Schleifer’s two sons, of which Dr. Schleifer disclaims beneficial ownership. Excludes 10,000 shares of Common Stock held by the Schleifer Family Foundation, a charitable foundation, of which Dr. Schleifer disclaims beneficial ownership.</w:t>
      </w:r>
    </w:p>
    <w:p>
      <w:pPr>
        <w:spacing w:after="0" w:line="87" w:lineRule="exact"/>
        <w:rPr>
          <w:sz w:val="20"/>
          <w:szCs w:val="20"/>
          <w:color w:val="auto"/>
        </w:rPr>
      </w:pPr>
    </w:p>
    <w:p>
      <w:pPr>
        <w:ind w:left="500" w:hanging="405"/>
        <w:spacing w:after="0"/>
        <w:tabs>
          <w:tab w:leader="none" w:pos="500" w:val="left"/>
        </w:tabs>
        <w:numPr>
          <w:ilvl w:val="0"/>
          <w:numId w:val="22"/>
        </w:numPr>
        <w:rPr>
          <w:rFonts w:ascii="Arial" w:cs="Arial" w:eastAsia="Arial" w:hAnsi="Arial"/>
          <w:sz w:val="30"/>
          <w:szCs w:val="30"/>
          <w:color w:val="auto"/>
          <w:vertAlign w:val="superscript"/>
        </w:rPr>
      </w:pPr>
      <w:r>
        <w:rPr>
          <w:rFonts w:ascii="Arial" w:cs="Arial" w:eastAsia="Arial" w:hAnsi="Arial"/>
          <w:sz w:val="18"/>
          <w:szCs w:val="18"/>
          <w:color w:val="auto"/>
        </w:rPr>
        <w:t>Based on Schedule 13G filed by Novartis Pharma AG with the SEC on April 8, 2003.</w:t>
      </w:r>
    </w:p>
    <w:p>
      <w:pPr>
        <w:spacing w:after="0" w:line="87" w:lineRule="exact"/>
        <w:rPr>
          <w:sz w:val="20"/>
          <w:szCs w:val="20"/>
          <w:color w:val="auto"/>
        </w:rPr>
      </w:pPr>
    </w:p>
    <w:p>
      <w:pPr>
        <w:ind w:left="500" w:hanging="405"/>
        <w:spacing w:after="0"/>
        <w:tabs>
          <w:tab w:leader="none" w:pos="500" w:val="left"/>
        </w:tabs>
        <w:numPr>
          <w:ilvl w:val="0"/>
          <w:numId w:val="23"/>
        </w:numPr>
        <w:rPr>
          <w:rFonts w:ascii="Arial" w:cs="Arial" w:eastAsia="Arial" w:hAnsi="Arial"/>
          <w:sz w:val="30"/>
          <w:szCs w:val="30"/>
          <w:color w:val="auto"/>
          <w:vertAlign w:val="superscript"/>
        </w:rPr>
      </w:pPr>
      <w:r>
        <w:rPr>
          <w:rFonts w:ascii="Arial" w:cs="Arial" w:eastAsia="Arial" w:hAnsi="Arial"/>
          <w:sz w:val="18"/>
          <w:szCs w:val="18"/>
          <w:color w:val="auto"/>
        </w:rPr>
        <w:t>Based on Schedule 13G/A filed by FMR Corp. with the Securities and Exchange.</w:t>
      </w:r>
    </w:p>
    <w:p>
      <w:pPr>
        <w:spacing w:after="0" w:line="87" w:lineRule="exact"/>
        <w:rPr>
          <w:sz w:val="20"/>
          <w:szCs w:val="20"/>
          <w:color w:val="auto"/>
        </w:rPr>
      </w:pPr>
    </w:p>
    <w:p>
      <w:pPr>
        <w:ind w:left="500" w:hanging="405"/>
        <w:spacing w:after="0"/>
        <w:tabs>
          <w:tab w:leader="none" w:pos="500" w:val="left"/>
        </w:tabs>
        <w:numPr>
          <w:ilvl w:val="0"/>
          <w:numId w:val="24"/>
        </w:numPr>
        <w:rPr>
          <w:rFonts w:ascii="Arial" w:cs="Arial" w:eastAsia="Arial" w:hAnsi="Arial"/>
          <w:sz w:val="30"/>
          <w:szCs w:val="30"/>
          <w:color w:val="auto"/>
          <w:vertAlign w:val="superscript"/>
        </w:rPr>
      </w:pPr>
      <w:r>
        <w:rPr>
          <w:rFonts w:ascii="Arial" w:cs="Arial" w:eastAsia="Arial" w:hAnsi="Arial"/>
          <w:sz w:val="18"/>
          <w:szCs w:val="18"/>
          <w:color w:val="auto"/>
        </w:rPr>
        <w:t>Based on Schedule 13G/A filed by Kedge Capital Funds Limited Special Situations 1 Fund with the SEC on February 13, 2004.</w:t>
      </w:r>
    </w:p>
    <w:p>
      <w:pPr>
        <w:spacing w:after="0" w:line="87" w:lineRule="exact"/>
        <w:rPr>
          <w:sz w:val="20"/>
          <w:szCs w:val="20"/>
          <w:color w:val="auto"/>
        </w:rPr>
      </w:pPr>
    </w:p>
    <w:p>
      <w:pPr>
        <w:ind w:left="500" w:hanging="405"/>
        <w:spacing w:after="0"/>
        <w:tabs>
          <w:tab w:leader="none" w:pos="500" w:val="left"/>
        </w:tabs>
        <w:numPr>
          <w:ilvl w:val="0"/>
          <w:numId w:val="25"/>
        </w:numPr>
        <w:rPr>
          <w:rFonts w:ascii="Arial" w:cs="Arial" w:eastAsia="Arial" w:hAnsi="Arial"/>
          <w:sz w:val="30"/>
          <w:szCs w:val="30"/>
          <w:color w:val="auto"/>
          <w:vertAlign w:val="superscript"/>
        </w:rPr>
      </w:pPr>
      <w:r>
        <w:rPr>
          <w:rFonts w:ascii="Arial" w:cs="Arial" w:eastAsia="Arial" w:hAnsi="Arial"/>
          <w:sz w:val="18"/>
          <w:szCs w:val="18"/>
          <w:color w:val="auto"/>
        </w:rPr>
        <w:t>Based on Schedule 13G/A filed by Amgen Inc. with the SEC on May 5, 2004.</w:t>
      </w:r>
    </w:p>
    <w:p>
      <w:pPr>
        <w:spacing w:after="0" w:line="87" w:lineRule="exact"/>
        <w:rPr>
          <w:sz w:val="20"/>
          <w:szCs w:val="20"/>
          <w:color w:val="auto"/>
        </w:rPr>
      </w:pPr>
    </w:p>
    <w:p>
      <w:pPr>
        <w:ind w:left="500" w:hanging="480"/>
        <w:spacing w:after="0"/>
        <w:tabs>
          <w:tab w:leader="none" w:pos="500" w:val="left"/>
        </w:tabs>
        <w:numPr>
          <w:ilvl w:val="0"/>
          <w:numId w:val="26"/>
        </w:numPr>
        <w:rPr>
          <w:rFonts w:ascii="Arial" w:cs="Arial" w:eastAsia="Arial" w:hAnsi="Arial"/>
          <w:sz w:val="30"/>
          <w:szCs w:val="30"/>
          <w:color w:val="auto"/>
          <w:vertAlign w:val="superscript"/>
        </w:rPr>
      </w:pPr>
      <w:r>
        <w:rPr>
          <w:rFonts w:ascii="Arial" w:cs="Arial" w:eastAsia="Arial" w:hAnsi="Arial"/>
          <w:sz w:val="18"/>
          <w:szCs w:val="18"/>
          <w:color w:val="auto"/>
        </w:rPr>
        <w:t>Based on Schedule 13G filed by Aventis Pharmaceuticals Inc. with the SEC on September 12, 2003.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Management.</w:t>
      </w:r>
    </w:p>
    <w:p>
      <w:pPr>
        <w:spacing w:after="0" w:line="189" w:lineRule="exact"/>
        <w:rPr>
          <w:sz w:val="20"/>
          <w:szCs w:val="20"/>
          <w:color w:val="auto"/>
        </w:rPr>
      </w:pPr>
    </w:p>
    <w:p>
      <w:pPr>
        <w:ind w:right="120" w:firstLine="447"/>
        <w:spacing w:after="0" w:line="302" w:lineRule="auto"/>
        <w:rPr>
          <w:sz w:val="20"/>
          <w:szCs w:val="20"/>
          <w:color w:val="auto"/>
        </w:rPr>
      </w:pPr>
      <w:r>
        <w:rPr>
          <w:rFonts w:ascii="Arial" w:cs="Arial" w:eastAsia="Arial" w:hAnsi="Arial"/>
          <w:sz w:val="16"/>
          <w:szCs w:val="16"/>
          <w:color w:val="auto"/>
        </w:rPr>
        <w:t>The following table sets forth, as of November 3, 2004, the number of shares of Common Stock and Class A Stock beneficially owned by each of our directors, each of our named executive officers, who include our Chief Executive Officer, Leonard S. Schleifer, and the four most highly compensated executive officers other than our Chief Executive Officer, and all directors and executive officers as a group, and the percentage that such shares represent of the total combined number of shares of outstanding Common Stock and Class A Stock, based upon information obtained from such persons.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Shares</w:t>
            </w:r>
          </w:p>
        </w:tc>
        <w:tc>
          <w:tcPr>
            <w:tcW w:w="260" w:type="dxa"/>
            <w:vAlign w:val="bottom"/>
          </w:tcPr>
          <w:p>
            <w:pPr>
              <w:spacing w:after="0"/>
              <w:rPr>
                <w:sz w:val="14"/>
                <w:szCs w:val="14"/>
                <w:color w:val="auto"/>
              </w:rPr>
            </w:pP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 Shares</w:t>
            </w:r>
          </w:p>
        </w:tc>
        <w:tc>
          <w:tcPr>
            <w:tcW w:w="24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1"/>
              </w:rPr>
              <w:t>Percentage of Common</w:t>
            </w:r>
          </w:p>
        </w:tc>
        <w:tc>
          <w:tcPr>
            <w:tcW w:w="0" w:type="dxa"/>
            <w:vAlign w:val="bottom"/>
          </w:tcPr>
          <w:p>
            <w:pPr>
              <w:spacing w:after="0"/>
              <w:rPr>
                <w:sz w:val="1"/>
                <w:szCs w:val="1"/>
                <w:color w:val="auto"/>
              </w:rPr>
            </w:pPr>
          </w:p>
        </w:tc>
      </w:tr>
      <w:tr>
        <w:trPr>
          <w:trHeight w:val="149"/>
        </w:trPr>
        <w:tc>
          <w:tcPr>
            <w:tcW w:w="47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Name and Address of Beneficial Owner (1)</w:t>
            </w:r>
          </w:p>
        </w:tc>
        <w:tc>
          <w:tcPr>
            <w:tcW w:w="24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Class A Stock</w:t>
            </w:r>
          </w:p>
        </w:tc>
        <w:tc>
          <w:tcPr>
            <w:tcW w:w="260" w:type="dxa"/>
            <w:vAlign w:val="bottom"/>
          </w:tcPr>
          <w:p>
            <w:pPr>
              <w:spacing w:after="0"/>
              <w:rPr>
                <w:sz w:val="12"/>
                <w:szCs w:val="12"/>
                <w:color w:val="auto"/>
              </w:rPr>
            </w:pPr>
          </w:p>
        </w:tc>
        <w:tc>
          <w:tcPr>
            <w:tcW w:w="2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of Common Stock</w:t>
            </w:r>
          </w:p>
        </w:tc>
        <w:tc>
          <w:tcPr>
            <w:tcW w:w="24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Stock and Class A Stock</w:t>
            </w:r>
          </w:p>
        </w:tc>
        <w:tc>
          <w:tcPr>
            <w:tcW w:w="0" w:type="dxa"/>
            <w:vAlign w:val="bottom"/>
          </w:tcPr>
          <w:p>
            <w:pPr>
              <w:spacing w:after="0"/>
              <w:rPr>
                <w:sz w:val="1"/>
                <w:szCs w:val="1"/>
                <w:color w:val="auto"/>
              </w:rPr>
            </w:pPr>
          </w:p>
        </w:tc>
      </w:tr>
      <w:tr>
        <w:trPr>
          <w:trHeight w:val="186"/>
        </w:trPr>
        <w:tc>
          <w:tcPr>
            <w:tcW w:w="4700" w:type="dxa"/>
            <w:vAlign w:val="bottom"/>
            <w:gridSpan w:val="4"/>
            <w:vMerge w:val="continue"/>
          </w:tcPr>
          <w:p>
            <w:pPr>
              <w:spacing w:after="0"/>
              <w:rPr>
                <w:sz w:val="16"/>
                <w:szCs w:val="16"/>
                <w:color w:val="auto"/>
              </w:rPr>
            </w:pPr>
          </w:p>
        </w:tc>
        <w:tc>
          <w:tcPr>
            <w:tcW w:w="24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3"/>
              </w:rPr>
              <w:t>Beneficially Owned (2, 3)</w:t>
            </w:r>
          </w:p>
        </w:tc>
        <w:tc>
          <w:tcPr>
            <w:tcW w:w="260" w:type="dxa"/>
            <w:vAlign w:val="bottom"/>
          </w:tcPr>
          <w:p>
            <w:pPr>
              <w:spacing w:after="0"/>
              <w:rPr>
                <w:sz w:val="16"/>
                <w:szCs w:val="16"/>
                <w:color w:val="auto"/>
              </w:rPr>
            </w:pP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3"/>
              </w:rPr>
              <w:t>Beneficially Owned (2, 3)</w:t>
            </w:r>
          </w:p>
        </w:tc>
        <w:tc>
          <w:tcPr>
            <w:tcW w:w="24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3"/>
              </w:rPr>
              <w:t>Beneficially Owned (4)</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060" w:type="dxa"/>
            <w:vAlign w:val="bottom"/>
            <w:tcBorders>
              <w:bottom w:val="single" w:sz="8" w:color="808080"/>
            </w:tcBorders>
            <w:gridSpan w:val="2"/>
          </w:tcPr>
          <w:p>
            <w:pPr>
              <w:spacing w:after="0"/>
              <w:rPr>
                <w:sz w:val="5"/>
                <w:szCs w:val="5"/>
                <w:color w:val="auto"/>
              </w:rPr>
            </w:pPr>
          </w:p>
        </w:tc>
        <w:tc>
          <w:tcPr>
            <w:tcW w:w="262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1960" w:type="dxa"/>
            <w:vAlign w:val="bottom"/>
            <w:tcBorders>
              <w:bottom w:val="single" w:sz="8" w:color="808080"/>
            </w:tcBorders>
          </w:tcPr>
          <w:p>
            <w:pPr>
              <w:spacing w:after="0"/>
              <w:rPr>
                <w:sz w:val="5"/>
                <w:szCs w:val="5"/>
                <w:color w:val="auto"/>
              </w:rPr>
            </w:pPr>
          </w:p>
        </w:tc>
        <w:tc>
          <w:tcPr>
            <w:tcW w:w="260" w:type="dxa"/>
            <w:vAlign w:val="bottom"/>
          </w:tcPr>
          <w:p>
            <w:pPr>
              <w:spacing w:after="0"/>
              <w:rPr>
                <w:sz w:val="5"/>
                <w:szCs w:val="5"/>
                <w:color w:val="auto"/>
              </w:rPr>
            </w:pPr>
          </w:p>
        </w:tc>
        <w:tc>
          <w:tcPr>
            <w:tcW w:w="250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152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280" w:type="dxa"/>
            <w:vAlign w:val="bottom"/>
          </w:tcPr>
          <w:p>
            <w:pPr>
              <w:spacing w:after="0"/>
              <w:rPr>
                <w:sz w:val="5"/>
                <w:szCs w:val="5"/>
                <w:color w:val="auto"/>
              </w:rPr>
            </w:pPr>
          </w:p>
        </w:tc>
        <w:tc>
          <w:tcPr>
            <w:tcW w:w="1780" w:type="dxa"/>
            <w:vAlign w:val="bottom"/>
          </w:tcPr>
          <w:p>
            <w:pPr>
              <w:spacing w:after="0"/>
              <w:rPr>
                <w:sz w:val="5"/>
                <w:szCs w:val="5"/>
                <w:color w:val="auto"/>
              </w:rPr>
            </w:pPr>
          </w:p>
        </w:tc>
        <w:tc>
          <w:tcPr>
            <w:tcW w:w="2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9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Leonard S. Schleifer, M.D., Ph.D.</w:t>
            </w:r>
          </w:p>
        </w:tc>
        <w:tc>
          <w:tcPr>
            <w:tcW w:w="2200" w:type="dxa"/>
            <w:vAlign w:val="bottom"/>
            <w:gridSpan w:val="2"/>
            <w:shd w:val="clear" w:color="auto" w:fill="EEEEEE"/>
          </w:tcPr>
          <w:p>
            <w:pPr>
              <w:jc w:val="right"/>
              <w:ind w:right="328"/>
              <w:spacing w:after="0"/>
              <w:rPr>
                <w:sz w:val="20"/>
                <w:szCs w:val="20"/>
                <w:color w:val="auto"/>
              </w:rPr>
            </w:pPr>
            <w:r>
              <w:rPr>
                <w:rFonts w:ascii="Arial" w:cs="Arial" w:eastAsia="Arial" w:hAnsi="Arial"/>
                <w:sz w:val="18"/>
                <w:szCs w:val="18"/>
                <w:color w:val="auto"/>
              </w:rPr>
              <w:t>1,769,340(5)</w:t>
            </w:r>
          </w:p>
        </w:tc>
        <w:tc>
          <w:tcPr>
            <w:tcW w:w="2760" w:type="dxa"/>
            <w:vAlign w:val="bottom"/>
            <w:gridSpan w:val="2"/>
            <w:shd w:val="clear" w:color="auto" w:fill="EEEEEE"/>
          </w:tcPr>
          <w:p>
            <w:pPr>
              <w:jc w:val="right"/>
              <w:ind w:right="568"/>
              <w:spacing w:after="0"/>
              <w:rPr>
                <w:sz w:val="20"/>
                <w:szCs w:val="20"/>
                <w:color w:val="auto"/>
              </w:rPr>
            </w:pPr>
            <w:r>
              <w:rPr>
                <w:rFonts w:ascii="Arial" w:cs="Arial" w:eastAsia="Arial" w:hAnsi="Arial"/>
                <w:sz w:val="18"/>
                <w:szCs w:val="18"/>
                <w:color w:val="auto"/>
              </w:rPr>
              <w:t>1,138,877(10)</w:t>
            </w:r>
          </w:p>
        </w:tc>
        <w:tc>
          <w:tcPr>
            <w:tcW w:w="1760" w:type="dxa"/>
            <w:vAlign w:val="bottom"/>
            <w:gridSpan w:val="2"/>
            <w:shd w:val="clear" w:color="auto" w:fill="EEEEEE"/>
          </w:tcPr>
          <w:p>
            <w:pPr>
              <w:jc w:val="right"/>
              <w:ind w:right="368"/>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tcPr>
          <w:p>
            <w:pPr>
              <w:spacing w:after="0"/>
              <w:rPr>
                <w:sz w:val="20"/>
                <w:szCs w:val="20"/>
                <w:color w:val="auto"/>
              </w:rPr>
            </w:pPr>
            <w:r>
              <w:rPr>
                <w:rFonts w:ascii="Arial" w:cs="Arial" w:eastAsia="Arial" w:hAnsi="Arial"/>
                <w:sz w:val="18"/>
                <w:szCs w:val="18"/>
                <w:color w:val="auto"/>
              </w:rPr>
              <w:t>P. Roy Vagelos, M.D.</w:t>
            </w:r>
          </w:p>
        </w:tc>
        <w:tc>
          <w:tcPr>
            <w:tcW w:w="2200" w:type="dxa"/>
            <w:vAlign w:val="bottom"/>
            <w:gridSpan w:val="2"/>
          </w:tcPr>
          <w:p>
            <w:pPr>
              <w:jc w:val="right"/>
              <w:ind w:right="548"/>
              <w:spacing w:after="0"/>
              <w:rPr>
                <w:sz w:val="20"/>
                <w:szCs w:val="20"/>
                <w:color w:val="auto"/>
              </w:rPr>
            </w:pPr>
            <w:r>
              <w:rPr>
                <w:rFonts w:ascii="Arial" w:cs="Arial" w:eastAsia="Arial" w:hAnsi="Arial"/>
                <w:sz w:val="18"/>
                <w:szCs w:val="18"/>
                <w:color w:val="auto"/>
              </w:rPr>
              <w:t>0</w:t>
            </w:r>
          </w:p>
        </w:tc>
        <w:tc>
          <w:tcPr>
            <w:tcW w:w="2760" w:type="dxa"/>
            <w:vAlign w:val="bottom"/>
            <w:gridSpan w:val="2"/>
          </w:tcPr>
          <w:p>
            <w:pPr>
              <w:jc w:val="right"/>
              <w:ind w:right="568"/>
              <w:spacing w:after="0"/>
              <w:rPr>
                <w:sz w:val="20"/>
                <w:szCs w:val="20"/>
                <w:color w:val="auto"/>
              </w:rPr>
            </w:pPr>
            <w:r>
              <w:rPr>
                <w:rFonts w:ascii="Arial" w:cs="Arial" w:eastAsia="Arial" w:hAnsi="Arial"/>
                <w:sz w:val="18"/>
                <w:szCs w:val="18"/>
                <w:color w:val="auto"/>
              </w:rPr>
              <w:t>2,499,509(11)</w:t>
            </w:r>
          </w:p>
        </w:tc>
        <w:tc>
          <w:tcPr>
            <w:tcW w:w="1760" w:type="dxa"/>
            <w:vAlign w:val="bottom"/>
            <w:gridSpan w:val="2"/>
          </w:tcPr>
          <w:p>
            <w:pPr>
              <w:jc w:val="right"/>
              <w:ind w:right="368"/>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Charles A. Baker</w:t>
            </w:r>
          </w:p>
        </w:tc>
        <w:tc>
          <w:tcPr>
            <w:tcW w:w="2200" w:type="dxa"/>
            <w:vAlign w:val="bottom"/>
            <w:gridSpan w:val="2"/>
            <w:shd w:val="clear" w:color="auto" w:fill="EEEEEE"/>
          </w:tcPr>
          <w:p>
            <w:pPr>
              <w:jc w:val="right"/>
              <w:ind w:right="328"/>
              <w:spacing w:after="0"/>
              <w:rPr>
                <w:sz w:val="20"/>
                <w:szCs w:val="20"/>
                <w:color w:val="auto"/>
              </w:rPr>
            </w:pPr>
            <w:r>
              <w:rPr>
                <w:rFonts w:ascii="Arial" w:cs="Arial" w:eastAsia="Arial" w:hAnsi="Arial"/>
                <w:sz w:val="18"/>
                <w:szCs w:val="18"/>
                <w:color w:val="auto"/>
              </w:rPr>
              <w:t>62,384(6)</w:t>
            </w:r>
          </w:p>
        </w:tc>
        <w:tc>
          <w:tcPr>
            <w:tcW w:w="2760" w:type="dxa"/>
            <w:vAlign w:val="bottom"/>
            <w:gridSpan w:val="2"/>
            <w:shd w:val="clear" w:color="auto" w:fill="EEEEEE"/>
          </w:tcPr>
          <w:p>
            <w:pPr>
              <w:jc w:val="right"/>
              <w:ind w:right="568"/>
              <w:spacing w:after="0"/>
              <w:rPr>
                <w:sz w:val="20"/>
                <w:szCs w:val="20"/>
                <w:color w:val="auto"/>
              </w:rPr>
            </w:pPr>
            <w:r>
              <w:rPr>
                <w:rFonts w:ascii="Arial" w:cs="Arial" w:eastAsia="Arial" w:hAnsi="Arial"/>
                <w:sz w:val="18"/>
                <w:szCs w:val="18"/>
                <w:color w:val="auto"/>
              </w:rPr>
              <w:t>110,590(12)</w:t>
            </w:r>
          </w:p>
        </w:tc>
        <w:tc>
          <w:tcPr>
            <w:tcW w:w="1760" w:type="dxa"/>
            <w:vAlign w:val="bottom"/>
            <w:gridSpan w:val="2"/>
            <w:shd w:val="clear" w:color="auto" w:fill="EEEEEE"/>
          </w:tcPr>
          <w:p>
            <w:pPr>
              <w:jc w:val="right"/>
              <w:ind w:right="5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tcPr>
          <w:p>
            <w:pPr>
              <w:spacing w:after="0"/>
              <w:rPr>
                <w:sz w:val="20"/>
                <w:szCs w:val="20"/>
                <w:color w:val="auto"/>
              </w:rPr>
            </w:pPr>
            <w:r>
              <w:rPr>
                <w:rFonts w:ascii="Arial" w:cs="Arial" w:eastAsia="Arial" w:hAnsi="Arial"/>
                <w:sz w:val="18"/>
                <w:szCs w:val="18"/>
                <w:color w:val="auto"/>
              </w:rPr>
              <w:t>Michael S. Brown, M.D.</w:t>
            </w:r>
          </w:p>
        </w:tc>
        <w:tc>
          <w:tcPr>
            <w:tcW w:w="2200" w:type="dxa"/>
            <w:vAlign w:val="bottom"/>
            <w:gridSpan w:val="2"/>
          </w:tcPr>
          <w:p>
            <w:pPr>
              <w:jc w:val="right"/>
              <w:ind w:right="328"/>
              <w:spacing w:after="0"/>
              <w:rPr>
                <w:sz w:val="20"/>
                <w:szCs w:val="20"/>
                <w:color w:val="auto"/>
              </w:rPr>
            </w:pPr>
            <w:r>
              <w:rPr>
                <w:rFonts w:ascii="Arial" w:cs="Arial" w:eastAsia="Arial" w:hAnsi="Arial"/>
                <w:sz w:val="18"/>
                <w:szCs w:val="18"/>
                <w:color w:val="auto"/>
              </w:rPr>
              <w:t>58,049(7)</w:t>
            </w:r>
          </w:p>
        </w:tc>
        <w:tc>
          <w:tcPr>
            <w:tcW w:w="2760" w:type="dxa"/>
            <w:vAlign w:val="bottom"/>
            <w:gridSpan w:val="2"/>
          </w:tcPr>
          <w:p>
            <w:pPr>
              <w:jc w:val="right"/>
              <w:ind w:right="568"/>
              <w:spacing w:after="0"/>
              <w:rPr>
                <w:sz w:val="20"/>
                <w:szCs w:val="20"/>
                <w:color w:val="auto"/>
              </w:rPr>
            </w:pPr>
            <w:r>
              <w:rPr>
                <w:rFonts w:ascii="Arial" w:cs="Arial" w:eastAsia="Arial" w:hAnsi="Arial"/>
                <w:sz w:val="18"/>
                <w:szCs w:val="18"/>
                <w:color w:val="auto"/>
              </w:rPr>
              <w:t>148,258(13)</w:t>
            </w:r>
          </w:p>
        </w:tc>
        <w:tc>
          <w:tcPr>
            <w:tcW w:w="1760" w:type="dxa"/>
            <w:vAlign w:val="bottom"/>
            <w:gridSpan w:val="2"/>
          </w:tcPr>
          <w:p>
            <w:pPr>
              <w:jc w:val="right"/>
              <w:ind w:right="5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Alfred G. Gilman, M.D., Ph.D.</w:t>
            </w:r>
          </w:p>
        </w:tc>
        <w:tc>
          <w:tcPr>
            <w:tcW w:w="2200" w:type="dxa"/>
            <w:vAlign w:val="bottom"/>
            <w:gridSpan w:val="2"/>
            <w:shd w:val="clear" w:color="auto" w:fill="EEEEEE"/>
          </w:tcPr>
          <w:p>
            <w:pPr>
              <w:jc w:val="right"/>
              <w:ind w:right="548"/>
              <w:spacing w:after="0"/>
              <w:rPr>
                <w:sz w:val="20"/>
                <w:szCs w:val="20"/>
                <w:color w:val="auto"/>
              </w:rPr>
            </w:pPr>
            <w:r>
              <w:rPr>
                <w:rFonts w:ascii="Arial" w:cs="Arial" w:eastAsia="Arial" w:hAnsi="Arial"/>
                <w:sz w:val="18"/>
                <w:szCs w:val="18"/>
                <w:color w:val="auto"/>
              </w:rPr>
              <w:t>76,237</w:t>
            </w:r>
          </w:p>
        </w:tc>
        <w:tc>
          <w:tcPr>
            <w:tcW w:w="2760" w:type="dxa"/>
            <w:vAlign w:val="bottom"/>
            <w:gridSpan w:val="2"/>
            <w:shd w:val="clear" w:color="auto" w:fill="EEEEEE"/>
          </w:tcPr>
          <w:p>
            <w:pPr>
              <w:jc w:val="right"/>
              <w:ind w:right="568"/>
              <w:spacing w:after="0"/>
              <w:rPr>
                <w:sz w:val="20"/>
                <w:szCs w:val="20"/>
                <w:color w:val="auto"/>
              </w:rPr>
            </w:pPr>
            <w:r>
              <w:rPr>
                <w:rFonts w:ascii="Arial" w:cs="Arial" w:eastAsia="Arial" w:hAnsi="Arial"/>
                <w:sz w:val="18"/>
                <w:szCs w:val="18"/>
                <w:color w:val="auto"/>
              </w:rPr>
              <w:t>168,975(14)</w:t>
            </w:r>
          </w:p>
        </w:tc>
        <w:tc>
          <w:tcPr>
            <w:tcW w:w="1760" w:type="dxa"/>
            <w:vAlign w:val="bottom"/>
            <w:gridSpan w:val="2"/>
            <w:shd w:val="clear" w:color="auto" w:fill="EEEEEE"/>
          </w:tcPr>
          <w:p>
            <w:pPr>
              <w:jc w:val="right"/>
              <w:ind w:right="5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tcPr>
          <w:p>
            <w:pPr>
              <w:spacing w:after="0"/>
              <w:rPr>
                <w:sz w:val="20"/>
                <w:szCs w:val="20"/>
                <w:color w:val="auto"/>
              </w:rPr>
            </w:pPr>
            <w:r>
              <w:rPr>
                <w:rFonts w:ascii="Arial" w:cs="Arial" w:eastAsia="Arial" w:hAnsi="Arial"/>
                <w:sz w:val="18"/>
                <w:szCs w:val="18"/>
                <w:color w:val="auto"/>
              </w:rPr>
              <w:t>Joseph L. Goldstein, M.D.</w:t>
            </w:r>
          </w:p>
        </w:tc>
        <w:tc>
          <w:tcPr>
            <w:tcW w:w="2200" w:type="dxa"/>
            <w:vAlign w:val="bottom"/>
            <w:gridSpan w:val="2"/>
          </w:tcPr>
          <w:p>
            <w:pPr>
              <w:jc w:val="right"/>
              <w:ind w:right="548"/>
              <w:spacing w:after="0"/>
              <w:rPr>
                <w:sz w:val="20"/>
                <w:szCs w:val="20"/>
                <w:color w:val="auto"/>
              </w:rPr>
            </w:pPr>
            <w:r>
              <w:rPr>
                <w:rFonts w:ascii="Arial" w:cs="Arial" w:eastAsia="Arial" w:hAnsi="Arial"/>
                <w:sz w:val="18"/>
                <w:szCs w:val="18"/>
                <w:color w:val="auto"/>
              </w:rPr>
              <w:t>52,000</w:t>
            </w:r>
          </w:p>
        </w:tc>
        <w:tc>
          <w:tcPr>
            <w:tcW w:w="2760" w:type="dxa"/>
            <w:vAlign w:val="bottom"/>
            <w:gridSpan w:val="2"/>
          </w:tcPr>
          <w:p>
            <w:pPr>
              <w:jc w:val="right"/>
              <w:ind w:right="568"/>
              <w:spacing w:after="0"/>
              <w:rPr>
                <w:sz w:val="20"/>
                <w:szCs w:val="20"/>
                <w:color w:val="auto"/>
              </w:rPr>
            </w:pPr>
            <w:r>
              <w:rPr>
                <w:rFonts w:ascii="Arial" w:cs="Arial" w:eastAsia="Arial" w:hAnsi="Arial"/>
                <w:sz w:val="18"/>
                <w:szCs w:val="18"/>
                <w:color w:val="auto"/>
              </w:rPr>
              <w:t>135,000(15)</w:t>
            </w:r>
          </w:p>
        </w:tc>
        <w:tc>
          <w:tcPr>
            <w:tcW w:w="1760" w:type="dxa"/>
            <w:vAlign w:val="bottom"/>
            <w:gridSpan w:val="2"/>
          </w:tcPr>
          <w:p>
            <w:pPr>
              <w:jc w:val="right"/>
              <w:ind w:right="5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Arthur F. Ryan</w:t>
            </w:r>
          </w:p>
        </w:tc>
        <w:tc>
          <w:tcPr>
            <w:tcW w:w="2200" w:type="dxa"/>
            <w:vAlign w:val="bottom"/>
            <w:gridSpan w:val="2"/>
            <w:shd w:val="clear" w:color="auto" w:fill="EEEEEE"/>
          </w:tcPr>
          <w:p>
            <w:pPr>
              <w:jc w:val="right"/>
              <w:ind w:right="548"/>
              <w:spacing w:after="0"/>
              <w:rPr>
                <w:sz w:val="20"/>
                <w:szCs w:val="20"/>
                <w:color w:val="auto"/>
              </w:rPr>
            </w:pPr>
            <w:r>
              <w:rPr>
                <w:rFonts w:ascii="Arial" w:cs="Arial" w:eastAsia="Arial" w:hAnsi="Arial"/>
                <w:sz w:val="18"/>
                <w:szCs w:val="18"/>
                <w:color w:val="auto"/>
              </w:rPr>
              <w:t>0</w:t>
            </w:r>
          </w:p>
        </w:tc>
        <w:tc>
          <w:tcPr>
            <w:tcW w:w="2760" w:type="dxa"/>
            <w:vAlign w:val="bottom"/>
            <w:gridSpan w:val="2"/>
            <w:shd w:val="clear" w:color="auto" w:fill="EEEEEE"/>
          </w:tcPr>
          <w:p>
            <w:pPr>
              <w:jc w:val="right"/>
              <w:ind w:right="568"/>
              <w:spacing w:after="0"/>
              <w:rPr>
                <w:sz w:val="20"/>
                <w:szCs w:val="20"/>
                <w:color w:val="auto"/>
              </w:rPr>
            </w:pPr>
            <w:r>
              <w:rPr>
                <w:rFonts w:ascii="Arial" w:cs="Arial" w:eastAsia="Arial" w:hAnsi="Arial"/>
                <w:sz w:val="18"/>
                <w:szCs w:val="18"/>
                <w:color w:val="auto"/>
              </w:rPr>
              <w:t>13,334(15)</w:t>
            </w:r>
          </w:p>
        </w:tc>
        <w:tc>
          <w:tcPr>
            <w:tcW w:w="1760" w:type="dxa"/>
            <w:vAlign w:val="bottom"/>
            <w:gridSpan w:val="2"/>
            <w:shd w:val="clear" w:color="auto" w:fill="EEEEEE"/>
          </w:tcPr>
          <w:p>
            <w:pPr>
              <w:jc w:val="right"/>
              <w:ind w:right="5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tcPr>
          <w:p>
            <w:pPr>
              <w:spacing w:after="0"/>
              <w:rPr>
                <w:sz w:val="20"/>
                <w:szCs w:val="20"/>
                <w:color w:val="auto"/>
              </w:rPr>
            </w:pPr>
            <w:r>
              <w:rPr>
                <w:rFonts w:ascii="Arial" w:cs="Arial" w:eastAsia="Arial" w:hAnsi="Arial"/>
                <w:sz w:val="18"/>
                <w:szCs w:val="18"/>
                <w:color w:val="auto"/>
              </w:rPr>
              <w:t>Eric M. Shooter, Ph.D.</w:t>
            </w:r>
          </w:p>
        </w:tc>
        <w:tc>
          <w:tcPr>
            <w:tcW w:w="2200" w:type="dxa"/>
            <w:vAlign w:val="bottom"/>
            <w:gridSpan w:val="2"/>
          </w:tcPr>
          <w:p>
            <w:pPr>
              <w:jc w:val="right"/>
              <w:ind w:right="328"/>
              <w:spacing w:after="0"/>
              <w:rPr>
                <w:sz w:val="20"/>
                <w:szCs w:val="20"/>
                <w:color w:val="auto"/>
              </w:rPr>
            </w:pPr>
            <w:r>
              <w:rPr>
                <w:rFonts w:ascii="Arial" w:cs="Arial" w:eastAsia="Arial" w:hAnsi="Arial"/>
                <w:sz w:val="18"/>
                <w:szCs w:val="18"/>
                <w:color w:val="auto"/>
              </w:rPr>
              <w:t>79,911(8)</w:t>
            </w:r>
          </w:p>
        </w:tc>
        <w:tc>
          <w:tcPr>
            <w:tcW w:w="2760" w:type="dxa"/>
            <w:vAlign w:val="bottom"/>
            <w:gridSpan w:val="2"/>
          </w:tcPr>
          <w:p>
            <w:pPr>
              <w:jc w:val="right"/>
              <w:ind w:right="568"/>
              <w:spacing w:after="0"/>
              <w:rPr>
                <w:sz w:val="20"/>
                <w:szCs w:val="20"/>
                <w:color w:val="auto"/>
              </w:rPr>
            </w:pPr>
            <w:r>
              <w:rPr>
                <w:rFonts w:ascii="Arial" w:cs="Arial" w:eastAsia="Arial" w:hAnsi="Arial"/>
                <w:sz w:val="18"/>
                <w:szCs w:val="18"/>
                <w:color w:val="auto"/>
              </w:rPr>
              <w:t>100,000(15)</w:t>
            </w:r>
          </w:p>
        </w:tc>
        <w:tc>
          <w:tcPr>
            <w:tcW w:w="1760" w:type="dxa"/>
            <w:vAlign w:val="bottom"/>
            <w:gridSpan w:val="2"/>
          </w:tcPr>
          <w:p>
            <w:pPr>
              <w:jc w:val="right"/>
              <w:ind w:right="5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George L. Sing</w:t>
            </w:r>
          </w:p>
        </w:tc>
        <w:tc>
          <w:tcPr>
            <w:tcW w:w="2200" w:type="dxa"/>
            <w:vAlign w:val="bottom"/>
            <w:gridSpan w:val="2"/>
            <w:shd w:val="clear" w:color="auto" w:fill="EEEEEE"/>
          </w:tcPr>
          <w:p>
            <w:pPr>
              <w:jc w:val="right"/>
              <w:ind w:right="548"/>
              <w:spacing w:after="0"/>
              <w:rPr>
                <w:sz w:val="20"/>
                <w:szCs w:val="20"/>
                <w:color w:val="auto"/>
              </w:rPr>
            </w:pPr>
            <w:r>
              <w:rPr>
                <w:rFonts w:ascii="Arial" w:cs="Arial" w:eastAsia="Arial" w:hAnsi="Arial"/>
                <w:sz w:val="18"/>
                <w:szCs w:val="18"/>
                <w:color w:val="auto"/>
              </w:rPr>
              <w:t>0</w:t>
            </w:r>
          </w:p>
        </w:tc>
        <w:tc>
          <w:tcPr>
            <w:tcW w:w="2760" w:type="dxa"/>
            <w:vAlign w:val="bottom"/>
            <w:gridSpan w:val="2"/>
            <w:shd w:val="clear" w:color="auto" w:fill="EEEEEE"/>
          </w:tcPr>
          <w:p>
            <w:pPr>
              <w:jc w:val="right"/>
              <w:ind w:right="568"/>
              <w:spacing w:after="0"/>
              <w:rPr>
                <w:sz w:val="20"/>
                <w:szCs w:val="20"/>
                <w:color w:val="auto"/>
              </w:rPr>
            </w:pPr>
            <w:r>
              <w:rPr>
                <w:rFonts w:ascii="Arial" w:cs="Arial" w:eastAsia="Arial" w:hAnsi="Arial"/>
                <w:sz w:val="18"/>
                <w:szCs w:val="18"/>
                <w:color w:val="auto"/>
              </w:rPr>
              <w:t>172,772(16)</w:t>
            </w:r>
          </w:p>
        </w:tc>
        <w:tc>
          <w:tcPr>
            <w:tcW w:w="1760" w:type="dxa"/>
            <w:vAlign w:val="bottom"/>
            <w:gridSpan w:val="2"/>
            <w:shd w:val="clear" w:color="auto" w:fill="EEEEEE"/>
          </w:tcPr>
          <w:p>
            <w:pPr>
              <w:jc w:val="right"/>
              <w:ind w:right="5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tcPr>
          <w:p>
            <w:pPr>
              <w:spacing w:after="0"/>
              <w:rPr>
                <w:sz w:val="20"/>
                <w:szCs w:val="20"/>
                <w:color w:val="auto"/>
              </w:rPr>
            </w:pPr>
            <w:r>
              <w:rPr>
                <w:rFonts w:ascii="Arial" w:cs="Arial" w:eastAsia="Arial" w:hAnsi="Arial"/>
                <w:sz w:val="18"/>
                <w:szCs w:val="18"/>
                <w:color w:val="auto"/>
              </w:rPr>
              <w:t>George D. Yancopoulos, M.D., Ph.D.</w:t>
            </w:r>
          </w:p>
        </w:tc>
        <w:tc>
          <w:tcPr>
            <w:tcW w:w="2200" w:type="dxa"/>
            <w:vAlign w:val="bottom"/>
            <w:gridSpan w:val="2"/>
          </w:tcPr>
          <w:p>
            <w:pPr>
              <w:jc w:val="right"/>
              <w:ind w:right="328"/>
              <w:spacing w:after="0"/>
              <w:rPr>
                <w:sz w:val="20"/>
                <w:szCs w:val="20"/>
                <w:color w:val="auto"/>
              </w:rPr>
            </w:pPr>
            <w:r>
              <w:rPr>
                <w:rFonts w:ascii="Arial" w:cs="Arial" w:eastAsia="Arial" w:hAnsi="Arial"/>
                <w:sz w:val="18"/>
                <w:szCs w:val="18"/>
                <w:color w:val="auto"/>
              </w:rPr>
              <w:t>42,750(9)</w:t>
            </w:r>
          </w:p>
        </w:tc>
        <w:tc>
          <w:tcPr>
            <w:tcW w:w="2760" w:type="dxa"/>
            <w:vAlign w:val="bottom"/>
            <w:gridSpan w:val="2"/>
          </w:tcPr>
          <w:p>
            <w:pPr>
              <w:jc w:val="right"/>
              <w:ind w:right="568"/>
              <w:spacing w:after="0"/>
              <w:rPr>
                <w:sz w:val="20"/>
                <w:szCs w:val="20"/>
                <w:color w:val="auto"/>
              </w:rPr>
            </w:pPr>
            <w:r>
              <w:rPr>
                <w:rFonts w:ascii="Arial" w:cs="Arial" w:eastAsia="Arial" w:hAnsi="Arial"/>
                <w:sz w:val="18"/>
                <w:szCs w:val="18"/>
                <w:color w:val="auto"/>
              </w:rPr>
              <w:t>1,319,084(17)</w:t>
            </w:r>
          </w:p>
        </w:tc>
        <w:tc>
          <w:tcPr>
            <w:tcW w:w="1760" w:type="dxa"/>
            <w:vAlign w:val="bottom"/>
            <w:gridSpan w:val="2"/>
          </w:tcPr>
          <w:p>
            <w:pPr>
              <w:jc w:val="right"/>
              <w:ind w:right="368"/>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Murray A. Goldberg</w:t>
            </w:r>
          </w:p>
        </w:tc>
        <w:tc>
          <w:tcPr>
            <w:tcW w:w="2200" w:type="dxa"/>
            <w:vAlign w:val="bottom"/>
            <w:gridSpan w:val="2"/>
            <w:shd w:val="clear" w:color="auto" w:fill="EEEEEE"/>
          </w:tcPr>
          <w:p>
            <w:pPr>
              <w:jc w:val="right"/>
              <w:ind w:right="548"/>
              <w:spacing w:after="0"/>
              <w:rPr>
                <w:sz w:val="20"/>
                <w:szCs w:val="20"/>
                <w:color w:val="auto"/>
              </w:rPr>
            </w:pPr>
            <w:r>
              <w:rPr>
                <w:rFonts w:ascii="Arial" w:cs="Arial" w:eastAsia="Arial" w:hAnsi="Arial"/>
                <w:sz w:val="18"/>
                <w:szCs w:val="18"/>
                <w:color w:val="auto"/>
              </w:rPr>
              <w:t>0</w:t>
            </w:r>
          </w:p>
        </w:tc>
        <w:tc>
          <w:tcPr>
            <w:tcW w:w="2760" w:type="dxa"/>
            <w:vAlign w:val="bottom"/>
            <w:gridSpan w:val="2"/>
            <w:shd w:val="clear" w:color="auto" w:fill="EEEEEE"/>
          </w:tcPr>
          <w:p>
            <w:pPr>
              <w:jc w:val="right"/>
              <w:ind w:right="568"/>
              <w:spacing w:after="0"/>
              <w:rPr>
                <w:sz w:val="20"/>
                <w:szCs w:val="20"/>
                <w:color w:val="auto"/>
              </w:rPr>
            </w:pPr>
            <w:r>
              <w:rPr>
                <w:rFonts w:ascii="Arial" w:cs="Arial" w:eastAsia="Arial" w:hAnsi="Arial"/>
                <w:sz w:val="18"/>
                <w:szCs w:val="18"/>
                <w:color w:val="auto"/>
              </w:rPr>
              <w:t>276,108(18)</w:t>
            </w:r>
          </w:p>
        </w:tc>
        <w:tc>
          <w:tcPr>
            <w:tcW w:w="1760" w:type="dxa"/>
            <w:vAlign w:val="bottom"/>
            <w:gridSpan w:val="2"/>
            <w:shd w:val="clear" w:color="auto" w:fill="EEEEEE"/>
          </w:tcPr>
          <w:p>
            <w:pPr>
              <w:jc w:val="right"/>
              <w:ind w:right="5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tcPr>
          <w:p>
            <w:pPr>
              <w:spacing w:after="0"/>
              <w:rPr>
                <w:sz w:val="20"/>
                <w:szCs w:val="20"/>
                <w:color w:val="auto"/>
              </w:rPr>
            </w:pPr>
            <w:r>
              <w:rPr>
                <w:rFonts w:ascii="Arial" w:cs="Arial" w:eastAsia="Arial" w:hAnsi="Arial"/>
                <w:sz w:val="18"/>
                <w:szCs w:val="18"/>
                <w:color w:val="auto"/>
              </w:rPr>
              <w:t>Randall G. Rupp, Ph.D.</w:t>
            </w:r>
          </w:p>
        </w:tc>
        <w:tc>
          <w:tcPr>
            <w:tcW w:w="2200" w:type="dxa"/>
            <w:vAlign w:val="bottom"/>
            <w:gridSpan w:val="2"/>
          </w:tcPr>
          <w:p>
            <w:pPr>
              <w:jc w:val="right"/>
              <w:ind w:right="548"/>
              <w:spacing w:after="0"/>
              <w:rPr>
                <w:sz w:val="20"/>
                <w:szCs w:val="20"/>
                <w:color w:val="auto"/>
              </w:rPr>
            </w:pPr>
            <w:r>
              <w:rPr>
                <w:rFonts w:ascii="Arial" w:cs="Arial" w:eastAsia="Arial" w:hAnsi="Arial"/>
                <w:sz w:val="18"/>
                <w:szCs w:val="18"/>
                <w:color w:val="auto"/>
              </w:rPr>
              <w:t>0</w:t>
            </w:r>
          </w:p>
        </w:tc>
        <w:tc>
          <w:tcPr>
            <w:tcW w:w="2760" w:type="dxa"/>
            <w:vAlign w:val="bottom"/>
            <w:gridSpan w:val="2"/>
          </w:tcPr>
          <w:p>
            <w:pPr>
              <w:jc w:val="right"/>
              <w:ind w:right="568"/>
              <w:spacing w:after="0"/>
              <w:rPr>
                <w:sz w:val="20"/>
                <w:szCs w:val="20"/>
                <w:color w:val="auto"/>
              </w:rPr>
            </w:pPr>
            <w:r>
              <w:rPr>
                <w:rFonts w:ascii="Arial" w:cs="Arial" w:eastAsia="Arial" w:hAnsi="Arial"/>
                <w:sz w:val="18"/>
                <w:szCs w:val="18"/>
                <w:color w:val="auto"/>
              </w:rPr>
              <w:t>215,391(19)</w:t>
            </w:r>
          </w:p>
        </w:tc>
        <w:tc>
          <w:tcPr>
            <w:tcW w:w="1760" w:type="dxa"/>
            <w:vAlign w:val="bottom"/>
            <w:gridSpan w:val="2"/>
          </w:tcPr>
          <w:p>
            <w:pPr>
              <w:jc w:val="right"/>
              <w:ind w:right="5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Neil Stahl, Ph.D.</w:t>
            </w:r>
          </w:p>
        </w:tc>
        <w:tc>
          <w:tcPr>
            <w:tcW w:w="2200" w:type="dxa"/>
            <w:vAlign w:val="bottom"/>
            <w:gridSpan w:val="2"/>
            <w:shd w:val="clear" w:color="auto" w:fill="EEEEEE"/>
          </w:tcPr>
          <w:p>
            <w:pPr>
              <w:jc w:val="right"/>
              <w:ind w:right="548"/>
              <w:spacing w:after="0"/>
              <w:rPr>
                <w:sz w:val="20"/>
                <w:szCs w:val="20"/>
                <w:color w:val="auto"/>
              </w:rPr>
            </w:pPr>
            <w:r>
              <w:rPr>
                <w:rFonts w:ascii="Arial" w:cs="Arial" w:eastAsia="Arial" w:hAnsi="Arial"/>
                <w:sz w:val="18"/>
                <w:szCs w:val="18"/>
                <w:color w:val="auto"/>
              </w:rPr>
              <w:t>0</w:t>
            </w:r>
          </w:p>
        </w:tc>
        <w:tc>
          <w:tcPr>
            <w:tcW w:w="2760" w:type="dxa"/>
            <w:vAlign w:val="bottom"/>
            <w:gridSpan w:val="2"/>
            <w:shd w:val="clear" w:color="auto" w:fill="EEEEEE"/>
          </w:tcPr>
          <w:p>
            <w:pPr>
              <w:jc w:val="right"/>
              <w:ind w:right="568"/>
              <w:spacing w:after="0"/>
              <w:rPr>
                <w:sz w:val="20"/>
                <w:szCs w:val="20"/>
                <w:color w:val="auto"/>
              </w:rPr>
            </w:pPr>
            <w:r>
              <w:rPr>
                <w:rFonts w:ascii="Arial" w:cs="Arial" w:eastAsia="Arial" w:hAnsi="Arial"/>
                <w:sz w:val="18"/>
                <w:szCs w:val="18"/>
                <w:color w:val="auto"/>
              </w:rPr>
              <w:t>355,482(20)</w:t>
            </w:r>
          </w:p>
        </w:tc>
        <w:tc>
          <w:tcPr>
            <w:tcW w:w="1760" w:type="dxa"/>
            <w:vAlign w:val="bottom"/>
            <w:gridSpan w:val="2"/>
            <w:shd w:val="clear" w:color="auto" w:fill="EEEEEE"/>
          </w:tcPr>
          <w:p>
            <w:pPr>
              <w:jc w:val="right"/>
              <w:ind w:right="5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gridSpan w:val="3"/>
          </w:tcPr>
          <w:p>
            <w:pPr>
              <w:spacing w:after="0"/>
              <w:rPr>
                <w:sz w:val="20"/>
                <w:szCs w:val="20"/>
                <w:color w:val="auto"/>
              </w:rPr>
            </w:pPr>
            <w:r>
              <w:rPr>
                <w:rFonts w:ascii="Arial" w:cs="Arial" w:eastAsia="Arial" w:hAnsi="Arial"/>
                <w:sz w:val="18"/>
                <w:szCs w:val="18"/>
                <w:color w:val="auto"/>
                <w:w w:val="96"/>
              </w:rPr>
              <w:t>All Directors and Executive Officers as a Group (15 persons)</w:t>
            </w:r>
          </w:p>
        </w:tc>
        <w:tc>
          <w:tcPr>
            <w:tcW w:w="2200" w:type="dxa"/>
            <w:vAlign w:val="bottom"/>
            <w:gridSpan w:val="2"/>
          </w:tcPr>
          <w:p>
            <w:pPr>
              <w:jc w:val="right"/>
              <w:ind w:right="548"/>
              <w:spacing w:after="0"/>
              <w:rPr>
                <w:sz w:val="20"/>
                <w:szCs w:val="20"/>
                <w:color w:val="auto"/>
              </w:rPr>
            </w:pPr>
            <w:r>
              <w:rPr>
                <w:rFonts w:ascii="Arial" w:cs="Arial" w:eastAsia="Arial" w:hAnsi="Arial"/>
                <w:sz w:val="18"/>
                <w:szCs w:val="18"/>
                <w:color w:val="auto"/>
              </w:rPr>
              <w:t>2,140,671</w:t>
            </w:r>
          </w:p>
        </w:tc>
        <w:tc>
          <w:tcPr>
            <w:tcW w:w="2760" w:type="dxa"/>
            <w:vAlign w:val="bottom"/>
            <w:gridSpan w:val="2"/>
          </w:tcPr>
          <w:p>
            <w:pPr>
              <w:jc w:val="right"/>
              <w:ind w:right="868"/>
              <w:spacing w:after="0"/>
              <w:rPr>
                <w:sz w:val="20"/>
                <w:szCs w:val="20"/>
                <w:color w:val="auto"/>
              </w:rPr>
            </w:pPr>
            <w:r>
              <w:rPr>
                <w:rFonts w:ascii="Arial" w:cs="Arial" w:eastAsia="Arial" w:hAnsi="Arial"/>
                <w:sz w:val="18"/>
                <w:szCs w:val="18"/>
                <w:color w:val="auto"/>
              </w:rPr>
              <w:t>6,900,692</w:t>
            </w:r>
          </w:p>
        </w:tc>
        <w:tc>
          <w:tcPr>
            <w:tcW w:w="1760" w:type="dxa"/>
            <w:vAlign w:val="bottom"/>
            <w:gridSpan w:val="2"/>
          </w:tcPr>
          <w:p>
            <w:pPr>
              <w:jc w:val="right"/>
              <w:ind w:right="368"/>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1780" w:type="dxa"/>
            <w:vAlign w:val="bottom"/>
            <w:tcBorders>
              <w:bottom w:val="single" w:sz="8" w:color="808080"/>
            </w:tcBorders>
          </w:tcPr>
          <w:p>
            <w:pPr>
              <w:spacing w:after="0"/>
              <w:rPr>
                <w:sz w:val="17"/>
                <w:szCs w:val="17"/>
                <w:color w:val="auto"/>
              </w:rPr>
            </w:pPr>
          </w:p>
        </w:tc>
        <w:tc>
          <w:tcPr>
            <w:tcW w:w="2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3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4400" w:type="dxa"/>
            <w:vAlign w:val="bottom"/>
            <w:gridSpan w:val="2"/>
          </w:tcPr>
          <w:p>
            <w:pPr>
              <w:ind w:left="160"/>
              <w:spacing w:after="0"/>
              <w:rPr>
                <w:sz w:val="20"/>
                <w:szCs w:val="20"/>
                <w:color w:val="auto"/>
              </w:rPr>
            </w:pPr>
            <w:r>
              <w:rPr>
                <w:rFonts w:ascii="Arial" w:cs="Arial" w:eastAsia="Arial" w:hAnsi="Arial"/>
                <w:sz w:val="18"/>
                <w:szCs w:val="18"/>
                <w:color w:val="auto"/>
              </w:rPr>
              <w:t>Represents less than 1%</w:t>
            </w:r>
          </w:p>
        </w:tc>
        <w:tc>
          <w:tcPr>
            <w:tcW w:w="2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200" w:type="dxa"/>
            <w:vAlign w:val="bottom"/>
            <w:gridSpan w:val="2"/>
          </w:tcPr>
          <w:p>
            <w:pPr>
              <w:jc w:val="right"/>
              <w:ind w:right="1028"/>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780" w:type="dxa"/>
            <w:vAlign w:val="bottom"/>
            <w:tcBorders>
              <w:bottom w:val="single" w:sz="8" w:color="808080"/>
            </w:tcBorders>
          </w:tcPr>
          <w:p>
            <w:pPr>
              <w:spacing w:after="0"/>
              <w:rPr>
                <w:sz w:val="19"/>
                <w:szCs w:val="19"/>
                <w:color w:val="auto"/>
              </w:rPr>
            </w:pPr>
          </w:p>
        </w:tc>
        <w:tc>
          <w:tcPr>
            <w:tcW w:w="26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9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5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5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1" w:name="page52"/>
    <w:bookmarkEnd w:id="51"/>
    <w:p>
      <w:pPr>
        <w:spacing w:after="0" w:line="50" w:lineRule="exact"/>
        <w:rPr>
          <w:sz w:val="20"/>
          <w:szCs w:val="20"/>
          <w:color w:val="auto"/>
        </w:rPr>
      </w:pPr>
    </w:p>
    <w:p>
      <w:pPr>
        <w:ind w:left="500" w:right="160" w:hanging="405"/>
        <w:spacing w:after="0" w:line="194" w:lineRule="auto"/>
        <w:tabs>
          <w:tab w:leader="none" w:pos="500" w:val="left"/>
        </w:tabs>
        <w:numPr>
          <w:ilvl w:val="0"/>
          <w:numId w:val="27"/>
        </w:numPr>
        <w:rPr>
          <w:rFonts w:ascii="Arial" w:cs="Arial" w:eastAsia="Arial" w:hAnsi="Arial"/>
          <w:sz w:val="30"/>
          <w:szCs w:val="30"/>
          <w:color w:val="auto"/>
          <w:vertAlign w:val="superscript"/>
        </w:rPr>
      </w:pPr>
      <w:r>
        <w:rPr>
          <w:rFonts w:ascii="Arial" w:cs="Arial" w:eastAsia="Arial" w:hAnsi="Arial"/>
          <w:sz w:val="18"/>
          <w:szCs w:val="18"/>
          <w:color w:val="auto"/>
        </w:rPr>
        <w:t>Unless otherwise stated, the address for each beneficial owner is c/o Regeneron Pharmaceuticals, Inc., 777 Old Saw Mill River Road, Tarrytown, NY 10591.</w:t>
      </w:r>
    </w:p>
    <w:p>
      <w:pPr>
        <w:spacing w:after="0" w:line="202" w:lineRule="exact"/>
        <w:rPr>
          <w:sz w:val="20"/>
          <w:szCs w:val="20"/>
          <w:color w:val="auto"/>
        </w:rPr>
      </w:pPr>
    </w:p>
    <w:p>
      <w:pPr>
        <w:jc w:val="both"/>
        <w:ind w:left="500" w:right="360" w:hanging="405"/>
        <w:spacing w:after="0" w:line="223" w:lineRule="auto"/>
        <w:tabs>
          <w:tab w:leader="none" w:pos="500" w:val="left"/>
        </w:tabs>
        <w:numPr>
          <w:ilvl w:val="0"/>
          <w:numId w:val="28"/>
        </w:numPr>
        <w:rPr>
          <w:rFonts w:ascii="Arial" w:cs="Arial" w:eastAsia="Arial" w:hAnsi="Arial"/>
          <w:sz w:val="28"/>
          <w:szCs w:val="28"/>
          <w:color w:val="auto"/>
          <w:vertAlign w:val="superscript"/>
        </w:rPr>
      </w:pPr>
      <w:r>
        <w:rPr>
          <w:rFonts w:ascii="Arial" w:cs="Arial" w:eastAsia="Arial" w:hAnsi="Arial"/>
          <w:sz w:val="17"/>
          <w:szCs w:val="17"/>
          <w:color w:val="auto"/>
        </w:rPr>
        <w:t>We calculated beneficial ownership in accordance with the rules of the Securities and Exchange Commission. The inclusion herein of any Class A Stock or Common Stock, as the case may be, deemed beneficially owned does not constitute an admission of beneficial ownership of those shares. Unless otherwise indicated, each person listed has sole voting and investment power with respect to the shares listed.</w:t>
      </w:r>
    </w:p>
    <w:p>
      <w:pPr>
        <w:spacing w:after="0" w:line="202" w:lineRule="exact"/>
        <w:rPr>
          <w:sz w:val="20"/>
          <w:szCs w:val="20"/>
          <w:color w:val="auto"/>
        </w:rPr>
      </w:pPr>
    </w:p>
    <w:p>
      <w:pPr>
        <w:ind w:left="500" w:right="80" w:hanging="405"/>
        <w:spacing w:after="0" w:line="194" w:lineRule="auto"/>
        <w:tabs>
          <w:tab w:leader="none" w:pos="500" w:val="left"/>
        </w:tabs>
        <w:numPr>
          <w:ilvl w:val="0"/>
          <w:numId w:val="29"/>
        </w:numPr>
        <w:rPr>
          <w:rFonts w:ascii="Arial" w:cs="Arial" w:eastAsia="Arial" w:hAnsi="Arial"/>
          <w:sz w:val="30"/>
          <w:szCs w:val="30"/>
          <w:color w:val="auto"/>
          <w:vertAlign w:val="superscript"/>
        </w:rPr>
      </w:pPr>
      <w:r>
        <w:rPr>
          <w:rFonts w:ascii="Arial" w:cs="Arial" w:eastAsia="Arial" w:hAnsi="Arial"/>
          <w:sz w:val="18"/>
          <w:szCs w:val="18"/>
          <w:color w:val="auto"/>
        </w:rPr>
        <w:t>Number of shares includes number of options held by the person or entity in question that are currently exercisable or excisable within sixty days after November 3, 2004.</w:t>
      </w:r>
    </w:p>
    <w:p>
      <w:pPr>
        <w:spacing w:after="0" w:line="202" w:lineRule="exact"/>
        <w:rPr>
          <w:sz w:val="20"/>
          <w:szCs w:val="20"/>
          <w:color w:val="auto"/>
        </w:rPr>
      </w:pPr>
    </w:p>
    <w:p>
      <w:pPr>
        <w:ind w:left="500" w:right="480" w:hanging="405"/>
        <w:spacing w:after="0" w:line="221" w:lineRule="auto"/>
        <w:tabs>
          <w:tab w:leader="none" w:pos="500" w:val="left"/>
        </w:tabs>
        <w:numPr>
          <w:ilvl w:val="0"/>
          <w:numId w:val="30"/>
        </w:numPr>
        <w:rPr>
          <w:rFonts w:ascii="Arial" w:cs="Arial" w:eastAsia="Arial" w:hAnsi="Arial"/>
          <w:sz w:val="26"/>
          <w:szCs w:val="26"/>
          <w:color w:val="auto"/>
          <w:vertAlign w:val="superscript"/>
        </w:rPr>
      </w:pPr>
      <w:r>
        <w:rPr>
          <w:rFonts w:ascii="Arial" w:cs="Arial" w:eastAsia="Arial" w:hAnsi="Arial"/>
          <w:sz w:val="16"/>
          <w:szCs w:val="16"/>
          <w:color w:val="auto"/>
        </w:rPr>
        <w:t>To calculate percentage, number of shares outstanding includes 55,741,696 shares outstanding as of November 3, 2004 plus any shares subject to options held by the person or entity in question that are currently exercisable or exercisable within sixty days after November 3, 2004.</w:t>
      </w:r>
    </w:p>
    <w:p>
      <w:pPr>
        <w:spacing w:after="0" w:line="204" w:lineRule="exact"/>
        <w:rPr>
          <w:sz w:val="20"/>
          <w:szCs w:val="20"/>
          <w:color w:val="auto"/>
        </w:rPr>
      </w:pPr>
    </w:p>
    <w:p>
      <w:pPr>
        <w:ind w:left="500" w:right="80" w:hanging="405"/>
        <w:spacing w:after="0" w:line="209" w:lineRule="auto"/>
        <w:tabs>
          <w:tab w:leader="none" w:pos="500" w:val="left"/>
        </w:tabs>
        <w:numPr>
          <w:ilvl w:val="0"/>
          <w:numId w:val="31"/>
        </w:numPr>
        <w:rPr>
          <w:rFonts w:ascii="Arial" w:cs="Arial" w:eastAsia="Arial" w:hAnsi="Arial"/>
          <w:sz w:val="30"/>
          <w:szCs w:val="30"/>
          <w:color w:val="auto"/>
          <w:vertAlign w:val="superscript"/>
        </w:rPr>
      </w:pPr>
      <w:r>
        <w:rPr>
          <w:rFonts w:ascii="Arial" w:cs="Arial" w:eastAsia="Arial" w:hAnsi="Arial"/>
          <w:sz w:val="18"/>
          <w:szCs w:val="18"/>
          <w:color w:val="auto"/>
        </w:rPr>
        <w:t>Includes 58,550 shares of Class A Stock held directly by, or in trust for the benefit of, Dr. Schleifer’s two sons, of which Dr. Schleifer disclaims beneficial ownership. Excludes 6,500 shares of Class A Stock held by the Schleifer Family Foundation, a charitable foundation, of which Dr. Schleifer disclaims beneficial ownership.</w:t>
      </w:r>
    </w:p>
    <w:p>
      <w:pPr>
        <w:spacing w:after="0" w:line="89" w:lineRule="exact"/>
        <w:rPr>
          <w:sz w:val="20"/>
          <w:szCs w:val="20"/>
          <w:color w:val="auto"/>
        </w:rPr>
      </w:pPr>
    </w:p>
    <w:p>
      <w:pPr>
        <w:ind w:left="500" w:hanging="405"/>
        <w:spacing w:after="0"/>
        <w:tabs>
          <w:tab w:leader="none" w:pos="500" w:val="left"/>
        </w:tabs>
        <w:numPr>
          <w:ilvl w:val="0"/>
          <w:numId w:val="32"/>
        </w:numPr>
        <w:rPr>
          <w:rFonts w:ascii="Arial" w:cs="Arial" w:eastAsia="Arial" w:hAnsi="Arial"/>
          <w:sz w:val="30"/>
          <w:szCs w:val="30"/>
          <w:color w:val="auto"/>
          <w:vertAlign w:val="superscript"/>
        </w:rPr>
      </w:pPr>
      <w:r>
        <w:rPr>
          <w:rFonts w:ascii="Arial" w:cs="Arial" w:eastAsia="Arial" w:hAnsi="Arial"/>
          <w:sz w:val="18"/>
          <w:szCs w:val="18"/>
          <w:color w:val="auto"/>
        </w:rPr>
        <w:t>All shares of Class A Stock are held by a limited partnership.</w:t>
      </w:r>
    </w:p>
    <w:p>
      <w:pPr>
        <w:spacing w:after="0" w:line="87" w:lineRule="exact"/>
        <w:rPr>
          <w:sz w:val="20"/>
          <w:szCs w:val="20"/>
          <w:color w:val="auto"/>
        </w:rPr>
      </w:pPr>
    </w:p>
    <w:p>
      <w:pPr>
        <w:ind w:left="500" w:hanging="405"/>
        <w:spacing w:after="0"/>
        <w:tabs>
          <w:tab w:leader="none" w:pos="500" w:val="left"/>
        </w:tabs>
        <w:numPr>
          <w:ilvl w:val="0"/>
          <w:numId w:val="33"/>
        </w:numPr>
        <w:rPr>
          <w:rFonts w:ascii="Arial" w:cs="Arial" w:eastAsia="Arial" w:hAnsi="Arial"/>
          <w:sz w:val="30"/>
          <w:szCs w:val="30"/>
          <w:color w:val="auto"/>
          <w:vertAlign w:val="superscript"/>
        </w:rPr>
      </w:pPr>
      <w:r>
        <w:rPr>
          <w:rFonts w:ascii="Arial" w:cs="Arial" w:eastAsia="Arial" w:hAnsi="Arial"/>
          <w:sz w:val="18"/>
          <w:szCs w:val="18"/>
          <w:color w:val="auto"/>
        </w:rPr>
        <w:t>Includes 2,700 shares of Class A stock held in trust for the benefit of Dr. Brown’s daughter.</w:t>
      </w:r>
    </w:p>
    <w:p>
      <w:pPr>
        <w:spacing w:after="0" w:line="87" w:lineRule="exact"/>
        <w:rPr>
          <w:sz w:val="20"/>
          <w:szCs w:val="20"/>
          <w:color w:val="auto"/>
        </w:rPr>
      </w:pPr>
    </w:p>
    <w:p>
      <w:pPr>
        <w:ind w:left="500" w:hanging="405"/>
        <w:spacing w:after="0"/>
        <w:tabs>
          <w:tab w:leader="none" w:pos="500" w:val="left"/>
        </w:tabs>
        <w:numPr>
          <w:ilvl w:val="0"/>
          <w:numId w:val="34"/>
        </w:numPr>
        <w:rPr>
          <w:rFonts w:ascii="Arial" w:cs="Arial" w:eastAsia="Arial" w:hAnsi="Arial"/>
          <w:sz w:val="30"/>
          <w:szCs w:val="30"/>
          <w:color w:val="auto"/>
          <w:vertAlign w:val="superscript"/>
        </w:rPr>
      </w:pPr>
      <w:r>
        <w:rPr>
          <w:rFonts w:ascii="Arial" w:cs="Arial" w:eastAsia="Arial" w:hAnsi="Arial"/>
          <w:sz w:val="18"/>
          <w:szCs w:val="18"/>
          <w:color w:val="auto"/>
        </w:rPr>
        <w:t>All shares of Class A Stock are held in trust for the benefit of Dr. Shooter’s children (the Shooter Family Trust).</w:t>
      </w:r>
    </w:p>
    <w:p>
      <w:pPr>
        <w:spacing w:after="0" w:line="202" w:lineRule="exact"/>
        <w:rPr>
          <w:sz w:val="20"/>
          <w:szCs w:val="20"/>
          <w:color w:val="auto"/>
        </w:rPr>
      </w:pPr>
    </w:p>
    <w:p>
      <w:pPr>
        <w:ind w:left="500" w:right="140" w:hanging="405"/>
        <w:spacing w:after="0" w:line="194" w:lineRule="auto"/>
        <w:tabs>
          <w:tab w:leader="none" w:pos="500" w:val="left"/>
        </w:tabs>
        <w:numPr>
          <w:ilvl w:val="0"/>
          <w:numId w:val="35"/>
        </w:numPr>
        <w:rPr>
          <w:rFonts w:ascii="Arial" w:cs="Arial" w:eastAsia="Arial" w:hAnsi="Arial"/>
          <w:sz w:val="30"/>
          <w:szCs w:val="30"/>
          <w:color w:val="auto"/>
          <w:vertAlign w:val="superscript"/>
        </w:rPr>
      </w:pPr>
      <w:r>
        <w:rPr>
          <w:rFonts w:ascii="Arial" w:cs="Arial" w:eastAsia="Arial" w:hAnsi="Arial"/>
          <w:sz w:val="18"/>
          <w:szCs w:val="18"/>
          <w:color w:val="auto"/>
        </w:rPr>
        <w:t>Includes 19,383 shares of Class A Stock held in trust for the benefit of Dr. Yancopoulos’s children and excludes 205 shares held by Dr. Yancopoulos’s wife. Dr. Yancopoulos disclaims beneficial ownership of all such shares.</w:t>
      </w:r>
    </w:p>
    <w:p>
      <w:pPr>
        <w:spacing w:after="0" w:line="202" w:lineRule="exact"/>
        <w:rPr>
          <w:sz w:val="20"/>
          <w:szCs w:val="20"/>
          <w:color w:val="auto"/>
        </w:rPr>
      </w:pPr>
    </w:p>
    <w:p>
      <w:pPr>
        <w:ind w:left="500" w:right="100" w:hanging="480"/>
        <w:spacing w:after="0" w:line="224" w:lineRule="auto"/>
        <w:tabs>
          <w:tab w:leader="none" w:pos="500" w:val="left"/>
        </w:tabs>
        <w:numPr>
          <w:ilvl w:val="0"/>
          <w:numId w:val="36"/>
        </w:numPr>
        <w:rPr>
          <w:rFonts w:ascii="Arial" w:cs="Arial" w:eastAsia="Arial" w:hAnsi="Arial"/>
          <w:sz w:val="30"/>
          <w:szCs w:val="30"/>
          <w:color w:val="auto"/>
          <w:vertAlign w:val="superscript"/>
        </w:rPr>
      </w:pPr>
      <w:r>
        <w:rPr>
          <w:rFonts w:ascii="Arial" w:cs="Arial" w:eastAsia="Arial" w:hAnsi="Arial"/>
          <w:sz w:val="18"/>
          <w:szCs w:val="18"/>
          <w:color w:val="auto"/>
        </w:rPr>
        <w:t>Includes 1,025,320 shares of Common Stock purchasable upon the exercise of options granted pursuant to the Stock Incentive Plans which are exercisable or become so within sixty days from November 3, 2004 and 2,293 shares of Common Stock held in an account under the Company’s 401(k) Savings Plan. Includes 1,800 shares of Common Stock held directly by, or in trust for the benefit of, Dr. Schleifer’s two sons, of which Dr. Schleifer disclaims beneficial ownership. Excludes 10,000 shares of Common Stock held by the Schleifer Family Foundation, a charitable foundation, of which Dr. Schleifer disclaims beneficial ownership.</w:t>
      </w:r>
    </w:p>
    <w:p>
      <w:pPr>
        <w:spacing w:after="0" w:line="201" w:lineRule="exact"/>
        <w:rPr>
          <w:rFonts w:ascii="Arial" w:cs="Arial" w:eastAsia="Arial" w:hAnsi="Arial"/>
          <w:sz w:val="30"/>
          <w:szCs w:val="30"/>
          <w:color w:val="auto"/>
          <w:vertAlign w:val="superscript"/>
        </w:rPr>
      </w:pPr>
    </w:p>
    <w:p>
      <w:pPr>
        <w:ind w:left="500" w:right="40" w:hanging="474"/>
        <w:spacing w:after="0" w:line="238" w:lineRule="auto"/>
        <w:tabs>
          <w:tab w:leader="none" w:pos="500" w:val="left"/>
        </w:tabs>
        <w:numPr>
          <w:ilvl w:val="0"/>
          <w:numId w:val="36"/>
        </w:numPr>
        <w:rPr>
          <w:rFonts w:ascii="Arial" w:cs="Arial" w:eastAsia="Arial" w:hAnsi="Arial"/>
          <w:sz w:val="28"/>
          <w:szCs w:val="28"/>
          <w:color w:val="auto"/>
          <w:vertAlign w:val="superscript"/>
        </w:rPr>
      </w:pPr>
      <w:r>
        <w:rPr>
          <w:rFonts w:ascii="Arial" w:cs="Arial" w:eastAsia="Arial" w:hAnsi="Arial"/>
          <w:sz w:val="17"/>
          <w:szCs w:val="17"/>
          <w:color w:val="auto"/>
        </w:rPr>
        <w:t>Includes 1,514,999 shares of Common Stock purchasable upon exercise of options granted pursuant to the Stock Incentive Plans which are exercisable or become so within sixty days from November 3, 2004 and 851 shares of Common Stock held in an account under the Company’s 401(k) Savings Plan. Includes 527,322 shares of Common Stock held in a charitable trust and 456,337 shares of Common Stock held in three separate grantor trusts. Excludes 203,199 shares of Common Stock held by the Marianthi Foundation, and 161,443 shares of Common Stock held by the Pindaros Foundation, both charitable foundations, of which Dr. Vagelos disclaims beneficial ownership.</w:t>
      </w:r>
    </w:p>
    <w:p>
      <w:pPr>
        <w:spacing w:after="0" w:line="201" w:lineRule="exact"/>
        <w:rPr>
          <w:rFonts w:ascii="Arial" w:cs="Arial" w:eastAsia="Arial" w:hAnsi="Arial"/>
          <w:sz w:val="28"/>
          <w:szCs w:val="28"/>
          <w:color w:val="auto"/>
          <w:vertAlign w:val="superscript"/>
        </w:rPr>
      </w:pPr>
    </w:p>
    <w:p>
      <w:pPr>
        <w:ind w:left="500" w:right="20" w:hanging="480"/>
        <w:spacing w:after="0" w:line="194" w:lineRule="auto"/>
        <w:tabs>
          <w:tab w:leader="none" w:pos="500" w:val="left"/>
        </w:tabs>
        <w:numPr>
          <w:ilvl w:val="0"/>
          <w:numId w:val="36"/>
        </w:numPr>
        <w:rPr>
          <w:rFonts w:ascii="Arial" w:cs="Arial" w:eastAsia="Arial" w:hAnsi="Arial"/>
          <w:sz w:val="30"/>
          <w:szCs w:val="30"/>
          <w:color w:val="auto"/>
          <w:vertAlign w:val="superscript"/>
        </w:rPr>
      </w:pPr>
      <w:r>
        <w:rPr>
          <w:rFonts w:ascii="Arial" w:cs="Arial" w:eastAsia="Arial" w:hAnsi="Arial"/>
          <w:sz w:val="18"/>
          <w:szCs w:val="18"/>
          <w:color w:val="auto"/>
        </w:rPr>
        <w:t>Includes 110,000 shares of Common Stock purchasable upon exercise of options granted pursuant to the Stock Incentive Plans which are exercisable or become so within sixty days from November 3, 2004.</w:t>
      </w:r>
    </w:p>
    <w:p>
      <w:pPr>
        <w:spacing w:after="0" w:line="202" w:lineRule="exact"/>
        <w:rPr>
          <w:rFonts w:ascii="Arial" w:cs="Arial" w:eastAsia="Arial" w:hAnsi="Arial"/>
          <w:sz w:val="30"/>
          <w:szCs w:val="30"/>
          <w:color w:val="auto"/>
          <w:vertAlign w:val="superscript"/>
        </w:rPr>
      </w:pPr>
    </w:p>
    <w:p>
      <w:pPr>
        <w:ind w:left="500" w:hanging="480"/>
        <w:spacing w:after="0" w:line="194" w:lineRule="auto"/>
        <w:tabs>
          <w:tab w:leader="none" w:pos="500" w:val="left"/>
        </w:tabs>
        <w:numPr>
          <w:ilvl w:val="0"/>
          <w:numId w:val="36"/>
        </w:numPr>
        <w:rPr>
          <w:rFonts w:ascii="Arial" w:cs="Arial" w:eastAsia="Arial" w:hAnsi="Arial"/>
          <w:sz w:val="30"/>
          <w:szCs w:val="30"/>
          <w:color w:val="auto"/>
          <w:vertAlign w:val="superscript"/>
        </w:rPr>
      </w:pPr>
      <w:r>
        <w:rPr>
          <w:rFonts w:ascii="Arial" w:cs="Arial" w:eastAsia="Arial" w:hAnsi="Arial"/>
          <w:sz w:val="18"/>
          <w:szCs w:val="18"/>
          <w:color w:val="auto"/>
        </w:rPr>
        <w:t>Includes 143,000 shares of Common Stock purchasable upon exercise of options granted pursuant to the Stock Incentive Plans which are exercisable or become so within sixty days from November 3, 2004.</w:t>
      </w:r>
    </w:p>
    <w:p>
      <w:pPr>
        <w:spacing w:after="0" w:line="202" w:lineRule="exact"/>
        <w:rPr>
          <w:rFonts w:ascii="Arial" w:cs="Arial" w:eastAsia="Arial" w:hAnsi="Arial"/>
          <w:sz w:val="30"/>
          <w:szCs w:val="30"/>
          <w:color w:val="auto"/>
          <w:vertAlign w:val="superscript"/>
        </w:rPr>
      </w:pPr>
    </w:p>
    <w:p>
      <w:pPr>
        <w:ind w:left="500" w:hanging="480"/>
        <w:spacing w:after="0" w:line="194" w:lineRule="auto"/>
        <w:tabs>
          <w:tab w:leader="none" w:pos="500" w:val="left"/>
        </w:tabs>
        <w:numPr>
          <w:ilvl w:val="0"/>
          <w:numId w:val="36"/>
        </w:numPr>
        <w:rPr>
          <w:rFonts w:ascii="Arial" w:cs="Arial" w:eastAsia="Arial" w:hAnsi="Arial"/>
          <w:sz w:val="30"/>
          <w:szCs w:val="30"/>
          <w:color w:val="auto"/>
          <w:vertAlign w:val="superscript"/>
        </w:rPr>
      </w:pPr>
      <w:r>
        <w:rPr>
          <w:rFonts w:ascii="Arial" w:cs="Arial" w:eastAsia="Arial" w:hAnsi="Arial"/>
          <w:sz w:val="18"/>
          <w:szCs w:val="18"/>
          <w:color w:val="auto"/>
        </w:rPr>
        <w:t>Includes 145,000 shares of Common Stock purchasable upon exercise of options granted pursuant to the Stock Incentive Plans which are exercisable or become so within sixty days from November 3, 2004.</w:t>
      </w:r>
    </w:p>
    <w:p>
      <w:pPr>
        <w:spacing w:after="0" w:line="202" w:lineRule="exact"/>
        <w:rPr>
          <w:rFonts w:ascii="Arial" w:cs="Arial" w:eastAsia="Arial" w:hAnsi="Arial"/>
          <w:sz w:val="30"/>
          <w:szCs w:val="30"/>
          <w:color w:val="auto"/>
          <w:vertAlign w:val="superscript"/>
        </w:rPr>
      </w:pPr>
    </w:p>
    <w:p>
      <w:pPr>
        <w:ind w:left="500" w:right="180" w:hanging="480"/>
        <w:spacing w:after="0" w:line="194" w:lineRule="auto"/>
        <w:tabs>
          <w:tab w:leader="none" w:pos="500" w:val="left"/>
        </w:tabs>
        <w:numPr>
          <w:ilvl w:val="0"/>
          <w:numId w:val="36"/>
        </w:numPr>
        <w:rPr>
          <w:rFonts w:ascii="Arial" w:cs="Arial" w:eastAsia="Arial" w:hAnsi="Arial"/>
          <w:sz w:val="30"/>
          <w:szCs w:val="30"/>
          <w:color w:val="auto"/>
          <w:vertAlign w:val="superscript"/>
        </w:rPr>
      </w:pPr>
      <w:r>
        <w:rPr>
          <w:rFonts w:ascii="Arial" w:cs="Arial" w:eastAsia="Arial" w:hAnsi="Arial"/>
          <w:sz w:val="18"/>
          <w:szCs w:val="18"/>
          <w:color w:val="auto"/>
        </w:rPr>
        <w:t>All shares of Common Stock beneficially owned represent shares of Common Stock purchasable upon the exercise of options granted pursuant to the Stock Incentive Plans which are exercisable or become so within sixty days from November 3, 2004.</w:t>
      </w:r>
    </w:p>
    <w:p>
      <w:pPr>
        <w:spacing w:after="0" w:line="202" w:lineRule="exact"/>
        <w:rPr>
          <w:rFonts w:ascii="Arial" w:cs="Arial" w:eastAsia="Arial" w:hAnsi="Arial"/>
          <w:sz w:val="30"/>
          <w:szCs w:val="30"/>
          <w:color w:val="auto"/>
          <w:vertAlign w:val="superscript"/>
        </w:rPr>
      </w:pPr>
    </w:p>
    <w:p>
      <w:pPr>
        <w:ind w:left="500" w:hanging="480"/>
        <w:spacing w:after="0" w:line="194" w:lineRule="auto"/>
        <w:tabs>
          <w:tab w:leader="none" w:pos="500" w:val="left"/>
        </w:tabs>
        <w:numPr>
          <w:ilvl w:val="0"/>
          <w:numId w:val="36"/>
        </w:numPr>
        <w:rPr>
          <w:rFonts w:ascii="Arial" w:cs="Arial" w:eastAsia="Arial" w:hAnsi="Arial"/>
          <w:sz w:val="30"/>
          <w:szCs w:val="30"/>
          <w:color w:val="auto"/>
          <w:vertAlign w:val="superscript"/>
        </w:rPr>
      </w:pPr>
      <w:r>
        <w:rPr>
          <w:rFonts w:ascii="Arial" w:cs="Arial" w:eastAsia="Arial" w:hAnsi="Arial"/>
          <w:sz w:val="18"/>
          <w:szCs w:val="18"/>
          <w:color w:val="auto"/>
        </w:rPr>
        <w:t>Includes 100,000 shares of Common Stock purchasable upon exercise of options granted pursuant to the Stock Incentive Plans which are exercisable or become so within sixty days from November 3, 2004.</w:t>
      </w:r>
    </w:p>
    <w:p>
      <w:pPr>
        <w:spacing w:after="0" w:line="202" w:lineRule="exact"/>
        <w:rPr>
          <w:rFonts w:ascii="Arial" w:cs="Arial" w:eastAsia="Arial" w:hAnsi="Arial"/>
          <w:sz w:val="30"/>
          <w:szCs w:val="30"/>
          <w:color w:val="auto"/>
          <w:vertAlign w:val="superscript"/>
        </w:rPr>
      </w:pPr>
    </w:p>
    <w:p>
      <w:pPr>
        <w:ind w:left="500" w:right="60" w:hanging="480"/>
        <w:spacing w:after="0" w:line="209" w:lineRule="auto"/>
        <w:tabs>
          <w:tab w:leader="none" w:pos="500" w:val="left"/>
        </w:tabs>
        <w:numPr>
          <w:ilvl w:val="0"/>
          <w:numId w:val="36"/>
        </w:numPr>
        <w:rPr>
          <w:rFonts w:ascii="Arial" w:cs="Arial" w:eastAsia="Arial" w:hAnsi="Arial"/>
          <w:sz w:val="30"/>
          <w:szCs w:val="30"/>
          <w:color w:val="auto"/>
          <w:vertAlign w:val="superscript"/>
        </w:rPr>
      </w:pPr>
      <w:r>
        <w:rPr>
          <w:rFonts w:ascii="Arial" w:cs="Arial" w:eastAsia="Arial" w:hAnsi="Arial"/>
          <w:sz w:val="18"/>
          <w:szCs w:val="18"/>
          <w:color w:val="auto"/>
        </w:rPr>
        <w:t>Includes 1,255,200 shares of Common Stock purchasable upon exercise of options granted pursuant to the Stock Incentive Plans which are exercisable or become so within sixty days from November 3, 2004 and 2,266 shares of Common Stock held in an account under the Company’s 401(k) Savings Plan.</w:t>
      </w:r>
    </w:p>
    <w:p>
      <w:pPr>
        <w:spacing w:after="0" w:line="203" w:lineRule="exact"/>
        <w:rPr>
          <w:rFonts w:ascii="Arial" w:cs="Arial" w:eastAsia="Arial" w:hAnsi="Arial"/>
          <w:sz w:val="30"/>
          <w:szCs w:val="30"/>
          <w:color w:val="auto"/>
          <w:vertAlign w:val="superscript"/>
        </w:rPr>
      </w:pPr>
    </w:p>
    <w:p>
      <w:pPr>
        <w:ind w:left="500" w:hanging="480"/>
        <w:spacing w:after="0" w:line="209" w:lineRule="auto"/>
        <w:tabs>
          <w:tab w:leader="none" w:pos="500" w:val="left"/>
        </w:tabs>
        <w:numPr>
          <w:ilvl w:val="0"/>
          <w:numId w:val="36"/>
        </w:numPr>
        <w:rPr>
          <w:rFonts w:ascii="Arial" w:cs="Arial" w:eastAsia="Arial" w:hAnsi="Arial"/>
          <w:sz w:val="30"/>
          <w:szCs w:val="30"/>
          <w:color w:val="auto"/>
          <w:vertAlign w:val="superscript"/>
        </w:rPr>
      </w:pPr>
      <w:r>
        <w:rPr>
          <w:rFonts w:ascii="Arial" w:cs="Arial" w:eastAsia="Arial" w:hAnsi="Arial"/>
          <w:sz w:val="18"/>
          <w:szCs w:val="18"/>
          <w:color w:val="auto"/>
        </w:rPr>
        <w:t>Includes 246,781 shares of Common Stock purchasable upon exercise of options granted pursuant to the Stock Incentive Plans which are exercisable or become so within sixty days from November 3, 2004 and 2,293 shares of Common Stock held in an account under the Company’s 401(k) Savings Plan.</w:t>
      </w:r>
    </w:p>
    <w:p>
      <w:pPr>
        <w:spacing w:after="0" w:line="203" w:lineRule="exact"/>
        <w:rPr>
          <w:rFonts w:ascii="Arial" w:cs="Arial" w:eastAsia="Arial" w:hAnsi="Arial"/>
          <w:sz w:val="30"/>
          <w:szCs w:val="30"/>
          <w:color w:val="auto"/>
          <w:vertAlign w:val="superscript"/>
        </w:rPr>
      </w:pPr>
    </w:p>
    <w:p>
      <w:pPr>
        <w:ind w:left="500" w:hanging="480"/>
        <w:spacing w:after="0" w:line="209" w:lineRule="auto"/>
        <w:tabs>
          <w:tab w:leader="none" w:pos="500" w:val="left"/>
        </w:tabs>
        <w:numPr>
          <w:ilvl w:val="0"/>
          <w:numId w:val="36"/>
        </w:numPr>
        <w:rPr>
          <w:rFonts w:ascii="Arial" w:cs="Arial" w:eastAsia="Arial" w:hAnsi="Arial"/>
          <w:sz w:val="30"/>
          <w:szCs w:val="30"/>
          <w:color w:val="auto"/>
          <w:vertAlign w:val="superscript"/>
        </w:rPr>
      </w:pPr>
      <w:r>
        <w:rPr>
          <w:rFonts w:ascii="Arial" w:cs="Arial" w:eastAsia="Arial" w:hAnsi="Arial"/>
          <w:sz w:val="18"/>
          <w:szCs w:val="18"/>
          <w:color w:val="auto"/>
        </w:rPr>
        <w:t>Includes 204,000 shares of Common Stock purchasable upon exercise of options granted pursuant to the Stock Incentive Plans which are exercisable or become so within sixty days from November 3, 2004 and 2,248 shares of Common Stock held in an account under the Company’s 401(k) Savings Plan.</w:t>
      </w:r>
    </w:p>
    <w:p>
      <w:pPr>
        <w:spacing w:after="0" w:line="203" w:lineRule="exact"/>
        <w:rPr>
          <w:rFonts w:ascii="Arial" w:cs="Arial" w:eastAsia="Arial" w:hAnsi="Arial"/>
          <w:sz w:val="30"/>
          <w:szCs w:val="30"/>
          <w:color w:val="auto"/>
          <w:vertAlign w:val="superscript"/>
        </w:rPr>
      </w:pPr>
    </w:p>
    <w:p>
      <w:pPr>
        <w:ind w:left="500" w:hanging="480"/>
        <w:spacing w:after="0" w:line="209" w:lineRule="auto"/>
        <w:tabs>
          <w:tab w:leader="none" w:pos="500" w:val="left"/>
        </w:tabs>
        <w:numPr>
          <w:ilvl w:val="0"/>
          <w:numId w:val="36"/>
        </w:numPr>
        <w:rPr>
          <w:rFonts w:ascii="Arial" w:cs="Arial" w:eastAsia="Arial" w:hAnsi="Arial"/>
          <w:sz w:val="30"/>
          <w:szCs w:val="30"/>
          <w:color w:val="auto"/>
          <w:vertAlign w:val="superscript"/>
        </w:rPr>
      </w:pPr>
      <w:r>
        <w:rPr>
          <w:rFonts w:ascii="Arial" w:cs="Arial" w:eastAsia="Arial" w:hAnsi="Arial"/>
          <w:sz w:val="18"/>
          <w:szCs w:val="18"/>
          <w:color w:val="auto"/>
        </w:rPr>
        <w:t>Includes 340,000 shares of Common Stock purchasable upon exercise of options granted pursuant to the Stock Incentive Plans which are exercisable or become so within sixty days from November 3, 2004 and 2,211 shares of Common Stock held in an account under the Company’s 401(k) Savings Plan.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Financial Information.</w:t>
      </w:r>
    </w:p>
    <w:p>
      <w:pPr>
        <w:spacing w:after="0" w:line="189" w:lineRule="exact"/>
        <w:rPr>
          <w:sz w:val="20"/>
          <w:szCs w:val="20"/>
          <w:color w:val="auto"/>
        </w:rPr>
      </w:pPr>
    </w:p>
    <w:p>
      <w:pPr>
        <w:ind w:right="40" w:firstLine="450"/>
        <w:spacing w:after="0" w:line="277" w:lineRule="auto"/>
        <w:rPr>
          <w:sz w:val="20"/>
          <w:szCs w:val="20"/>
          <w:color w:val="auto"/>
        </w:rPr>
      </w:pPr>
      <w:r>
        <w:rPr>
          <w:rFonts w:ascii="Arial" w:cs="Arial" w:eastAsia="Arial" w:hAnsi="Arial"/>
          <w:sz w:val="18"/>
          <w:szCs w:val="18"/>
          <w:color w:val="auto"/>
        </w:rPr>
        <w:t>Before deciding whether to tender your options for exchange in the Offer, we encourage you to review the financial information included in our Annual Report on Form 10-K for the fiscal year ended December 31, 2003 and our Quarterly Report on</w:t>
      </w:r>
    </w:p>
    <w:p>
      <w:pPr>
        <w:sectPr>
          <w:pgSz w:w="11900" w:h="16888" w:orient="portrait"/>
          <w:cols w:equalWidth="0" w:num="1">
            <w:col w:w="11420"/>
          </w:cols>
          <w:pgMar w:left="240" w:top="935" w:right="239" w:bottom="0" w:gutter="0" w:footer="0" w:header="0"/>
        </w:sectPr>
      </w:pPr>
    </w:p>
    <w:bookmarkStart w:id="52" w:name="page53"/>
    <w:bookmarkEnd w:id="52"/>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164465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3" w:name="page54"/>
    <w:bookmarkEnd w:id="53"/>
    <w:p>
      <w:pPr>
        <w:ind w:right="240"/>
        <w:spacing w:after="0" w:line="277" w:lineRule="auto"/>
        <w:rPr>
          <w:sz w:val="20"/>
          <w:szCs w:val="20"/>
          <w:color w:val="auto"/>
        </w:rPr>
      </w:pPr>
      <w:r>
        <w:rPr>
          <w:rFonts w:ascii="Arial" w:cs="Arial" w:eastAsia="Arial" w:hAnsi="Arial"/>
          <w:sz w:val="18"/>
          <w:szCs w:val="18"/>
          <w:color w:val="auto"/>
        </w:rPr>
        <w:t>Form 10-Q for the fiscal quarter ended September 30, 2004. See Section 17 – “Additional Information,” beginning on page 43, for instructions on how you can obtain copies of our filings with the SEC, including our filings that contain our financial statements.</w:t>
      </w:r>
    </w:p>
    <w:p>
      <w:pPr>
        <w:spacing w:after="0" w:line="143" w:lineRule="exact"/>
        <w:rPr>
          <w:sz w:val="20"/>
          <w:szCs w:val="20"/>
          <w:color w:val="auto"/>
        </w:rPr>
      </w:pPr>
    </w:p>
    <w:p>
      <w:pPr>
        <w:ind w:firstLine="450"/>
        <w:spacing w:after="0" w:line="277" w:lineRule="auto"/>
        <w:rPr>
          <w:sz w:val="20"/>
          <w:szCs w:val="20"/>
          <w:color w:val="auto"/>
        </w:rPr>
      </w:pPr>
      <w:r>
        <w:rPr>
          <w:rFonts w:ascii="Arial" w:cs="Arial" w:eastAsia="Arial" w:hAnsi="Arial"/>
          <w:sz w:val="18"/>
          <w:szCs w:val="18"/>
          <w:b w:val="1"/>
          <w:bCs w:val="1"/>
          <w:i w:val="1"/>
          <w:iCs w:val="1"/>
          <w:color w:val="auto"/>
        </w:rPr>
        <w:t xml:space="preserve">Summary Financial Data. </w:t>
      </w:r>
      <w:r>
        <w:rPr>
          <w:rFonts w:ascii="Arial" w:cs="Arial" w:eastAsia="Arial" w:hAnsi="Arial"/>
          <w:sz w:val="18"/>
          <w:szCs w:val="18"/>
          <w:color w:val="auto"/>
        </w:rPr>
        <w:t>The following table summarizes certain of our financial data and should be read in conjunction with our financial statements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included in our SEC filings.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180" w:type="dxa"/>
            <w:vAlign w:val="bottom"/>
            <w:gridSpan w:val="8"/>
            <w:vMerge w:val="restart"/>
          </w:tcPr>
          <w:p>
            <w:pPr>
              <w:jc w:val="right"/>
              <w:ind w:right="820"/>
              <w:spacing w:after="0"/>
              <w:rPr>
                <w:sz w:val="20"/>
                <w:szCs w:val="20"/>
                <w:color w:val="auto"/>
              </w:rPr>
            </w:pPr>
            <w:r>
              <w:rPr>
                <w:rFonts w:ascii="Arial" w:cs="Arial" w:eastAsia="Arial" w:hAnsi="Arial"/>
                <w:sz w:val="14"/>
                <w:szCs w:val="14"/>
                <w:b w:val="1"/>
                <w:bCs w:val="1"/>
                <w:color w:val="auto"/>
              </w:rPr>
              <w:t>For the Year Ended December 31,</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80" w:type="dxa"/>
            <w:vAlign w:val="bottom"/>
            <w:gridSpan w:val="8"/>
          </w:tcPr>
          <w:p>
            <w:pPr>
              <w:jc w:val="center"/>
              <w:ind w:right="440"/>
              <w:spacing w:after="0"/>
              <w:rPr>
                <w:sz w:val="20"/>
                <w:szCs w:val="20"/>
                <w:color w:val="auto"/>
              </w:rPr>
            </w:pPr>
            <w:r>
              <w:rPr>
                <w:rFonts w:ascii="Arial" w:cs="Arial" w:eastAsia="Arial" w:hAnsi="Arial"/>
                <w:sz w:val="14"/>
                <w:szCs w:val="14"/>
                <w:b w:val="1"/>
                <w:bCs w:val="1"/>
                <w:color w:val="auto"/>
                <w:w w:val="94"/>
              </w:rPr>
              <w:t>For the Nine Months Ended</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180" w:type="dxa"/>
            <w:vAlign w:val="bottom"/>
            <w:gridSpan w:val="8"/>
            <w:vMerge w:val="continue"/>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340" w:type="dxa"/>
            <w:vAlign w:val="bottom"/>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180" w:type="dxa"/>
            <w:vAlign w:val="bottom"/>
            <w:gridSpan w:val="2"/>
          </w:tcPr>
          <w:p>
            <w:pPr>
              <w:jc w:val="right"/>
              <w:ind w:right="93"/>
              <w:spacing w:after="0"/>
              <w:rPr>
                <w:sz w:val="20"/>
                <w:szCs w:val="20"/>
                <w:color w:val="auto"/>
              </w:rPr>
            </w:pPr>
            <w:r>
              <w:rPr>
                <w:rFonts w:ascii="Arial" w:cs="Arial" w:eastAsia="Arial" w:hAnsi="Arial"/>
                <w:sz w:val="14"/>
                <w:szCs w:val="14"/>
                <w:b w:val="1"/>
                <w:bCs w:val="1"/>
                <w:color w:val="auto"/>
              </w:rPr>
              <w:t>2002</w:t>
            </w: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gridSpan w:val="3"/>
          </w:tcPr>
          <w:p>
            <w:pPr>
              <w:jc w:val="right"/>
              <w:ind w:right="108"/>
              <w:spacing w:after="0"/>
              <w:rPr>
                <w:sz w:val="20"/>
                <w:szCs w:val="20"/>
                <w:color w:val="auto"/>
              </w:rPr>
            </w:pPr>
            <w:r>
              <w:rPr>
                <w:rFonts w:ascii="Arial" w:cs="Arial" w:eastAsia="Arial" w:hAnsi="Arial"/>
                <w:sz w:val="14"/>
                <w:szCs w:val="14"/>
                <w:b w:val="1"/>
                <w:bCs w:val="1"/>
                <w:color w:val="auto"/>
              </w:rPr>
              <w:t>2003</w:t>
            </w:r>
          </w:p>
        </w:tc>
        <w:tc>
          <w:tcPr>
            <w:tcW w:w="540" w:type="dxa"/>
            <w:vAlign w:val="bottom"/>
          </w:tcPr>
          <w:p>
            <w:pPr>
              <w:spacing w:after="0"/>
              <w:rPr>
                <w:sz w:val="20"/>
                <w:szCs w:val="20"/>
                <w:color w:val="auto"/>
              </w:rPr>
            </w:pPr>
          </w:p>
        </w:tc>
        <w:tc>
          <w:tcPr>
            <w:tcW w:w="1240" w:type="dxa"/>
            <w:vAlign w:val="bottom"/>
            <w:gridSpan w:val="5"/>
          </w:tcPr>
          <w:p>
            <w:pPr>
              <w:jc w:val="right"/>
              <w:ind w:right="14"/>
              <w:spacing w:after="0"/>
              <w:rPr>
                <w:sz w:val="20"/>
                <w:szCs w:val="20"/>
                <w:color w:val="auto"/>
              </w:rPr>
            </w:pPr>
            <w:r>
              <w:rPr>
                <w:rFonts w:ascii="Arial" w:cs="Arial" w:eastAsia="Arial" w:hAnsi="Arial"/>
                <w:sz w:val="14"/>
                <w:szCs w:val="14"/>
                <w:b w:val="1"/>
                <w:bCs w:val="1"/>
                <w:color w:val="auto"/>
              </w:rPr>
              <w:t>2003</w:t>
            </w: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ind w:right="72"/>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340" w:type="dxa"/>
            <w:vAlign w:val="bottom"/>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560" w:type="dxa"/>
            <w:vAlign w:val="bottom"/>
            <w:gridSpan w:val="13"/>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Statement of Operations Data</w:t>
            </w:r>
          </w:p>
        </w:tc>
        <w:tc>
          <w:tcPr>
            <w:tcW w:w="540" w:type="dxa"/>
            <w:vAlign w:val="bottom"/>
            <w:tcBorders>
              <w:right w:val="single" w:sz="8" w:color="EEEEEE"/>
            </w:tcBorders>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520" w:type="dxa"/>
            <w:vAlign w:val="bottom"/>
            <w:tcBorders>
              <w:lef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4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40" w:type="dxa"/>
            <w:vAlign w:val="bottom"/>
            <w:tcBorders>
              <w:lef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2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Revenues</w:t>
            </w: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Contract research and development</w:t>
            </w:r>
          </w:p>
        </w:tc>
        <w:tc>
          <w:tcPr>
            <w:tcW w:w="11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  10,924</w:t>
            </w:r>
          </w:p>
        </w:tc>
        <w:tc>
          <w:tcPr>
            <w:tcW w:w="520" w:type="dxa"/>
            <w:vAlign w:val="bottom"/>
            <w:tcBorders>
              <w:lef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w w:val="98"/>
              </w:rPr>
              <w:t>$  47,366</w:t>
            </w:r>
          </w:p>
        </w:tc>
        <w:tc>
          <w:tcPr>
            <w:tcW w:w="540" w:type="dxa"/>
            <w:vAlign w:val="bottom"/>
            <w:tcBorders>
              <w:left w:val="single" w:sz="8" w:color="EEEEEE"/>
            </w:tcBorders>
            <w:shd w:val="clear" w:color="auto" w:fill="EEEEEE"/>
          </w:tcPr>
          <w:p>
            <w:pPr>
              <w:spacing w:after="0"/>
              <w:rPr>
                <w:sz w:val="18"/>
                <w:szCs w:val="18"/>
                <w:color w:val="auto"/>
              </w:rPr>
            </w:pPr>
          </w:p>
        </w:tc>
        <w:tc>
          <w:tcPr>
            <w:tcW w:w="124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$ 28,245</w:t>
            </w:r>
          </w:p>
        </w:tc>
        <w:tc>
          <w:tcPr>
            <w:tcW w:w="540" w:type="dxa"/>
            <w:vAlign w:val="bottom"/>
            <w:tcBorders>
              <w:lef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94,377</w:t>
            </w:r>
          </w:p>
        </w:tc>
        <w:tc>
          <w:tcPr>
            <w:tcW w:w="32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20"/>
              <w:spacing w:after="0"/>
              <w:rPr>
                <w:sz w:val="20"/>
                <w:szCs w:val="20"/>
                <w:color w:val="auto"/>
              </w:rPr>
            </w:pPr>
            <w:r>
              <w:rPr>
                <w:rFonts w:ascii="Arial" w:cs="Arial" w:eastAsia="Arial" w:hAnsi="Arial"/>
                <w:sz w:val="18"/>
                <w:szCs w:val="18"/>
                <w:color w:val="auto"/>
              </w:rPr>
              <w:t>Research progress payments</w:t>
            </w: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17,770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Contract manufacturing</w:t>
            </w:r>
          </w:p>
        </w:tc>
        <w:tc>
          <w:tcPr>
            <w:tcW w:w="11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11,064</w:t>
            </w:r>
          </w:p>
        </w:tc>
        <w:tc>
          <w:tcPr>
            <w:tcW w:w="520" w:type="dxa"/>
            <w:vAlign w:val="bottom"/>
            <w:tcBorders>
              <w:lef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10,131</w:t>
            </w:r>
          </w:p>
        </w:tc>
        <w:tc>
          <w:tcPr>
            <w:tcW w:w="540" w:type="dxa"/>
            <w:vAlign w:val="bottom"/>
            <w:tcBorders>
              <w:left w:val="single" w:sz="8" w:color="EEEEEE"/>
            </w:tcBorders>
            <w:shd w:val="clear" w:color="auto" w:fill="EEEEEE"/>
          </w:tcPr>
          <w:p>
            <w:pPr>
              <w:spacing w:after="0"/>
              <w:rPr>
                <w:sz w:val="18"/>
                <w:szCs w:val="18"/>
                <w:color w:val="auto"/>
              </w:rPr>
            </w:pPr>
          </w:p>
        </w:tc>
        <w:tc>
          <w:tcPr>
            <w:tcW w:w="124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7,980</w:t>
            </w:r>
          </w:p>
        </w:tc>
        <w:tc>
          <w:tcPr>
            <w:tcW w:w="540" w:type="dxa"/>
            <w:vAlign w:val="bottom"/>
            <w:tcBorders>
              <w:lef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14,780</w:t>
            </w:r>
          </w:p>
        </w:tc>
        <w:tc>
          <w:tcPr>
            <w:tcW w:w="32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bottom w:val="single" w:sz="8" w:color="808080"/>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808080"/>
            </w:tcBorders>
          </w:tcPr>
          <w:p>
            <w:pPr>
              <w:spacing w:after="0" w:line="20" w:lineRule="exact"/>
              <w:rPr>
                <w:sz w:val="1"/>
                <w:szCs w:val="1"/>
                <w:color w:val="auto"/>
              </w:rPr>
            </w:pPr>
          </w:p>
        </w:tc>
        <w:tc>
          <w:tcPr>
            <w:tcW w:w="460" w:type="dxa"/>
            <w:vAlign w:val="bottom"/>
            <w:tcBorders>
              <w:bottom w:val="single" w:sz="8" w:color="808080"/>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808080"/>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21,988</w:t>
            </w: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Borders>
              <w:bottom w:val="single" w:sz="8" w:color="808080"/>
            </w:tcBorders>
            <w:gridSpan w:val="2"/>
          </w:tcPr>
          <w:p>
            <w:pPr>
              <w:jc w:val="right"/>
              <w:spacing w:after="0"/>
              <w:rPr>
                <w:sz w:val="20"/>
                <w:szCs w:val="20"/>
                <w:color w:val="auto"/>
              </w:rPr>
            </w:pPr>
            <w:r>
              <w:rPr>
                <w:rFonts w:ascii="Arial" w:cs="Arial" w:eastAsia="Arial" w:hAnsi="Arial"/>
                <w:sz w:val="18"/>
                <w:szCs w:val="18"/>
                <w:color w:val="auto"/>
              </w:rPr>
              <w:t>57,497</w:t>
            </w:r>
          </w:p>
        </w:tc>
        <w:tc>
          <w:tcPr>
            <w:tcW w:w="540" w:type="dxa"/>
            <w:vAlign w:val="bottom"/>
          </w:tcPr>
          <w:p>
            <w:pPr>
              <w:spacing w:after="0"/>
              <w:rPr>
                <w:sz w:val="20"/>
                <w:szCs w:val="20"/>
                <w:color w:val="auto"/>
              </w:rPr>
            </w:pPr>
          </w:p>
        </w:tc>
        <w:tc>
          <w:tcPr>
            <w:tcW w:w="260" w:type="dxa"/>
            <w:vAlign w:val="bottom"/>
            <w:gridSpan w:val="2"/>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36,225</w:t>
            </w: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w w:val="89"/>
              </w:rPr>
              <w:t>126,927</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EEEEEE"/>
          </w:tcPr>
          <w:p>
            <w:pPr>
              <w:spacing w:after="0"/>
              <w:rPr>
                <w:sz w:val="20"/>
                <w:szCs w:val="20"/>
                <w:color w:val="auto"/>
              </w:rPr>
            </w:pPr>
            <w:r>
              <w:rPr>
                <w:rFonts w:ascii="Arial" w:cs="Arial" w:eastAsia="Arial" w:hAnsi="Arial"/>
                <w:sz w:val="18"/>
                <w:szCs w:val="18"/>
                <w:color w:val="auto"/>
              </w:rPr>
              <w:t>Expenses</w:t>
            </w:r>
          </w:p>
        </w:tc>
        <w:tc>
          <w:tcPr>
            <w:tcW w:w="540" w:type="dxa"/>
            <w:vAlign w:val="bottom"/>
            <w:tcBorders>
              <w:right w:val="single" w:sz="8" w:color="EEEEEE"/>
            </w:tcBorders>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520" w:type="dxa"/>
            <w:vAlign w:val="bottom"/>
            <w:tcBorders>
              <w:lef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4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40" w:type="dxa"/>
            <w:vAlign w:val="bottom"/>
            <w:tcBorders>
              <w:lef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2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124,953</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136,024</w:t>
            </w:r>
          </w:p>
        </w:tc>
        <w:tc>
          <w:tcPr>
            <w:tcW w:w="540" w:type="dxa"/>
            <w:vAlign w:val="bottom"/>
          </w:tcPr>
          <w:p>
            <w:pPr>
              <w:spacing w:after="0"/>
              <w:rPr>
                <w:sz w:val="18"/>
                <w:szCs w:val="18"/>
                <w:color w:val="auto"/>
              </w:rPr>
            </w:pPr>
          </w:p>
        </w:tc>
        <w:tc>
          <w:tcPr>
            <w:tcW w:w="1240" w:type="dxa"/>
            <w:vAlign w:val="bottom"/>
            <w:gridSpan w:val="5"/>
          </w:tcPr>
          <w:p>
            <w:pPr>
              <w:jc w:val="right"/>
              <w:spacing w:after="0"/>
              <w:rPr>
                <w:sz w:val="20"/>
                <w:szCs w:val="20"/>
                <w:color w:val="auto"/>
              </w:rPr>
            </w:pPr>
            <w:r>
              <w:rPr>
                <w:rFonts w:ascii="Arial" w:cs="Arial" w:eastAsia="Arial" w:hAnsi="Arial"/>
                <w:sz w:val="18"/>
                <w:szCs w:val="18"/>
                <w:color w:val="auto"/>
              </w:rPr>
              <w:t>102,757</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101,306</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Contract manufacturing</w:t>
            </w:r>
          </w:p>
        </w:tc>
        <w:tc>
          <w:tcPr>
            <w:tcW w:w="11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6,483</w:t>
            </w:r>
          </w:p>
        </w:tc>
        <w:tc>
          <w:tcPr>
            <w:tcW w:w="520" w:type="dxa"/>
            <w:vAlign w:val="bottom"/>
            <w:tcBorders>
              <w:lef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6,676</w:t>
            </w:r>
          </w:p>
        </w:tc>
        <w:tc>
          <w:tcPr>
            <w:tcW w:w="540" w:type="dxa"/>
            <w:vAlign w:val="bottom"/>
            <w:tcBorders>
              <w:left w:val="single" w:sz="8" w:color="EEEEEE"/>
            </w:tcBorders>
            <w:shd w:val="clear" w:color="auto" w:fill="EEEEEE"/>
          </w:tcPr>
          <w:p>
            <w:pPr>
              <w:spacing w:after="0"/>
              <w:rPr>
                <w:sz w:val="18"/>
                <w:szCs w:val="18"/>
                <w:color w:val="auto"/>
              </w:rPr>
            </w:pPr>
          </w:p>
        </w:tc>
        <w:tc>
          <w:tcPr>
            <w:tcW w:w="124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5,769</w:t>
            </w:r>
          </w:p>
        </w:tc>
        <w:tc>
          <w:tcPr>
            <w:tcW w:w="540" w:type="dxa"/>
            <w:vAlign w:val="bottom"/>
            <w:tcBorders>
              <w:lef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11,740</w:t>
            </w:r>
          </w:p>
        </w:tc>
        <w:tc>
          <w:tcPr>
            <w:tcW w:w="32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40" w:type="dxa"/>
            <w:vAlign w:val="bottom"/>
          </w:tcPr>
          <w:p>
            <w:pPr>
              <w:ind w:left="120"/>
              <w:spacing w:after="0"/>
              <w:rPr>
                <w:sz w:val="20"/>
                <w:szCs w:val="20"/>
                <w:color w:val="auto"/>
              </w:rPr>
            </w:pPr>
            <w:r>
              <w:rPr>
                <w:rFonts w:ascii="Arial" w:cs="Arial" w:eastAsia="Arial" w:hAnsi="Arial"/>
                <w:sz w:val="18"/>
                <w:szCs w:val="18"/>
                <w:color w:val="auto"/>
              </w:rPr>
              <w:t>General and administrative</w:t>
            </w:r>
          </w:p>
        </w:tc>
        <w:tc>
          <w:tcPr>
            <w:tcW w:w="540" w:type="dxa"/>
            <w:vAlign w:val="bottom"/>
          </w:tcPr>
          <w:p>
            <w:pPr>
              <w:spacing w:after="0"/>
              <w:rPr>
                <w:sz w:val="20"/>
                <w:szCs w:val="20"/>
                <w:color w:val="auto"/>
              </w:rPr>
            </w:pPr>
          </w:p>
        </w:tc>
        <w:tc>
          <w:tcPr>
            <w:tcW w:w="6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12,532</w:t>
            </w: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Borders>
              <w:bottom w:val="single" w:sz="8" w:color="808080"/>
            </w:tcBorders>
            <w:gridSpan w:val="2"/>
          </w:tcPr>
          <w:p>
            <w:pPr>
              <w:jc w:val="right"/>
              <w:spacing w:after="0"/>
              <w:rPr>
                <w:sz w:val="20"/>
                <w:szCs w:val="20"/>
                <w:color w:val="auto"/>
              </w:rPr>
            </w:pPr>
            <w:r>
              <w:rPr>
                <w:rFonts w:ascii="Arial" w:cs="Arial" w:eastAsia="Arial" w:hAnsi="Arial"/>
                <w:sz w:val="18"/>
                <w:szCs w:val="18"/>
                <w:color w:val="auto"/>
              </w:rPr>
              <w:t>14,785</w:t>
            </w:r>
          </w:p>
        </w:tc>
        <w:tc>
          <w:tcPr>
            <w:tcW w:w="540" w:type="dxa"/>
            <w:vAlign w:val="bottom"/>
          </w:tcPr>
          <w:p>
            <w:pPr>
              <w:spacing w:after="0"/>
              <w:rPr>
                <w:sz w:val="20"/>
                <w:szCs w:val="20"/>
                <w:color w:val="auto"/>
              </w:rPr>
            </w:pPr>
          </w:p>
        </w:tc>
        <w:tc>
          <w:tcPr>
            <w:tcW w:w="660" w:type="dxa"/>
            <w:vAlign w:val="bottom"/>
            <w:gridSpan w:val="4"/>
          </w:tcPr>
          <w:p>
            <w:pPr>
              <w:spacing w:after="0"/>
              <w:rPr>
                <w:sz w:val="20"/>
                <w:szCs w:val="20"/>
                <w:color w:val="auto"/>
              </w:rPr>
            </w:pPr>
          </w:p>
        </w:tc>
        <w:tc>
          <w:tcPr>
            <w:tcW w:w="5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10,548</w:t>
            </w: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12,209</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143,968</w:t>
            </w:r>
          </w:p>
        </w:tc>
        <w:tc>
          <w:tcPr>
            <w:tcW w:w="520" w:type="dxa"/>
            <w:vAlign w:val="bottom"/>
            <w:tcBorders>
              <w:lef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157,485</w:t>
            </w:r>
          </w:p>
        </w:tc>
        <w:tc>
          <w:tcPr>
            <w:tcW w:w="540" w:type="dxa"/>
            <w:vAlign w:val="bottom"/>
            <w:tcBorders>
              <w:left w:val="single" w:sz="8" w:color="EEEEEE"/>
            </w:tcBorders>
            <w:shd w:val="clear" w:color="auto" w:fill="EEEEEE"/>
          </w:tcPr>
          <w:p>
            <w:pPr>
              <w:spacing w:after="0"/>
              <w:rPr>
                <w:sz w:val="18"/>
                <w:szCs w:val="18"/>
                <w:color w:val="auto"/>
              </w:rPr>
            </w:pPr>
          </w:p>
        </w:tc>
        <w:tc>
          <w:tcPr>
            <w:tcW w:w="124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119,074</w:t>
            </w:r>
          </w:p>
        </w:tc>
        <w:tc>
          <w:tcPr>
            <w:tcW w:w="540" w:type="dxa"/>
            <w:vAlign w:val="bottom"/>
            <w:tcBorders>
              <w:lef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9"/>
              </w:rPr>
              <w:t>125,255</w:t>
            </w:r>
          </w:p>
        </w:tc>
        <w:tc>
          <w:tcPr>
            <w:tcW w:w="32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gridSpan w:val="2"/>
            <w:vMerge w:val="restart"/>
          </w:tcPr>
          <w:p>
            <w:pPr>
              <w:spacing w:after="0"/>
              <w:rPr>
                <w:sz w:val="20"/>
                <w:szCs w:val="20"/>
                <w:color w:val="auto"/>
              </w:rPr>
            </w:pPr>
            <w:r>
              <w:rPr>
                <w:rFonts w:ascii="Arial" w:cs="Arial" w:eastAsia="Arial" w:hAnsi="Arial"/>
                <w:sz w:val="18"/>
                <w:szCs w:val="18"/>
                <w:color w:val="auto"/>
              </w:rPr>
              <w:t>Income (loss) from operations</w:t>
            </w:r>
          </w:p>
        </w:tc>
        <w:tc>
          <w:tcPr>
            <w:tcW w:w="540" w:type="dxa"/>
            <w:vAlign w:val="bottom"/>
          </w:tcPr>
          <w:p>
            <w:pPr>
              <w:spacing w:after="0" w:line="20" w:lineRule="exact"/>
              <w:rPr>
                <w:sz w:val="1"/>
                <w:szCs w:val="1"/>
                <w:color w:val="auto"/>
              </w:rPr>
            </w:pPr>
          </w:p>
        </w:tc>
        <w:tc>
          <w:tcPr>
            <w:tcW w:w="640" w:type="dxa"/>
            <w:vAlign w:val="bottom"/>
            <w:tcBorders>
              <w:bottom w:val="single" w:sz="8" w:color="808080"/>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808080"/>
            </w:tcBorders>
          </w:tcPr>
          <w:p>
            <w:pPr>
              <w:spacing w:after="0" w:line="20" w:lineRule="exact"/>
              <w:rPr>
                <w:sz w:val="1"/>
                <w:szCs w:val="1"/>
                <w:color w:val="auto"/>
              </w:rPr>
            </w:pPr>
          </w:p>
        </w:tc>
        <w:tc>
          <w:tcPr>
            <w:tcW w:w="460" w:type="dxa"/>
            <w:vAlign w:val="bottom"/>
            <w:tcBorders>
              <w:bottom w:val="single" w:sz="8" w:color="808080"/>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808080"/>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60" w:type="dxa"/>
            <w:vAlign w:val="bottom"/>
            <w:gridSpan w:val="2"/>
            <w:vMerge w:val="continue"/>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w w:val="80"/>
              </w:rPr>
              <w:t>(121,980)</w:t>
            </w: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Borders>
              <w:bottom w:val="single" w:sz="8" w:color="808080"/>
            </w:tcBorders>
            <w:gridSpan w:val="2"/>
          </w:tcPr>
          <w:p>
            <w:pPr>
              <w:jc w:val="right"/>
              <w:spacing w:after="0"/>
              <w:rPr>
                <w:sz w:val="20"/>
                <w:szCs w:val="20"/>
                <w:color w:val="auto"/>
              </w:rPr>
            </w:pPr>
            <w:r>
              <w:rPr>
                <w:rFonts w:ascii="Arial" w:cs="Arial" w:eastAsia="Arial" w:hAnsi="Arial"/>
                <w:sz w:val="18"/>
                <w:szCs w:val="18"/>
                <w:color w:val="auto"/>
                <w:w w:val="89"/>
              </w:rPr>
              <w:t>(99,988)</w:t>
            </w:r>
          </w:p>
        </w:tc>
        <w:tc>
          <w:tcPr>
            <w:tcW w:w="540" w:type="dxa"/>
            <w:vAlign w:val="bottom"/>
          </w:tcPr>
          <w:p>
            <w:pPr>
              <w:spacing w:after="0"/>
              <w:rPr>
                <w:sz w:val="20"/>
                <w:szCs w:val="20"/>
                <w:color w:val="auto"/>
              </w:rPr>
            </w:pPr>
          </w:p>
        </w:tc>
        <w:tc>
          <w:tcPr>
            <w:tcW w:w="260" w:type="dxa"/>
            <w:vAlign w:val="bottom"/>
            <w:gridSpan w:val="2"/>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w w:val="83"/>
              </w:rPr>
              <w:t>(82,849)</w:t>
            </w: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1,672</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EEEEEE"/>
          </w:tcPr>
          <w:p>
            <w:pPr>
              <w:spacing w:after="0"/>
              <w:rPr>
                <w:sz w:val="20"/>
                <w:szCs w:val="20"/>
                <w:color w:val="auto"/>
              </w:rPr>
            </w:pPr>
            <w:r>
              <w:rPr>
                <w:rFonts w:ascii="Arial" w:cs="Arial" w:eastAsia="Arial" w:hAnsi="Arial"/>
                <w:sz w:val="18"/>
                <w:szCs w:val="18"/>
                <w:color w:val="auto"/>
              </w:rPr>
              <w:t>Other income (expense)</w:t>
            </w:r>
          </w:p>
        </w:tc>
        <w:tc>
          <w:tcPr>
            <w:tcW w:w="540" w:type="dxa"/>
            <w:vAlign w:val="bottom"/>
            <w:tcBorders>
              <w:right w:val="single" w:sz="8" w:color="EEEEEE"/>
            </w:tcBorders>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520" w:type="dxa"/>
            <w:vAlign w:val="bottom"/>
            <w:tcBorders>
              <w:lef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4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40" w:type="dxa"/>
            <w:vAlign w:val="bottom"/>
            <w:tcBorders>
              <w:lef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2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20"/>
              <w:spacing w:after="0"/>
              <w:rPr>
                <w:sz w:val="20"/>
                <w:szCs w:val="20"/>
                <w:color w:val="auto"/>
              </w:rPr>
            </w:pPr>
            <w:r>
              <w:rPr>
                <w:rFonts w:ascii="Arial" w:cs="Arial" w:eastAsia="Arial" w:hAnsi="Arial"/>
                <w:sz w:val="18"/>
                <w:szCs w:val="18"/>
                <w:color w:val="auto"/>
              </w:rPr>
              <w:t>Other contract income</w:t>
            </w: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42,750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Investment income</w:t>
            </w:r>
          </w:p>
        </w:tc>
        <w:tc>
          <w:tcPr>
            <w:tcW w:w="11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9,462</w:t>
            </w:r>
          </w:p>
        </w:tc>
        <w:tc>
          <w:tcPr>
            <w:tcW w:w="520" w:type="dxa"/>
            <w:vAlign w:val="bottom"/>
            <w:tcBorders>
              <w:lef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4,462</w:t>
            </w:r>
          </w:p>
        </w:tc>
        <w:tc>
          <w:tcPr>
            <w:tcW w:w="540" w:type="dxa"/>
            <w:vAlign w:val="bottom"/>
            <w:tcBorders>
              <w:left w:val="single" w:sz="8" w:color="EEEEEE"/>
            </w:tcBorders>
            <w:shd w:val="clear" w:color="auto" w:fill="EEEEEE"/>
          </w:tcPr>
          <w:p>
            <w:pPr>
              <w:spacing w:after="0"/>
              <w:rPr>
                <w:sz w:val="18"/>
                <w:szCs w:val="18"/>
                <w:color w:val="auto"/>
              </w:rPr>
            </w:pPr>
          </w:p>
        </w:tc>
        <w:tc>
          <w:tcPr>
            <w:tcW w:w="124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3,594</w:t>
            </w:r>
          </w:p>
        </w:tc>
        <w:tc>
          <w:tcPr>
            <w:tcW w:w="540" w:type="dxa"/>
            <w:vAlign w:val="bottom"/>
            <w:tcBorders>
              <w:lef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3,646</w:t>
            </w:r>
          </w:p>
        </w:tc>
        <w:tc>
          <w:tcPr>
            <w:tcW w:w="32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540" w:type="dxa"/>
            <w:vAlign w:val="bottom"/>
          </w:tcPr>
          <w:p>
            <w:pPr>
              <w:spacing w:after="0"/>
              <w:rPr>
                <w:sz w:val="19"/>
                <w:szCs w:val="19"/>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(11,859)</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gridSpan w:val="4"/>
          </w:tcPr>
          <w:p>
            <w:pPr>
              <w:jc w:val="right"/>
              <w:ind w:right="480"/>
              <w:spacing w:after="0"/>
              <w:rPr>
                <w:sz w:val="20"/>
                <w:szCs w:val="20"/>
                <w:color w:val="auto"/>
              </w:rPr>
            </w:pPr>
            <w:r>
              <w:rPr>
                <w:rFonts w:ascii="Arial" w:cs="Arial" w:eastAsia="Arial" w:hAnsi="Arial"/>
                <w:sz w:val="18"/>
                <w:szCs w:val="18"/>
                <w:color w:val="auto"/>
              </w:rPr>
              <w:t>(11,932)</w:t>
            </w:r>
          </w:p>
        </w:tc>
        <w:tc>
          <w:tcPr>
            <w:tcW w:w="1780" w:type="dxa"/>
            <w:vAlign w:val="bottom"/>
            <w:gridSpan w:val="6"/>
          </w:tcPr>
          <w:p>
            <w:pPr>
              <w:jc w:val="right"/>
              <w:ind w:right="408"/>
              <w:spacing w:after="0"/>
              <w:rPr>
                <w:sz w:val="20"/>
                <w:szCs w:val="20"/>
                <w:color w:val="auto"/>
              </w:rPr>
            </w:pPr>
            <w:r>
              <w:rPr>
                <w:rFonts w:ascii="Arial" w:cs="Arial" w:eastAsia="Arial" w:hAnsi="Arial"/>
                <w:sz w:val="18"/>
                <w:szCs w:val="18"/>
                <w:color w:val="auto"/>
              </w:rPr>
              <w:t>(8,826)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(9,161)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shd w:val="clear" w:color="auto" w:fill="808080"/>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808080"/>
          </w:tcPr>
          <w:p>
            <w:pPr>
              <w:spacing w:after="0"/>
              <w:rPr>
                <w:sz w:val="2"/>
                <w:szCs w:val="2"/>
                <w:color w:val="auto"/>
              </w:rPr>
            </w:pPr>
          </w:p>
        </w:tc>
        <w:tc>
          <w:tcPr>
            <w:tcW w:w="460" w:type="dxa"/>
            <w:vAlign w:val="bottom"/>
            <w:shd w:val="clear" w:color="auto" w:fill="808080"/>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shd w:val="clear" w:color="auto" w:fill="80808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116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rPr>
              <w:t>(2,397)</w:t>
            </w: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300" w:type="dxa"/>
            <w:vAlign w:val="bottom"/>
            <w:gridSpan w:val="4"/>
            <w:shd w:val="clear" w:color="auto" w:fill="EEEEEE"/>
          </w:tcPr>
          <w:p>
            <w:pPr>
              <w:jc w:val="right"/>
              <w:ind w:right="480"/>
              <w:spacing w:after="0"/>
              <w:rPr>
                <w:sz w:val="20"/>
                <w:szCs w:val="20"/>
                <w:color w:val="auto"/>
              </w:rPr>
            </w:pPr>
            <w:r>
              <w:rPr>
                <w:rFonts w:ascii="Arial" w:cs="Arial" w:eastAsia="Arial" w:hAnsi="Arial"/>
                <w:sz w:val="18"/>
                <w:szCs w:val="18"/>
                <w:color w:val="auto"/>
              </w:rPr>
              <w:t>(7,470)</w:t>
            </w:r>
          </w:p>
        </w:tc>
        <w:tc>
          <w:tcPr>
            <w:tcW w:w="1780" w:type="dxa"/>
            <w:vAlign w:val="bottom"/>
            <w:gridSpan w:val="6"/>
            <w:shd w:val="clear" w:color="auto" w:fill="EEEEEE"/>
          </w:tcPr>
          <w:p>
            <w:pPr>
              <w:jc w:val="right"/>
              <w:ind w:right="408"/>
              <w:spacing w:after="0"/>
              <w:rPr>
                <w:sz w:val="20"/>
                <w:szCs w:val="20"/>
                <w:color w:val="auto"/>
              </w:rPr>
            </w:pPr>
            <w:r>
              <w:rPr>
                <w:rFonts w:ascii="Arial" w:cs="Arial" w:eastAsia="Arial" w:hAnsi="Arial"/>
                <w:sz w:val="18"/>
                <w:szCs w:val="18"/>
                <w:color w:val="auto"/>
              </w:rPr>
              <w:t>(5,232)</w:t>
            </w: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37,235</w:t>
            </w:r>
          </w:p>
        </w:tc>
        <w:tc>
          <w:tcPr>
            <w:tcW w:w="32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540" w:type="dxa"/>
            <w:vAlign w:val="bottom"/>
          </w:tcPr>
          <w:p>
            <w:pPr>
              <w:spacing w:after="0" w:line="20" w:lineRule="exact"/>
              <w:rPr>
                <w:sz w:val="1"/>
                <w:szCs w:val="1"/>
                <w:color w:val="auto"/>
              </w:rPr>
            </w:pPr>
          </w:p>
        </w:tc>
        <w:tc>
          <w:tcPr>
            <w:tcW w:w="640" w:type="dxa"/>
            <w:vAlign w:val="bottom"/>
            <w:tcBorders>
              <w:bottom w:val="single" w:sz="8" w:color="808080"/>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808080"/>
            </w:tcBorders>
          </w:tcPr>
          <w:p>
            <w:pPr>
              <w:spacing w:after="0" w:line="20" w:lineRule="exact"/>
              <w:rPr>
                <w:sz w:val="1"/>
                <w:szCs w:val="1"/>
                <w:color w:val="auto"/>
              </w:rPr>
            </w:pPr>
          </w:p>
        </w:tc>
        <w:tc>
          <w:tcPr>
            <w:tcW w:w="460" w:type="dxa"/>
            <w:vAlign w:val="bottom"/>
            <w:tcBorders>
              <w:bottom w:val="single" w:sz="8" w:color="808080"/>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808080"/>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60" w:type="dxa"/>
            <w:vAlign w:val="bottom"/>
            <w:gridSpan w:val="2"/>
            <w:vMerge w:val="continue"/>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0"/>
              </w:rPr>
              <w:t>(124,377)</w:t>
            </w: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77"/>
              </w:rPr>
              <w:t>(107,458)</w:t>
            </w:r>
          </w:p>
        </w:tc>
        <w:tc>
          <w:tcPr>
            <w:tcW w:w="54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3"/>
              </w:rPr>
              <w:t>(88,081)</w:t>
            </w: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38,907</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4340" w:type="dxa"/>
            <w:vAlign w:val="bottom"/>
          </w:tcPr>
          <w:p>
            <w:pPr>
              <w:spacing w:after="0"/>
              <w:rPr>
                <w:sz w:val="5"/>
                <w:szCs w:val="5"/>
                <w:color w:val="auto"/>
              </w:rPr>
            </w:pPr>
          </w:p>
        </w:tc>
        <w:tc>
          <w:tcPr>
            <w:tcW w:w="540" w:type="dxa"/>
            <w:vAlign w:val="bottom"/>
            <w:tcBorders>
              <w:right w:val="single" w:sz="8" w:color="808080"/>
            </w:tcBorders>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520" w:type="dxa"/>
            <w:vAlign w:val="bottom"/>
            <w:tcBorders>
              <w:left w:val="single" w:sz="8" w:color="808080"/>
            </w:tcBorders>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540" w:type="dxa"/>
            <w:vAlign w:val="bottom"/>
            <w:tcBorders>
              <w:left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540" w:type="dxa"/>
            <w:vAlign w:val="bottom"/>
            <w:tcBorders>
              <w:left w:val="single" w:sz="8" w:color="808080"/>
            </w:tcBorders>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32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340" w:type="dxa"/>
            <w:vAlign w:val="bottom"/>
            <w:shd w:val="clear" w:color="auto" w:fill="EEEEEE"/>
          </w:tcPr>
          <w:p>
            <w:pPr>
              <w:spacing w:after="0"/>
              <w:rPr>
                <w:sz w:val="20"/>
                <w:szCs w:val="20"/>
                <w:color w:val="auto"/>
              </w:rPr>
            </w:pPr>
            <w:r>
              <w:rPr>
                <w:rFonts w:ascii="Arial" w:cs="Arial" w:eastAsia="Arial" w:hAnsi="Arial"/>
                <w:sz w:val="18"/>
                <w:szCs w:val="18"/>
                <w:color w:val="auto"/>
              </w:rPr>
              <w:t>Net income (loss) per share:</w:t>
            </w:r>
          </w:p>
        </w:tc>
        <w:tc>
          <w:tcPr>
            <w:tcW w:w="540" w:type="dxa"/>
            <w:vAlign w:val="bottom"/>
            <w:tcBorders>
              <w:right w:val="single" w:sz="8" w:color="EEEEEE"/>
            </w:tcBorders>
            <w:shd w:val="clear" w:color="auto" w:fill="EEEEEE"/>
          </w:tcPr>
          <w:p>
            <w:pPr>
              <w:spacing w:after="0"/>
              <w:rPr>
                <w:sz w:val="19"/>
                <w:szCs w:val="19"/>
                <w:color w:val="auto"/>
              </w:rPr>
            </w:pPr>
          </w:p>
        </w:tc>
        <w:tc>
          <w:tcPr>
            <w:tcW w:w="640" w:type="dxa"/>
            <w:vAlign w:val="bottom"/>
            <w:shd w:val="clear" w:color="auto" w:fill="EEEEEE"/>
          </w:tcPr>
          <w:p>
            <w:pPr>
              <w:spacing w:after="0"/>
              <w:rPr>
                <w:sz w:val="19"/>
                <w:szCs w:val="19"/>
                <w:color w:val="auto"/>
              </w:rPr>
            </w:pPr>
          </w:p>
        </w:tc>
        <w:tc>
          <w:tcPr>
            <w:tcW w:w="520" w:type="dxa"/>
            <w:vAlign w:val="bottom"/>
            <w:tcBorders>
              <w:left w:val="single" w:sz="8" w:color="EEEEEE"/>
            </w:tcBorders>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140" w:type="dxa"/>
            <w:vAlign w:val="bottom"/>
            <w:tcBorders>
              <w:right w:val="single" w:sz="8" w:color="EEEEEE"/>
            </w:tcBorders>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540" w:type="dxa"/>
            <w:vAlign w:val="bottom"/>
            <w:tcBorders>
              <w:left w:val="single" w:sz="8" w:color="EEEEEE"/>
            </w:tcBorders>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20" w:type="dxa"/>
            <w:vAlign w:val="bottom"/>
            <w:tcBorders>
              <w:right w:val="single" w:sz="8" w:color="EEEEEE"/>
            </w:tcBorders>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540" w:type="dxa"/>
            <w:vAlign w:val="bottom"/>
            <w:tcBorders>
              <w:left w:val="single" w:sz="8" w:color="EEEEEE"/>
            </w:tcBorders>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600" w:type="dxa"/>
            <w:vAlign w:val="bottom"/>
            <w:shd w:val="clear" w:color="auto" w:fill="EEEEEE"/>
          </w:tcPr>
          <w:p>
            <w:pPr>
              <w:spacing w:after="0"/>
              <w:rPr>
                <w:sz w:val="19"/>
                <w:szCs w:val="19"/>
                <w:color w:val="auto"/>
              </w:rPr>
            </w:pPr>
          </w:p>
        </w:tc>
        <w:tc>
          <w:tcPr>
            <w:tcW w:w="320" w:type="dxa"/>
            <w:vAlign w:val="bottom"/>
            <w:tcBorders>
              <w:left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20"/>
              <w:spacing w:after="0"/>
              <w:rPr>
                <w:sz w:val="20"/>
                <w:szCs w:val="20"/>
                <w:color w:val="auto"/>
              </w:rPr>
            </w:pPr>
            <w:r>
              <w:rPr>
                <w:rFonts w:ascii="Arial" w:cs="Arial" w:eastAsia="Arial" w:hAnsi="Arial"/>
                <w:sz w:val="18"/>
                <w:szCs w:val="18"/>
                <w:color w:val="auto"/>
              </w:rPr>
              <w:t>Basic</w:t>
            </w:r>
          </w:p>
        </w:tc>
        <w:tc>
          <w:tcPr>
            <w:tcW w:w="1700" w:type="dxa"/>
            <w:vAlign w:val="bottom"/>
            <w:gridSpan w:val="3"/>
          </w:tcPr>
          <w:p>
            <w:pPr>
              <w:jc w:val="right"/>
              <w:ind w:right="460"/>
              <w:spacing w:after="0"/>
              <w:rPr>
                <w:sz w:val="20"/>
                <w:szCs w:val="20"/>
                <w:color w:val="auto"/>
              </w:rPr>
            </w:pPr>
            <w:r>
              <w:rPr>
                <w:rFonts w:ascii="Arial" w:cs="Arial" w:eastAsia="Arial" w:hAnsi="Arial"/>
                <w:sz w:val="18"/>
                <w:szCs w:val="18"/>
                <w:color w:val="auto"/>
              </w:rPr>
              <w:t>($2.83)</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gridSpan w:val="4"/>
          </w:tcPr>
          <w:p>
            <w:pPr>
              <w:jc w:val="right"/>
              <w:ind w:right="480"/>
              <w:spacing w:after="0"/>
              <w:rPr>
                <w:sz w:val="20"/>
                <w:szCs w:val="20"/>
                <w:color w:val="auto"/>
              </w:rPr>
            </w:pPr>
            <w:r>
              <w:rPr>
                <w:rFonts w:ascii="Arial" w:cs="Arial" w:eastAsia="Arial" w:hAnsi="Arial"/>
                <w:sz w:val="18"/>
                <w:szCs w:val="18"/>
                <w:color w:val="auto"/>
              </w:rPr>
              <w:t>($2.13)</w:t>
            </w:r>
          </w:p>
        </w:tc>
        <w:tc>
          <w:tcPr>
            <w:tcW w:w="1780" w:type="dxa"/>
            <w:vAlign w:val="bottom"/>
            <w:gridSpan w:val="6"/>
          </w:tcPr>
          <w:p>
            <w:pPr>
              <w:jc w:val="right"/>
              <w:ind w:right="408"/>
              <w:spacing w:after="0"/>
              <w:rPr>
                <w:sz w:val="20"/>
                <w:szCs w:val="20"/>
                <w:color w:val="auto"/>
              </w:rPr>
            </w:pPr>
            <w:r>
              <w:rPr>
                <w:rFonts w:ascii="Arial" w:cs="Arial" w:eastAsia="Arial" w:hAnsi="Arial"/>
                <w:sz w:val="18"/>
                <w:szCs w:val="18"/>
                <w:color w:val="auto"/>
              </w:rPr>
              <w:t>($1.80)</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0.70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Diluted</w:t>
            </w:r>
          </w:p>
        </w:tc>
        <w:tc>
          <w:tcPr>
            <w:tcW w:w="1700" w:type="dxa"/>
            <w:vAlign w:val="bottom"/>
            <w:gridSpan w:val="3"/>
            <w:shd w:val="clear" w:color="auto" w:fill="EEEEEE"/>
          </w:tcPr>
          <w:p>
            <w:pPr>
              <w:jc w:val="right"/>
              <w:ind w:right="460"/>
              <w:spacing w:after="0"/>
              <w:rPr>
                <w:sz w:val="20"/>
                <w:szCs w:val="20"/>
                <w:color w:val="auto"/>
              </w:rPr>
            </w:pPr>
            <w:r>
              <w:rPr>
                <w:rFonts w:ascii="Arial" w:cs="Arial" w:eastAsia="Arial" w:hAnsi="Arial"/>
                <w:sz w:val="18"/>
                <w:szCs w:val="18"/>
                <w:color w:val="auto"/>
              </w:rPr>
              <w:t>($2.83)</w:t>
            </w: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300" w:type="dxa"/>
            <w:vAlign w:val="bottom"/>
            <w:gridSpan w:val="4"/>
            <w:shd w:val="clear" w:color="auto" w:fill="EEEEEE"/>
          </w:tcPr>
          <w:p>
            <w:pPr>
              <w:jc w:val="right"/>
              <w:ind w:right="480"/>
              <w:spacing w:after="0"/>
              <w:rPr>
                <w:sz w:val="20"/>
                <w:szCs w:val="20"/>
                <w:color w:val="auto"/>
              </w:rPr>
            </w:pPr>
            <w:r>
              <w:rPr>
                <w:rFonts w:ascii="Arial" w:cs="Arial" w:eastAsia="Arial" w:hAnsi="Arial"/>
                <w:sz w:val="18"/>
                <w:szCs w:val="18"/>
                <w:color w:val="auto"/>
              </w:rPr>
              <w:t>($2.13)</w:t>
            </w:r>
          </w:p>
        </w:tc>
        <w:tc>
          <w:tcPr>
            <w:tcW w:w="1780" w:type="dxa"/>
            <w:vAlign w:val="bottom"/>
            <w:gridSpan w:val="6"/>
            <w:shd w:val="clear" w:color="auto" w:fill="EEEEEE"/>
          </w:tcPr>
          <w:p>
            <w:pPr>
              <w:jc w:val="right"/>
              <w:ind w:right="408"/>
              <w:spacing w:after="0"/>
              <w:rPr>
                <w:sz w:val="20"/>
                <w:szCs w:val="20"/>
                <w:color w:val="auto"/>
              </w:rPr>
            </w:pPr>
            <w:r>
              <w:rPr>
                <w:rFonts w:ascii="Arial" w:cs="Arial" w:eastAsia="Arial" w:hAnsi="Arial"/>
                <w:sz w:val="18"/>
                <w:szCs w:val="18"/>
                <w:color w:val="auto"/>
              </w:rPr>
              <w:t>($1.80)</w:t>
            </w: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0.69</w:t>
            </w:r>
          </w:p>
        </w:tc>
        <w:tc>
          <w:tcPr>
            <w:tcW w:w="32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Basic</w:t>
            </w:r>
          </w:p>
        </w:tc>
        <w:tc>
          <w:tcPr>
            <w:tcW w:w="11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43,918</w:t>
            </w:r>
          </w:p>
        </w:tc>
        <w:tc>
          <w:tcPr>
            <w:tcW w:w="520" w:type="dxa"/>
            <w:vAlign w:val="bottom"/>
            <w:tcBorders>
              <w:lef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50,490</w:t>
            </w:r>
          </w:p>
        </w:tc>
        <w:tc>
          <w:tcPr>
            <w:tcW w:w="540" w:type="dxa"/>
            <w:vAlign w:val="bottom"/>
            <w:tcBorders>
              <w:left w:val="single" w:sz="8" w:color="EEEEEE"/>
            </w:tcBorders>
            <w:shd w:val="clear" w:color="auto" w:fill="EEEEEE"/>
          </w:tcPr>
          <w:p>
            <w:pPr>
              <w:spacing w:after="0"/>
              <w:rPr>
                <w:sz w:val="18"/>
                <w:szCs w:val="18"/>
                <w:color w:val="auto"/>
              </w:rPr>
            </w:pPr>
          </w:p>
        </w:tc>
        <w:tc>
          <w:tcPr>
            <w:tcW w:w="124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48,926</w:t>
            </w:r>
          </w:p>
        </w:tc>
        <w:tc>
          <w:tcPr>
            <w:tcW w:w="540" w:type="dxa"/>
            <w:vAlign w:val="bottom"/>
            <w:tcBorders>
              <w:lef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55,378</w:t>
            </w:r>
          </w:p>
        </w:tc>
        <w:tc>
          <w:tcPr>
            <w:tcW w:w="32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tcPr>
          <w:p>
            <w:pPr>
              <w:ind w:left="120"/>
              <w:spacing w:after="0"/>
              <w:rPr>
                <w:sz w:val="20"/>
                <w:szCs w:val="20"/>
                <w:color w:val="auto"/>
              </w:rPr>
            </w:pPr>
            <w:r>
              <w:rPr>
                <w:rFonts w:ascii="Arial" w:cs="Arial" w:eastAsia="Arial" w:hAnsi="Arial"/>
                <w:sz w:val="18"/>
                <w:szCs w:val="18"/>
                <w:color w:val="auto"/>
              </w:rPr>
              <w:t>Diluted</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43,918</w:t>
            </w: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50,490</w:t>
            </w:r>
          </w:p>
        </w:tc>
        <w:tc>
          <w:tcPr>
            <w:tcW w:w="540" w:type="dxa"/>
            <w:vAlign w:val="bottom"/>
          </w:tcPr>
          <w:p>
            <w:pPr>
              <w:spacing w:after="0"/>
              <w:rPr>
                <w:sz w:val="20"/>
                <w:szCs w:val="20"/>
                <w:color w:val="auto"/>
              </w:rPr>
            </w:pPr>
          </w:p>
        </w:tc>
        <w:tc>
          <w:tcPr>
            <w:tcW w:w="1240" w:type="dxa"/>
            <w:vAlign w:val="bottom"/>
            <w:gridSpan w:val="5"/>
          </w:tcPr>
          <w:p>
            <w:pPr>
              <w:jc w:val="right"/>
              <w:spacing w:after="0"/>
              <w:rPr>
                <w:sz w:val="20"/>
                <w:szCs w:val="20"/>
                <w:color w:val="auto"/>
              </w:rPr>
            </w:pPr>
            <w:r>
              <w:rPr>
                <w:rFonts w:ascii="Arial" w:cs="Arial" w:eastAsia="Arial" w:hAnsi="Arial"/>
                <w:sz w:val="18"/>
                <w:szCs w:val="18"/>
                <w:color w:val="auto"/>
              </w:rPr>
              <w:t>48,926</w:t>
            </w: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56,295</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2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As of December 31,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100" w:type="dxa"/>
            <w:vAlign w:val="bottom"/>
            <w:gridSpan w:val="7"/>
          </w:tcPr>
          <w:p>
            <w:pPr>
              <w:jc w:val="right"/>
              <w:ind w:right="780"/>
              <w:spacing w:after="0"/>
              <w:rPr>
                <w:sz w:val="20"/>
                <w:szCs w:val="20"/>
                <w:color w:val="auto"/>
              </w:rPr>
            </w:pPr>
            <w:r>
              <w:rPr>
                <w:rFonts w:ascii="Arial" w:cs="Arial" w:eastAsia="Arial" w:hAnsi="Arial"/>
                <w:sz w:val="14"/>
                <w:szCs w:val="14"/>
                <w:b w:val="1"/>
                <w:bCs w:val="1"/>
                <w:color w:val="auto"/>
                <w:w w:val="96"/>
              </w:rPr>
              <w:t>As of September 30,</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340" w:type="dxa"/>
            <w:vAlign w:val="bottom"/>
          </w:tcPr>
          <w:p>
            <w:pPr>
              <w:spacing w:after="0"/>
              <w:rPr>
                <w:sz w:val="4"/>
                <w:szCs w:val="4"/>
                <w:color w:val="auto"/>
              </w:rPr>
            </w:pPr>
          </w:p>
        </w:tc>
        <w:tc>
          <w:tcPr>
            <w:tcW w:w="1180" w:type="dxa"/>
            <w:vAlign w:val="bottom"/>
            <w:gridSpan w:val="2"/>
          </w:tcPr>
          <w:p>
            <w:pPr>
              <w:spacing w:after="0"/>
              <w:rPr>
                <w:sz w:val="4"/>
                <w:szCs w:val="4"/>
                <w:color w:val="auto"/>
              </w:rPr>
            </w:pPr>
          </w:p>
        </w:tc>
        <w:tc>
          <w:tcPr>
            <w:tcW w:w="820" w:type="dxa"/>
            <w:vAlign w:val="bottom"/>
            <w:tcBorders>
              <w:bottom w:val="single" w:sz="8" w:color="808080"/>
            </w:tcBorders>
            <w:gridSpan w:val="2"/>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gridSpan w:val="2"/>
          </w:tcPr>
          <w:p>
            <w:pPr>
              <w:spacing w:after="0"/>
              <w:rPr>
                <w:sz w:val="4"/>
                <w:szCs w:val="4"/>
                <w:color w:val="auto"/>
              </w:rPr>
            </w:pPr>
          </w:p>
        </w:tc>
        <w:tc>
          <w:tcPr>
            <w:tcW w:w="1000" w:type="dxa"/>
            <w:vAlign w:val="bottom"/>
            <w:tcBorders>
              <w:bottom w:val="single" w:sz="8" w:color="808080"/>
            </w:tcBorders>
            <w:gridSpan w:val="2"/>
          </w:tcPr>
          <w:p>
            <w:pPr>
              <w:spacing w:after="0"/>
              <w:rPr>
                <w:sz w:val="4"/>
                <w:szCs w:val="4"/>
                <w:color w:val="auto"/>
              </w:rPr>
            </w:pPr>
          </w:p>
        </w:tc>
        <w:tc>
          <w:tcPr>
            <w:tcW w:w="260" w:type="dxa"/>
            <w:vAlign w:val="bottom"/>
            <w:tcBorders>
              <w:bottom w:val="single" w:sz="8" w:color="808080"/>
            </w:tcBorders>
            <w:gridSpan w:val="2"/>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tcBorders>
              <w:bottom w:val="single" w:sz="8" w:color="808080"/>
            </w:tcBorders>
            <w:gridSpan w:val="3"/>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000" w:type="dxa"/>
            <w:vAlign w:val="bottom"/>
            <w:gridSpan w:val="4"/>
          </w:tcPr>
          <w:p>
            <w:pPr>
              <w:jc w:val="right"/>
              <w:spacing w:after="0"/>
              <w:rPr>
                <w:sz w:val="20"/>
                <w:szCs w:val="20"/>
                <w:color w:val="auto"/>
              </w:rPr>
            </w:pPr>
            <w:r>
              <w:rPr>
                <w:rFonts w:ascii="Arial" w:cs="Arial" w:eastAsia="Arial" w:hAnsi="Arial"/>
                <w:sz w:val="14"/>
                <w:szCs w:val="14"/>
                <w:b w:val="1"/>
                <w:bCs w:val="1"/>
                <w:color w:val="auto"/>
              </w:rPr>
              <w:t>2002</w:t>
            </w:r>
          </w:p>
        </w:tc>
        <w:tc>
          <w:tcPr>
            <w:tcW w:w="420" w:type="dxa"/>
            <w:vAlign w:val="bottom"/>
          </w:tcPr>
          <w:p>
            <w:pPr>
              <w:spacing w:after="0"/>
              <w:rPr>
                <w:sz w:val="20"/>
                <w:szCs w:val="20"/>
                <w:color w:val="auto"/>
              </w:rPr>
            </w:pPr>
          </w:p>
        </w:tc>
        <w:tc>
          <w:tcPr>
            <w:tcW w:w="130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2003</w:t>
            </w:r>
          </w:p>
        </w:tc>
        <w:tc>
          <w:tcPr>
            <w:tcW w:w="1780" w:type="dxa"/>
            <w:vAlign w:val="bottom"/>
            <w:gridSpan w:val="6"/>
          </w:tcPr>
          <w:p>
            <w:pPr>
              <w:jc w:val="right"/>
              <w:ind w:right="408"/>
              <w:spacing w:after="0"/>
              <w:rPr>
                <w:sz w:val="20"/>
                <w:szCs w:val="20"/>
                <w:color w:val="auto"/>
              </w:rPr>
            </w:pPr>
            <w:r>
              <w:rPr>
                <w:rFonts w:ascii="Arial" w:cs="Arial" w:eastAsia="Arial" w:hAnsi="Arial"/>
                <w:sz w:val="14"/>
                <w:szCs w:val="14"/>
                <w:b w:val="1"/>
                <w:bCs w:val="1"/>
                <w:color w:val="auto"/>
              </w:rPr>
              <w:t>2003</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ind w:right="92"/>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40" w:type="dxa"/>
            <w:vAlign w:val="bottom"/>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60" w:type="dxa"/>
            <w:vAlign w:val="bottom"/>
            <w:tcBorders>
              <w:bottom w:val="single" w:sz="8" w:color="808080"/>
            </w:tcBorders>
            <w:gridSpan w:val="4"/>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tcBorders>
              <w:bottom w:val="single" w:sz="8" w:color="808080"/>
            </w:tcBorders>
            <w:gridSpan w:val="3"/>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Borders>
              <w:bottom w:val="single" w:sz="8" w:color="808080"/>
            </w:tcBorders>
            <w:gridSpan w:val="2"/>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60" w:type="dxa"/>
            <w:vAlign w:val="bottom"/>
            <w:gridSpan w:val="11"/>
          </w:tcPr>
          <w:p>
            <w:pPr>
              <w:ind w:left="300"/>
              <w:spacing w:after="0"/>
              <w:rPr>
                <w:sz w:val="20"/>
                <w:szCs w:val="20"/>
                <w:color w:val="auto"/>
              </w:rPr>
            </w:pPr>
            <w:r>
              <w:rPr>
                <w:rFonts w:ascii="Arial" w:cs="Arial" w:eastAsia="Arial" w:hAnsi="Arial"/>
                <w:sz w:val="14"/>
                <w:szCs w:val="14"/>
                <w:b w:val="1"/>
                <w:bCs w:val="1"/>
                <w:color w:val="auto"/>
              </w:rPr>
              <w:t>In thousands, except per share data</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Balance Sheet Data</w:t>
            </w:r>
          </w:p>
        </w:tc>
        <w:tc>
          <w:tcPr>
            <w:tcW w:w="540" w:type="dxa"/>
            <w:vAlign w:val="bottom"/>
            <w:tcBorders>
              <w:right w:val="single" w:sz="8" w:color="EEEEEE"/>
            </w:tcBorders>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520" w:type="dxa"/>
            <w:vAlign w:val="bottom"/>
            <w:tcBorders>
              <w:lef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4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40" w:type="dxa"/>
            <w:vAlign w:val="bottom"/>
            <w:tcBorders>
              <w:lef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2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60" w:type="dxa"/>
            <w:vAlign w:val="bottom"/>
            <w:gridSpan w:val="6"/>
          </w:tcPr>
          <w:p>
            <w:pPr>
              <w:spacing w:after="0" w:line="201" w:lineRule="exact"/>
              <w:rPr>
                <w:sz w:val="20"/>
                <w:szCs w:val="20"/>
                <w:color w:val="auto"/>
              </w:rPr>
            </w:pPr>
            <w:r>
              <w:rPr>
                <w:rFonts w:ascii="Arial" w:cs="Arial" w:eastAsia="Arial" w:hAnsi="Arial"/>
                <w:sz w:val="18"/>
                <w:szCs w:val="18"/>
                <w:color w:val="auto"/>
              </w:rPr>
              <w:t>Cash, cash equivalents, marketable securities, and restricted marketable</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tcPr>
          <w:p>
            <w:pPr>
              <w:ind w:left="120"/>
              <w:spacing w:after="0"/>
              <w:rPr>
                <w:sz w:val="20"/>
                <w:szCs w:val="20"/>
                <w:color w:val="auto"/>
              </w:rPr>
            </w:pPr>
            <w:r>
              <w:rPr>
                <w:rFonts w:ascii="Arial" w:cs="Arial" w:eastAsia="Arial" w:hAnsi="Arial"/>
                <w:sz w:val="18"/>
                <w:szCs w:val="18"/>
                <w:color w:val="auto"/>
              </w:rPr>
              <w:t>securities</w:t>
            </w:r>
          </w:p>
        </w:tc>
        <w:tc>
          <w:tcPr>
            <w:tcW w:w="2420" w:type="dxa"/>
            <w:vAlign w:val="bottom"/>
            <w:gridSpan w:val="5"/>
          </w:tcPr>
          <w:p>
            <w:pPr>
              <w:jc w:val="right"/>
              <w:ind w:right="360"/>
              <w:spacing w:after="0"/>
              <w:rPr>
                <w:sz w:val="20"/>
                <w:szCs w:val="20"/>
                <w:color w:val="auto"/>
              </w:rPr>
            </w:pPr>
            <w:r>
              <w:rPr>
                <w:rFonts w:ascii="Arial" w:cs="Arial" w:eastAsia="Arial" w:hAnsi="Arial"/>
                <w:sz w:val="18"/>
                <w:szCs w:val="18"/>
                <w:color w:val="auto"/>
              </w:rPr>
              <w:t>$295,246</w:t>
            </w:r>
          </w:p>
        </w:tc>
        <w:tc>
          <w:tcPr>
            <w:tcW w:w="1300" w:type="dxa"/>
            <w:vAlign w:val="bottom"/>
            <w:gridSpan w:val="4"/>
          </w:tcPr>
          <w:p>
            <w:pPr>
              <w:jc w:val="right"/>
              <w:ind w:right="120"/>
              <w:spacing w:after="0"/>
              <w:rPr>
                <w:sz w:val="20"/>
                <w:szCs w:val="20"/>
                <w:color w:val="auto"/>
              </w:rPr>
            </w:pPr>
            <w:r>
              <w:rPr>
                <w:rFonts w:ascii="Arial" w:cs="Arial" w:eastAsia="Arial" w:hAnsi="Arial"/>
                <w:sz w:val="18"/>
                <w:szCs w:val="18"/>
                <w:color w:val="auto"/>
              </w:rPr>
              <w:t>$366,566</w:t>
            </w:r>
          </w:p>
        </w:tc>
        <w:tc>
          <w:tcPr>
            <w:tcW w:w="1780" w:type="dxa"/>
            <w:vAlign w:val="bottom"/>
            <w:gridSpan w:val="6"/>
          </w:tcPr>
          <w:p>
            <w:pPr>
              <w:jc w:val="right"/>
              <w:ind w:right="288"/>
              <w:spacing w:after="0"/>
              <w:rPr>
                <w:sz w:val="20"/>
                <w:szCs w:val="20"/>
                <w:color w:val="auto"/>
              </w:rPr>
            </w:pPr>
            <w:r>
              <w:rPr>
                <w:rFonts w:ascii="Arial" w:cs="Arial" w:eastAsia="Arial" w:hAnsi="Arial"/>
                <w:sz w:val="18"/>
                <w:szCs w:val="18"/>
                <w:color w:val="auto"/>
              </w:rPr>
              <w:t>$391,123</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0"/>
              </w:rPr>
              <w:t>$361,184</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EEEEEE"/>
          </w:tcPr>
          <w:p>
            <w:pPr>
              <w:spacing w:after="0"/>
              <w:rPr>
                <w:sz w:val="20"/>
                <w:szCs w:val="20"/>
                <w:color w:val="auto"/>
              </w:rPr>
            </w:pPr>
            <w:r>
              <w:rPr>
                <w:rFonts w:ascii="Arial" w:cs="Arial" w:eastAsia="Arial" w:hAnsi="Arial"/>
                <w:sz w:val="18"/>
                <w:szCs w:val="18"/>
                <w:color w:val="auto"/>
              </w:rPr>
              <w:t>Current assets</w:t>
            </w:r>
          </w:p>
        </w:tc>
        <w:tc>
          <w:tcPr>
            <w:tcW w:w="2420" w:type="dxa"/>
            <w:vAlign w:val="bottom"/>
            <w:gridSpan w:val="5"/>
            <w:shd w:val="clear" w:color="auto" w:fill="EEEEEE"/>
          </w:tcPr>
          <w:p>
            <w:pPr>
              <w:jc w:val="right"/>
              <w:ind w:right="360"/>
              <w:spacing w:after="0"/>
              <w:rPr>
                <w:sz w:val="20"/>
                <w:szCs w:val="20"/>
                <w:color w:val="auto"/>
              </w:rPr>
            </w:pPr>
            <w:r>
              <w:rPr>
                <w:rFonts w:ascii="Arial" w:cs="Arial" w:eastAsia="Arial" w:hAnsi="Arial"/>
                <w:sz w:val="18"/>
                <w:szCs w:val="18"/>
                <w:color w:val="auto"/>
              </w:rPr>
              <w:t>276,948</w:t>
            </w:r>
          </w:p>
        </w:tc>
        <w:tc>
          <w:tcPr>
            <w:tcW w:w="130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320,207</w:t>
            </w:r>
          </w:p>
        </w:tc>
        <w:tc>
          <w:tcPr>
            <w:tcW w:w="1780" w:type="dxa"/>
            <w:vAlign w:val="bottom"/>
            <w:gridSpan w:val="6"/>
            <w:shd w:val="clear" w:color="auto" w:fill="EEEEEE"/>
          </w:tcPr>
          <w:p>
            <w:pPr>
              <w:jc w:val="right"/>
              <w:ind w:right="288"/>
              <w:spacing w:after="0"/>
              <w:rPr>
                <w:sz w:val="20"/>
                <w:szCs w:val="20"/>
                <w:color w:val="auto"/>
              </w:rPr>
            </w:pPr>
            <w:r>
              <w:rPr>
                <w:rFonts w:ascii="Arial" w:cs="Arial" w:eastAsia="Arial" w:hAnsi="Arial"/>
                <w:sz w:val="18"/>
                <w:szCs w:val="18"/>
                <w:color w:val="auto"/>
              </w:rPr>
              <w:t>404,378</w:t>
            </w: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311,238</w:t>
            </w:r>
          </w:p>
        </w:tc>
        <w:tc>
          <w:tcPr>
            <w:tcW w:w="32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Noncurrent assets</w:t>
            </w:r>
          </w:p>
        </w:tc>
        <w:tc>
          <w:tcPr>
            <w:tcW w:w="2420" w:type="dxa"/>
            <w:vAlign w:val="bottom"/>
            <w:gridSpan w:val="5"/>
          </w:tcPr>
          <w:p>
            <w:pPr>
              <w:jc w:val="right"/>
              <w:ind w:right="360"/>
              <w:spacing w:after="0"/>
              <w:rPr>
                <w:sz w:val="20"/>
                <w:szCs w:val="20"/>
                <w:color w:val="auto"/>
              </w:rPr>
            </w:pPr>
            <w:r>
              <w:rPr>
                <w:rFonts w:ascii="Arial" w:cs="Arial" w:eastAsia="Arial" w:hAnsi="Arial"/>
                <w:sz w:val="18"/>
                <w:szCs w:val="18"/>
                <w:color w:val="auto"/>
              </w:rPr>
              <w:t>114,626</w:t>
            </w:r>
          </w:p>
        </w:tc>
        <w:tc>
          <w:tcPr>
            <w:tcW w:w="1300" w:type="dxa"/>
            <w:vAlign w:val="bottom"/>
            <w:gridSpan w:val="4"/>
          </w:tcPr>
          <w:p>
            <w:pPr>
              <w:jc w:val="right"/>
              <w:ind w:right="120"/>
              <w:spacing w:after="0"/>
              <w:rPr>
                <w:sz w:val="20"/>
                <w:szCs w:val="20"/>
                <w:color w:val="auto"/>
              </w:rPr>
            </w:pPr>
            <w:r>
              <w:rPr>
                <w:rFonts w:ascii="Arial" w:cs="Arial" w:eastAsia="Arial" w:hAnsi="Arial"/>
                <w:sz w:val="18"/>
                <w:szCs w:val="18"/>
                <w:color w:val="auto"/>
              </w:rPr>
              <w:t>159,348</w:t>
            </w:r>
          </w:p>
        </w:tc>
        <w:tc>
          <w:tcPr>
            <w:tcW w:w="1780" w:type="dxa"/>
            <w:vAlign w:val="bottom"/>
            <w:gridSpan w:val="6"/>
          </w:tcPr>
          <w:p>
            <w:pPr>
              <w:jc w:val="right"/>
              <w:ind w:right="288"/>
              <w:spacing w:after="0"/>
              <w:rPr>
                <w:sz w:val="20"/>
                <w:szCs w:val="20"/>
                <w:color w:val="auto"/>
              </w:rPr>
            </w:pPr>
            <w:r>
              <w:rPr>
                <w:rFonts w:ascii="Arial" w:cs="Arial" w:eastAsia="Arial" w:hAnsi="Arial"/>
                <w:sz w:val="18"/>
                <w:szCs w:val="18"/>
                <w:color w:val="auto"/>
              </w:rPr>
              <w:t>96,123</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161,447</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EEEEEE"/>
          </w:tcPr>
          <w:p>
            <w:pPr>
              <w:spacing w:after="0"/>
              <w:rPr>
                <w:sz w:val="20"/>
                <w:szCs w:val="20"/>
                <w:color w:val="auto"/>
              </w:rPr>
            </w:pPr>
            <w:r>
              <w:rPr>
                <w:rFonts w:ascii="Arial" w:cs="Arial" w:eastAsia="Arial" w:hAnsi="Arial"/>
                <w:sz w:val="18"/>
                <w:szCs w:val="18"/>
                <w:color w:val="auto"/>
              </w:rPr>
              <w:t>Total assets</w:t>
            </w:r>
          </w:p>
        </w:tc>
        <w:tc>
          <w:tcPr>
            <w:tcW w:w="2420" w:type="dxa"/>
            <w:vAlign w:val="bottom"/>
            <w:gridSpan w:val="5"/>
            <w:shd w:val="clear" w:color="auto" w:fill="EEEEEE"/>
          </w:tcPr>
          <w:p>
            <w:pPr>
              <w:jc w:val="right"/>
              <w:ind w:right="360"/>
              <w:spacing w:after="0"/>
              <w:rPr>
                <w:sz w:val="20"/>
                <w:szCs w:val="20"/>
                <w:color w:val="auto"/>
              </w:rPr>
            </w:pPr>
            <w:r>
              <w:rPr>
                <w:rFonts w:ascii="Arial" w:cs="Arial" w:eastAsia="Arial" w:hAnsi="Arial"/>
                <w:sz w:val="18"/>
                <w:szCs w:val="18"/>
                <w:color w:val="auto"/>
              </w:rPr>
              <w:t>391,574</w:t>
            </w:r>
          </w:p>
        </w:tc>
        <w:tc>
          <w:tcPr>
            <w:tcW w:w="130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479,555</w:t>
            </w:r>
          </w:p>
        </w:tc>
        <w:tc>
          <w:tcPr>
            <w:tcW w:w="1780" w:type="dxa"/>
            <w:vAlign w:val="bottom"/>
            <w:gridSpan w:val="6"/>
            <w:shd w:val="clear" w:color="auto" w:fill="EEEEEE"/>
          </w:tcPr>
          <w:p>
            <w:pPr>
              <w:jc w:val="right"/>
              <w:ind w:right="288"/>
              <w:spacing w:after="0"/>
              <w:rPr>
                <w:sz w:val="20"/>
                <w:szCs w:val="20"/>
                <w:color w:val="auto"/>
              </w:rPr>
            </w:pPr>
            <w:r>
              <w:rPr>
                <w:rFonts w:ascii="Arial" w:cs="Arial" w:eastAsia="Arial" w:hAnsi="Arial"/>
                <w:sz w:val="18"/>
                <w:szCs w:val="18"/>
                <w:color w:val="auto"/>
              </w:rPr>
              <w:t>500,501</w:t>
            </w: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472,685</w:t>
            </w:r>
          </w:p>
        </w:tc>
        <w:tc>
          <w:tcPr>
            <w:tcW w:w="32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Current liabilities</w:t>
            </w:r>
          </w:p>
        </w:tc>
        <w:tc>
          <w:tcPr>
            <w:tcW w:w="2420" w:type="dxa"/>
            <w:vAlign w:val="bottom"/>
            <w:gridSpan w:val="5"/>
          </w:tcPr>
          <w:p>
            <w:pPr>
              <w:jc w:val="right"/>
              <w:ind w:right="360"/>
              <w:spacing w:after="0"/>
              <w:rPr>
                <w:sz w:val="20"/>
                <w:szCs w:val="20"/>
                <w:color w:val="auto"/>
              </w:rPr>
            </w:pPr>
            <w:r>
              <w:rPr>
                <w:rFonts w:ascii="Arial" w:cs="Arial" w:eastAsia="Arial" w:hAnsi="Arial"/>
                <w:sz w:val="18"/>
                <w:szCs w:val="18"/>
                <w:color w:val="auto"/>
              </w:rPr>
              <w:t>40,118</w:t>
            </w:r>
          </w:p>
        </w:tc>
        <w:tc>
          <w:tcPr>
            <w:tcW w:w="1300" w:type="dxa"/>
            <w:vAlign w:val="bottom"/>
            <w:gridSpan w:val="4"/>
          </w:tcPr>
          <w:p>
            <w:pPr>
              <w:jc w:val="right"/>
              <w:ind w:right="120"/>
              <w:spacing w:after="0"/>
              <w:rPr>
                <w:sz w:val="20"/>
                <w:szCs w:val="20"/>
                <w:color w:val="auto"/>
              </w:rPr>
            </w:pPr>
            <w:r>
              <w:rPr>
                <w:rFonts w:ascii="Arial" w:cs="Arial" w:eastAsia="Arial" w:hAnsi="Arial"/>
                <w:sz w:val="18"/>
                <w:szCs w:val="18"/>
                <w:color w:val="auto"/>
              </w:rPr>
              <w:t>72,923</w:t>
            </w:r>
          </w:p>
        </w:tc>
        <w:tc>
          <w:tcPr>
            <w:tcW w:w="1780" w:type="dxa"/>
            <w:vAlign w:val="bottom"/>
            <w:gridSpan w:val="6"/>
          </w:tcPr>
          <w:p>
            <w:pPr>
              <w:jc w:val="right"/>
              <w:ind w:right="288"/>
              <w:spacing w:after="0"/>
              <w:rPr>
                <w:sz w:val="20"/>
                <w:szCs w:val="20"/>
                <w:color w:val="auto"/>
              </w:rPr>
            </w:pPr>
            <w:r>
              <w:rPr>
                <w:rFonts w:ascii="Arial" w:cs="Arial" w:eastAsia="Arial" w:hAnsi="Arial"/>
                <w:sz w:val="18"/>
                <w:szCs w:val="18"/>
                <w:color w:val="auto"/>
              </w:rPr>
              <w:t>54,736</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35,900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EEEEEE"/>
          </w:tcPr>
          <w:p>
            <w:pPr>
              <w:spacing w:after="0"/>
              <w:rPr>
                <w:sz w:val="20"/>
                <w:szCs w:val="20"/>
                <w:color w:val="auto"/>
              </w:rPr>
            </w:pPr>
            <w:r>
              <w:rPr>
                <w:rFonts w:ascii="Arial" w:cs="Arial" w:eastAsia="Arial" w:hAnsi="Arial"/>
                <w:sz w:val="18"/>
                <w:szCs w:val="18"/>
                <w:color w:val="auto"/>
              </w:rPr>
              <w:t>Long term notes payable</w:t>
            </w:r>
          </w:p>
        </w:tc>
        <w:tc>
          <w:tcPr>
            <w:tcW w:w="2420" w:type="dxa"/>
            <w:vAlign w:val="bottom"/>
            <w:gridSpan w:val="5"/>
            <w:shd w:val="clear" w:color="auto" w:fill="EEEEEE"/>
          </w:tcPr>
          <w:p>
            <w:pPr>
              <w:jc w:val="right"/>
              <w:ind w:right="360"/>
              <w:spacing w:after="0"/>
              <w:rPr>
                <w:sz w:val="20"/>
                <w:szCs w:val="20"/>
                <w:color w:val="auto"/>
              </w:rPr>
            </w:pPr>
            <w:r>
              <w:rPr>
                <w:rFonts w:ascii="Arial" w:cs="Arial" w:eastAsia="Arial" w:hAnsi="Arial"/>
                <w:sz w:val="18"/>
                <w:szCs w:val="18"/>
                <w:color w:val="auto"/>
              </w:rPr>
              <w:t>200,000</w:t>
            </w:r>
          </w:p>
        </w:tc>
        <w:tc>
          <w:tcPr>
            <w:tcW w:w="130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200,000</w:t>
            </w:r>
          </w:p>
        </w:tc>
        <w:tc>
          <w:tcPr>
            <w:tcW w:w="1780" w:type="dxa"/>
            <w:vAlign w:val="bottom"/>
            <w:gridSpan w:val="6"/>
            <w:shd w:val="clear" w:color="auto" w:fill="EEEEEE"/>
          </w:tcPr>
          <w:p>
            <w:pPr>
              <w:jc w:val="right"/>
              <w:ind w:right="288"/>
              <w:spacing w:after="0"/>
              <w:rPr>
                <w:sz w:val="20"/>
                <w:szCs w:val="20"/>
                <w:color w:val="auto"/>
              </w:rPr>
            </w:pPr>
            <w:r>
              <w:rPr>
                <w:rFonts w:ascii="Arial" w:cs="Arial" w:eastAsia="Arial" w:hAnsi="Arial"/>
                <w:sz w:val="18"/>
                <w:szCs w:val="18"/>
                <w:color w:val="auto"/>
              </w:rPr>
              <w:t>200,000</w:t>
            </w: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200,000</w:t>
            </w:r>
          </w:p>
        </w:tc>
        <w:tc>
          <w:tcPr>
            <w:tcW w:w="32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2420" w:type="dxa"/>
            <w:vAlign w:val="bottom"/>
            <w:gridSpan w:val="5"/>
          </w:tcPr>
          <w:p>
            <w:pPr>
              <w:jc w:val="right"/>
              <w:ind w:right="360"/>
              <w:spacing w:after="0"/>
              <w:rPr>
                <w:sz w:val="20"/>
                <w:szCs w:val="20"/>
                <w:color w:val="auto"/>
              </w:rPr>
            </w:pPr>
            <w:r>
              <w:rPr>
                <w:rFonts w:ascii="Arial" w:cs="Arial" w:eastAsia="Arial" w:hAnsi="Arial"/>
                <w:sz w:val="18"/>
                <w:szCs w:val="18"/>
                <w:color w:val="auto"/>
              </w:rPr>
              <w:t>5,475</w:t>
            </w:r>
          </w:p>
        </w:tc>
        <w:tc>
          <w:tcPr>
            <w:tcW w:w="1300" w:type="dxa"/>
            <w:vAlign w:val="bottom"/>
            <w:gridSpan w:val="4"/>
          </w:tcPr>
          <w:p>
            <w:pPr>
              <w:jc w:val="right"/>
              <w:ind w:right="120"/>
              <w:spacing w:after="0"/>
              <w:rPr>
                <w:sz w:val="20"/>
                <w:szCs w:val="20"/>
                <w:color w:val="auto"/>
              </w:rPr>
            </w:pPr>
            <w:r>
              <w:rPr>
                <w:rFonts w:ascii="Arial" w:cs="Arial" w:eastAsia="Arial" w:hAnsi="Arial"/>
                <w:sz w:val="18"/>
                <w:szCs w:val="18"/>
                <w:color w:val="auto"/>
              </w:rPr>
              <w:t>68,989</w:t>
            </w:r>
          </w:p>
        </w:tc>
        <w:tc>
          <w:tcPr>
            <w:tcW w:w="1780" w:type="dxa"/>
            <w:vAlign w:val="bottom"/>
            <w:gridSpan w:val="6"/>
          </w:tcPr>
          <w:p>
            <w:pPr>
              <w:jc w:val="right"/>
              <w:ind w:right="288"/>
              <w:spacing w:after="0"/>
              <w:rPr>
                <w:sz w:val="20"/>
                <w:szCs w:val="20"/>
                <w:color w:val="auto"/>
              </w:rPr>
            </w:pPr>
            <w:r>
              <w:rPr>
                <w:rFonts w:ascii="Arial" w:cs="Arial" w:eastAsia="Arial" w:hAnsi="Arial"/>
                <w:sz w:val="18"/>
                <w:szCs w:val="18"/>
                <w:color w:val="auto"/>
              </w:rPr>
              <w:t>89,563</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57,912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EEEEEE"/>
          </w:tcPr>
          <w:p>
            <w:pPr>
              <w:spacing w:after="0"/>
              <w:rPr>
                <w:sz w:val="20"/>
                <w:szCs w:val="20"/>
                <w:color w:val="auto"/>
              </w:rPr>
            </w:pPr>
            <w:r>
              <w:rPr>
                <w:rFonts w:ascii="Arial" w:cs="Arial" w:eastAsia="Arial" w:hAnsi="Arial"/>
                <w:sz w:val="18"/>
                <w:szCs w:val="18"/>
                <w:color w:val="auto"/>
              </w:rPr>
              <w:t>Total stockholders’ equity</w:t>
            </w:r>
          </w:p>
        </w:tc>
        <w:tc>
          <w:tcPr>
            <w:tcW w:w="2420" w:type="dxa"/>
            <w:vAlign w:val="bottom"/>
            <w:gridSpan w:val="5"/>
            <w:shd w:val="clear" w:color="auto" w:fill="EEEEEE"/>
          </w:tcPr>
          <w:p>
            <w:pPr>
              <w:jc w:val="right"/>
              <w:ind w:right="360"/>
              <w:spacing w:after="0"/>
              <w:rPr>
                <w:sz w:val="20"/>
                <w:szCs w:val="20"/>
                <w:color w:val="auto"/>
              </w:rPr>
            </w:pPr>
            <w:r>
              <w:rPr>
                <w:rFonts w:ascii="Arial" w:cs="Arial" w:eastAsia="Arial" w:hAnsi="Arial"/>
                <w:sz w:val="18"/>
                <w:szCs w:val="18"/>
                <w:color w:val="auto"/>
              </w:rPr>
              <w:t>145,981</w:t>
            </w:r>
          </w:p>
        </w:tc>
        <w:tc>
          <w:tcPr>
            <w:tcW w:w="130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137,643</w:t>
            </w:r>
          </w:p>
        </w:tc>
        <w:tc>
          <w:tcPr>
            <w:tcW w:w="1780" w:type="dxa"/>
            <w:vAlign w:val="bottom"/>
            <w:gridSpan w:val="6"/>
            <w:shd w:val="clear" w:color="auto" w:fill="EEEEEE"/>
          </w:tcPr>
          <w:p>
            <w:pPr>
              <w:jc w:val="right"/>
              <w:ind w:right="288"/>
              <w:spacing w:after="0"/>
              <w:rPr>
                <w:sz w:val="20"/>
                <w:szCs w:val="20"/>
                <w:color w:val="auto"/>
              </w:rPr>
            </w:pPr>
            <w:r>
              <w:rPr>
                <w:rFonts w:ascii="Arial" w:cs="Arial" w:eastAsia="Arial" w:hAnsi="Arial"/>
                <w:sz w:val="18"/>
                <w:szCs w:val="18"/>
                <w:color w:val="auto"/>
              </w:rPr>
              <w:t>156,202</w:t>
            </w: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178,873</w:t>
            </w:r>
          </w:p>
        </w:tc>
        <w:tc>
          <w:tcPr>
            <w:tcW w:w="32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Book value per share (A)</w:t>
            </w:r>
          </w:p>
        </w:tc>
        <w:tc>
          <w:tcPr>
            <w:tcW w:w="2420" w:type="dxa"/>
            <w:vAlign w:val="bottom"/>
            <w:gridSpan w:val="5"/>
          </w:tcPr>
          <w:p>
            <w:pPr>
              <w:jc w:val="right"/>
              <w:ind w:right="360"/>
              <w:spacing w:after="0"/>
              <w:rPr>
                <w:sz w:val="20"/>
                <w:szCs w:val="20"/>
                <w:color w:val="auto"/>
              </w:rPr>
            </w:pPr>
            <w:r>
              <w:rPr>
                <w:rFonts w:ascii="Arial" w:cs="Arial" w:eastAsia="Arial" w:hAnsi="Arial"/>
                <w:sz w:val="18"/>
                <w:szCs w:val="18"/>
                <w:color w:val="auto"/>
              </w:rPr>
              <w:t>3.30</w:t>
            </w:r>
          </w:p>
        </w:tc>
        <w:tc>
          <w:tcPr>
            <w:tcW w:w="1300" w:type="dxa"/>
            <w:vAlign w:val="bottom"/>
            <w:gridSpan w:val="4"/>
          </w:tcPr>
          <w:p>
            <w:pPr>
              <w:jc w:val="right"/>
              <w:ind w:right="120"/>
              <w:spacing w:after="0"/>
              <w:rPr>
                <w:sz w:val="20"/>
                <w:szCs w:val="20"/>
                <w:color w:val="auto"/>
              </w:rPr>
            </w:pPr>
            <w:r>
              <w:rPr>
                <w:rFonts w:ascii="Arial" w:cs="Arial" w:eastAsia="Arial" w:hAnsi="Arial"/>
                <w:sz w:val="18"/>
                <w:szCs w:val="18"/>
                <w:color w:val="auto"/>
              </w:rPr>
              <w:t>2.48</w:t>
            </w:r>
          </w:p>
        </w:tc>
        <w:tc>
          <w:tcPr>
            <w:tcW w:w="1780" w:type="dxa"/>
            <w:vAlign w:val="bottom"/>
            <w:gridSpan w:val="6"/>
          </w:tcPr>
          <w:p>
            <w:pPr>
              <w:jc w:val="right"/>
              <w:ind w:right="288"/>
              <w:spacing w:after="0"/>
              <w:rPr>
                <w:sz w:val="20"/>
                <w:szCs w:val="20"/>
                <w:color w:val="auto"/>
              </w:rPr>
            </w:pPr>
            <w:r>
              <w:rPr>
                <w:rFonts w:ascii="Arial" w:cs="Arial" w:eastAsia="Arial" w:hAnsi="Arial"/>
                <w:sz w:val="18"/>
                <w:szCs w:val="18"/>
                <w:color w:val="auto"/>
              </w:rPr>
              <w:t>2.83</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3.22</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80" w:right="760" w:hanging="365"/>
        <w:spacing w:after="0" w:line="277" w:lineRule="auto"/>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Book value per share is computed by dividing stockholders’ equity by the number of shares of Common Stock outstanding at the end of period presented.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4" w:name="page55"/>
    <w:bookmarkEnd w:id="54"/>
    <w:p>
      <w:pPr>
        <w:ind w:right="60" w:firstLine="450"/>
        <w:spacing w:after="0" w:line="272" w:lineRule="auto"/>
        <w:rPr>
          <w:sz w:val="20"/>
          <w:szCs w:val="20"/>
          <w:color w:val="auto"/>
        </w:rPr>
      </w:pPr>
      <w:r>
        <w:rPr>
          <w:rFonts w:ascii="Arial" w:cs="Arial" w:eastAsia="Arial" w:hAnsi="Arial"/>
          <w:sz w:val="17"/>
          <w:szCs w:val="17"/>
          <w:b w:val="1"/>
          <w:bCs w:val="1"/>
          <w:i w:val="1"/>
          <w:iCs w:val="1"/>
          <w:color w:val="auto"/>
        </w:rPr>
        <w:t xml:space="preserve">Ratio of Earnings to Fixed Charges. </w:t>
      </w:r>
      <w:r>
        <w:rPr>
          <w:rFonts w:ascii="Arial" w:cs="Arial" w:eastAsia="Arial" w:hAnsi="Arial"/>
          <w:sz w:val="17"/>
          <w:szCs w:val="17"/>
          <w:color w:val="auto"/>
        </w:rPr>
        <w:t>The following table sets forth our ratio of earnings to fixed charges for our fiscal years ended December 31, 2002</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2003 and for the nine months ended September 30, 2003 and 2004. For our fiscal years ended December 31, 2002 and 2003 and for the nine months ended September 30, 2003, earnings were inadequate to cover the combined fixed charges, therefore we have provided the coverage deficiency amounts. For purposes of computing these ratios, earnings represents net income (loss) before income taxes plus fixed charges. Fixed charges represent interest expense, capitalized interest, amortization of deferred financing costs, and such portion of rental expense deemed representative of the interest factor. The denominator is increased for preferred stock dividend requirements, if any, which represent the amount of pre-tax earnings required to cover such dividend requirements. We had no preferred stock outstanding for any of the periods presented.</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3400" w:type="dxa"/>
            <w:vAlign w:val="bottom"/>
            <w:gridSpan w:val="4"/>
            <w:vMerge w:val="restart"/>
          </w:tcPr>
          <w:p>
            <w:pPr>
              <w:ind w:left="380"/>
              <w:spacing w:after="0"/>
              <w:rPr>
                <w:sz w:val="20"/>
                <w:szCs w:val="20"/>
                <w:color w:val="auto"/>
              </w:rPr>
            </w:pPr>
            <w:r>
              <w:rPr>
                <w:rFonts w:ascii="Arial" w:cs="Arial" w:eastAsia="Arial" w:hAnsi="Arial"/>
                <w:sz w:val="14"/>
                <w:szCs w:val="14"/>
                <w:b w:val="1"/>
                <w:bCs w:val="1"/>
                <w:color w:val="auto"/>
              </w:rPr>
              <w:t>For the Year Ended December 31,</w:t>
            </w:r>
          </w:p>
        </w:tc>
        <w:tc>
          <w:tcPr>
            <w:tcW w:w="20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For the Nine Months Ended</w:t>
            </w:r>
          </w:p>
        </w:tc>
        <w:tc>
          <w:tcPr>
            <w:tcW w:w="0" w:type="dxa"/>
            <w:vAlign w:val="bottom"/>
          </w:tcPr>
          <w:p>
            <w:pPr>
              <w:spacing w:after="0"/>
              <w:rPr>
                <w:sz w:val="1"/>
                <w:szCs w:val="1"/>
                <w:color w:val="auto"/>
              </w:rPr>
            </w:pPr>
          </w:p>
        </w:tc>
      </w:tr>
      <w:tr>
        <w:trPr>
          <w:trHeight w:val="186"/>
        </w:trPr>
        <w:tc>
          <w:tcPr>
            <w:tcW w:w="6000" w:type="dxa"/>
            <w:vAlign w:val="bottom"/>
          </w:tcPr>
          <w:p>
            <w:pPr>
              <w:spacing w:after="0"/>
              <w:rPr>
                <w:sz w:val="16"/>
                <w:szCs w:val="16"/>
                <w:color w:val="auto"/>
              </w:rPr>
            </w:pPr>
          </w:p>
        </w:tc>
        <w:tc>
          <w:tcPr>
            <w:tcW w:w="3400" w:type="dxa"/>
            <w:vAlign w:val="bottom"/>
            <w:gridSpan w:val="4"/>
            <w:vMerge w:val="continue"/>
          </w:tcPr>
          <w:p>
            <w:pPr>
              <w:spacing w:after="0"/>
              <w:rPr>
                <w:sz w:val="16"/>
                <w:szCs w:val="16"/>
                <w:color w:val="auto"/>
              </w:rPr>
            </w:pPr>
          </w:p>
        </w:tc>
        <w:tc>
          <w:tcPr>
            <w:tcW w:w="1480" w:type="dxa"/>
            <w:vAlign w:val="bottom"/>
            <w:gridSpan w:val="2"/>
          </w:tcPr>
          <w:p>
            <w:pPr>
              <w:jc w:val="center"/>
              <w:ind w:left="481"/>
              <w:spacing w:after="0"/>
              <w:rPr>
                <w:sz w:val="20"/>
                <w:szCs w:val="20"/>
                <w:color w:val="auto"/>
              </w:rPr>
            </w:pPr>
            <w:r>
              <w:rPr>
                <w:rFonts w:ascii="Arial" w:cs="Arial" w:eastAsia="Arial" w:hAnsi="Arial"/>
                <w:sz w:val="14"/>
                <w:szCs w:val="14"/>
                <w:b w:val="1"/>
                <w:bCs w:val="1"/>
                <w:color w:val="auto"/>
                <w:w w:val="91"/>
              </w:rPr>
              <w:t>September 30,</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6000" w:type="dxa"/>
            <w:vAlign w:val="bottom"/>
          </w:tcPr>
          <w:p>
            <w:pPr>
              <w:spacing w:after="0"/>
              <w:rPr>
                <w:sz w:val="4"/>
                <w:szCs w:val="4"/>
                <w:color w:val="auto"/>
              </w:rPr>
            </w:pPr>
          </w:p>
        </w:tc>
        <w:tc>
          <w:tcPr>
            <w:tcW w:w="114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1140" w:type="dxa"/>
            <w:vAlign w:val="bottom"/>
            <w:tcBorders>
              <w:bottom w:val="single" w:sz="8" w:color="808080"/>
            </w:tcBorders>
          </w:tcPr>
          <w:p>
            <w:pPr>
              <w:spacing w:after="0"/>
              <w:rPr>
                <w:sz w:val="4"/>
                <w:szCs w:val="4"/>
                <w:color w:val="auto"/>
              </w:rPr>
            </w:pPr>
          </w:p>
        </w:tc>
        <w:tc>
          <w:tcPr>
            <w:tcW w:w="560" w:type="dxa"/>
            <w:vAlign w:val="bottom"/>
          </w:tcPr>
          <w:p>
            <w:pPr>
              <w:spacing w:after="0"/>
              <w:rPr>
                <w:sz w:val="4"/>
                <w:szCs w:val="4"/>
                <w:color w:val="auto"/>
              </w:rPr>
            </w:pPr>
          </w:p>
        </w:tc>
        <w:tc>
          <w:tcPr>
            <w:tcW w:w="92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6000" w:type="dxa"/>
            <w:vAlign w:val="bottom"/>
          </w:tcPr>
          <w:p>
            <w:pPr>
              <w:spacing w:after="0"/>
              <w:rPr>
                <w:sz w:val="20"/>
                <w:szCs w:val="20"/>
                <w:color w:val="auto"/>
              </w:rPr>
            </w:pPr>
          </w:p>
        </w:tc>
        <w:tc>
          <w:tcPr>
            <w:tcW w:w="1140" w:type="dxa"/>
            <w:vAlign w:val="bottom"/>
          </w:tcPr>
          <w:p>
            <w:pPr>
              <w:jc w:val="right"/>
              <w:ind w:right="339"/>
              <w:spacing w:after="0"/>
              <w:rPr>
                <w:sz w:val="20"/>
                <w:szCs w:val="20"/>
                <w:color w:val="auto"/>
              </w:rPr>
            </w:pPr>
            <w:r>
              <w:rPr>
                <w:rFonts w:ascii="Arial" w:cs="Arial" w:eastAsia="Arial" w:hAnsi="Arial"/>
                <w:sz w:val="14"/>
                <w:szCs w:val="14"/>
                <w:b w:val="1"/>
                <w:bCs w:val="1"/>
                <w:color w:val="auto"/>
              </w:rPr>
              <w:t>2002</w:t>
            </w:r>
          </w:p>
        </w:tc>
        <w:tc>
          <w:tcPr>
            <w:tcW w:w="1700" w:type="dxa"/>
            <w:vAlign w:val="bottom"/>
            <w:gridSpan w:val="2"/>
          </w:tcPr>
          <w:p>
            <w:pPr>
              <w:jc w:val="right"/>
              <w:ind w:right="339"/>
              <w:spacing w:after="0"/>
              <w:rPr>
                <w:sz w:val="20"/>
                <w:szCs w:val="20"/>
                <w:color w:val="auto"/>
              </w:rPr>
            </w:pPr>
            <w:r>
              <w:rPr>
                <w:rFonts w:ascii="Arial" w:cs="Arial" w:eastAsia="Arial" w:hAnsi="Arial"/>
                <w:sz w:val="14"/>
                <w:szCs w:val="14"/>
                <w:b w:val="1"/>
                <w:bCs w:val="1"/>
                <w:color w:val="auto"/>
              </w:rPr>
              <w:t>2003</w:t>
            </w:r>
          </w:p>
        </w:tc>
        <w:tc>
          <w:tcPr>
            <w:tcW w:w="560" w:type="dxa"/>
            <w:vAlign w:val="bottom"/>
          </w:tcPr>
          <w:p>
            <w:pPr>
              <w:spacing w:after="0"/>
              <w:rPr>
                <w:sz w:val="20"/>
                <w:szCs w:val="20"/>
                <w:color w:val="auto"/>
              </w:rPr>
            </w:pPr>
          </w:p>
        </w:tc>
        <w:tc>
          <w:tcPr>
            <w:tcW w:w="920" w:type="dxa"/>
            <w:vAlign w:val="bottom"/>
          </w:tcPr>
          <w:p>
            <w:pPr>
              <w:jc w:val="right"/>
              <w:ind w:right="241"/>
              <w:spacing w:after="0"/>
              <w:rPr>
                <w:sz w:val="20"/>
                <w:szCs w:val="20"/>
                <w:color w:val="auto"/>
              </w:rPr>
            </w:pPr>
            <w:r>
              <w:rPr>
                <w:rFonts w:ascii="Arial" w:cs="Arial" w:eastAsia="Arial" w:hAnsi="Arial"/>
                <w:sz w:val="14"/>
                <w:szCs w:val="14"/>
                <w:b w:val="1"/>
                <w:bCs w:val="1"/>
                <w:color w:val="auto"/>
              </w:rPr>
              <w:t>2003</w:t>
            </w:r>
          </w:p>
        </w:tc>
        <w:tc>
          <w:tcPr>
            <w:tcW w:w="560" w:type="dxa"/>
            <w:vAlign w:val="bottom"/>
          </w:tcPr>
          <w:p>
            <w:pPr>
              <w:spacing w:after="0"/>
              <w:rPr>
                <w:sz w:val="20"/>
                <w:szCs w:val="20"/>
                <w:color w:val="auto"/>
              </w:rPr>
            </w:pPr>
          </w:p>
        </w:tc>
        <w:tc>
          <w:tcPr>
            <w:tcW w:w="540" w:type="dxa"/>
            <w:vAlign w:val="bottom"/>
          </w:tcPr>
          <w:p>
            <w:pPr>
              <w:ind w:left="120"/>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53"/>
        </w:trPr>
        <w:tc>
          <w:tcPr>
            <w:tcW w:w="6000" w:type="dxa"/>
            <w:vAlign w:val="bottom"/>
          </w:tcPr>
          <w:p>
            <w:pPr>
              <w:spacing w:after="0"/>
              <w:rPr>
                <w:sz w:val="4"/>
                <w:szCs w:val="4"/>
                <w:color w:val="auto"/>
              </w:rPr>
            </w:pPr>
          </w:p>
        </w:tc>
        <w:tc>
          <w:tcPr>
            <w:tcW w:w="1140" w:type="dxa"/>
            <w:vAlign w:val="bottom"/>
            <w:tcBorders>
              <w:bottom w:val="single" w:sz="8" w:color="808080"/>
            </w:tcBorders>
          </w:tcPr>
          <w:p>
            <w:pPr>
              <w:spacing w:after="0"/>
              <w:rPr>
                <w:sz w:val="4"/>
                <w:szCs w:val="4"/>
                <w:color w:val="auto"/>
              </w:rPr>
            </w:pPr>
          </w:p>
        </w:tc>
        <w:tc>
          <w:tcPr>
            <w:tcW w:w="560" w:type="dxa"/>
            <w:vAlign w:val="bottom"/>
          </w:tcPr>
          <w:p>
            <w:pPr>
              <w:spacing w:after="0"/>
              <w:rPr>
                <w:sz w:val="4"/>
                <w:szCs w:val="4"/>
                <w:color w:val="auto"/>
              </w:rPr>
            </w:pPr>
          </w:p>
        </w:tc>
        <w:tc>
          <w:tcPr>
            <w:tcW w:w="1140" w:type="dxa"/>
            <w:vAlign w:val="bottom"/>
            <w:tcBorders>
              <w:bottom w:val="single" w:sz="8" w:color="808080"/>
            </w:tcBorders>
          </w:tcPr>
          <w:p>
            <w:pPr>
              <w:spacing w:after="0"/>
              <w:rPr>
                <w:sz w:val="4"/>
                <w:szCs w:val="4"/>
                <w:color w:val="auto"/>
              </w:rPr>
            </w:pPr>
          </w:p>
        </w:tc>
        <w:tc>
          <w:tcPr>
            <w:tcW w:w="560" w:type="dxa"/>
            <w:vAlign w:val="bottom"/>
          </w:tcPr>
          <w:p>
            <w:pPr>
              <w:spacing w:after="0"/>
              <w:rPr>
                <w:sz w:val="4"/>
                <w:szCs w:val="4"/>
                <w:color w:val="auto"/>
              </w:rPr>
            </w:pPr>
          </w:p>
        </w:tc>
        <w:tc>
          <w:tcPr>
            <w:tcW w:w="920" w:type="dxa"/>
            <w:vAlign w:val="bottom"/>
            <w:tcBorders>
              <w:bottom w:val="single" w:sz="8" w:color="808080"/>
            </w:tcBorders>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6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gridSpan w:val="2"/>
          </w:tcPr>
          <w:p>
            <w:pPr>
              <w:ind w:left="380"/>
              <w:spacing w:after="0"/>
              <w:rPr>
                <w:sz w:val="20"/>
                <w:szCs w:val="20"/>
                <w:color w:val="auto"/>
              </w:rPr>
            </w:pPr>
            <w:r>
              <w:rPr>
                <w:rFonts w:ascii="Arial" w:cs="Arial" w:eastAsia="Arial" w:hAnsi="Arial"/>
                <w:sz w:val="14"/>
                <w:szCs w:val="14"/>
                <w:b w:val="1"/>
                <w:bCs w:val="1"/>
                <w:color w:val="auto"/>
                <w:w w:val="93"/>
              </w:rPr>
              <w:t>Dollars in thousands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Earnings to fixed charges ratio</w:t>
            </w:r>
          </w:p>
        </w:tc>
        <w:tc>
          <w:tcPr>
            <w:tcW w:w="1140" w:type="dxa"/>
            <w:vAlign w:val="bottom"/>
          </w:tcPr>
          <w:p>
            <w:pPr>
              <w:ind w:left="440"/>
              <w:spacing w:after="0"/>
              <w:rPr>
                <w:sz w:val="20"/>
                <w:szCs w:val="20"/>
                <w:color w:val="auto"/>
              </w:rPr>
            </w:pPr>
            <w:r>
              <w:rPr>
                <w:rFonts w:ascii="Arial" w:cs="Arial" w:eastAsia="Arial" w:hAnsi="Arial"/>
                <w:sz w:val="18"/>
                <w:szCs w:val="18"/>
                <w:color w:val="auto"/>
              </w:rPr>
              <w:t>(A)</w:t>
            </w:r>
          </w:p>
        </w:tc>
        <w:tc>
          <w:tcPr>
            <w:tcW w:w="560" w:type="dxa"/>
            <w:vAlign w:val="bottom"/>
          </w:tcPr>
          <w:p>
            <w:pPr>
              <w:spacing w:after="0"/>
              <w:rPr>
                <w:sz w:val="18"/>
                <w:szCs w:val="18"/>
                <w:color w:val="auto"/>
              </w:rPr>
            </w:pPr>
          </w:p>
        </w:tc>
        <w:tc>
          <w:tcPr>
            <w:tcW w:w="1700" w:type="dxa"/>
            <w:vAlign w:val="bottom"/>
            <w:gridSpan w:val="2"/>
          </w:tcPr>
          <w:p>
            <w:pPr>
              <w:ind w:left="440"/>
              <w:spacing w:after="0"/>
              <w:rPr>
                <w:sz w:val="20"/>
                <w:szCs w:val="20"/>
                <w:color w:val="auto"/>
              </w:rPr>
            </w:pPr>
            <w:r>
              <w:rPr>
                <w:rFonts w:ascii="Arial" w:cs="Arial" w:eastAsia="Arial" w:hAnsi="Arial"/>
                <w:sz w:val="18"/>
                <w:szCs w:val="18"/>
                <w:color w:val="auto"/>
              </w:rPr>
              <w:t>(A)</w:t>
            </w:r>
          </w:p>
        </w:tc>
        <w:tc>
          <w:tcPr>
            <w:tcW w:w="1480" w:type="dxa"/>
            <w:vAlign w:val="bottom"/>
            <w:gridSpan w:val="2"/>
          </w:tcPr>
          <w:p>
            <w:pPr>
              <w:ind w:left="340"/>
              <w:spacing w:after="0"/>
              <w:rPr>
                <w:sz w:val="20"/>
                <w:szCs w:val="20"/>
                <w:color w:val="auto"/>
              </w:rPr>
            </w:pPr>
            <w:r>
              <w:rPr>
                <w:rFonts w:ascii="Arial" w:cs="Arial" w:eastAsia="Arial" w:hAnsi="Arial"/>
                <w:sz w:val="18"/>
                <w:szCs w:val="18"/>
                <w:color w:val="auto"/>
              </w:rPr>
              <w:t>(A)</w:t>
            </w:r>
          </w:p>
        </w:tc>
        <w:tc>
          <w:tcPr>
            <w:tcW w:w="540" w:type="dxa"/>
            <w:vAlign w:val="bottom"/>
          </w:tcPr>
          <w:p>
            <w:pPr>
              <w:ind w:left="12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Coverage deficiency</w:t>
            </w:r>
          </w:p>
        </w:tc>
        <w:tc>
          <w:tcPr>
            <w:tcW w:w="1140" w:type="dxa"/>
            <w:vAlign w:val="bottom"/>
          </w:tcPr>
          <w:p>
            <w:pPr>
              <w:jc w:val="right"/>
              <w:ind w:right="159"/>
              <w:spacing w:after="0"/>
              <w:rPr>
                <w:sz w:val="20"/>
                <w:szCs w:val="20"/>
                <w:color w:val="auto"/>
              </w:rPr>
            </w:pPr>
            <w:r>
              <w:rPr>
                <w:rFonts w:ascii="Arial" w:cs="Arial" w:eastAsia="Arial" w:hAnsi="Arial"/>
                <w:sz w:val="18"/>
                <w:szCs w:val="18"/>
                <w:color w:val="auto"/>
              </w:rPr>
              <w:t>$124,572</w:t>
            </w:r>
          </w:p>
        </w:tc>
        <w:tc>
          <w:tcPr>
            <w:tcW w:w="1700" w:type="dxa"/>
            <w:vAlign w:val="bottom"/>
            <w:gridSpan w:val="2"/>
          </w:tcPr>
          <w:p>
            <w:pPr>
              <w:jc w:val="right"/>
              <w:ind w:right="139"/>
              <w:spacing w:after="0"/>
              <w:rPr>
                <w:sz w:val="20"/>
                <w:szCs w:val="20"/>
                <w:color w:val="auto"/>
              </w:rPr>
            </w:pPr>
            <w:r>
              <w:rPr>
                <w:rFonts w:ascii="Arial" w:cs="Arial" w:eastAsia="Arial" w:hAnsi="Arial"/>
                <w:sz w:val="18"/>
                <w:szCs w:val="18"/>
                <w:color w:val="auto"/>
              </w:rPr>
              <w:t>$107,638</w:t>
            </w:r>
          </w:p>
        </w:tc>
        <w:tc>
          <w:tcPr>
            <w:tcW w:w="560" w:type="dxa"/>
            <w:vAlign w:val="bottom"/>
          </w:tcPr>
          <w:p>
            <w:pPr>
              <w:spacing w:after="0"/>
              <w:rPr>
                <w:sz w:val="20"/>
                <w:szCs w:val="20"/>
                <w:color w:val="auto"/>
              </w:rPr>
            </w:pPr>
          </w:p>
        </w:tc>
        <w:tc>
          <w:tcPr>
            <w:tcW w:w="920" w:type="dxa"/>
            <w:vAlign w:val="bottom"/>
          </w:tcPr>
          <w:p>
            <w:pPr>
              <w:jc w:val="right"/>
              <w:ind w:right="81"/>
              <w:spacing w:after="0"/>
              <w:rPr>
                <w:sz w:val="20"/>
                <w:szCs w:val="20"/>
                <w:color w:val="auto"/>
              </w:rPr>
            </w:pPr>
            <w:r>
              <w:rPr>
                <w:rFonts w:ascii="Arial" w:cs="Arial" w:eastAsia="Arial" w:hAnsi="Arial"/>
                <w:sz w:val="18"/>
                <w:szCs w:val="18"/>
                <w:color w:val="auto"/>
              </w:rPr>
              <w:t>$88,305</w:t>
            </w:r>
          </w:p>
        </w:tc>
        <w:tc>
          <w:tcPr>
            <w:tcW w:w="560" w:type="dxa"/>
            <w:vAlign w:val="bottom"/>
          </w:tcPr>
          <w:p>
            <w:pPr>
              <w:spacing w:after="0"/>
              <w:rPr>
                <w:sz w:val="20"/>
                <w:szCs w:val="20"/>
                <w:color w:val="auto"/>
              </w:rPr>
            </w:pPr>
          </w:p>
        </w:tc>
        <w:tc>
          <w:tcPr>
            <w:tcW w:w="540" w:type="dxa"/>
            <w:vAlign w:val="bottom"/>
          </w:tcPr>
          <w:p>
            <w:pPr>
              <w:ind w:left="1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80" w:right="80" w:hanging="365"/>
        <w:spacing w:after="0" w:line="264" w:lineRule="auto"/>
        <w:tabs>
          <w:tab w:leader="none" w:pos="3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Due to the Company’s losses for the years ended December 31, 2002 and 2003 and for the nine months ended September 30, 2003, the coverage ratio was less than 1:1. The coverage deficiency for these periods represents the additional earnings necessary for the Company to achieve a coverage ratio of 1:1.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 INTERESTS OF DIRECTORS AND OFFICERS; TRANSACTIONS AND ARRANGEMENTS.</w:t>
      </w:r>
    </w:p>
    <w:p>
      <w:pPr>
        <w:spacing w:after="0" w:line="189"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A list of our directors and executive officers is attached to this Offer to Exchange as Schedule A. Except for our president and chief executive officer, all of our executive officers are Eligible Officers and thus are eligible to tender eligible options in exchange for replacement options pursuant to the Offer. Our directors who are not executive officers (referred to as non-executive directors) are not eligible optionholders and thus are not eligible to tender options in the Offer. As of November 19, 2004, our executive officers and directors as a group beneficially owned options outstanding under the Stock Incentive Plans to purchase a total of 7,276,910 shares of our Common Stock, which represented approximately 57% of the shares of Common Stock subject to all options outstanding under the Stock Incentive Plans as of that date. As of November 19, 2004, our Eligible Officers, as a group, held outstanding options under the Stock Incentive Plans to purchase a total of 3,458,531 shares of our Common Stock, which represented approximately 27% of the shares of Common Stock subject to all options outstanding under the Stock Incentive Plans as of that date. Of these, options to purchase a total of 2,085,000 shares of our Common Stock are eligible to be tendered for exchange pursuant to the Offer.</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55" w:name="page56"/>
    <w:bookmarkEnd w:id="55"/>
    <w:p>
      <w:pPr>
        <w:ind w:right="220" w:firstLine="447"/>
        <w:spacing w:after="0" w:line="277" w:lineRule="auto"/>
        <w:rPr>
          <w:sz w:val="20"/>
          <w:szCs w:val="20"/>
          <w:color w:val="auto"/>
        </w:rPr>
      </w:pPr>
      <w:r>
        <w:rPr>
          <w:rFonts w:ascii="Arial" w:cs="Arial" w:eastAsia="Arial" w:hAnsi="Arial"/>
          <w:sz w:val="18"/>
          <w:szCs w:val="18"/>
          <w:color w:val="auto"/>
        </w:rPr>
        <w:t>The following table shows the number of shares of our Common Stock subject to options beneficially owned by each of our Eligible Officers and the respective weighted average exercise prices of those options: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Number of Shares</w:t>
            </w:r>
          </w:p>
        </w:tc>
        <w:tc>
          <w:tcPr>
            <w:tcW w:w="38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36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Shares</w:t>
            </w:r>
          </w:p>
        </w:tc>
        <w:tc>
          <w:tcPr>
            <w:tcW w:w="3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3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Eligible Officer</w:t>
            </w:r>
          </w:p>
        </w:tc>
        <w:tc>
          <w:tcPr>
            <w:tcW w:w="380" w:type="dxa"/>
            <w:vAlign w:val="bottom"/>
          </w:tcPr>
          <w:p>
            <w:pPr>
              <w:spacing w:after="0"/>
              <w:rPr>
                <w:sz w:val="12"/>
                <w:szCs w:val="12"/>
                <w:color w:val="auto"/>
              </w:rPr>
            </w:pPr>
          </w:p>
        </w:tc>
        <w:tc>
          <w:tcPr>
            <w:tcW w:w="190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Exercise Price of</w:t>
            </w:r>
          </w:p>
        </w:tc>
        <w:tc>
          <w:tcPr>
            <w:tcW w:w="36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Subject to Eligible</w:t>
            </w:r>
          </w:p>
        </w:tc>
        <w:tc>
          <w:tcPr>
            <w:tcW w:w="38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0" w:type="dxa"/>
            <w:vAlign w:val="bottom"/>
          </w:tcPr>
          <w:p>
            <w:pPr>
              <w:spacing w:after="0"/>
              <w:rPr>
                <w:sz w:val="1"/>
                <w:szCs w:val="1"/>
                <w:color w:val="auto"/>
              </w:rPr>
            </w:pPr>
          </w:p>
        </w:tc>
      </w:tr>
      <w:tr>
        <w:trPr>
          <w:trHeight w:val="186"/>
        </w:trPr>
        <w:tc>
          <w:tcPr>
            <w:tcW w:w="362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900" w:type="dxa"/>
            <w:vAlign w:val="bottom"/>
          </w:tcPr>
          <w:p>
            <w:pPr>
              <w:jc w:val="right"/>
              <w:ind w:right="308"/>
              <w:spacing w:after="0"/>
              <w:rPr>
                <w:sz w:val="20"/>
                <w:szCs w:val="20"/>
                <w:color w:val="auto"/>
              </w:rPr>
            </w:pPr>
            <w:r>
              <w:rPr>
                <w:rFonts w:ascii="Arial" w:cs="Arial" w:eastAsia="Arial" w:hAnsi="Arial"/>
                <w:sz w:val="14"/>
                <w:szCs w:val="14"/>
                <w:b w:val="1"/>
                <w:bCs w:val="1"/>
                <w:color w:val="auto"/>
              </w:rPr>
              <w:t>Subject to Options</w:t>
            </w:r>
          </w:p>
        </w:tc>
        <w:tc>
          <w:tcPr>
            <w:tcW w:w="38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3"/>
              </w:rPr>
              <w:t>all Options</w:t>
            </w:r>
          </w:p>
        </w:tc>
        <w:tc>
          <w:tcPr>
            <w:tcW w:w="360" w:type="dxa"/>
            <w:vAlign w:val="bottom"/>
          </w:tcPr>
          <w:p>
            <w:pPr>
              <w:spacing w:after="0"/>
              <w:rPr>
                <w:sz w:val="16"/>
                <w:szCs w:val="16"/>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38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3"/>
              </w:rPr>
              <w:t>Eligible Options</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600" w:type="dxa"/>
            <w:vAlign w:val="bottom"/>
            <w:tcBorders>
              <w:bottom w:val="single" w:sz="8" w:color="808080"/>
            </w:tcBorders>
          </w:tcPr>
          <w:p>
            <w:pPr>
              <w:spacing w:after="0"/>
              <w:rPr>
                <w:sz w:val="4"/>
                <w:szCs w:val="4"/>
                <w:color w:val="auto"/>
              </w:rPr>
            </w:pPr>
          </w:p>
        </w:tc>
        <w:tc>
          <w:tcPr>
            <w:tcW w:w="380" w:type="dxa"/>
            <w:vAlign w:val="bottom"/>
          </w:tcPr>
          <w:p>
            <w:pPr>
              <w:spacing w:after="0"/>
              <w:rPr>
                <w:sz w:val="4"/>
                <w:szCs w:val="4"/>
                <w:color w:val="auto"/>
              </w:rPr>
            </w:pPr>
          </w:p>
        </w:tc>
        <w:tc>
          <w:tcPr>
            <w:tcW w:w="1900" w:type="dxa"/>
            <w:vAlign w:val="bottom"/>
            <w:tcBorders>
              <w:bottom w:val="single" w:sz="8" w:color="808080"/>
            </w:tcBorders>
          </w:tcPr>
          <w:p>
            <w:pPr>
              <w:spacing w:after="0"/>
              <w:rPr>
                <w:sz w:val="4"/>
                <w:szCs w:val="4"/>
                <w:color w:val="auto"/>
              </w:rPr>
            </w:pPr>
          </w:p>
        </w:tc>
        <w:tc>
          <w:tcPr>
            <w:tcW w:w="38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360" w:type="dxa"/>
            <w:vAlign w:val="bottom"/>
          </w:tcPr>
          <w:p>
            <w:pPr>
              <w:spacing w:after="0"/>
              <w:rPr>
                <w:sz w:val="4"/>
                <w:szCs w:val="4"/>
                <w:color w:val="auto"/>
              </w:rPr>
            </w:pPr>
          </w:p>
        </w:tc>
        <w:tc>
          <w:tcPr>
            <w:tcW w:w="1920" w:type="dxa"/>
            <w:vAlign w:val="bottom"/>
            <w:tcBorders>
              <w:bottom w:val="single" w:sz="8" w:color="808080"/>
            </w:tcBorders>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36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9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9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600" w:type="dxa"/>
            <w:vAlign w:val="bottom"/>
            <w:shd w:val="clear" w:color="auto" w:fill="EEEEEE"/>
          </w:tcPr>
          <w:p>
            <w:pPr>
              <w:spacing w:after="0" w:line="256" w:lineRule="exact"/>
              <w:rPr>
                <w:sz w:val="20"/>
                <w:szCs w:val="20"/>
                <w:color w:val="auto"/>
              </w:rPr>
            </w:pPr>
            <w:r>
              <w:rPr>
                <w:rFonts w:ascii="Arial" w:cs="Arial" w:eastAsia="Arial" w:hAnsi="Arial"/>
                <w:sz w:val="18"/>
                <w:szCs w:val="18"/>
                <w:color w:val="auto"/>
              </w:rPr>
              <w:t xml:space="preserve">Murray A. Goldberg </w:t>
            </w:r>
            <w:r>
              <w:rPr>
                <w:rFonts w:ascii="Arial" w:cs="Arial" w:eastAsia="Arial" w:hAnsi="Arial"/>
                <w:sz w:val="29"/>
                <w:szCs w:val="29"/>
                <w:color w:val="auto"/>
                <w:vertAlign w:val="superscript"/>
              </w:rPr>
              <w:t>(1)</w:t>
            </w:r>
          </w:p>
        </w:tc>
        <w:tc>
          <w:tcPr>
            <w:tcW w:w="2280" w:type="dxa"/>
            <w:vAlign w:val="bottom"/>
            <w:gridSpan w:val="2"/>
            <w:shd w:val="clear" w:color="auto" w:fill="EEEEEE"/>
          </w:tcPr>
          <w:p>
            <w:pPr>
              <w:jc w:val="right"/>
              <w:ind w:right="568"/>
              <w:spacing w:after="0"/>
              <w:rPr>
                <w:sz w:val="20"/>
                <w:szCs w:val="20"/>
                <w:color w:val="auto"/>
              </w:rPr>
            </w:pPr>
            <w:r>
              <w:rPr>
                <w:rFonts w:ascii="Arial" w:cs="Arial" w:eastAsia="Arial" w:hAnsi="Arial"/>
                <w:sz w:val="18"/>
                <w:szCs w:val="18"/>
                <w:color w:val="auto"/>
              </w:rPr>
              <w:t>353,531</w:t>
            </w:r>
          </w:p>
        </w:tc>
        <w:tc>
          <w:tcPr>
            <w:tcW w:w="1640" w:type="dxa"/>
            <w:vAlign w:val="bottom"/>
            <w:gridSpan w:val="2"/>
            <w:shd w:val="clear" w:color="auto" w:fill="EEEEEE"/>
          </w:tcPr>
          <w:p>
            <w:pPr>
              <w:jc w:val="right"/>
              <w:ind w:right="448"/>
              <w:spacing w:after="0"/>
              <w:rPr>
                <w:sz w:val="20"/>
                <w:szCs w:val="20"/>
                <w:color w:val="auto"/>
              </w:rPr>
            </w:pPr>
            <w:r>
              <w:rPr>
                <w:rFonts w:ascii="Arial" w:cs="Arial" w:eastAsia="Arial" w:hAnsi="Arial"/>
                <w:sz w:val="18"/>
                <w:szCs w:val="18"/>
                <w:color w:val="auto"/>
              </w:rPr>
              <w:t>$17.73</w:t>
            </w:r>
          </w:p>
        </w:tc>
        <w:tc>
          <w:tcPr>
            <w:tcW w:w="2280" w:type="dxa"/>
            <w:vAlign w:val="bottom"/>
            <w:gridSpan w:val="2"/>
            <w:shd w:val="clear" w:color="auto" w:fill="EEEEEE"/>
          </w:tcPr>
          <w:p>
            <w:pPr>
              <w:jc w:val="right"/>
              <w:ind w:right="568"/>
              <w:spacing w:after="0"/>
              <w:rPr>
                <w:sz w:val="20"/>
                <w:szCs w:val="20"/>
                <w:color w:val="auto"/>
              </w:rPr>
            </w:pPr>
            <w:r>
              <w:rPr>
                <w:rFonts w:ascii="Arial" w:cs="Arial" w:eastAsia="Arial" w:hAnsi="Arial"/>
                <w:sz w:val="18"/>
                <w:szCs w:val="18"/>
                <w:color w:val="auto"/>
              </w:rPr>
              <w:t>150,000</w:t>
            </w:r>
          </w:p>
        </w:tc>
        <w:tc>
          <w:tcPr>
            <w:tcW w:w="1600" w:type="dxa"/>
            <w:vAlign w:val="bottom"/>
            <w:gridSpan w:val="2"/>
            <w:shd w:val="clear" w:color="auto" w:fill="EEEEEE"/>
          </w:tcPr>
          <w:p>
            <w:pPr>
              <w:jc w:val="right"/>
              <w:ind w:right="428"/>
              <w:spacing w:after="0"/>
              <w:rPr>
                <w:sz w:val="20"/>
                <w:szCs w:val="20"/>
                <w:color w:val="auto"/>
              </w:rPr>
            </w:pPr>
            <w:r>
              <w:rPr>
                <w:rFonts w:ascii="Arial" w:cs="Arial" w:eastAsia="Arial" w:hAnsi="Arial"/>
                <w:sz w:val="18"/>
                <w:szCs w:val="18"/>
                <w:color w:val="auto"/>
              </w:rPr>
              <w:t>$27.18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Stuart Kolinski, Esq.</w:t>
            </w:r>
          </w:p>
        </w:tc>
        <w:tc>
          <w:tcPr>
            <w:tcW w:w="2280" w:type="dxa"/>
            <w:vAlign w:val="bottom"/>
            <w:gridSpan w:val="2"/>
          </w:tcPr>
          <w:p>
            <w:pPr>
              <w:jc w:val="right"/>
              <w:ind w:right="568"/>
              <w:spacing w:after="0"/>
              <w:rPr>
                <w:sz w:val="20"/>
                <w:szCs w:val="20"/>
                <w:color w:val="auto"/>
              </w:rPr>
            </w:pPr>
            <w:r>
              <w:rPr>
                <w:rFonts w:ascii="Arial" w:cs="Arial" w:eastAsia="Arial" w:hAnsi="Arial"/>
                <w:sz w:val="18"/>
                <w:szCs w:val="18"/>
                <w:color w:val="auto"/>
              </w:rPr>
              <w:t>210,000</w:t>
            </w:r>
          </w:p>
        </w:tc>
        <w:tc>
          <w:tcPr>
            <w:tcW w:w="1640" w:type="dxa"/>
            <w:vAlign w:val="bottom"/>
            <w:gridSpan w:val="2"/>
          </w:tcPr>
          <w:p>
            <w:pPr>
              <w:jc w:val="right"/>
              <w:ind w:right="448"/>
              <w:spacing w:after="0"/>
              <w:rPr>
                <w:sz w:val="20"/>
                <w:szCs w:val="20"/>
                <w:color w:val="auto"/>
              </w:rPr>
            </w:pPr>
            <w:r>
              <w:rPr>
                <w:rFonts w:ascii="Arial" w:cs="Arial" w:eastAsia="Arial" w:hAnsi="Arial"/>
                <w:sz w:val="18"/>
                <w:szCs w:val="18"/>
                <w:color w:val="auto"/>
              </w:rPr>
              <w:t>$21.12</w:t>
            </w:r>
          </w:p>
        </w:tc>
        <w:tc>
          <w:tcPr>
            <w:tcW w:w="2280" w:type="dxa"/>
            <w:vAlign w:val="bottom"/>
            <w:gridSpan w:val="2"/>
          </w:tcPr>
          <w:p>
            <w:pPr>
              <w:jc w:val="right"/>
              <w:ind w:right="568"/>
              <w:spacing w:after="0"/>
              <w:rPr>
                <w:sz w:val="20"/>
                <w:szCs w:val="20"/>
                <w:color w:val="auto"/>
              </w:rPr>
            </w:pPr>
            <w:r>
              <w:rPr>
                <w:rFonts w:ascii="Arial" w:cs="Arial" w:eastAsia="Arial" w:hAnsi="Arial"/>
                <w:sz w:val="18"/>
                <w:szCs w:val="18"/>
                <w:color w:val="auto"/>
              </w:rPr>
              <w:t>110,000</w:t>
            </w:r>
          </w:p>
        </w:tc>
        <w:tc>
          <w:tcPr>
            <w:tcW w:w="1600" w:type="dxa"/>
            <w:vAlign w:val="bottom"/>
            <w:gridSpan w:val="2"/>
          </w:tcPr>
          <w:p>
            <w:pPr>
              <w:jc w:val="right"/>
              <w:ind w:right="428"/>
              <w:spacing w:after="0"/>
              <w:rPr>
                <w:sz w:val="20"/>
                <w:szCs w:val="20"/>
                <w:color w:val="auto"/>
              </w:rPr>
            </w:pPr>
            <w:r>
              <w:rPr>
                <w:rFonts w:ascii="Arial" w:cs="Arial" w:eastAsia="Arial" w:hAnsi="Arial"/>
                <w:sz w:val="18"/>
                <w:szCs w:val="18"/>
                <w:color w:val="auto"/>
              </w:rPr>
              <w:t>$28.50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EEEEEE"/>
          </w:tcPr>
          <w:p>
            <w:pPr>
              <w:spacing w:after="0"/>
              <w:rPr>
                <w:sz w:val="20"/>
                <w:szCs w:val="20"/>
                <w:color w:val="auto"/>
              </w:rPr>
            </w:pPr>
            <w:r>
              <w:rPr>
                <w:rFonts w:ascii="Arial" w:cs="Arial" w:eastAsia="Arial" w:hAnsi="Arial"/>
                <w:sz w:val="18"/>
                <w:szCs w:val="18"/>
                <w:color w:val="auto"/>
              </w:rPr>
              <w:t>William Roberts, M.D.</w:t>
            </w:r>
          </w:p>
        </w:tc>
        <w:tc>
          <w:tcPr>
            <w:tcW w:w="2280" w:type="dxa"/>
            <w:vAlign w:val="bottom"/>
            <w:gridSpan w:val="2"/>
            <w:shd w:val="clear" w:color="auto" w:fill="EEEEEE"/>
          </w:tcPr>
          <w:p>
            <w:pPr>
              <w:jc w:val="right"/>
              <w:ind w:right="568"/>
              <w:spacing w:after="0"/>
              <w:rPr>
                <w:sz w:val="20"/>
                <w:szCs w:val="20"/>
                <w:color w:val="auto"/>
              </w:rPr>
            </w:pPr>
            <w:r>
              <w:rPr>
                <w:rFonts w:ascii="Arial" w:cs="Arial" w:eastAsia="Arial" w:hAnsi="Arial"/>
                <w:sz w:val="18"/>
                <w:szCs w:val="18"/>
                <w:color w:val="auto"/>
              </w:rPr>
              <w:t>160,000</w:t>
            </w:r>
          </w:p>
        </w:tc>
        <w:tc>
          <w:tcPr>
            <w:tcW w:w="1640" w:type="dxa"/>
            <w:vAlign w:val="bottom"/>
            <w:gridSpan w:val="2"/>
            <w:shd w:val="clear" w:color="auto" w:fill="EEEEEE"/>
          </w:tcPr>
          <w:p>
            <w:pPr>
              <w:jc w:val="right"/>
              <w:ind w:right="448"/>
              <w:spacing w:after="0"/>
              <w:rPr>
                <w:sz w:val="20"/>
                <w:szCs w:val="20"/>
                <w:color w:val="auto"/>
              </w:rPr>
            </w:pPr>
            <w:r>
              <w:rPr>
                <w:rFonts w:ascii="Arial" w:cs="Arial" w:eastAsia="Arial" w:hAnsi="Arial"/>
                <w:sz w:val="18"/>
                <w:szCs w:val="18"/>
                <w:color w:val="auto"/>
              </w:rPr>
              <w:t>$16.29</w:t>
            </w:r>
          </w:p>
        </w:tc>
        <w:tc>
          <w:tcPr>
            <w:tcW w:w="2280" w:type="dxa"/>
            <w:vAlign w:val="bottom"/>
            <w:gridSpan w:val="2"/>
            <w:shd w:val="clear" w:color="auto" w:fill="EEEEEE"/>
          </w:tcPr>
          <w:p>
            <w:pPr>
              <w:jc w:val="right"/>
              <w:ind w:right="568"/>
              <w:spacing w:after="0"/>
              <w:rPr>
                <w:sz w:val="20"/>
                <w:szCs w:val="20"/>
                <w:color w:val="auto"/>
              </w:rPr>
            </w:pPr>
            <w:r>
              <w:rPr>
                <w:rFonts w:ascii="Arial" w:cs="Arial" w:eastAsia="Arial" w:hAnsi="Arial"/>
                <w:sz w:val="18"/>
                <w:szCs w:val="18"/>
                <w:color w:val="auto"/>
              </w:rPr>
              <w:t>65,000</w:t>
            </w:r>
          </w:p>
        </w:tc>
        <w:tc>
          <w:tcPr>
            <w:tcW w:w="1600" w:type="dxa"/>
            <w:vAlign w:val="bottom"/>
            <w:gridSpan w:val="2"/>
            <w:shd w:val="clear" w:color="auto" w:fill="EEEEEE"/>
          </w:tcPr>
          <w:p>
            <w:pPr>
              <w:jc w:val="right"/>
              <w:ind w:right="428"/>
              <w:spacing w:after="0"/>
              <w:rPr>
                <w:sz w:val="20"/>
                <w:szCs w:val="20"/>
                <w:color w:val="auto"/>
              </w:rPr>
            </w:pPr>
            <w:r>
              <w:rPr>
                <w:rFonts w:ascii="Arial" w:cs="Arial" w:eastAsia="Arial" w:hAnsi="Arial"/>
                <w:sz w:val="18"/>
                <w:szCs w:val="18"/>
                <w:color w:val="auto"/>
              </w:rPr>
              <w:t>$27.72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600" w:type="dxa"/>
            <w:vAlign w:val="bottom"/>
          </w:tcPr>
          <w:p>
            <w:pPr>
              <w:spacing w:after="0" w:line="256" w:lineRule="exact"/>
              <w:rPr>
                <w:sz w:val="20"/>
                <w:szCs w:val="20"/>
                <w:color w:val="auto"/>
              </w:rPr>
            </w:pPr>
            <w:r>
              <w:rPr>
                <w:rFonts w:ascii="Arial" w:cs="Arial" w:eastAsia="Arial" w:hAnsi="Arial"/>
                <w:sz w:val="18"/>
                <w:szCs w:val="18"/>
                <w:color w:val="auto"/>
              </w:rPr>
              <w:t>Randall G. Rupp, Ph.D.</w:t>
            </w:r>
            <w:r>
              <w:rPr>
                <w:rFonts w:ascii="Arial" w:cs="Arial" w:eastAsia="Arial" w:hAnsi="Arial"/>
                <w:sz w:val="29"/>
                <w:szCs w:val="29"/>
                <w:color w:val="auto"/>
                <w:vertAlign w:val="superscript"/>
              </w:rPr>
              <w:t>(1)</w:t>
            </w:r>
          </w:p>
        </w:tc>
        <w:tc>
          <w:tcPr>
            <w:tcW w:w="2280" w:type="dxa"/>
            <w:vAlign w:val="bottom"/>
            <w:gridSpan w:val="2"/>
          </w:tcPr>
          <w:p>
            <w:pPr>
              <w:jc w:val="right"/>
              <w:ind w:right="568"/>
              <w:spacing w:after="0"/>
              <w:rPr>
                <w:sz w:val="20"/>
                <w:szCs w:val="20"/>
                <w:color w:val="auto"/>
              </w:rPr>
            </w:pPr>
            <w:r>
              <w:rPr>
                <w:rFonts w:ascii="Arial" w:cs="Arial" w:eastAsia="Arial" w:hAnsi="Arial"/>
                <w:sz w:val="18"/>
                <w:szCs w:val="18"/>
                <w:color w:val="auto"/>
              </w:rPr>
              <w:t>280,000</w:t>
            </w:r>
          </w:p>
        </w:tc>
        <w:tc>
          <w:tcPr>
            <w:tcW w:w="1640" w:type="dxa"/>
            <w:vAlign w:val="bottom"/>
            <w:gridSpan w:val="2"/>
          </w:tcPr>
          <w:p>
            <w:pPr>
              <w:jc w:val="right"/>
              <w:ind w:right="448"/>
              <w:spacing w:after="0"/>
              <w:rPr>
                <w:sz w:val="20"/>
                <w:szCs w:val="20"/>
                <w:color w:val="auto"/>
              </w:rPr>
            </w:pPr>
            <w:r>
              <w:rPr>
                <w:rFonts w:ascii="Arial" w:cs="Arial" w:eastAsia="Arial" w:hAnsi="Arial"/>
                <w:sz w:val="18"/>
                <w:szCs w:val="18"/>
                <w:color w:val="auto"/>
              </w:rPr>
              <w:t>$16.49</w:t>
            </w:r>
          </w:p>
        </w:tc>
        <w:tc>
          <w:tcPr>
            <w:tcW w:w="2280" w:type="dxa"/>
            <w:vAlign w:val="bottom"/>
            <w:gridSpan w:val="2"/>
          </w:tcPr>
          <w:p>
            <w:pPr>
              <w:jc w:val="right"/>
              <w:ind w:right="568"/>
              <w:spacing w:after="0"/>
              <w:rPr>
                <w:sz w:val="20"/>
                <w:szCs w:val="20"/>
                <w:color w:val="auto"/>
              </w:rPr>
            </w:pPr>
            <w:r>
              <w:rPr>
                <w:rFonts w:ascii="Arial" w:cs="Arial" w:eastAsia="Arial" w:hAnsi="Arial"/>
                <w:sz w:val="18"/>
                <w:szCs w:val="18"/>
                <w:color w:val="auto"/>
              </w:rPr>
              <w:t>110,000</w:t>
            </w:r>
          </w:p>
        </w:tc>
        <w:tc>
          <w:tcPr>
            <w:tcW w:w="1600" w:type="dxa"/>
            <w:vAlign w:val="bottom"/>
            <w:gridSpan w:val="2"/>
          </w:tcPr>
          <w:p>
            <w:pPr>
              <w:jc w:val="right"/>
              <w:ind w:right="428"/>
              <w:spacing w:after="0"/>
              <w:rPr>
                <w:sz w:val="20"/>
                <w:szCs w:val="20"/>
                <w:color w:val="auto"/>
              </w:rPr>
            </w:pPr>
            <w:r>
              <w:rPr>
                <w:rFonts w:ascii="Arial" w:cs="Arial" w:eastAsia="Arial" w:hAnsi="Arial"/>
                <w:sz w:val="18"/>
                <w:szCs w:val="18"/>
                <w:color w:val="auto"/>
              </w:rPr>
              <w:t>$26.78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600" w:type="dxa"/>
            <w:vAlign w:val="bottom"/>
            <w:shd w:val="clear" w:color="auto" w:fill="EEEEEE"/>
          </w:tcPr>
          <w:p>
            <w:pPr>
              <w:spacing w:after="0" w:line="256" w:lineRule="exact"/>
              <w:rPr>
                <w:sz w:val="20"/>
                <w:szCs w:val="20"/>
                <w:color w:val="auto"/>
              </w:rPr>
            </w:pPr>
            <w:r>
              <w:rPr>
                <w:rFonts w:ascii="Arial" w:cs="Arial" w:eastAsia="Arial" w:hAnsi="Arial"/>
                <w:sz w:val="18"/>
                <w:szCs w:val="18"/>
                <w:color w:val="auto"/>
              </w:rPr>
              <w:t>Neil Stahl, Ph.D.</w:t>
            </w:r>
            <w:r>
              <w:rPr>
                <w:rFonts w:ascii="Arial" w:cs="Arial" w:eastAsia="Arial" w:hAnsi="Arial"/>
                <w:sz w:val="29"/>
                <w:szCs w:val="29"/>
                <w:color w:val="auto"/>
                <w:vertAlign w:val="superscript"/>
              </w:rPr>
              <w:t>(1)</w:t>
            </w:r>
          </w:p>
        </w:tc>
        <w:tc>
          <w:tcPr>
            <w:tcW w:w="2280" w:type="dxa"/>
            <w:vAlign w:val="bottom"/>
            <w:gridSpan w:val="2"/>
            <w:shd w:val="clear" w:color="auto" w:fill="EEEEEE"/>
          </w:tcPr>
          <w:p>
            <w:pPr>
              <w:jc w:val="right"/>
              <w:ind w:right="568"/>
              <w:spacing w:after="0"/>
              <w:rPr>
                <w:sz w:val="20"/>
                <w:szCs w:val="20"/>
                <w:color w:val="auto"/>
              </w:rPr>
            </w:pPr>
            <w:r>
              <w:rPr>
                <w:rFonts w:ascii="Arial" w:cs="Arial" w:eastAsia="Arial" w:hAnsi="Arial"/>
                <w:sz w:val="18"/>
                <w:szCs w:val="18"/>
                <w:color w:val="auto"/>
              </w:rPr>
              <w:t>500,000</w:t>
            </w:r>
          </w:p>
        </w:tc>
        <w:tc>
          <w:tcPr>
            <w:tcW w:w="1640" w:type="dxa"/>
            <w:vAlign w:val="bottom"/>
            <w:gridSpan w:val="2"/>
            <w:shd w:val="clear" w:color="auto" w:fill="EEEEEE"/>
          </w:tcPr>
          <w:p>
            <w:pPr>
              <w:jc w:val="right"/>
              <w:ind w:right="448"/>
              <w:spacing w:after="0"/>
              <w:rPr>
                <w:sz w:val="20"/>
                <w:szCs w:val="20"/>
                <w:color w:val="auto"/>
              </w:rPr>
            </w:pPr>
            <w:r>
              <w:rPr>
                <w:rFonts w:ascii="Arial" w:cs="Arial" w:eastAsia="Arial" w:hAnsi="Arial"/>
                <w:sz w:val="18"/>
                <w:szCs w:val="18"/>
                <w:color w:val="auto"/>
              </w:rPr>
              <w:t>$18.58</w:t>
            </w:r>
          </w:p>
        </w:tc>
        <w:tc>
          <w:tcPr>
            <w:tcW w:w="2280" w:type="dxa"/>
            <w:vAlign w:val="bottom"/>
            <w:gridSpan w:val="2"/>
            <w:shd w:val="clear" w:color="auto" w:fill="EEEEEE"/>
          </w:tcPr>
          <w:p>
            <w:pPr>
              <w:jc w:val="right"/>
              <w:ind w:right="568"/>
              <w:spacing w:after="0"/>
              <w:rPr>
                <w:sz w:val="20"/>
                <w:szCs w:val="20"/>
                <w:color w:val="auto"/>
              </w:rPr>
            </w:pPr>
            <w:r>
              <w:rPr>
                <w:rFonts w:ascii="Arial" w:cs="Arial" w:eastAsia="Arial" w:hAnsi="Arial"/>
                <w:sz w:val="18"/>
                <w:szCs w:val="18"/>
                <w:color w:val="auto"/>
              </w:rPr>
              <w:t>250,000</w:t>
            </w:r>
          </w:p>
        </w:tc>
        <w:tc>
          <w:tcPr>
            <w:tcW w:w="1600" w:type="dxa"/>
            <w:vAlign w:val="bottom"/>
            <w:gridSpan w:val="2"/>
            <w:shd w:val="clear" w:color="auto" w:fill="EEEEEE"/>
          </w:tcPr>
          <w:p>
            <w:pPr>
              <w:jc w:val="right"/>
              <w:ind w:right="428"/>
              <w:spacing w:after="0"/>
              <w:rPr>
                <w:sz w:val="20"/>
                <w:szCs w:val="20"/>
                <w:color w:val="auto"/>
              </w:rPr>
            </w:pPr>
            <w:r>
              <w:rPr>
                <w:rFonts w:ascii="Arial" w:cs="Arial" w:eastAsia="Arial" w:hAnsi="Arial"/>
                <w:sz w:val="18"/>
                <w:szCs w:val="18"/>
                <w:color w:val="auto"/>
              </w:rPr>
              <w:t>$26.53</w:t>
            </w:r>
          </w:p>
        </w:tc>
        <w:tc>
          <w:tcPr>
            <w:tcW w:w="0" w:type="dxa"/>
            <w:vAlign w:val="bottom"/>
          </w:tcPr>
          <w:p>
            <w:pPr>
              <w:spacing w:after="0"/>
              <w:rPr>
                <w:sz w:val="1"/>
                <w:szCs w:val="1"/>
                <w:color w:val="auto"/>
              </w:rPr>
            </w:pPr>
          </w:p>
        </w:tc>
      </w:tr>
      <w:tr>
        <w:trPr>
          <w:trHeight w:val="390"/>
        </w:trPr>
        <w:tc>
          <w:tcPr>
            <w:tcW w:w="20" w:type="dxa"/>
            <w:vAlign w:val="bottom"/>
          </w:tcPr>
          <w:p>
            <w:pPr>
              <w:spacing w:after="0"/>
              <w:rPr>
                <w:sz w:val="24"/>
                <w:szCs w:val="24"/>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George D. Yancopoulos, M.D., Ph.D.</w:t>
            </w:r>
            <w:r>
              <w:rPr>
                <w:rFonts w:ascii="Arial" w:cs="Arial" w:eastAsia="Arial" w:hAnsi="Arial"/>
                <w:sz w:val="30"/>
                <w:szCs w:val="30"/>
                <w:color w:val="auto"/>
                <w:vertAlign w:val="superscript"/>
              </w:rPr>
              <w:t>(1)</w:t>
            </w:r>
          </w:p>
        </w:tc>
        <w:tc>
          <w:tcPr>
            <w:tcW w:w="2280" w:type="dxa"/>
            <w:vAlign w:val="bottom"/>
            <w:gridSpan w:val="2"/>
          </w:tcPr>
          <w:p>
            <w:pPr>
              <w:jc w:val="right"/>
              <w:ind w:right="568"/>
              <w:spacing w:after="0"/>
              <w:rPr>
                <w:sz w:val="20"/>
                <w:szCs w:val="20"/>
                <w:color w:val="auto"/>
              </w:rPr>
            </w:pPr>
            <w:r>
              <w:rPr>
                <w:rFonts w:ascii="Arial" w:cs="Arial" w:eastAsia="Arial" w:hAnsi="Arial"/>
                <w:sz w:val="18"/>
                <w:szCs w:val="18"/>
                <w:color w:val="auto"/>
              </w:rPr>
              <w:t>1,955,000</w:t>
            </w:r>
          </w:p>
        </w:tc>
        <w:tc>
          <w:tcPr>
            <w:tcW w:w="1640" w:type="dxa"/>
            <w:vAlign w:val="bottom"/>
            <w:gridSpan w:val="2"/>
          </w:tcPr>
          <w:p>
            <w:pPr>
              <w:jc w:val="right"/>
              <w:ind w:right="448"/>
              <w:spacing w:after="0"/>
              <w:rPr>
                <w:sz w:val="20"/>
                <w:szCs w:val="20"/>
                <w:color w:val="auto"/>
              </w:rPr>
            </w:pPr>
            <w:r>
              <w:rPr>
                <w:rFonts w:ascii="Arial" w:cs="Arial" w:eastAsia="Arial" w:hAnsi="Arial"/>
                <w:sz w:val="18"/>
                <w:szCs w:val="18"/>
                <w:color w:val="auto"/>
              </w:rPr>
              <w:t>$26.33</w:t>
            </w:r>
          </w:p>
        </w:tc>
        <w:tc>
          <w:tcPr>
            <w:tcW w:w="2280" w:type="dxa"/>
            <w:vAlign w:val="bottom"/>
            <w:gridSpan w:val="2"/>
          </w:tcPr>
          <w:p>
            <w:pPr>
              <w:jc w:val="right"/>
              <w:ind w:right="568"/>
              <w:spacing w:after="0"/>
              <w:rPr>
                <w:sz w:val="20"/>
                <w:szCs w:val="20"/>
                <w:color w:val="auto"/>
              </w:rPr>
            </w:pPr>
            <w:r>
              <w:rPr>
                <w:rFonts w:ascii="Arial" w:cs="Arial" w:eastAsia="Arial" w:hAnsi="Arial"/>
                <w:sz w:val="18"/>
                <w:szCs w:val="18"/>
                <w:color w:val="auto"/>
              </w:rPr>
              <w:t>1,400,000</w:t>
            </w:r>
          </w:p>
        </w:tc>
        <w:tc>
          <w:tcPr>
            <w:tcW w:w="1600" w:type="dxa"/>
            <w:vAlign w:val="bottom"/>
            <w:gridSpan w:val="2"/>
          </w:tcPr>
          <w:p>
            <w:pPr>
              <w:jc w:val="right"/>
              <w:ind w:right="428"/>
              <w:spacing w:after="0"/>
              <w:rPr>
                <w:sz w:val="20"/>
                <w:szCs w:val="20"/>
                <w:color w:val="auto"/>
              </w:rPr>
            </w:pPr>
            <w:r>
              <w:rPr>
                <w:rFonts w:ascii="Arial" w:cs="Arial" w:eastAsia="Arial" w:hAnsi="Arial"/>
                <w:sz w:val="18"/>
                <w:szCs w:val="18"/>
                <w:color w:val="auto"/>
              </w:rPr>
              <w:t>$32.58</w:t>
            </w: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300" w:right="440" w:hanging="291"/>
        <w:spacing w:after="0" w:line="194" w:lineRule="auto"/>
        <w:tabs>
          <w:tab w:leader="none" w:pos="300" w:val="left"/>
        </w:tabs>
        <w:numPr>
          <w:ilvl w:val="0"/>
          <w:numId w:val="39"/>
        </w:numPr>
        <w:rPr>
          <w:rFonts w:ascii="Arial" w:cs="Arial" w:eastAsia="Arial" w:hAnsi="Arial"/>
          <w:sz w:val="30"/>
          <w:szCs w:val="30"/>
          <w:color w:val="auto"/>
          <w:vertAlign w:val="superscript"/>
        </w:rPr>
      </w:pPr>
      <w:r>
        <w:rPr>
          <w:rFonts w:ascii="Arial" w:cs="Arial" w:eastAsia="Arial" w:hAnsi="Arial"/>
          <w:sz w:val="18"/>
          <w:szCs w:val="18"/>
          <w:color w:val="auto"/>
        </w:rPr>
        <w:t>As noted below, replacement options granted to these individuals, if any, will be nonqualified stock options and will differ from replacement options granted to other employees with respect to their vesting terms.</w:t>
      </w:r>
    </w:p>
    <w:p>
      <w:pPr>
        <w:spacing w:after="0" w:line="202" w:lineRule="exact"/>
        <w:rPr>
          <w:sz w:val="20"/>
          <w:szCs w:val="20"/>
          <w:color w:val="auto"/>
        </w:rPr>
      </w:pPr>
    </w:p>
    <w:p>
      <w:pPr>
        <w:ind w:right="20" w:firstLine="447"/>
        <w:spacing w:after="0" w:line="255" w:lineRule="auto"/>
        <w:rPr>
          <w:sz w:val="20"/>
          <w:szCs w:val="20"/>
          <w:color w:val="auto"/>
        </w:rPr>
      </w:pPr>
      <w:r>
        <w:rPr>
          <w:rFonts w:ascii="Arial" w:cs="Arial" w:eastAsia="Arial" w:hAnsi="Arial"/>
          <w:sz w:val="18"/>
          <w:szCs w:val="18"/>
          <w:color w:val="auto"/>
        </w:rPr>
        <w:t>The terms of replacement options that will be granted to our executive vice president and our senior vice presidents in exchange for any eligible options tendered by them and accepted by us pursuant to the Offer will have identical terms as replacement options granted to other eligible optionholders in exchange for eligible options tendered by them and accepted by us pursuant to the Offer, except that replacement options to be granted to these members of senior management, if any, will not constitute incentive stock options and will contain a different vesting schedule as described in Section 8 – “Source and Amount of Consideration; Terms of Replacement Options – Terms of Replacement Options.” We believe that establishing the performance vesting criterion for replacement options granted to our executive vice president and senior vice presidents will serve as an important additional incentive to create shareholder value.</w:t>
      </w:r>
    </w:p>
    <w:p>
      <w:pPr>
        <w:spacing w:after="0" w:line="149" w:lineRule="exact"/>
        <w:rPr>
          <w:sz w:val="20"/>
          <w:szCs w:val="20"/>
          <w:color w:val="auto"/>
        </w:rPr>
      </w:pPr>
    </w:p>
    <w:p>
      <w:pPr>
        <w:ind w:right="60" w:firstLine="450"/>
        <w:spacing w:after="0" w:line="264" w:lineRule="auto"/>
        <w:rPr>
          <w:sz w:val="20"/>
          <w:szCs w:val="20"/>
          <w:color w:val="auto"/>
        </w:rPr>
      </w:pPr>
      <w:r>
        <w:rPr>
          <w:rFonts w:ascii="Arial" w:cs="Arial" w:eastAsia="Arial" w:hAnsi="Arial"/>
          <w:sz w:val="18"/>
          <w:szCs w:val="18"/>
          <w:color w:val="auto"/>
        </w:rPr>
        <w:t>In the 60 days prior to and including December 3, 2004, our directors and executive officers of Regeneron had no transactions related to the purchase and sale of our Common Stock other than the exercise and sale in October 2004 by Dr. Rupp, our Senior Vice President, Manufacturing and Process Sciences of 50,000 stock options previously granted to Dr. Rupp that were due to expire on October 17, 2004.</w:t>
      </w:r>
    </w:p>
    <w:p>
      <w:pPr>
        <w:spacing w:after="0" w:line="141" w:lineRule="exact"/>
        <w:rPr>
          <w:sz w:val="20"/>
          <w:szCs w:val="20"/>
          <w:color w:val="auto"/>
        </w:rPr>
      </w:pPr>
    </w:p>
    <w:p>
      <w:pPr>
        <w:ind w:right="40" w:firstLine="450"/>
        <w:spacing w:after="0" w:line="297" w:lineRule="auto"/>
        <w:rPr>
          <w:sz w:val="20"/>
          <w:szCs w:val="20"/>
          <w:color w:val="auto"/>
        </w:rPr>
      </w:pPr>
      <w:r>
        <w:rPr>
          <w:rFonts w:ascii="Arial" w:cs="Arial" w:eastAsia="Arial" w:hAnsi="Arial"/>
          <w:sz w:val="16"/>
          <w:szCs w:val="16"/>
          <w:color w:val="auto"/>
        </w:rPr>
        <w:t>Except as otherwise described above and grants of stock options to employees who are not directors or executive officers, there have been no transactions in our Common Stock or in options to purchase our Common Stock that were effected during the past 60 days by us or, to our knowledge, by any director, executive officer, or affiliate of Regeneron. In addition, except as otherwise described above and other than restricted stock awards and outstanding options to purchase Common Stock granted from time to time to certain of our employees (including executive officers) and non-employee directors pursuant to the Stock Incentive Plans, neither we nor any person controlling us nor, to our knowledge, any of our directors or executive officers, is a party to any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6" w:name="page57"/>
    <w:bookmarkEnd w:id="56"/>
    <w:p>
      <w:pPr>
        <w:ind w:right="240"/>
        <w:spacing w:after="0" w:line="293" w:lineRule="auto"/>
        <w:rPr>
          <w:sz w:val="20"/>
          <w:szCs w:val="20"/>
          <w:color w:val="auto"/>
        </w:rPr>
      </w:pPr>
      <w:r>
        <w:rPr>
          <w:rFonts w:ascii="Arial" w:cs="Arial" w:eastAsia="Arial" w:hAnsi="Arial"/>
          <w:sz w:val="16"/>
          <w:szCs w:val="16"/>
          <w:color w:val="auto"/>
        </w:rPr>
        <w:t>contract, arrangement, understanding or relationship with any other person relating, directly or indirectly, to the Offer with respect to any of our securities (including, but not limited to, any contract, arrangement, understanding or relationship concerning the transfer or the voting of any such securities, joint ventures, loan or option arrangements, puts or calls, guarantees of loans, guarantees against loss or the giving or withholding of proxies, consents or authorizations). In addition, while our non-executive directors and our president and chief executive officer are not eligible to participate in the Option Exchange Program, we expect that these individuals and many employees eligible to participate in the Option Exchange Program will, consistent with the Company’s past practice, receive annual stock option grants in December 2004 or, in the case of our non-executive directors, in January 2005.</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STATUS OF OPTIONS TENDERED IN THE OFFER; ACCOUNTING CONSEQUENCES OF THE OFFER.</w:t>
      </w:r>
    </w:p>
    <w:p>
      <w:pPr>
        <w:spacing w:after="0" w:line="189" w:lineRule="exact"/>
        <w:rPr>
          <w:sz w:val="20"/>
          <w:szCs w:val="20"/>
          <w:color w:val="auto"/>
        </w:rPr>
      </w:pPr>
    </w:p>
    <w:p>
      <w:pPr>
        <w:ind w:firstLine="450"/>
        <w:spacing w:after="0" w:line="279" w:lineRule="auto"/>
        <w:rPr>
          <w:sz w:val="20"/>
          <w:szCs w:val="20"/>
          <w:color w:val="auto"/>
        </w:rPr>
      </w:pPr>
      <w:r>
        <w:rPr>
          <w:rFonts w:ascii="Arial" w:cs="Arial" w:eastAsia="Arial" w:hAnsi="Arial"/>
          <w:sz w:val="17"/>
          <w:szCs w:val="17"/>
          <w:color w:val="auto"/>
        </w:rPr>
        <w:t>Options tendered for exchange and accepted by us pursuant to the Offer will be canceled and the shares of Common Stock subject to those options will be returned to the pool of shares available for grants under the 2000 Plan. Once your options have been canceled, you will no longer have any rights under those options. To the extent such shares are not fully reserved for issuance in connection with the replacement options to be granted in connection with the Offer, the shares will be available for future awards to employees and other eligible participants under the 2000 Plan.</w:t>
      </w:r>
    </w:p>
    <w:p>
      <w:pPr>
        <w:spacing w:after="0" w:line="131" w:lineRule="exact"/>
        <w:rPr>
          <w:sz w:val="20"/>
          <w:szCs w:val="20"/>
          <w:color w:val="auto"/>
        </w:rPr>
      </w:pPr>
    </w:p>
    <w:p>
      <w:pPr>
        <w:ind w:firstLine="450"/>
        <w:spacing w:after="0" w:line="286" w:lineRule="auto"/>
        <w:rPr>
          <w:sz w:val="20"/>
          <w:szCs w:val="20"/>
          <w:color w:val="auto"/>
        </w:rPr>
      </w:pPr>
      <w:r>
        <w:rPr>
          <w:rFonts w:ascii="Arial" w:cs="Arial" w:eastAsia="Arial" w:hAnsi="Arial"/>
          <w:sz w:val="16"/>
          <w:szCs w:val="16"/>
          <w:color w:val="auto"/>
        </w:rPr>
        <w:t xml:space="preserve">In connection with the Offer, the Company intends to adopt, effective January 1, 2005, the fair value based method of accounting for stock-based employee compensation under the provisions of Statement of Financial Accounting Standards No. 123, </w:t>
      </w:r>
      <w:r>
        <w:rPr>
          <w:rFonts w:ascii="Arial" w:cs="Arial" w:eastAsia="Arial" w:hAnsi="Arial"/>
          <w:sz w:val="16"/>
          <w:szCs w:val="16"/>
          <w:i w:val="1"/>
          <w:iCs w:val="1"/>
          <w:color w:val="auto"/>
        </w:rPr>
        <w:t>Accounting for Stock-Based Compensation</w:t>
      </w:r>
      <w:r>
        <w:rPr>
          <w:rFonts w:ascii="Arial" w:cs="Arial" w:eastAsia="Arial" w:hAnsi="Arial"/>
          <w:sz w:val="16"/>
          <w:szCs w:val="16"/>
          <w:color w:val="auto"/>
        </w:rPr>
        <w:t xml:space="preserve"> (“SFAS No. 123”), as modified by Statement of Financial Accounting Standards No. 148, </w:t>
      </w:r>
      <w:r>
        <w:rPr>
          <w:rFonts w:ascii="Arial" w:cs="Arial" w:eastAsia="Arial" w:hAnsi="Arial"/>
          <w:sz w:val="16"/>
          <w:szCs w:val="16"/>
          <w:i w:val="1"/>
          <w:iCs w:val="1"/>
          <w:color w:val="auto"/>
        </w:rPr>
        <w:t>Accounting for Stock Based Compensation — Transition and Disclosure</w:t>
      </w:r>
      <w:r>
        <w:rPr>
          <w:rFonts w:ascii="Arial" w:cs="Arial" w:eastAsia="Arial" w:hAnsi="Arial"/>
          <w:sz w:val="16"/>
          <w:szCs w:val="16"/>
          <w:color w:val="auto"/>
        </w:rPr>
        <w:t xml:space="preserve"> (“SFAS No. 148”), using the modified prospective method. In accordance with SFAS Nos. 123/148, upon the grant of a replacement option pursuant to the Offer, the Company will incur compensation cost that will be recognized over the vesting period of the replacement option. The compensation cost will equal the sum of (i) the unamortized fair value of the tendered options on the date of the exchange and (ii) the incremental value of the replacement option measured as the difference between (a) the fair value of the replacement option on the date of the exchange and (b) the fair value of the tendered options immediately prior to the exchange. Due to a number of factors, including but not limited to our inability to predict how many optionholders will exchange their options, which options will be exchanged, the vesting date of any replacement option granted to our executive vice president and senior vice presidents, or what the future market price of our Common Stock will be on the date of the grant of the replacement option or thereafter, we cannot predict the precise compensation cost that will be recorded by the Company as a result of the Offer. Assuming, solely as an example, that all eligible options are exchanged and replacement options are granted at an exercise price equal to the fair market value (as calculated in accordance with the 2000 Plan) of the Company’s Common Stock as of November 3, 2004 and that replacement options granted to our executive vice president and senior vice presidents will ordinarily vest four years from the date of grant, under SFAS Nos. 123/148 the Company would</w:t>
      </w:r>
    </w:p>
    <w:p>
      <w:pPr>
        <w:spacing w:after="0" w:line="14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57" w:name="page58"/>
    <w:bookmarkEnd w:id="57"/>
    <w:p>
      <w:pPr>
        <w:ind w:right="240"/>
        <w:spacing w:after="0" w:line="264" w:lineRule="auto"/>
        <w:rPr>
          <w:sz w:val="20"/>
          <w:szCs w:val="20"/>
          <w:color w:val="auto"/>
        </w:rPr>
      </w:pPr>
      <w:r>
        <w:rPr>
          <w:rFonts w:ascii="Arial" w:cs="Arial" w:eastAsia="Arial" w:hAnsi="Arial"/>
          <w:sz w:val="18"/>
          <w:szCs w:val="18"/>
          <w:color w:val="auto"/>
        </w:rPr>
        <w:t>incur compensation cost totaling approximately $13 million related to the Offer, which would be recognized as an expense over the vesting period of the replacement options. We would begin recognizing this compensation cost in the first quarter of 2005 in each of the categories of expense in the Company’s Statement of Operations.</w:t>
      </w:r>
    </w:p>
    <w:p>
      <w:pPr>
        <w:spacing w:after="0" w:line="154" w:lineRule="exact"/>
        <w:rPr>
          <w:sz w:val="20"/>
          <w:szCs w:val="20"/>
          <w:color w:val="auto"/>
        </w:rPr>
      </w:pPr>
    </w:p>
    <w:p>
      <w:pPr>
        <w:ind w:right="180" w:firstLine="447"/>
        <w:spacing w:after="0" w:line="257" w:lineRule="auto"/>
        <w:rPr>
          <w:sz w:val="20"/>
          <w:szCs w:val="20"/>
          <w:color w:val="auto"/>
        </w:rPr>
      </w:pPr>
      <w:r>
        <w:rPr>
          <w:rFonts w:ascii="Arial" w:cs="Arial" w:eastAsia="Arial" w:hAnsi="Arial"/>
          <w:sz w:val="18"/>
          <w:szCs w:val="18"/>
          <w:color w:val="auto"/>
        </w:rPr>
        <w:t>The adoption of SFAS Nos. 123/148 using the modified prospective method does not require restatement of prior period data. The financial statement impact of SFAS No. 123 has been presented by the Company in footnote disclosures in prior filings on Forms 10-K and 10-Q with the SEC. In addition, the Financial Accounting Standards Boards (“FASB”) has proposed to modify SFAS No. 123, and issuance of the final standard is expected by the end of 2004. Therefore, the Company may be required to adopt the FASB modification of SFAS No. 123 effective January 1, 2005 which could change the Company’s compensation cost related to the Offer calculated as described above.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 LEGAL MATTERS; REGULATORY APPROVALS.</w:t>
      </w:r>
    </w:p>
    <w:p>
      <w:pPr>
        <w:spacing w:after="0" w:line="189" w:lineRule="exact"/>
        <w:rPr>
          <w:sz w:val="20"/>
          <w:szCs w:val="20"/>
          <w:color w:val="auto"/>
        </w:rPr>
      </w:pPr>
    </w:p>
    <w:p>
      <w:pPr>
        <w:ind w:firstLine="447"/>
        <w:spacing w:after="0" w:line="253" w:lineRule="auto"/>
        <w:rPr>
          <w:sz w:val="20"/>
          <w:szCs w:val="20"/>
          <w:color w:val="auto"/>
        </w:rPr>
      </w:pPr>
      <w:r>
        <w:rPr>
          <w:rFonts w:ascii="Arial" w:cs="Arial" w:eastAsia="Arial" w:hAnsi="Arial"/>
          <w:sz w:val="18"/>
          <w:szCs w:val="18"/>
          <w:color w:val="auto"/>
        </w:rPr>
        <w:t>We are not aware of any license or regulatory permit that appears to be material to our business that might be adversely affected by the cancellation of options and grant of replacement options as contemplated by the Offer, or of any approval or other action by any government or governmental, administrative or regulatory authority or agency, domestic or foreign, that would be required for the acquisition or ownership of our replacement options as contemplated herein. Should any such approval or other action be required, we presently contemplate that we will seek such approval or take such other action. We are unable to predict whether we may determine that we are required to delay the acceptance of options for exchange pending the outcome of any such matter. We cannot assure you that any such approval or other action, if needed, would be obtained or would be obtained without substantial conditions or that the failure to obtain any such approval or other action might not result in adverse consequences to our business. Our obligation under the Offer to accept tendered options for exchange and to grant replacement options for tendered options is subject to conditions, including the conditions described in Section 6 – “Conditions of the Offer.”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 CERTAIN FEDERAL INCOME TAX CONSEQUENCES.</w:t>
      </w:r>
    </w:p>
    <w:p>
      <w:pPr>
        <w:spacing w:after="0" w:line="189" w:lineRule="exact"/>
        <w:rPr>
          <w:sz w:val="20"/>
          <w:szCs w:val="20"/>
          <w:color w:val="auto"/>
        </w:rPr>
      </w:pPr>
    </w:p>
    <w:p>
      <w:pPr>
        <w:ind w:right="120" w:firstLine="447"/>
        <w:spacing w:after="0" w:line="255" w:lineRule="auto"/>
        <w:rPr>
          <w:sz w:val="20"/>
          <w:szCs w:val="20"/>
          <w:color w:val="auto"/>
        </w:rPr>
      </w:pPr>
      <w:r>
        <w:rPr>
          <w:rFonts w:ascii="Arial" w:cs="Arial" w:eastAsia="Arial" w:hAnsi="Arial"/>
          <w:sz w:val="18"/>
          <w:szCs w:val="18"/>
          <w:color w:val="auto"/>
        </w:rPr>
        <w:t>The exchange of options pursuant to the Offer should be treated as a non-taxable exchange and the Company and the Company’s shareholders and employees should recognize no income for U.S. federal income tax purposes upon the tender of eligible options and the grant of replacement options. Due to certain limitations on the extent to which options which become exercisable in a given calendar year may be treated as incentive stock options, certain incentive stock options that are tendered in the Offer may be exchanged for nonqualified stock options. To the extent that this occurs, the Company may be entitled to a tax deduction upon the exercise of the nonqualified stock options issued as replacement options which would not have been available to it to the extent the replacement option was an incentive stock option. In addition, all replacement options granted to our executive vice president and senior vice presidents will be nonqualified stock options.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8" w:name="page59"/>
    <w:bookmarkEnd w:id="58"/>
    <w:p>
      <w:pPr>
        <w:ind w:right="220" w:firstLine="440"/>
        <w:spacing w:after="0" w:line="259" w:lineRule="auto"/>
        <w:rPr>
          <w:sz w:val="20"/>
          <w:szCs w:val="20"/>
          <w:color w:val="auto"/>
        </w:rPr>
      </w:pPr>
      <w:r>
        <w:rPr>
          <w:rFonts w:ascii="Arial" w:cs="Arial" w:eastAsia="Arial" w:hAnsi="Arial"/>
          <w:sz w:val="18"/>
          <w:szCs w:val="18"/>
          <w:color w:val="auto"/>
        </w:rPr>
        <w:t>An optionholder who, due to such limitations, receives nonqualified stock options in replacement of incentive stock options will, with respect to such nonqualified stock options, not be eligible for the favorable tax treatment that is available to incentive stock options. That favorable tax treatment consists generally of the ability to exercise the option without an immediate tax liability for the optionee and the ability to receive capital gains tax treatment upon disposition of the underlying shares under certain circumstances.</w:t>
      </w:r>
    </w:p>
    <w:p>
      <w:pPr>
        <w:spacing w:after="0" w:line="160"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 xml:space="preserve">Additional tax information with respect to the replacement options granted under the 2000 Plan, is provided in the summary plan description in Section 8 – “Source and Amount of Consideration; Terms of Replacement Options – Description of the Material Terms of the 2000 Plan.” This information is a brief summary only and reference is made to the Internal Revenue Code of 1986, as amended, and the regulations and interpretations issued thereunder, for a complete statement of all relevant federal tax consequences. </w:t>
      </w:r>
      <w:r>
        <w:rPr>
          <w:rFonts w:ascii="Arial" w:cs="Arial" w:eastAsia="Arial" w:hAnsi="Arial"/>
          <w:sz w:val="18"/>
          <w:szCs w:val="18"/>
          <w:b w:val="1"/>
          <w:bCs w:val="1"/>
          <w:color w:val="auto"/>
        </w:rPr>
        <w:t>We recommend that you consult your own tax advisor with respect to the country, state</w:t>
      </w:r>
      <w:r>
        <w:rPr>
          <w:rFonts w:ascii="Arial" w:cs="Arial" w:eastAsia="Arial" w:hAnsi="Arial"/>
          <w:sz w:val="18"/>
          <w:szCs w:val="18"/>
          <w:color w:val="auto"/>
        </w:rPr>
        <w:t xml:space="preserve"> </w:t>
      </w:r>
      <w:r>
        <w:rPr>
          <w:rFonts w:ascii="Arial" w:cs="Arial" w:eastAsia="Arial" w:hAnsi="Arial"/>
          <w:sz w:val="18"/>
          <w:szCs w:val="18"/>
          <w:b w:val="1"/>
          <w:bCs w:val="1"/>
          <w:color w:val="auto"/>
        </w:rPr>
        <w:t>and local tax consequences of participating in the Offer.</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 EXTENSION OF OFFER; TERMINATION; AMENDMENT.</w:t>
      </w:r>
    </w:p>
    <w:p>
      <w:pPr>
        <w:spacing w:after="0" w:line="189" w:lineRule="exact"/>
        <w:rPr>
          <w:sz w:val="20"/>
          <w:szCs w:val="20"/>
          <w:color w:val="auto"/>
        </w:rPr>
      </w:pPr>
    </w:p>
    <w:p>
      <w:pPr>
        <w:ind w:right="120" w:firstLine="447"/>
        <w:spacing w:after="0" w:line="259" w:lineRule="auto"/>
        <w:rPr>
          <w:sz w:val="20"/>
          <w:szCs w:val="20"/>
          <w:color w:val="auto"/>
        </w:rPr>
      </w:pPr>
      <w:r>
        <w:rPr>
          <w:rFonts w:ascii="Arial" w:cs="Arial" w:eastAsia="Arial" w:hAnsi="Arial"/>
          <w:sz w:val="18"/>
          <w:szCs w:val="18"/>
          <w:color w:val="auto"/>
        </w:rPr>
        <w:t>We may, from time to time, extend the period of time during which the Offer is open and delay accepting any options tendered to us by disseminating notice of the extension to optionholders by public announcement, oral or written notice or otherwise as permitted by Rule 13e-4(e)(3) under the Exchange Act, as amended. If the Offer is extended, we will provide appropriate notice of the extension no later than 9:00 a.m., Eastern Time, on the next business day following the previously scheduled Expiration Date.</w:t>
      </w:r>
    </w:p>
    <w:p>
      <w:pPr>
        <w:spacing w:after="0" w:line="160" w:lineRule="exact"/>
        <w:rPr>
          <w:sz w:val="20"/>
          <w:szCs w:val="20"/>
          <w:color w:val="auto"/>
        </w:rPr>
      </w:pPr>
    </w:p>
    <w:p>
      <w:pPr>
        <w:ind w:right="20" w:firstLine="447"/>
        <w:spacing w:after="0" w:line="286" w:lineRule="auto"/>
        <w:rPr>
          <w:sz w:val="20"/>
          <w:szCs w:val="20"/>
          <w:color w:val="auto"/>
        </w:rPr>
      </w:pPr>
      <w:r>
        <w:rPr>
          <w:rFonts w:ascii="Arial" w:cs="Arial" w:eastAsia="Arial" w:hAnsi="Arial"/>
          <w:sz w:val="16"/>
          <w:szCs w:val="16"/>
          <w:color w:val="auto"/>
        </w:rPr>
        <w:t>We also expressly reserve the right, in our reasonable judgment, prior to the Expiration Date, to terminate or amend the Offer and to postpone our acceptance and cancellation of any options tendered for exchange upon the occurrence of any of the conditions specified in Section 6 – “Conditions of the Offer,” by disseminating notice of the termination or postponement to the optionholders by public announcement, oral or written notice or otherwise as permitted by applicable law. Our reservation of the right to delay our acceptance and cancellation of options tendered for exchange is limited by Rule 13e-4(f)</w:t>
      </w:r>
    </w:p>
    <w:p>
      <w:pPr>
        <w:spacing w:after="0" w:line="2" w:lineRule="exact"/>
        <w:rPr>
          <w:sz w:val="20"/>
          <w:szCs w:val="20"/>
          <w:color w:val="auto"/>
        </w:rPr>
      </w:pPr>
    </w:p>
    <w:p>
      <w:pPr>
        <w:ind w:right="20" w:firstLine="8"/>
        <w:spacing w:after="0" w:line="261" w:lineRule="auto"/>
        <w:tabs>
          <w:tab w:leader="none" w:pos="2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promulgated under the Exchange Act, as amended, which requires that we must pay the consideration offered or return the options tendered promptly after termination or withdrawal of a tender offer.</w:t>
      </w:r>
    </w:p>
    <w:p>
      <w:pPr>
        <w:spacing w:after="0" w:line="143" w:lineRule="exact"/>
        <w:rPr>
          <w:sz w:val="20"/>
          <w:szCs w:val="20"/>
          <w:color w:val="auto"/>
        </w:rPr>
      </w:pPr>
    </w:p>
    <w:p>
      <w:pPr>
        <w:ind w:firstLine="450"/>
        <w:spacing w:after="0" w:line="279" w:lineRule="auto"/>
        <w:rPr>
          <w:sz w:val="20"/>
          <w:szCs w:val="20"/>
          <w:color w:val="auto"/>
        </w:rPr>
      </w:pPr>
      <w:r>
        <w:rPr>
          <w:rFonts w:ascii="Arial" w:cs="Arial" w:eastAsia="Arial" w:hAnsi="Arial"/>
          <w:sz w:val="17"/>
          <w:szCs w:val="17"/>
          <w:color w:val="auto"/>
        </w:rPr>
        <w:t>Subject to compliance with applicable law, we further reserve the right, in our discretion, and regardless of whether any event set forth in Section 6 – “Conditions of the Offer,” has occurred or is deemed by us to have occurred, to amend the Offer in any respect, including, without limitation, by decreasing or increasing the consideration offered in the Offer to optionholders or by increasing or decreasing the exercise price of options eligible to be tendered in the Offer. We will notify you of any such amendment and file with the SEC an amendment to the Schedule TO.</w:t>
      </w:r>
    </w:p>
    <w:p>
      <w:pPr>
        <w:spacing w:after="0" w:line="131"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Amendments to the Offer may be made at any time, and from time to time, by providing appropriate notice of the amendment. Any notice pursuant to the Offer will be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9" w:name="page60"/>
    <w:bookmarkEnd w:id="59"/>
    <w:p>
      <w:pPr>
        <w:spacing w:after="0" w:line="342" w:lineRule="auto"/>
        <w:rPr>
          <w:sz w:val="20"/>
          <w:szCs w:val="20"/>
          <w:color w:val="auto"/>
        </w:rPr>
      </w:pPr>
      <w:r>
        <w:rPr>
          <w:rFonts w:ascii="Arial" w:cs="Arial" w:eastAsia="Arial" w:hAnsi="Arial"/>
          <w:sz w:val="16"/>
          <w:szCs w:val="16"/>
          <w:color w:val="auto"/>
        </w:rPr>
        <w:t>disseminated promptly to optionholders in a manner reasonably designed to inform optionholders of such change. We have no obligation to publish, advertise or otherwise communicate any such public announcement except by making a press release or as otherwise required or permitted by applicable law.</w:t>
      </w:r>
    </w:p>
    <w:p>
      <w:pPr>
        <w:spacing w:after="0" w:line="97" w:lineRule="exact"/>
        <w:rPr>
          <w:sz w:val="20"/>
          <w:szCs w:val="20"/>
          <w:color w:val="auto"/>
        </w:rPr>
      </w:pPr>
    </w:p>
    <w:p>
      <w:pPr>
        <w:ind w:right="60" w:firstLine="450"/>
        <w:spacing w:after="0" w:line="257" w:lineRule="auto"/>
        <w:rPr>
          <w:sz w:val="20"/>
          <w:szCs w:val="20"/>
          <w:color w:val="auto"/>
        </w:rPr>
      </w:pPr>
      <w:r>
        <w:rPr>
          <w:rFonts w:ascii="Arial" w:cs="Arial" w:eastAsia="Arial" w:hAnsi="Arial"/>
          <w:sz w:val="18"/>
          <w:szCs w:val="18"/>
          <w:color w:val="auto"/>
        </w:rPr>
        <w:t>If we materially change the terms of the Offer or the information concerning the Offer, or if we waive a material condition of the Offer, we will extend the Offer to the extent required by Rules 13e-4(d)(2) and 13e-4(e)(3) under the Exchange Act. These rules require that the minimum period during which a tender or exchange offer must remain open following material changes in the terms of the offer or information concerning the offer, other than a change in price or a change in percentage of securities sought, will depend on the facts and circumstances, including the relative materiality of such terms or information.</w:t>
      </w:r>
    </w:p>
    <w:p>
      <w:pPr>
        <w:spacing w:after="0" w:line="148" w:lineRule="exact"/>
        <w:rPr>
          <w:sz w:val="20"/>
          <w:szCs w:val="20"/>
          <w:color w:val="auto"/>
        </w:rPr>
      </w:pPr>
    </w:p>
    <w:p>
      <w:pPr>
        <w:ind w:right="100" w:firstLine="450"/>
        <w:spacing w:after="0" w:line="277" w:lineRule="auto"/>
        <w:rPr>
          <w:sz w:val="20"/>
          <w:szCs w:val="20"/>
          <w:color w:val="auto"/>
        </w:rPr>
      </w:pPr>
      <w:r>
        <w:rPr>
          <w:rFonts w:ascii="Arial" w:cs="Arial" w:eastAsia="Arial" w:hAnsi="Arial"/>
          <w:sz w:val="18"/>
          <w:szCs w:val="18"/>
          <w:color w:val="auto"/>
        </w:rPr>
        <w:t>If we decide to take any of the following actions, we will publish notice or otherwise inform you in writing of such action and keep the Offer open for at least ten (10) business days after the date of such notification:</w:t>
      </w:r>
    </w:p>
    <w:p>
      <w:pPr>
        <w:spacing w:after="0" w:line="170" w:lineRule="exact"/>
        <w:rPr>
          <w:sz w:val="20"/>
          <w:szCs w:val="20"/>
          <w:color w:val="auto"/>
        </w:rPr>
      </w:pPr>
    </w:p>
    <w:p>
      <w:pPr>
        <w:ind w:left="1140" w:hanging="315"/>
        <w:spacing w:after="0"/>
        <w:tabs>
          <w:tab w:leader="none" w:pos="1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increase or decrease the amount of consideration offered for the eligible options;</w:t>
      </w:r>
    </w:p>
    <w:p>
      <w:pPr>
        <w:spacing w:after="0" w:line="225" w:lineRule="exact"/>
        <w:rPr>
          <w:rFonts w:ascii="Arial" w:cs="Arial" w:eastAsia="Arial" w:hAnsi="Arial"/>
          <w:sz w:val="18"/>
          <w:szCs w:val="18"/>
          <w:color w:val="auto"/>
        </w:rPr>
      </w:pPr>
    </w:p>
    <w:p>
      <w:pPr>
        <w:ind w:left="1140" w:hanging="315"/>
        <w:spacing w:after="0"/>
        <w:tabs>
          <w:tab w:leader="none" w:pos="1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decrease the number of options eligible to be tendered in the Offer; or</w:t>
      </w:r>
    </w:p>
    <w:p>
      <w:pPr>
        <w:spacing w:after="0" w:line="225" w:lineRule="exact"/>
        <w:rPr>
          <w:rFonts w:ascii="Arial" w:cs="Arial" w:eastAsia="Arial" w:hAnsi="Arial"/>
          <w:sz w:val="18"/>
          <w:szCs w:val="18"/>
          <w:color w:val="auto"/>
        </w:rPr>
      </w:pPr>
    </w:p>
    <w:p>
      <w:pPr>
        <w:ind w:left="1140" w:right="20" w:hanging="315"/>
        <w:spacing w:after="0" w:line="277" w:lineRule="auto"/>
        <w:tabs>
          <w:tab w:leader="none" w:pos="1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increase the number of options eligible to be tendered in the Offer by an amount that exceeds 2% of the shares of Common Stock issuable upon exercise of the options that are subject to the Offer immediately prior to the increase.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15. FEES AND EXPENSES.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not pay any fees or commissions to any broker, dealer or other person for soliciting tenders of options pursuant to the Offer.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 FORWARD-LOOKING STATEMENTS.</w:t>
      </w:r>
    </w:p>
    <w:p>
      <w:pPr>
        <w:spacing w:after="0" w:line="189" w:lineRule="exact"/>
        <w:rPr>
          <w:sz w:val="20"/>
          <w:szCs w:val="20"/>
          <w:color w:val="auto"/>
        </w:rPr>
      </w:pPr>
    </w:p>
    <w:p>
      <w:pPr>
        <w:ind w:right="200" w:firstLine="447"/>
        <w:spacing w:after="0" w:line="257" w:lineRule="auto"/>
        <w:rPr>
          <w:sz w:val="20"/>
          <w:szCs w:val="20"/>
          <w:color w:val="auto"/>
        </w:rPr>
      </w:pPr>
      <w:r>
        <w:rPr>
          <w:rFonts w:ascii="Arial" w:cs="Arial" w:eastAsia="Arial" w:hAnsi="Arial"/>
          <w:sz w:val="18"/>
          <w:szCs w:val="18"/>
          <w:color w:val="auto"/>
        </w:rPr>
        <w:t>This Offer to Exchange and the documents incorporated by reference herein include forward-looking statements. Some of the forward-looking statements can be identified by the use of forward-looking words including, but not limited to, “believes,” “expects,” “may,” “will,” “should,” “seeks,” “approximately,” “intends,” “plans,” “estimates,” or “anticipates” or the negative of those words or other comparable terminology. Forward-looking statements involve inherent risks and uncertainties. A number of important factors could cause actual results to differ materially from those in the forward-looking statements. These factors include, but are not limited to:</w:t>
      </w:r>
    </w:p>
    <w:p>
      <w:pPr>
        <w:spacing w:after="0" w:line="188" w:lineRule="exact"/>
        <w:rPr>
          <w:sz w:val="20"/>
          <w:szCs w:val="20"/>
          <w:color w:val="auto"/>
        </w:rPr>
      </w:pPr>
    </w:p>
    <w:p>
      <w:pPr>
        <w:ind w:left="800" w:hanging="177"/>
        <w:spacing w:after="0"/>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anticipated business strategies;</w:t>
      </w:r>
    </w:p>
    <w:p>
      <w:pPr>
        <w:spacing w:after="0" w:line="225" w:lineRule="exact"/>
        <w:rPr>
          <w:rFonts w:ascii="Arial" w:cs="Arial" w:eastAsia="Arial" w:hAnsi="Arial"/>
          <w:sz w:val="18"/>
          <w:szCs w:val="18"/>
          <w:color w:val="auto"/>
        </w:rPr>
      </w:pPr>
    </w:p>
    <w:p>
      <w:pPr>
        <w:ind w:left="800" w:hanging="177"/>
        <w:spacing w:after="0"/>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anticipated clinical trials;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60" w:name="page61"/>
    <w:bookmarkEnd w:id="60"/>
    <w:p>
      <w:pPr>
        <w:ind w:left="800" w:hanging="177"/>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conduct clinical trials and our ability to obtain regulatory approval for product candidates;</w:t>
      </w:r>
    </w:p>
    <w:p>
      <w:pPr>
        <w:spacing w:after="0" w:line="225" w:lineRule="exact"/>
        <w:rPr>
          <w:rFonts w:ascii="Arial" w:cs="Arial" w:eastAsia="Arial" w:hAnsi="Arial"/>
          <w:sz w:val="18"/>
          <w:szCs w:val="18"/>
          <w:color w:val="auto"/>
        </w:rPr>
      </w:pPr>
    </w:p>
    <w:p>
      <w:pPr>
        <w:ind w:left="800" w:hanging="177"/>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intention to introduce new product candidates;</w:t>
      </w:r>
    </w:p>
    <w:p>
      <w:pPr>
        <w:spacing w:after="0" w:line="225" w:lineRule="exact"/>
        <w:rPr>
          <w:rFonts w:ascii="Arial" w:cs="Arial" w:eastAsia="Arial" w:hAnsi="Arial"/>
          <w:sz w:val="18"/>
          <w:szCs w:val="18"/>
          <w:color w:val="auto"/>
        </w:rPr>
      </w:pPr>
    </w:p>
    <w:p>
      <w:pPr>
        <w:ind w:left="800" w:hanging="177"/>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relationships with collaborators;</w:t>
      </w:r>
    </w:p>
    <w:p>
      <w:pPr>
        <w:spacing w:after="0" w:line="225" w:lineRule="exact"/>
        <w:rPr>
          <w:rFonts w:ascii="Arial" w:cs="Arial" w:eastAsia="Arial" w:hAnsi="Arial"/>
          <w:sz w:val="18"/>
          <w:szCs w:val="18"/>
          <w:color w:val="auto"/>
        </w:rPr>
      </w:pPr>
    </w:p>
    <w:p>
      <w:pPr>
        <w:ind w:left="800" w:hanging="177"/>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anticipated trends in our businesses; and</w:t>
      </w:r>
    </w:p>
    <w:p>
      <w:pPr>
        <w:spacing w:after="0" w:line="225" w:lineRule="exact"/>
        <w:rPr>
          <w:rFonts w:ascii="Arial" w:cs="Arial" w:eastAsia="Arial" w:hAnsi="Arial"/>
          <w:sz w:val="18"/>
          <w:szCs w:val="18"/>
          <w:color w:val="auto"/>
        </w:rPr>
      </w:pPr>
    </w:p>
    <w:p>
      <w:pPr>
        <w:ind w:left="800" w:hanging="177"/>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future capital expenditures.</w:t>
      </w:r>
    </w:p>
    <w:p>
      <w:pPr>
        <w:spacing w:after="0" w:line="225" w:lineRule="exact"/>
        <w:rPr>
          <w:sz w:val="20"/>
          <w:szCs w:val="20"/>
          <w:color w:val="auto"/>
        </w:rPr>
      </w:pPr>
    </w:p>
    <w:p>
      <w:pPr>
        <w:ind w:right="60" w:firstLine="443"/>
        <w:spacing w:after="0" w:line="264" w:lineRule="auto"/>
        <w:rPr>
          <w:sz w:val="20"/>
          <w:szCs w:val="20"/>
          <w:color w:val="auto"/>
        </w:rPr>
      </w:pPr>
      <w:r>
        <w:rPr>
          <w:rFonts w:ascii="Arial" w:cs="Arial" w:eastAsia="Arial" w:hAnsi="Arial"/>
          <w:sz w:val="18"/>
          <w:szCs w:val="18"/>
          <w:color w:val="auto"/>
        </w:rPr>
        <w:t>You should not place undue reliance on any such forward-looking statements. Except to the extent required by federal securities laws, we do not intend to update forward-looking information or to release the results of any future revisions we may make to forward-looking statements to reflect events or circumstances after the date hereof or to reflect the occurrence of unanticipated events.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17. ADDITIONAL INFORMATION.</w:t>
      </w:r>
    </w:p>
    <w:p>
      <w:pPr>
        <w:spacing w:after="0" w:line="189" w:lineRule="exact"/>
        <w:rPr>
          <w:sz w:val="20"/>
          <w:szCs w:val="20"/>
          <w:color w:val="auto"/>
        </w:rPr>
      </w:pPr>
    </w:p>
    <w:p>
      <w:pPr>
        <w:ind w:firstLine="447"/>
        <w:spacing w:after="0" w:line="259" w:lineRule="auto"/>
        <w:rPr>
          <w:sz w:val="20"/>
          <w:szCs w:val="20"/>
          <w:color w:val="auto"/>
        </w:rPr>
      </w:pPr>
      <w:r>
        <w:rPr>
          <w:rFonts w:ascii="Arial" w:cs="Arial" w:eastAsia="Arial" w:hAnsi="Arial"/>
          <w:sz w:val="18"/>
          <w:szCs w:val="18"/>
          <w:color w:val="auto"/>
        </w:rPr>
        <w:t>We have filed with the SEC a Tender Offer Statement on Schedule TO, of which this Offer to Exchange is a part, with respect to the Offer. This Offer to Exchange does not contain all of the information contained in the Schedule TO and the exhibits to the Schedule TO. We recommend that you review the Schedule TO, including its exhibits, and the following materials which we have filed with the SEC, before making a decision on whether to tender your options:</w:t>
      </w:r>
    </w:p>
    <w:p>
      <w:pPr>
        <w:spacing w:after="0" w:line="187" w:lineRule="exact"/>
        <w:rPr>
          <w:sz w:val="20"/>
          <w:szCs w:val="20"/>
          <w:color w:val="auto"/>
        </w:rPr>
      </w:pPr>
    </w:p>
    <w:p>
      <w:pPr>
        <w:ind w:left="1140" w:hanging="315"/>
        <w:spacing w:after="0"/>
        <w:tabs>
          <w:tab w:leader="none" w:pos="11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2003, filed March 19, 2004;</w:t>
      </w:r>
    </w:p>
    <w:p>
      <w:pPr>
        <w:spacing w:after="0" w:line="225" w:lineRule="exact"/>
        <w:rPr>
          <w:rFonts w:ascii="Arial" w:cs="Arial" w:eastAsia="Arial" w:hAnsi="Arial"/>
          <w:sz w:val="18"/>
          <w:szCs w:val="18"/>
          <w:color w:val="auto"/>
        </w:rPr>
      </w:pPr>
    </w:p>
    <w:p>
      <w:pPr>
        <w:ind w:left="1140" w:right="400" w:hanging="315"/>
        <w:spacing w:after="0" w:line="277" w:lineRule="auto"/>
        <w:tabs>
          <w:tab w:leader="none" w:pos="11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Quarterly Reports on Form 10-Q for the quarters ended March 31, 2004, June 30, 2004, and September 30, 2004, filed May 6, 2004, August 5, 2004, and November 8, 2004, respectively;</w:t>
      </w:r>
    </w:p>
    <w:p>
      <w:pPr>
        <w:spacing w:after="0" w:line="170" w:lineRule="exact"/>
        <w:rPr>
          <w:rFonts w:ascii="Arial" w:cs="Arial" w:eastAsia="Arial" w:hAnsi="Arial"/>
          <w:sz w:val="18"/>
          <w:szCs w:val="18"/>
          <w:color w:val="auto"/>
        </w:rPr>
      </w:pPr>
    </w:p>
    <w:p>
      <w:pPr>
        <w:ind w:left="1140" w:hanging="315"/>
        <w:spacing w:after="0"/>
        <w:tabs>
          <w:tab w:leader="none" w:pos="11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Current Report on Form 8-K filed on November 17, 2004;</w:t>
      </w:r>
    </w:p>
    <w:p>
      <w:pPr>
        <w:spacing w:after="0" w:line="225" w:lineRule="exact"/>
        <w:rPr>
          <w:rFonts w:ascii="Arial" w:cs="Arial" w:eastAsia="Arial" w:hAnsi="Arial"/>
          <w:sz w:val="18"/>
          <w:szCs w:val="18"/>
          <w:color w:val="auto"/>
        </w:rPr>
      </w:pPr>
    </w:p>
    <w:p>
      <w:pPr>
        <w:ind w:left="1140" w:hanging="315"/>
        <w:spacing w:after="0"/>
        <w:tabs>
          <w:tab w:leader="none" w:pos="11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Our definitive proxy materials for our Special Meeting of Shareholders to be held on December 17, 2004, filed on November 29, 2004; and</w:t>
      </w:r>
    </w:p>
    <w:p>
      <w:pPr>
        <w:spacing w:after="0" w:line="248" w:lineRule="exact"/>
        <w:rPr>
          <w:rFonts w:ascii="Arial" w:cs="Arial" w:eastAsia="Arial" w:hAnsi="Arial"/>
          <w:sz w:val="16"/>
          <w:szCs w:val="16"/>
          <w:color w:val="auto"/>
        </w:rPr>
      </w:pPr>
    </w:p>
    <w:p>
      <w:pPr>
        <w:ind w:left="1140" w:hanging="315"/>
        <w:spacing w:after="0"/>
        <w:tabs>
          <w:tab w:leader="none" w:pos="11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Registration Statement on Form S-8 filed September 24, 2004.</w:t>
      </w:r>
    </w:p>
    <w:p>
      <w:pPr>
        <w:spacing w:after="0" w:line="225" w:lineRule="exact"/>
        <w:rPr>
          <w:sz w:val="20"/>
          <w:szCs w:val="20"/>
          <w:color w:val="auto"/>
        </w:rPr>
      </w:pPr>
    </w:p>
    <w:p>
      <w:pPr>
        <w:ind w:right="140" w:firstLine="447"/>
        <w:spacing w:after="0" w:line="342" w:lineRule="auto"/>
        <w:rPr>
          <w:sz w:val="20"/>
          <w:szCs w:val="20"/>
          <w:color w:val="auto"/>
        </w:rPr>
      </w:pPr>
      <w:r>
        <w:rPr>
          <w:rFonts w:ascii="Arial" w:cs="Arial" w:eastAsia="Arial" w:hAnsi="Arial"/>
          <w:sz w:val="16"/>
          <w:szCs w:val="16"/>
          <w:color w:val="auto"/>
        </w:rPr>
        <w:t>These filings, our other annual, quarterly and current reports, our proxy statements and our other Securities and Exchange Commission filings may be examined at the SEC’s Public Reference Room at 450 Fifth Street, N.W., Room 1024, Washington, D.C. 20549 or on the Internet at http://www.sec.gov.</w:t>
      </w:r>
    </w:p>
    <w:p>
      <w:pPr>
        <w:spacing w:after="0" w:line="83" w:lineRule="exact"/>
        <w:rPr>
          <w:sz w:val="20"/>
          <w:szCs w:val="20"/>
          <w:color w:val="auto"/>
        </w:rPr>
      </w:pPr>
    </w:p>
    <w:p>
      <w:pPr>
        <w:ind w:right="80" w:firstLine="447"/>
        <w:spacing w:after="0" w:line="277" w:lineRule="auto"/>
        <w:rPr>
          <w:sz w:val="20"/>
          <w:szCs w:val="20"/>
          <w:color w:val="auto"/>
        </w:rPr>
      </w:pPr>
      <w:r>
        <w:rPr>
          <w:rFonts w:ascii="Arial" w:cs="Arial" w:eastAsia="Arial" w:hAnsi="Arial"/>
          <w:sz w:val="18"/>
          <w:szCs w:val="18"/>
          <w:color w:val="auto"/>
        </w:rPr>
        <w:t>We will also provide without charge to each person to whom a copy of this Offer to Exchange is delivered, upon the written or oral request of any such person, a copy of any or all of the documents to which we have referred above, other than exhibits to such</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t>documents (unless such exhibits are specifically incorporated by reference into such documents). Requests should be directed to:</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Regeneron Pharmaceuticals, Inc.</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Attention: Human Resources Department</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777 Old Saw Mill River Road</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Tarrytown, New York 10591</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you read the documents listed in this Section 17, you may find some inconsistencies in information from one document to another. Should you find inconsistencies between the documents, or between a document and this Offer to Exchange, you should rely on the statements made in the most recent document. The information contained in this Offer to Exchange about Regeneron should be read together with the information contained in the documents to which we have referred you.</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18. MISCELLANEOUS.</w:t>
      </w:r>
    </w:p>
    <w:p>
      <w:pPr>
        <w:spacing w:after="0" w:line="202" w:lineRule="exact"/>
        <w:rPr>
          <w:sz w:val="20"/>
          <w:szCs w:val="20"/>
          <w:color w:val="auto"/>
        </w:rPr>
      </w:pPr>
    </w:p>
    <w:p>
      <w:pPr>
        <w:ind w:right="40" w:firstLine="447"/>
        <w:spacing w:after="0" w:line="259" w:lineRule="auto"/>
        <w:rPr>
          <w:sz w:val="20"/>
          <w:szCs w:val="20"/>
          <w:color w:val="auto"/>
        </w:rPr>
      </w:pPr>
      <w:r>
        <w:rPr>
          <w:rFonts w:ascii="Arial" w:cs="Arial" w:eastAsia="Arial" w:hAnsi="Arial"/>
          <w:sz w:val="18"/>
          <w:szCs w:val="18"/>
          <w:color w:val="auto"/>
        </w:rPr>
        <w:t>We are not aware of any jurisdiction where the making of the Offer is not in compliance with applicable law. If we become aware of any jurisdiction where the making of the Offer is not in compliance with any valid applicable law, we will make a good faith effort to comply with such law. If, after such good faith effort, we cannot comply with such law, the Offer will not be made to, nor will tenders be accepted from or on behalf of, the optionholders residing in such jurisdiction.</w:t>
      </w:r>
    </w:p>
    <w:p>
      <w:pPr>
        <w:spacing w:after="0" w:line="142" w:lineRule="exact"/>
        <w:rPr>
          <w:sz w:val="20"/>
          <w:szCs w:val="20"/>
          <w:color w:val="auto"/>
        </w:rPr>
      </w:pPr>
    </w:p>
    <w:p>
      <w:pPr>
        <w:ind w:right="140" w:firstLine="450"/>
        <w:spacing w:after="0" w:line="298" w:lineRule="auto"/>
        <w:rPr>
          <w:sz w:val="20"/>
          <w:szCs w:val="20"/>
          <w:color w:val="auto"/>
        </w:rPr>
      </w:pPr>
      <w:r>
        <w:rPr>
          <w:rFonts w:ascii="Arial" w:cs="Arial" w:eastAsia="Arial" w:hAnsi="Arial"/>
          <w:sz w:val="16"/>
          <w:szCs w:val="16"/>
          <w:b w:val="1"/>
          <w:bCs w:val="1"/>
          <w:color w:val="auto"/>
        </w:rPr>
        <w:t>We have not authorized any person to make any recommendation on our behalf as to whether you should tender or refrain from tendering your options pursuant to the Offer. You should rely only on the information contained in this document or to which we have referred you. We have not authorized anyone to give you any information or to make any representations in connection with the Offer other than the information and representations contained in this document or in the related Election Form. If anyone makes any recommendation or representation to you or gives you any information, you must not rely upon that recommendation, representation or information as having been authorized by us.</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Regeneron Pharmaceuticals, Inc.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December 3, 2004</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color w:val="auto"/>
        </w:rPr>
        <w:t>SCHEDULE A</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INFORMATION CONCERNING THE DIRECTORS AND EXECUTIVE OFFICERS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REGENERON PHARMACEUTICALS, INC.</w:t>
      </w:r>
    </w:p>
    <w:p>
      <w:pPr>
        <w:spacing w:after="0" w:line="170" w:lineRule="exact"/>
        <w:rPr>
          <w:sz w:val="20"/>
          <w:szCs w:val="20"/>
          <w:color w:val="auto"/>
        </w:rPr>
      </w:pPr>
    </w:p>
    <w:p>
      <w:pPr>
        <w:ind w:right="440" w:firstLine="447"/>
        <w:spacing w:after="0" w:line="277" w:lineRule="auto"/>
        <w:rPr>
          <w:sz w:val="20"/>
          <w:szCs w:val="20"/>
          <w:color w:val="auto"/>
        </w:rPr>
      </w:pPr>
      <w:r>
        <w:rPr>
          <w:rFonts w:ascii="Arial" w:cs="Arial" w:eastAsia="Arial" w:hAnsi="Arial"/>
          <w:sz w:val="18"/>
          <w:szCs w:val="18"/>
          <w:color w:val="auto"/>
        </w:rPr>
        <w:t>The directors and executive officers of Regeneron Pharmaceuticals, Inc. and their positions and offices as of December 3, 2004 are set forth in the following table:</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00" w:type="dxa"/>
            <w:vAlign w:val="bottom"/>
          </w:tcPr>
          <w:p>
            <w:pPr>
              <w:ind w:left="1380"/>
              <w:spacing w:after="0"/>
              <w:rPr>
                <w:sz w:val="20"/>
                <w:szCs w:val="20"/>
                <w:color w:val="auto"/>
              </w:rPr>
            </w:pPr>
            <w:r>
              <w:rPr>
                <w:rFonts w:ascii="Arial" w:cs="Arial" w:eastAsia="Arial" w:hAnsi="Arial"/>
                <w:sz w:val="14"/>
                <w:szCs w:val="14"/>
                <w:b w:val="1"/>
                <w:bCs w:val="1"/>
                <w:color w:val="auto"/>
              </w:rPr>
              <w:t>Name</w:t>
            </w:r>
          </w:p>
        </w:tc>
        <w:tc>
          <w:tcPr>
            <w:tcW w:w="340" w:type="dxa"/>
            <w:vAlign w:val="bottom"/>
          </w:tcPr>
          <w:p>
            <w:pPr>
              <w:spacing w:after="0"/>
              <w:rPr>
                <w:sz w:val="16"/>
                <w:szCs w:val="16"/>
                <w:color w:val="auto"/>
              </w:rPr>
            </w:pPr>
          </w:p>
        </w:tc>
        <w:tc>
          <w:tcPr>
            <w:tcW w:w="7980" w:type="dxa"/>
            <w:vAlign w:val="bottom"/>
          </w:tcPr>
          <w:p>
            <w:pPr>
              <w:ind w:left="3200"/>
              <w:spacing w:after="0"/>
              <w:rPr>
                <w:sz w:val="20"/>
                <w:szCs w:val="20"/>
                <w:color w:val="auto"/>
              </w:rPr>
            </w:pPr>
            <w:r>
              <w:rPr>
                <w:rFonts w:ascii="Arial" w:cs="Arial" w:eastAsia="Arial" w:hAnsi="Arial"/>
                <w:sz w:val="14"/>
                <w:szCs w:val="14"/>
                <w:b w:val="1"/>
                <w:bCs w:val="1"/>
                <w:color w:val="auto"/>
              </w:rPr>
              <w:t>Position and Offices Held</w:t>
            </w:r>
          </w:p>
        </w:tc>
      </w:tr>
      <w:tr>
        <w:trPr>
          <w:trHeight w:val="66"/>
        </w:trPr>
        <w:tc>
          <w:tcPr>
            <w:tcW w:w="3100" w:type="dxa"/>
            <w:vAlign w:val="bottom"/>
            <w:tcBorders>
              <w:bottom w:val="single" w:sz="8" w:color="808080"/>
            </w:tcBorders>
          </w:tcPr>
          <w:p>
            <w:pPr>
              <w:spacing w:after="0"/>
              <w:rPr>
                <w:sz w:val="5"/>
                <w:szCs w:val="5"/>
                <w:color w:val="auto"/>
              </w:rPr>
            </w:pPr>
          </w:p>
        </w:tc>
        <w:tc>
          <w:tcPr>
            <w:tcW w:w="340" w:type="dxa"/>
            <w:vAlign w:val="bottom"/>
          </w:tcPr>
          <w:p>
            <w:pPr>
              <w:spacing w:after="0"/>
              <w:rPr>
                <w:sz w:val="5"/>
                <w:szCs w:val="5"/>
                <w:color w:val="auto"/>
              </w:rPr>
            </w:pPr>
          </w:p>
        </w:tc>
        <w:tc>
          <w:tcPr>
            <w:tcW w:w="7980" w:type="dxa"/>
            <w:vAlign w:val="bottom"/>
            <w:tcBorders>
              <w:bottom w:val="single" w:sz="8" w:color="808080"/>
            </w:tcBorders>
          </w:tcPr>
          <w:p>
            <w:pPr>
              <w:spacing w:after="0"/>
              <w:rPr>
                <w:sz w:val="5"/>
                <w:szCs w:val="5"/>
                <w:color w:val="auto"/>
              </w:rPr>
            </w:pPr>
          </w:p>
        </w:tc>
      </w:tr>
      <w:tr>
        <w:trPr>
          <w:trHeight w:val="277"/>
        </w:trPr>
        <w:tc>
          <w:tcPr>
            <w:tcW w:w="3100" w:type="dxa"/>
            <w:vAlign w:val="bottom"/>
          </w:tcPr>
          <w:p>
            <w:pPr>
              <w:spacing w:after="0"/>
              <w:rPr>
                <w:sz w:val="20"/>
                <w:szCs w:val="20"/>
                <w:color w:val="auto"/>
              </w:rPr>
            </w:pPr>
            <w:r>
              <w:rPr>
                <w:rFonts w:ascii="Arial" w:cs="Arial" w:eastAsia="Arial" w:hAnsi="Arial"/>
                <w:sz w:val="18"/>
                <w:szCs w:val="18"/>
                <w:color w:val="auto"/>
              </w:rPr>
              <w:t>Charles A. Baker</w:t>
            </w:r>
          </w:p>
        </w:tc>
        <w:tc>
          <w:tcPr>
            <w:tcW w:w="340" w:type="dxa"/>
            <w:vAlign w:val="bottom"/>
          </w:tcPr>
          <w:p>
            <w:pPr>
              <w:spacing w:after="0"/>
              <w:rPr>
                <w:sz w:val="24"/>
                <w:szCs w:val="24"/>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3100" w:type="dxa"/>
            <w:vAlign w:val="bottom"/>
          </w:tcPr>
          <w:p>
            <w:pPr>
              <w:spacing w:after="0"/>
              <w:rPr>
                <w:sz w:val="20"/>
                <w:szCs w:val="20"/>
                <w:color w:val="auto"/>
              </w:rPr>
            </w:pPr>
            <w:r>
              <w:rPr>
                <w:rFonts w:ascii="Arial" w:cs="Arial" w:eastAsia="Arial" w:hAnsi="Arial"/>
                <w:sz w:val="18"/>
                <w:szCs w:val="18"/>
                <w:color w:val="auto"/>
              </w:rPr>
              <w:t>Michael S. Brown, M.D.</w:t>
            </w:r>
          </w:p>
        </w:tc>
        <w:tc>
          <w:tcPr>
            <w:tcW w:w="340" w:type="dxa"/>
            <w:vAlign w:val="bottom"/>
          </w:tcPr>
          <w:p>
            <w:pPr>
              <w:spacing w:after="0"/>
              <w:rPr>
                <w:sz w:val="24"/>
                <w:szCs w:val="24"/>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3100" w:type="dxa"/>
            <w:vAlign w:val="bottom"/>
          </w:tcPr>
          <w:p>
            <w:pPr>
              <w:spacing w:after="0"/>
              <w:rPr>
                <w:sz w:val="20"/>
                <w:szCs w:val="20"/>
                <w:color w:val="auto"/>
              </w:rPr>
            </w:pPr>
            <w:r>
              <w:rPr>
                <w:rFonts w:ascii="Arial" w:cs="Arial" w:eastAsia="Arial" w:hAnsi="Arial"/>
                <w:sz w:val="18"/>
                <w:szCs w:val="18"/>
                <w:color w:val="auto"/>
              </w:rPr>
              <w:t>Alfred G. Gilman, M.D., Ph.D.</w:t>
            </w:r>
          </w:p>
        </w:tc>
        <w:tc>
          <w:tcPr>
            <w:tcW w:w="340" w:type="dxa"/>
            <w:vAlign w:val="bottom"/>
          </w:tcPr>
          <w:p>
            <w:pPr>
              <w:spacing w:after="0"/>
              <w:rPr>
                <w:sz w:val="24"/>
                <w:szCs w:val="24"/>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Director</w:t>
            </w:r>
          </w:p>
        </w:tc>
      </w:tr>
      <w:tr>
        <w:trPr>
          <w:trHeight w:val="418"/>
        </w:trPr>
        <w:tc>
          <w:tcPr>
            <w:tcW w:w="3100" w:type="dxa"/>
            <w:vAlign w:val="bottom"/>
          </w:tcPr>
          <w:p>
            <w:pPr>
              <w:spacing w:after="0"/>
              <w:rPr>
                <w:sz w:val="20"/>
                <w:szCs w:val="20"/>
                <w:color w:val="auto"/>
              </w:rPr>
            </w:pPr>
            <w:r>
              <w:rPr>
                <w:rFonts w:ascii="Arial" w:cs="Arial" w:eastAsia="Arial" w:hAnsi="Arial"/>
                <w:sz w:val="18"/>
                <w:szCs w:val="18"/>
                <w:color w:val="auto"/>
              </w:rPr>
              <w:t>Murray A. Goldberg</w:t>
            </w:r>
          </w:p>
        </w:tc>
        <w:tc>
          <w:tcPr>
            <w:tcW w:w="340" w:type="dxa"/>
            <w:vAlign w:val="bottom"/>
          </w:tcPr>
          <w:p>
            <w:pPr>
              <w:spacing w:after="0"/>
              <w:rPr>
                <w:sz w:val="24"/>
                <w:szCs w:val="24"/>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1"/>
              </w:rPr>
              <w:t>Chief Financial Officer, Senior Vice President, Finance and Administration, Treasurer and Assistant Secretary</w:t>
            </w:r>
          </w:p>
        </w:tc>
      </w:tr>
      <w:tr>
        <w:trPr>
          <w:trHeight w:val="230"/>
        </w:trPr>
        <w:tc>
          <w:tcPr>
            <w:tcW w:w="3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432"/>
        </w:trPr>
        <w:tc>
          <w:tcPr>
            <w:tcW w:w="3100" w:type="dxa"/>
            <w:vAlign w:val="bottom"/>
          </w:tcPr>
          <w:p>
            <w:pPr>
              <w:spacing w:after="0"/>
              <w:rPr>
                <w:sz w:val="20"/>
                <w:szCs w:val="20"/>
                <w:color w:val="auto"/>
              </w:rPr>
            </w:pPr>
            <w:r>
              <w:rPr>
                <w:rFonts w:ascii="Arial" w:cs="Arial" w:eastAsia="Arial" w:hAnsi="Arial"/>
                <w:sz w:val="18"/>
                <w:szCs w:val="18"/>
                <w:color w:val="auto"/>
              </w:rPr>
              <w:t>Joseph L. Goldstein, M.D.</w:t>
            </w:r>
          </w:p>
        </w:tc>
        <w:tc>
          <w:tcPr>
            <w:tcW w:w="340" w:type="dxa"/>
            <w:vAlign w:val="bottom"/>
          </w:tcPr>
          <w:p>
            <w:pPr>
              <w:spacing w:after="0"/>
              <w:rPr>
                <w:sz w:val="24"/>
                <w:szCs w:val="24"/>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3100" w:type="dxa"/>
            <w:vAlign w:val="bottom"/>
          </w:tcPr>
          <w:p>
            <w:pPr>
              <w:spacing w:after="0"/>
              <w:rPr>
                <w:sz w:val="20"/>
                <w:szCs w:val="20"/>
                <w:color w:val="auto"/>
              </w:rPr>
            </w:pPr>
            <w:r>
              <w:rPr>
                <w:rFonts w:ascii="Arial" w:cs="Arial" w:eastAsia="Arial" w:hAnsi="Arial"/>
                <w:sz w:val="18"/>
                <w:szCs w:val="18"/>
                <w:color w:val="auto"/>
              </w:rPr>
              <w:t>Stuart Kolinski, Esq.</w:t>
            </w:r>
          </w:p>
        </w:tc>
        <w:tc>
          <w:tcPr>
            <w:tcW w:w="340" w:type="dxa"/>
            <w:vAlign w:val="bottom"/>
          </w:tcPr>
          <w:p>
            <w:pPr>
              <w:spacing w:after="0"/>
              <w:rPr>
                <w:sz w:val="24"/>
                <w:szCs w:val="24"/>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Vice President, General Counsel and Secretary</w:t>
            </w:r>
          </w:p>
        </w:tc>
      </w:tr>
      <w:tr>
        <w:trPr>
          <w:trHeight w:val="432"/>
        </w:trPr>
        <w:tc>
          <w:tcPr>
            <w:tcW w:w="3100" w:type="dxa"/>
            <w:vAlign w:val="bottom"/>
          </w:tcPr>
          <w:p>
            <w:pPr>
              <w:spacing w:after="0"/>
              <w:rPr>
                <w:sz w:val="20"/>
                <w:szCs w:val="20"/>
                <w:color w:val="auto"/>
              </w:rPr>
            </w:pPr>
            <w:r>
              <w:rPr>
                <w:rFonts w:ascii="Arial" w:cs="Arial" w:eastAsia="Arial" w:hAnsi="Arial"/>
                <w:sz w:val="18"/>
                <w:szCs w:val="18"/>
                <w:color w:val="auto"/>
              </w:rPr>
              <w:t>William Roberts, M.D.</w:t>
            </w:r>
          </w:p>
        </w:tc>
        <w:tc>
          <w:tcPr>
            <w:tcW w:w="340" w:type="dxa"/>
            <w:vAlign w:val="bottom"/>
          </w:tcPr>
          <w:p>
            <w:pPr>
              <w:spacing w:after="0"/>
              <w:rPr>
                <w:sz w:val="24"/>
                <w:szCs w:val="24"/>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Vice President, Regulatory Development</w:t>
            </w:r>
          </w:p>
        </w:tc>
      </w:tr>
      <w:tr>
        <w:trPr>
          <w:trHeight w:val="432"/>
        </w:trPr>
        <w:tc>
          <w:tcPr>
            <w:tcW w:w="3100" w:type="dxa"/>
            <w:vAlign w:val="bottom"/>
          </w:tcPr>
          <w:p>
            <w:pPr>
              <w:spacing w:after="0"/>
              <w:rPr>
                <w:sz w:val="20"/>
                <w:szCs w:val="20"/>
                <w:color w:val="auto"/>
              </w:rPr>
            </w:pPr>
            <w:r>
              <w:rPr>
                <w:rFonts w:ascii="Arial" w:cs="Arial" w:eastAsia="Arial" w:hAnsi="Arial"/>
                <w:sz w:val="18"/>
                <w:szCs w:val="18"/>
                <w:color w:val="auto"/>
              </w:rPr>
              <w:t>Randall G. Rupp, Ph.D.</w:t>
            </w:r>
          </w:p>
        </w:tc>
        <w:tc>
          <w:tcPr>
            <w:tcW w:w="340" w:type="dxa"/>
            <w:vAlign w:val="bottom"/>
          </w:tcPr>
          <w:p>
            <w:pPr>
              <w:spacing w:after="0"/>
              <w:rPr>
                <w:sz w:val="24"/>
                <w:szCs w:val="24"/>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Senior Vice President, Manufacturing and Process Sciences</w:t>
            </w:r>
          </w:p>
        </w:tc>
      </w:tr>
      <w:tr>
        <w:trPr>
          <w:trHeight w:val="432"/>
        </w:trPr>
        <w:tc>
          <w:tcPr>
            <w:tcW w:w="3100" w:type="dxa"/>
            <w:vAlign w:val="bottom"/>
          </w:tcPr>
          <w:p>
            <w:pPr>
              <w:spacing w:after="0"/>
              <w:rPr>
                <w:sz w:val="20"/>
                <w:szCs w:val="20"/>
                <w:color w:val="auto"/>
              </w:rPr>
            </w:pPr>
            <w:r>
              <w:rPr>
                <w:rFonts w:ascii="Arial" w:cs="Arial" w:eastAsia="Arial" w:hAnsi="Arial"/>
                <w:sz w:val="18"/>
                <w:szCs w:val="18"/>
                <w:color w:val="auto"/>
              </w:rPr>
              <w:t>Arthur F. Ryan</w:t>
            </w:r>
          </w:p>
        </w:tc>
        <w:tc>
          <w:tcPr>
            <w:tcW w:w="340" w:type="dxa"/>
            <w:vAlign w:val="bottom"/>
          </w:tcPr>
          <w:p>
            <w:pPr>
              <w:spacing w:after="0"/>
              <w:rPr>
                <w:sz w:val="24"/>
                <w:szCs w:val="24"/>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3100" w:type="dxa"/>
            <w:vAlign w:val="bottom"/>
          </w:tcPr>
          <w:p>
            <w:pPr>
              <w:spacing w:after="0"/>
              <w:rPr>
                <w:sz w:val="20"/>
                <w:szCs w:val="20"/>
                <w:color w:val="auto"/>
              </w:rPr>
            </w:pPr>
            <w:r>
              <w:rPr>
                <w:rFonts w:ascii="Arial" w:cs="Arial" w:eastAsia="Arial" w:hAnsi="Arial"/>
                <w:sz w:val="18"/>
                <w:szCs w:val="18"/>
                <w:color w:val="auto"/>
              </w:rPr>
              <w:t>Leonard S. Schleifer, M.D., Ph.D.</w:t>
            </w:r>
          </w:p>
        </w:tc>
        <w:tc>
          <w:tcPr>
            <w:tcW w:w="340" w:type="dxa"/>
            <w:vAlign w:val="bottom"/>
          </w:tcPr>
          <w:p>
            <w:pPr>
              <w:spacing w:after="0"/>
              <w:rPr>
                <w:sz w:val="24"/>
                <w:szCs w:val="24"/>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President, Chief Executive Officer and Director (Principal Executive Officer)</w:t>
            </w:r>
          </w:p>
        </w:tc>
      </w:tr>
      <w:tr>
        <w:trPr>
          <w:trHeight w:val="432"/>
        </w:trPr>
        <w:tc>
          <w:tcPr>
            <w:tcW w:w="3100" w:type="dxa"/>
            <w:vAlign w:val="bottom"/>
          </w:tcPr>
          <w:p>
            <w:pPr>
              <w:spacing w:after="0"/>
              <w:rPr>
                <w:sz w:val="20"/>
                <w:szCs w:val="20"/>
                <w:color w:val="auto"/>
              </w:rPr>
            </w:pPr>
            <w:r>
              <w:rPr>
                <w:rFonts w:ascii="Arial" w:cs="Arial" w:eastAsia="Arial" w:hAnsi="Arial"/>
                <w:sz w:val="18"/>
                <w:szCs w:val="18"/>
                <w:color w:val="auto"/>
              </w:rPr>
              <w:t>Eric M. Shooter, Ph.D.</w:t>
            </w:r>
          </w:p>
        </w:tc>
        <w:tc>
          <w:tcPr>
            <w:tcW w:w="340" w:type="dxa"/>
            <w:vAlign w:val="bottom"/>
          </w:tcPr>
          <w:p>
            <w:pPr>
              <w:spacing w:after="0"/>
              <w:rPr>
                <w:sz w:val="24"/>
                <w:szCs w:val="24"/>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3100" w:type="dxa"/>
            <w:vAlign w:val="bottom"/>
          </w:tcPr>
          <w:p>
            <w:pPr>
              <w:spacing w:after="0"/>
              <w:rPr>
                <w:sz w:val="20"/>
                <w:szCs w:val="20"/>
                <w:color w:val="auto"/>
              </w:rPr>
            </w:pPr>
            <w:r>
              <w:rPr>
                <w:rFonts w:ascii="Arial" w:cs="Arial" w:eastAsia="Arial" w:hAnsi="Arial"/>
                <w:sz w:val="18"/>
                <w:szCs w:val="18"/>
                <w:color w:val="auto"/>
              </w:rPr>
              <w:t>George L. Sing</w:t>
            </w:r>
          </w:p>
        </w:tc>
        <w:tc>
          <w:tcPr>
            <w:tcW w:w="340" w:type="dxa"/>
            <w:vAlign w:val="bottom"/>
          </w:tcPr>
          <w:p>
            <w:pPr>
              <w:spacing w:after="0"/>
              <w:rPr>
                <w:sz w:val="24"/>
                <w:szCs w:val="24"/>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3100" w:type="dxa"/>
            <w:vAlign w:val="bottom"/>
          </w:tcPr>
          <w:p>
            <w:pPr>
              <w:spacing w:after="0"/>
              <w:rPr>
                <w:sz w:val="20"/>
                <w:szCs w:val="20"/>
                <w:color w:val="auto"/>
              </w:rPr>
            </w:pPr>
            <w:r>
              <w:rPr>
                <w:rFonts w:ascii="Arial" w:cs="Arial" w:eastAsia="Arial" w:hAnsi="Arial"/>
                <w:sz w:val="18"/>
                <w:szCs w:val="18"/>
                <w:color w:val="auto"/>
              </w:rPr>
              <w:t>Neil Stahl, Ph.D.</w:t>
            </w:r>
          </w:p>
        </w:tc>
        <w:tc>
          <w:tcPr>
            <w:tcW w:w="340" w:type="dxa"/>
            <w:vAlign w:val="bottom"/>
          </w:tcPr>
          <w:p>
            <w:pPr>
              <w:spacing w:after="0"/>
              <w:rPr>
                <w:sz w:val="24"/>
                <w:szCs w:val="24"/>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Senior Vice President, Preclinical Development and Biomolecular Science</w:t>
            </w:r>
          </w:p>
        </w:tc>
      </w:tr>
      <w:tr>
        <w:trPr>
          <w:trHeight w:val="432"/>
        </w:trPr>
        <w:tc>
          <w:tcPr>
            <w:tcW w:w="3100" w:type="dxa"/>
            <w:vAlign w:val="bottom"/>
          </w:tcPr>
          <w:p>
            <w:pPr>
              <w:spacing w:after="0"/>
              <w:rPr>
                <w:sz w:val="20"/>
                <w:szCs w:val="20"/>
                <w:color w:val="auto"/>
              </w:rPr>
            </w:pPr>
            <w:r>
              <w:rPr>
                <w:rFonts w:ascii="Arial" w:cs="Arial" w:eastAsia="Arial" w:hAnsi="Arial"/>
                <w:sz w:val="18"/>
                <w:szCs w:val="18"/>
                <w:color w:val="auto"/>
              </w:rPr>
              <w:t>P. Roy Vagelos, M.D.</w:t>
            </w:r>
          </w:p>
        </w:tc>
        <w:tc>
          <w:tcPr>
            <w:tcW w:w="340" w:type="dxa"/>
            <w:vAlign w:val="bottom"/>
          </w:tcPr>
          <w:p>
            <w:pPr>
              <w:spacing w:after="0"/>
              <w:rPr>
                <w:sz w:val="24"/>
                <w:szCs w:val="24"/>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Chairman of the Board of Directors</w:t>
            </w:r>
          </w:p>
        </w:tc>
      </w:tr>
      <w:tr>
        <w:trPr>
          <w:trHeight w:val="432"/>
        </w:trPr>
        <w:tc>
          <w:tcPr>
            <w:tcW w:w="3100" w:type="dxa"/>
            <w:vAlign w:val="bottom"/>
          </w:tcPr>
          <w:p>
            <w:pPr>
              <w:spacing w:after="0"/>
              <w:rPr>
                <w:sz w:val="20"/>
                <w:szCs w:val="20"/>
                <w:color w:val="auto"/>
              </w:rPr>
            </w:pPr>
            <w:r>
              <w:rPr>
                <w:rFonts w:ascii="Arial" w:cs="Arial" w:eastAsia="Arial" w:hAnsi="Arial"/>
                <w:sz w:val="18"/>
                <w:szCs w:val="18"/>
                <w:color w:val="auto"/>
              </w:rPr>
              <w:t>George D. Yancopoulos, M.D., Ph.D.</w:t>
            </w:r>
          </w:p>
        </w:tc>
        <w:tc>
          <w:tcPr>
            <w:tcW w:w="340" w:type="dxa"/>
            <w:vAlign w:val="bottom"/>
          </w:tcPr>
          <w:p>
            <w:pPr>
              <w:spacing w:after="0"/>
              <w:rPr>
                <w:sz w:val="24"/>
                <w:szCs w:val="24"/>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2"/>
              </w:rPr>
              <w:t>Executive Vice President, Chief Scientific Officer, President, Regeneron Research Laboratories and Director</w:t>
            </w:r>
          </w:p>
        </w:tc>
      </w:tr>
    </w:tbl>
    <w:p>
      <w:pPr>
        <w:spacing w:after="0" w:line="175" w:lineRule="exact"/>
        <w:rPr>
          <w:sz w:val="20"/>
          <w:szCs w:val="20"/>
          <w:color w:val="auto"/>
        </w:rPr>
      </w:pPr>
    </w:p>
    <w:p>
      <w:pPr>
        <w:jc w:val="center"/>
        <w:ind w:left="680" w:right="20"/>
        <w:spacing w:after="0" w:line="481" w:lineRule="auto"/>
        <w:rPr>
          <w:sz w:val="20"/>
          <w:szCs w:val="20"/>
          <w:color w:val="auto"/>
        </w:rPr>
      </w:pPr>
      <w:r>
        <w:rPr>
          <w:rFonts w:ascii="Arial" w:cs="Arial" w:eastAsia="Arial" w:hAnsi="Arial"/>
          <w:sz w:val="18"/>
          <w:szCs w:val="18"/>
          <w:color w:val="auto"/>
        </w:rPr>
        <w:t>The address of each director and executive officer is: c/o Regeneron Pharmaceuticals, Inc., 777 Old Saw Mill River Road, Tarrytown, New York 10591.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3" w:name="page64"/>
    <w:bookmarkEnd w:id="63"/>
    <w:p>
      <w:pPr>
        <w:jc w:val="center"/>
        <w:ind w:right="-780"/>
        <w:spacing w:after="0"/>
        <w:rPr>
          <w:sz w:val="20"/>
          <w:szCs w:val="20"/>
          <w:color w:val="auto"/>
        </w:rPr>
      </w:pPr>
      <w:r>
        <w:rPr>
          <w:rFonts w:ascii="Arial" w:cs="Arial" w:eastAsia="Arial" w:hAnsi="Arial"/>
          <w:sz w:val="18"/>
          <w:szCs w:val="18"/>
          <w:b w:val="1"/>
          <w:bCs w:val="1"/>
          <w:color w:val="auto"/>
        </w:rPr>
        <w:t>REGENERON PHARMACEUTICALS, INC.</w:t>
      </w:r>
    </w:p>
    <w:p>
      <w:pPr>
        <w:spacing w:after="0" w:line="198"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OFFER TO EXCHANGE</w:t>
      </w:r>
    </w:p>
    <w:p>
      <w:pPr>
        <w:spacing w:after="0" w:line="27"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OUTSTANDING OPTIONS TO PURCHASE SHARES</w:t>
      </w:r>
    </w:p>
    <w:p>
      <w:pPr>
        <w:spacing w:after="0" w:line="9"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OF COMMON STOCK OF THE REGENERON PHARMACEUTICALS, INC.</w:t>
      </w:r>
    </w:p>
    <w:p>
      <w:pPr>
        <w:spacing w:after="0" w:line="9"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GRANTED UNDER REGENERON PHARMACEUTICALS, INC. 1990 LONG-</w:t>
      </w:r>
    </w:p>
    <w:p>
      <w:pPr>
        <w:spacing w:after="0" w:line="9"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TERM INCENTIVE PLAN AND 2000 LONG-TERM INCENTIVE PLAN</w:t>
      </w:r>
    </w:p>
    <w:p>
      <w:pPr>
        <w:spacing w:after="0" w:line="9"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HAVING AN EXERCISE PRICE PER SHARE OF $18.00 OR MORE</w:t>
      </w:r>
    </w:p>
    <w:p>
      <w:pPr>
        <w:spacing w:after="0" w:line="9"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FOR REPLACEMENT OPTIONS TO BE GRANTED UNDER THE 2000</w:t>
      </w:r>
    </w:p>
    <w:p>
      <w:pPr>
        <w:spacing w:after="0" w:line="9"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LONG-TERM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2255520</wp:posOffset>
            </wp:positionH>
            <wp:positionV relativeFrom="paragraph">
              <wp:posOffset>117475</wp:posOffset>
            </wp:positionV>
            <wp:extent cx="218694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335"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THE OFFER AND WITHDRAWAL RIGHTS EXPIRE</w:t>
      </w:r>
    </w:p>
    <w:p>
      <w:pPr>
        <w:spacing w:after="0" w:line="27"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AT 6:00 P.M., EASTERN TIME ON JANUARY 5, 2005,</w:t>
      </w:r>
    </w:p>
    <w:p>
      <w:pPr>
        <w:spacing w:after="0" w:line="9"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UNLESS THE OFFER IS EXTENDED BY REGENERON</w:t>
      </w:r>
    </w:p>
    <w:p>
      <w:pPr>
        <w:spacing w:after="0" w:line="9"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2255520</wp:posOffset>
            </wp:positionH>
            <wp:positionV relativeFrom="paragraph">
              <wp:posOffset>125730</wp:posOffset>
            </wp:positionV>
            <wp:extent cx="218694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Any questions or requests for assistance or additional copies of any documents referred to in the Offer to Exchange may be directed to:</w:t>
      </w:r>
    </w:p>
    <w:p>
      <w:pPr>
        <w:spacing w:after="0" w:line="208"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auto"/>
        </w:rPr>
        <w:t>Regeneron Pharmaceuticals, Inc.</w:t>
      </w:r>
    </w:p>
    <w:p>
      <w:pPr>
        <w:spacing w:after="0" w:line="23"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auto"/>
        </w:rPr>
        <w:t>Attention: Human Resources Department, Option Exchange</w:t>
      </w:r>
    </w:p>
    <w:p>
      <w:pPr>
        <w:spacing w:after="0" w:line="9"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auto"/>
        </w:rPr>
        <w:t>777 Old Saw Mill River Road</w:t>
      </w:r>
    </w:p>
    <w:p>
      <w:pPr>
        <w:spacing w:after="0" w:line="9"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auto"/>
        </w:rPr>
        <w:t>Tarrytown, New York 10591</w:t>
      </w:r>
    </w:p>
    <w:p>
      <w:pPr>
        <w:spacing w:after="0" w:line="9" w:lineRule="exact"/>
        <w:rPr>
          <w:sz w:val="20"/>
          <w:szCs w:val="20"/>
          <w:color w:val="auto"/>
        </w:rPr>
      </w:pPr>
    </w:p>
    <w:p>
      <w:pPr>
        <w:ind w:left="5100" w:hanging="442"/>
        <w:spacing w:after="0"/>
        <w:tabs>
          <w:tab w:leader="none" w:pos="51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345-STOK</w:t>
      </w:r>
    </w:p>
    <w:p>
      <w:pPr>
        <w:spacing w:after="0" w:line="9" w:lineRule="exact"/>
        <w:rPr>
          <w:rFonts w:ascii="Arial" w:cs="Arial" w:eastAsia="Arial" w:hAnsi="Arial"/>
          <w:sz w:val="18"/>
          <w:szCs w:val="18"/>
          <w:color w:val="auto"/>
        </w:rPr>
      </w:pPr>
    </w:p>
    <w:p>
      <w:pPr>
        <w:ind w:left="4020"/>
        <w:spacing w:after="0"/>
        <w:rPr>
          <w:rFonts w:ascii="Arial" w:cs="Arial" w:eastAsia="Arial" w:hAnsi="Arial"/>
          <w:sz w:val="18"/>
          <w:szCs w:val="18"/>
          <w:color w:val="auto"/>
        </w:rPr>
      </w:pPr>
      <w:r>
        <w:rPr>
          <w:rFonts w:ascii="Arial" w:cs="Arial" w:eastAsia="Arial" w:hAnsi="Arial"/>
          <w:sz w:val="18"/>
          <w:szCs w:val="18"/>
          <w:color w:val="auto"/>
        </w:rPr>
        <w:t>OptionsExchange@regeneron.com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2255520</wp:posOffset>
            </wp:positionH>
            <wp:positionV relativeFrom="paragraph">
              <wp:posOffset>125730</wp:posOffset>
            </wp:positionV>
            <wp:extent cx="218694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35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December 3, 2004</w:t>
      </w:r>
    </w:p>
    <w:p>
      <w:pPr>
        <w:sectPr>
          <w:pgSz w:w="11900" w:h="16838" w:orient="portrait"/>
          <w:cols w:equalWidth="0" w:num="1">
            <w:col w:w="9779"/>
          </w:cols>
          <w:pgMar w:left="680" w:top="932" w:right="1440"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color w:val="auto"/>
        </w:rPr>
        <w:t>Exhibit (a)(1)(ii)</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FORM</w:t>
      </w:r>
    </w:p>
    <w:p>
      <w:pPr>
        <w:spacing w:after="0" w:line="189" w:lineRule="exact"/>
        <w:rPr>
          <w:sz w:val="20"/>
          <w:szCs w:val="20"/>
          <w:color w:val="auto"/>
        </w:rPr>
      </w:pPr>
    </w:p>
    <w:p>
      <w:pPr>
        <w:ind w:right="80" w:firstLine="450"/>
        <w:spacing w:after="0" w:line="293" w:lineRule="auto"/>
        <w:rPr>
          <w:sz w:val="20"/>
          <w:szCs w:val="20"/>
          <w:color w:val="auto"/>
        </w:rPr>
      </w:pPr>
      <w:r>
        <w:rPr>
          <w:rFonts w:ascii="Arial" w:cs="Arial" w:eastAsia="Arial" w:hAnsi="Arial"/>
          <w:sz w:val="16"/>
          <w:szCs w:val="16"/>
          <w:color w:val="auto"/>
        </w:rPr>
        <w:t>I have received the Offer to Exchange dated December 3, 2004 (as amended or supplemented from time to time, the “Offer to Exchange”) relating to the offer being made by Regeneron Pharmaceuticals, Inc. (the “Company”) to eligible employees to tender their options to purchase shares of the Company’s common stock, par value $0.001 per share (the “Common Stock”), having an exercise price of at least $18.00 per share, granted under the Regeneron Pharmaceuticals, Inc. 2000 Long-Term Incentive Plan, as amended (the “2000 Plan”), or the Regeneron Pharmaceuticals, Inc. 1990 Long-Term Incentive Plan, as amended (together with the 2000 Plan, the “Incentive Plans”), in exchange for replacement options that will be granted under the 2000 Plan (such offer, upon the terms and conditions set forth in the Offer to Exchange and this Election Form, being referred as the “Offer”).</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understand that I am eligible to tender eligible options in the Offer only if I:</w:t>
      </w:r>
    </w:p>
    <w:p>
      <w:pPr>
        <w:spacing w:after="0" w:line="225" w:lineRule="exact"/>
        <w:rPr>
          <w:sz w:val="20"/>
          <w:szCs w:val="20"/>
          <w:color w:val="auto"/>
        </w:rPr>
      </w:pPr>
    </w:p>
    <w:p>
      <w:pPr>
        <w:ind w:left="800" w:right="120" w:hanging="180"/>
        <w:spacing w:after="0" w:line="277" w:lineRule="auto"/>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am a regular Company employee actively employed and working an average of at least 20 hours a week as of December 3, 2004 and on the Grant Date referred to below; and</w:t>
      </w:r>
    </w:p>
    <w:p>
      <w:pPr>
        <w:spacing w:after="0" w:line="170" w:lineRule="exact"/>
        <w:rPr>
          <w:rFonts w:ascii="Arial" w:cs="Arial" w:eastAsia="Arial" w:hAnsi="Arial"/>
          <w:sz w:val="18"/>
          <w:szCs w:val="18"/>
          <w:color w:val="auto"/>
        </w:rPr>
      </w:pPr>
    </w:p>
    <w:p>
      <w:pPr>
        <w:ind w:left="800" w:hanging="180"/>
        <w:spacing w:after="0"/>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hold at least one eligible option on December 3, 2004 and on the Grant Date.</w:t>
      </w:r>
    </w:p>
    <w:p>
      <w:pPr>
        <w:spacing w:after="0" w:line="225" w:lineRule="exact"/>
        <w:rPr>
          <w:sz w:val="20"/>
          <w:szCs w:val="20"/>
          <w:color w:val="auto"/>
        </w:rPr>
      </w:pPr>
    </w:p>
    <w:p>
      <w:pPr>
        <w:jc w:val="both"/>
        <w:ind w:right="240" w:firstLine="450"/>
        <w:spacing w:after="0" w:line="276" w:lineRule="auto"/>
        <w:rPr>
          <w:sz w:val="20"/>
          <w:szCs w:val="20"/>
          <w:color w:val="auto"/>
        </w:rPr>
      </w:pPr>
      <w:r>
        <w:rPr>
          <w:rFonts w:ascii="Arial" w:cs="Arial" w:eastAsia="Arial" w:hAnsi="Arial"/>
          <w:sz w:val="17"/>
          <w:szCs w:val="17"/>
          <w:color w:val="auto"/>
        </w:rPr>
        <w:t>I understand that I may only tender for exchange in the Offer options that have an exercise price of at least $18.00 per share that were granted to me under an Incentive Plan. If I tender any of my eligible options, I must tender all options under the applicable option grant. This means that I may not tender for exchange only a portion of an outstanding option grant. However, if I have previously partially exercised an eligible option grant, I may still tender for exchange the remaining unexercised portion of such eligible option grant. I understand that if I have more than one outstanding eligible option grant, I may tender for exchange all of the options under a grant and choose not to tender any options subject to a different grant.</w:t>
      </w:r>
    </w:p>
    <w:p>
      <w:pPr>
        <w:spacing w:after="0" w:line="146" w:lineRule="exact"/>
        <w:rPr>
          <w:sz w:val="20"/>
          <w:szCs w:val="20"/>
          <w:color w:val="auto"/>
        </w:rPr>
      </w:pPr>
    </w:p>
    <w:p>
      <w:pPr>
        <w:jc w:val="both"/>
        <w:ind w:right="220" w:firstLine="450"/>
        <w:spacing w:after="0" w:line="342" w:lineRule="auto"/>
        <w:rPr>
          <w:sz w:val="20"/>
          <w:szCs w:val="20"/>
          <w:color w:val="auto"/>
        </w:rPr>
      </w:pPr>
      <w:r>
        <w:rPr>
          <w:rFonts w:ascii="Arial" w:cs="Arial" w:eastAsia="Arial" w:hAnsi="Arial"/>
          <w:sz w:val="16"/>
          <w:szCs w:val="16"/>
          <w:color w:val="auto"/>
        </w:rPr>
        <w:t>I understand that, upon the terms and subject to the conditions of the Offer, in exchange for those options I validly tender and which are accepted and cancelled, the Company will grant me replacement options exercisable for shares of Common Stock, according to the following exchange ratios:</w:t>
      </w:r>
    </w:p>
    <w:p>
      <w:pPr>
        <w:spacing w:after="0" w:line="27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 Share Exercise Price</w:t>
            </w:r>
          </w:p>
        </w:tc>
        <w:tc>
          <w:tcPr>
            <w:tcW w:w="340" w:type="dxa"/>
            <w:vAlign w:val="bottom"/>
          </w:tcPr>
          <w:p>
            <w:pPr>
              <w:spacing w:after="0"/>
              <w:rPr>
                <w:sz w:val="14"/>
                <w:szCs w:val="14"/>
                <w:color w:val="auto"/>
              </w:rPr>
            </w:pPr>
          </w:p>
        </w:tc>
        <w:tc>
          <w:tcPr>
            <w:tcW w:w="3200" w:type="dxa"/>
            <w:vAlign w:val="bottom"/>
          </w:tcPr>
          <w:p>
            <w:pPr>
              <w:jc w:val="center"/>
              <w:spacing w:after="0"/>
              <w:rPr>
                <w:sz w:val="20"/>
                <w:szCs w:val="20"/>
                <w:color w:val="auto"/>
              </w:rPr>
            </w:pPr>
            <w:r>
              <w:rPr>
                <w:rFonts w:ascii="Arial" w:cs="Arial" w:eastAsia="Arial" w:hAnsi="Arial"/>
                <w:sz w:val="14"/>
                <w:szCs w:val="14"/>
                <w:b w:val="1"/>
                <w:bCs w:val="1"/>
                <w:color w:val="auto"/>
                <w:w w:val="91"/>
              </w:rPr>
              <w:t>Exchange Ratio</w:t>
            </w:r>
          </w:p>
        </w:tc>
        <w:tc>
          <w:tcPr>
            <w:tcW w:w="0" w:type="dxa"/>
            <w:vAlign w:val="bottom"/>
          </w:tcPr>
          <w:p>
            <w:pPr>
              <w:spacing w:after="0"/>
              <w:rPr>
                <w:sz w:val="1"/>
                <w:szCs w:val="1"/>
                <w:color w:val="auto"/>
              </w:rPr>
            </w:pPr>
          </w:p>
        </w:tc>
      </w:tr>
      <w:tr>
        <w:trPr>
          <w:trHeight w:val="149"/>
        </w:trPr>
        <w:tc>
          <w:tcPr>
            <w:tcW w:w="56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3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 eligible options to be surrendered and</w:t>
            </w:r>
          </w:p>
        </w:tc>
        <w:tc>
          <w:tcPr>
            <w:tcW w:w="0" w:type="dxa"/>
            <w:vAlign w:val="bottom"/>
          </w:tcPr>
          <w:p>
            <w:pPr>
              <w:spacing w:after="0"/>
              <w:rPr>
                <w:sz w:val="1"/>
                <w:szCs w:val="1"/>
                <w:color w:val="auto"/>
              </w:rPr>
            </w:pPr>
          </w:p>
        </w:tc>
      </w:tr>
      <w:tr>
        <w:trPr>
          <w:trHeight w:val="186"/>
        </w:trPr>
        <w:tc>
          <w:tcPr>
            <w:tcW w:w="5600" w:type="dxa"/>
            <w:vAlign w:val="bottom"/>
            <w:gridSpan w:val="2"/>
          </w:tcPr>
          <w:p>
            <w:pPr>
              <w:spacing w:after="0"/>
              <w:rPr>
                <w:sz w:val="20"/>
                <w:szCs w:val="20"/>
                <w:color w:val="auto"/>
              </w:rPr>
            </w:pPr>
            <w:r>
              <w:rPr>
                <w:rFonts w:ascii="Arial" w:cs="Arial" w:eastAsia="Arial" w:hAnsi="Arial"/>
                <w:sz w:val="14"/>
                <w:szCs w:val="14"/>
                <w:b w:val="1"/>
                <w:bCs w:val="1"/>
                <w:color w:val="auto"/>
              </w:rPr>
              <w:t>Range of Eligible Options</w:t>
            </w:r>
          </w:p>
        </w:tc>
        <w:tc>
          <w:tcPr>
            <w:tcW w:w="340" w:type="dxa"/>
            <w:vAlign w:val="bottom"/>
          </w:tcPr>
          <w:p>
            <w:pPr>
              <w:spacing w:after="0"/>
              <w:rPr>
                <w:sz w:val="16"/>
                <w:szCs w:val="16"/>
                <w:color w:val="auto"/>
              </w:rPr>
            </w:pPr>
          </w:p>
        </w:tc>
        <w:tc>
          <w:tcPr>
            <w:tcW w:w="3200" w:type="dxa"/>
            <w:vAlign w:val="bottom"/>
          </w:tcPr>
          <w:p>
            <w:pPr>
              <w:jc w:val="center"/>
              <w:spacing w:after="0"/>
              <w:rPr>
                <w:sz w:val="20"/>
                <w:szCs w:val="20"/>
                <w:color w:val="auto"/>
              </w:rPr>
            </w:pPr>
            <w:r>
              <w:rPr>
                <w:rFonts w:ascii="Arial" w:cs="Arial" w:eastAsia="Arial" w:hAnsi="Arial"/>
                <w:sz w:val="14"/>
                <w:szCs w:val="14"/>
                <w:b w:val="1"/>
                <w:bCs w:val="1"/>
                <w:color w:val="auto"/>
                <w:w w:val="90"/>
              </w:rPr>
              <w:t>canceled for each replacement option)</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5580" w:type="dxa"/>
            <w:vAlign w:val="bottom"/>
            <w:tcBorders>
              <w:bottom w:val="single" w:sz="8" w:color="808080"/>
            </w:tcBorders>
          </w:tcPr>
          <w:p>
            <w:pPr>
              <w:spacing w:after="0"/>
              <w:rPr>
                <w:sz w:val="4"/>
                <w:szCs w:val="4"/>
                <w:color w:val="auto"/>
              </w:rPr>
            </w:pPr>
          </w:p>
        </w:tc>
        <w:tc>
          <w:tcPr>
            <w:tcW w:w="340" w:type="dxa"/>
            <w:vAlign w:val="bottom"/>
          </w:tcPr>
          <w:p>
            <w:pPr>
              <w:spacing w:after="0"/>
              <w:rPr>
                <w:sz w:val="4"/>
                <w:szCs w:val="4"/>
                <w:color w:val="auto"/>
              </w:rPr>
            </w:pPr>
          </w:p>
        </w:tc>
        <w:tc>
          <w:tcPr>
            <w:tcW w:w="32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3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EEEEEE"/>
          </w:tcPr>
          <w:p>
            <w:pPr>
              <w:spacing w:after="0"/>
              <w:rPr>
                <w:sz w:val="20"/>
                <w:szCs w:val="20"/>
                <w:color w:val="auto"/>
              </w:rPr>
            </w:pPr>
            <w:r>
              <w:rPr>
                <w:rFonts w:ascii="Arial" w:cs="Arial" w:eastAsia="Arial" w:hAnsi="Arial"/>
                <w:sz w:val="18"/>
                <w:szCs w:val="18"/>
                <w:color w:val="auto"/>
              </w:rPr>
              <w:t>$18.00 - $28.00</w:t>
            </w:r>
          </w:p>
        </w:tc>
        <w:tc>
          <w:tcPr>
            <w:tcW w:w="3540" w:type="dxa"/>
            <w:vAlign w:val="bottom"/>
            <w:gridSpan w:val="2"/>
            <w:shd w:val="clear" w:color="auto" w:fill="EEEEEE"/>
          </w:tcPr>
          <w:p>
            <w:pPr>
              <w:jc w:val="right"/>
              <w:ind w:right="1448"/>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$28.01 - $37.00</w:t>
            </w:r>
          </w:p>
        </w:tc>
        <w:tc>
          <w:tcPr>
            <w:tcW w:w="3540" w:type="dxa"/>
            <w:vAlign w:val="bottom"/>
            <w:gridSpan w:val="2"/>
          </w:tcPr>
          <w:p>
            <w:pPr>
              <w:jc w:val="right"/>
              <w:ind w:right="1448"/>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EEEEEE"/>
          </w:tcPr>
          <w:p>
            <w:pPr>
              <w:spacing w:after="0"/>
              <w:rPr>
                <w:sz w:val="20"/>
                <w:szCs w:val="20"/>
                <w:color w:val="auto"/>
              </w:rPr>
            </w:pPr>
            <w:r>
              <w:rPr>
                <w:rFonts w:ascii="Arial" w:cs="Arial" w:eastAsia="Arial" w:hAnsi="Arial"/>
                <w:sz w:val="18"/>
                <w:szCs w:val="18"/>
                <w:color w:val="auto"/>
              </w:rPr>
              <w:t>$37.01 and up</w:t>
            </w:r>
          </w:p>
        </w:tc>
        <w:tc>
          <w:tcPr>
            <w:tcW w:w="3540" w:type="dxa"/>
            <w:vAlign w:val="bottom"/>
            <w:gridSpan w:val="2"/>
            <w:shd w:val="clear" w:color="auto" w:fill="EEEEEE"/>
          </w:tcPr>
          <w:p>
            <w:pPr>
              <w:jc w:val="right"/>
              <w:ind w:right="1448"/>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260" w:firstLine="450"/>
        <w:spacing w:after="0" w:line="277" w:lineRule="auto"/>
        <w:rPr>
          <w:sz w:val="20"/>
          <w:szCs w:val="20"/>
          <w:color w:val="auto"/>
        </w:rPr>
      </w:pPr>
      <w:r>
        <w:rPr>
          <w:rFonts w:ascii="Arial" w:cs="Arial" w:eastAsia="Arial" w:hAnsi="Arial"/>
          <w:sz w:val="18"/>
          <w:szCs w:val="18"/>
          <w:color w:val="auto"/>
        </w:rPr>
        <w:t>I understand that replacement option grants will be calculated according to the above exchange ratios and will be rounded down to the nearest whole share on a grant-by-grant basis. Accordingly, replacement options will not be granted for fractional shares.</w:t>
      </w:r>
    </w:p>
    <w:p>
      <w:pPr>
        <w:spacing w:after="0" w:line="143" w:lineRule="exact"/>
        <w:rPr>
          <w:sz w:val="20"/>
          <w:szCs w:val="20"/>
          <w:color w:val="auto"/>
        </w:rPr>
      </w:pPr>
    </w:p>
    <w:p>
      <w:pPr>
        <w:ind w:right="80" w:firstLine="450"/>
        <w:spacing w:after="0" w:line="286" w:lineRule="auto"/>
        <w:rPr>
          <w:sz w:val="20"/>
          <w:szCs w:val="20"/>
          <w:color w:val="auto"/>
        </w:rPr>
      </w:pPr>
      <w:r>
        <w:rPr>
          <w:rFonts w:ascii="Arial" w:cs="Arial" w:eastAsia="Arial" w:hAnsi="Arial"/>
          <w:sz w:val="17"/>
          <w:szCs w:val="17"/>
          <w:color w:val="auto"/>
        </w:rPr>
        <w:t>I understand that, upon the terms and subject to the conditions of the Offer, replacement options will be granted on or as of the date the options I tender for exchange are accepted and cancelled (the date and time of such grant of replacement options being referred to as the “Grant Date”), which the Company expects will be on or as of the Expiration Date (as defined in the Offer to Exchange and referred to below) or shortly thereafter.</w:t>
      </w:r>
    </w:p>
    <w:p>
      <w:pPr>
        <w:spacing w:after="0" w:line="125" w:lineRule="exact"/>
        <w:rPr>
          <w:sz w:val="20"/>
          <w:szCs w:val="20"/>
          <w:color w:val="auto"/>
        </w:rPr>
      </w:pPr>
    </w:p>
    <w:p>
      <w:pPr>
        <w:ind w:right="60" w:firstLine="450"/>
        <w:spacing w:after="0" w:line="273" w:lineRule="auto"/>
        <w:rPr>
          <w:sz w:val="20"/>
          <w:szCs w:val="20"/>
          <w:color w:val="auto"/>
        </w:rPr>
      </w:pPr>
      <w:r>
        <w:rPr>
          <w:rFonts w:ascii="Arial" w:cs="Arial" w:eastAsia="Arial" w:hAnsi="Arial"/>
          <w:sz w:val="17"/>
          <w:szCs w:val="17"/>
          <w:color w:val="auto"/>
        </w:rPr>
        <w:t>I understand that, in order to remain eligible to receive replacement options in exchange for options tendered and accepted for exchange pursuant to the Offer, I must remain an eligible employee as described in the Offer to Exchange through the Grant Date. I acknowledge that if I am not an eligible employee on the Grant Date, (including if I die, become disabled, or my employment terminates for any reason between December 3, 2004 and the Grant Date), then options tendered by me for exchange in the Offer will not be accepted for exchange and will remain in effect without change. I also acknowledge, understand and agree that only my eligible options outstanding as of the Grant Date which I validly tender, and which are accepted for exchange and cancellation, pursuant to the Offer, will be exchanged for replacement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5" w:name="page66"/>
    <w:bookmarkEnd w:id="65"/>
    <w:p>
      <w:pPr>
        <w:ind w:right="460" w:firstLine="450"/>
        <w:spacing w:after="0" w:line="264" w:lineRule="auto"/>
        <w:rPr>
          <w:sz w:val="20"/>
          <w:szCs w:val="20"/>
          <w:color w:val="auto"/>
        </w:rPr>
      </w:pPr>
      <w:r>
        <w:rPr>
          <w:rFonts w:ascii="Arial" w:cs="Arial" w:eastAsia="Arial" w:hAnsi="Arial"/>
          <w:sz w:val="18"/>
          <w:szCs w:val="18"/>
          <w:color w:val="auto"/>
        </w:rPr>
        <w:t>I understand that the term of the replacement options I will receive in exchange for eligible options tendered and accepted for exchange and cancellation in the Offer may, and the vesting schedule of such replacement options will, be different than the term and vesting schedule of my tendered options.</w:t>
      </w:r>
    </w:p>
    <w:p>
      <w:pPr>
        <w:spacing w:after="0" w:line="154" w:lineRule="exact"/>
        <w:rPr>
          <w:sz w:val="20"/>
          <w:szCs w:val="20"/>
          <w:color w:val="auto"/>
        </w:rPr>
      </w:pPr>
    </w:p>
    <w:p>
      <w:pPr>
        <w:ind w:firstLine="450"/>
        <w:spacing w:after="0" w:line="277" w:lineRule="auto"/>
        <w:rPr>
          <w:sz w:val="20"/>
          <w:szCs w:val="20"/>
          <w:color w:val="auto"/>
        </w:rPr>
      </w:pPr>
      <w:r>
        <w:rPr>
          <w:rFonts w:ascii="Arial" w:cs="Arial" w:eastAsia="Arial" w:hAnsi="Arial"/>
          <w:sz w:val="18"/>
          <w:szCs w:val="18"/>
          <w:color w:val="auto"/>
        </w:rPr>
        <w:t>I also understand that the replacement options will be granted under, and will be subject to the terms and conditions of, the 2000 Plan and the applicable form of replacement option agreement that will be provided to me following the Grant Date.</w:t>
      </w:r>
    </w:p>
    <w:p>
      <w:pPr>
        <w:spacing w:after="0" w:line="130" w:lineRule="exact"/>
        <w:rPr>
          <w:sz w:val="20"/>
          <w:szCs w:val="20"/>
          <w:color w:val="auto"/>
        </w:rPr>
      </w:pPr>
    </w:p>
    <w:p>
      <w:pPr>
        <w:ind w:right="300" w:firstLine="450"/>
        <w:spacing w:after="0" w:line="264" w:lineRule="auto"/>
        <w:rPr>
          <w:sz w:val="20"/>
          <w:szCs w:val="20"/>
          <w:color w:val="auto"/>
        </w:rPr>
      </w:pPr>
      <w:r>
        <w:rPr>
          <w:rFonts w:ascii="Arial" w:cs="Arial" w:eastAsia="Arial" w:hAnsi="Arial"/>
          <w:sz w:val="18"/>
          <w:szCs w:val="18"/>
          <w:color w:val="auto"/>
        </w:rPr>
        <w:t>I recognize that, under certain circumstances set forth in the Offer to Exchange, the Company may terminate or amend the Offer, or postpone its acceptance and cancellation of any options tendered for exchange. In any such event, I understand that the options tendered for exchange but not accepted will remain in effect without change.</w:t>
      </w:r>
    </w:p>
    <w:p>
      <w:pPr>
        <w:spacing w:after="0" w:line="141" w:lineRule="exact"/>
        <w:rPr>
          <w:sz w:val="20"/>
          <w:szCs w:val="20"/>
          <w:color w:val="auto"/>
        </w:rPr>
      </w:pPr>
    </w:p>
    <w:p>
      <w:pPr>
        <w:ind w:right="120" w:firstLine="450"/>
        <w:spacing w:after="0" w:line="276" w:lineRule="auto"/>
        <w:rPr>
          <w:sz w:val="20"/>
          <w:szCs w:val="20"/>
          <w:color w:val="auto"/>
        </w:rPr>
      </w:pPr>
      <w:r>
        <w:rPr>
          <w:rFonts w:ascii="Arial" w:cs="Arial" w:eastAsia="Arial" w:hAnsi="Arial"/>
          <w:sz w:val="17"/>
          <w:szCs w:val="17"/>
          <w:color w:val="auto"/>
        </w:rPr>
        <w:t xml:space="preserve">I understand that in order to tender options for exchange in the Offer, I must sign and complete this Election Form, including marking with an “X” the applicable box(es) next to the option grant(s) to be tendered for exchange in the attachment to this Election Form, and timely deliver this completed Election Form to the Company’s Human Resources Department as specified in the Instructions to this Election Form. I also understand that if I do not mark the box(es) under the column entitled “Mark an X to Tender an Option for Exchange” in the attachment to this Election Form, </w:t>
      </w:r>
      <w:r>
        <w:rPr>
          <w:rFonts w:ascii="Arial" w:cs="Arial" w:eastAsia="Arial" w:hAnsi="Arial"/>
          <w:sz w:val="17"/>
          <w:szCs w:val="17"/>
          <w:b w:val="1"/>
          <w:bCs w:val="1"/>
          <w:color w:val="auto"/>
        </w:rPr>
        <w:t>NONE</w:t>
      </w:r>
      <w:r>
        <w:rPr>
          <w:rFonts w:ascii="Arial" w:cs="Arial" w:eastAsia="Arial" w:hAnsi="Arial"/>
          <w:sz w:val="17"/>
          <w:szCs w:val="17"/>
          <w:color w:val="auto"/>
        </w:rPr>
        <w:t xml:space="preserve"> of the options in the applicable option grant(s) will be tendered or accepted for exchange and cancellation in the Offer.</w:t>
      </w:r>
    </w:p>
    <w:p>
      <w:pPr>
        <w:spacing w:after="0" w:line="146" w:lineRule="exact"/>
        <w:rPr>
          <w:sz w:val="20"/>
          <w:szCs w:val="20"/>
          <w:color w:val="auto"/>
        </w:rPr>
      </w:pPr>
    </w:p>
    <w:p>
      <w:pPr>
        <w:ind w:right="60" w:firstLine="450"/>
        <w:spacing w:after="0" w:line="290" w:lineRule="auto"/>
        <w:rPr>
          <w:sz w:val="20"/>
          <w:szCs w:val="20"/>
          <w:color w:val="auto"/>
        </w:rPr>
      </w:pPr>
      <w:r>
        <w:rPr>
          <w:rFonts w:ascii="Arial" w:cs="Arial" w:eastAsia="Arial" w:hAnsi="Arial"/>
          <w:sz w:val="16"/>
          <w:szCs w:val="16"/>
          <w:color w:val="auto"/>
        </w:rPr>
        <w:t>Effective as of the Grant Date, I hereby give up my entire right, title and interest in and to the options to purchase Common Stock which I have tendered pursuant to this Election Form and which are accepted by the Company for exchange and cancellation, pursuant to the Offer. I understand, acknowledge and agree that all of such options so specified to be tendered which are accepted by the Company for exchange and cancellation pursuant to the Offer, and any notices, agreements, certificates or other documentation evidencing such option(s), will automatically become null and void as of the Grant Date. I acknowledge that this tender for exchange is entirely voluntary and that I may withdraw my acceptance of the Offer using the Notice of Withdrawal that has been provided to me at any time until 6:00 p.m., Eastern Time, on January 5, 2005, the currently scheduled expiration date for the Offer, or such later expiration date for the Offer if the Company extends the Offer (such expiration date, as it may be so extended, the “Expiration Date”)</w:t>
      </w:r>
      <w:r>
        <w:rPr>
          <w:rFonts w:ascii="Arial" w:cs="Arial" w:eastAsia="Arial" w:hAnsi="Arial"/>
          <w:sz w:val="16"/>
          <w:szCs w:val="16"/>
          <w:b w:val="1"/>
          <w:bCs w:val="1"/>
          <w:color w:val="auto"/>
        </w:rPr>
        <w:t>. I also acknowledge</w:t>
      </w:r>
      <w:r>
        <w:rPr>
          <w:rFonts w:ascii="Arial" w:cs="Arial" w:eastAsia="Arial" w:hAnsi="Arial"/>
          <w:sz w:val="16"/>
          <w:szCs w:val="16"/>
          <w:color w:val="auto"/>
        </w:rPr>
        <w:t xml:space="preserve"> </w:t>
      </w:r>
      <w:r>
        <w:rPr>
          <w:rFonts w:ascii="Arial" w:cs="Arial" w:eastAsia="Arial" w:hAnsi="Arial"/>
          <w:sz w:val="16"/>
          <w:szCs w:val="16"/>
          <w:b w:val="1"/>
          <w:bCs w:val="1"/>
          <w:color w:val="auto"/>
        </w:rPr>
        <w:t>that, subject to the terms and conditions of the Offer, this election will be irrevocable from and after the Expiration Date.</w:t>
      </w:r>
    </w:p>
    <w:p>
      <w:pPr>
        <w:spacing w:after="0" w:line="126" w:lineRule="exact"/>
        <w:rPr>
          <w:sz w:val="20"/>
          <w:szCs w:val="20"/>
          <w:color w:val="auto"/>
        </w:rPr>
      </w:pPr>
    </w:p>
    <w:p>
      <w:pPr>
        <w:jc w:val="both"/>
        <w:ind w:right="60" w:firstLine="450"/>
        <w:spacing w:after="0" w:line="312" w:lineRule="auto"/>
        <w:rPr>
          <w:sz w:val="20"/>
          <w:szCs w:val="20"/>
          <w:color w:val="auto"/>
        </w:rPr>
      </w:pPr>
      <w:r>
        <w:rPr>
          <w:rFonts w:ascii="Arial" w:cs="Arial" w:eastAsia="Arial" w:hAnsi="Arial"/>
          <w:sz w:val="16"/>
          <w:szCs w:val="16"/>
          <w:color w:val="auto"/>
        </w:rPr>
        <w:t>Upon the terms and subject to the conditions of the Offer, I hereby tender for exchange and cancellation the eligible options specified (by marking with an “X” in the box next to each option grant to be tendered) in the attachment to this Election Form with the heading “Option Grants Eligible for Exchange as of December 1, 2004.” I represent that I have the full power and authority to tender such options so specified for exchange and cancellation.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01484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014845" cy="8890"/>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spacing w:after="0"/>
        <w:tabs>
          <w:tab w:leader="none" w:pos="7420" w:val="left"/>
        </w:tabs>
        <w:rPr>
          <w:sz w:val="20"/>
          <w:szCs w:val="20"/>
          <w:color w:val="auto"/>
        </w:rPr>
      </w:pPr>
      <w:r>
        <w:rPr>
          <w:rFonts w:ascii="Arial" w:cs="Arial" w:eastAsia="Arial" w:hAnsi="Arial"/>
          <w:sz w:val="18"/>
          <w:szCs w:val="18"/>
          <w:color w:val="auto"/>
        </w:rPr>
        <w:t>Optionholder’s Signature</w:t>
      </w:r>
      <w:r>
        <w:rPr>
          <w:sz w:val="20"/>
          <w:szCs w:val="20"/>
          <w:color w:val="auto"/>
        </w:rPr>
        <w:tab/>
      </w: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349885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Optionholder’s 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(please print or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349885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Optionholder’s Social Security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6376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475615</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t>Instructions if you choose to tender eligible options for exchange in the Offer:</w:t>
      </w:r>
    </w:p>
    <w:p>
      <w:pPr>
        <w:spacing w:after="0" w:line="225" w:lineRule="exact"/>
        <w:rPr>
          <w:sz w:val="20"/>
          <w:szCs w:val="20"/>
          <w:color w:val="auto"/>
        </w:rPr>
      </w:pPr>
    </w:p>
    <w:p>
      <w:pPr>
        <w:ind w:left="260" w:right="120" w:hanging="252"/>
        <w:spacing w:after="0" w:line="286" w:lineRule="auto"/>
        <w:tabs>
          <w:tab w:leader="none" w:pos="260" w:val="left"/>
        </w:tabs>
        <w:numPr>
          <w:ilvl w:val="0"/>
          <w:numId w:val="47"/>
        </w:numPr>
        <w:rPr>
          <w:rFonts w:ascii="Arial" w:cs="Arial" w:eastAsia="Arial" w:hAnsi="Arial"/>
          <w:sz w:val="16"/>
          <w:szCs w:val="16"/>
          <w:b w:val="1"/>
          <w:bCs w:val="1"/>
          <w:color w:val="auto"/>
        </w:rPr>
      </w:pPr>
      <w:r>
        <w:rPr>
          <w:rFonts w:ascii="Arial" w:cs="Arial" w:eastAsia="Arial" w:hAnsi="Arial"/>
          <w:sz w:val="16"/>
          <w:szCs w:val="16"/>
          <w:color w:val="auto"/>
        </w:rPr>
        <w:t xml:space="preserve">Complete and sign this Election Form and send it as soon as possible by regular or overnight mail to Regeneron Pharmaceuticals, Inc., 777 Old Saw Mill River Road, Tarrytown, New York 10591, Attention: Human Resources Department, Options Exchange, or deliver it by hand to Pam Curtis at our Tarrytown, New York location or Lynne Fuierer at our Rensselaer, New York location. You should make and keep a copy of the completed and signed Election Form for your records. </w:t>
      </w:r>
      <w:r>
        <w:rPr>
          <w:rFonts w:ascii="Arial" w:cs="Arial" w:eastAsia="Arial" w:hAnsi="Arial"/>
          <w:sz w:val="16"/>
          <w:szCs w:val="16"/>
          <w:b w:val="1"/>
          <w:bCs w:val="1"/>
          <w:color w:val="auto"/>
        </w:rPr>
        <w:t>This Election Form must be received by our Human Resources Department as specified above before 6:00 p.m.,</w:t>
      </w:r>
    </w:p>
    <w:p>
      <w:pPr>
        <w:spacing w:after="0" w:line="1" w:lineRule="exact"/>
        <w:rPr>
          <w:rFonts w:ascii="Arial" w:cs="Arial" w:eastAsia="Arial" w:hAnsi="Arial"/>
          <w:sz w:val="16"/>
          <w:szCs w:val="16"/>
          <w:b w:val="1"/>
          <w:bCs w:val="1"/>
          <w:color w:val="auto"/>
        </w:rPr>
      </w:pPr>
    </w:p>
    <w:p>
      <w:pPr>
        <w:ind w:left="260"/>
        <w:spacing w:after="0" w:line="290" w:lineRule="auto"/>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Eastern Time, on January 5, 2005, unless the Offer is extended by the Company, in which case this Election Form must be so received by the extended expiration date. Your eligible options will not be considered tendered for exchange unless and until we timely receive a properly completed and executed copy of this Election Form is timely received by our Human Resources Department as specified above. </w:t>
      </w:r>
      <w:r>
        <w:rPr>
          <w:rFonts w:ascii="Arial" w:cs="Arial" w:eastAsia="Arial" w:hAnsi="Arial"/>
          <w:sz w:val="16"/>
          <w:szCs w:val="16"/>
          <w:color w:val="auto"/>
        </w:rPr>
        <w:t>We will only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accept delivery of the signed Election Form by hand or regular or overnight mail. Delivery by e-mail or other electronic means will NOT be accepted. </w:t>
      </w:r>
      <w:r>
        <w:rPr>
          <w:rFonts w:ascii="Arial" w:cs="Arial" w:eastAsia="Arial" w:hAnsi="Arial"/>
          <w:sz w:val="16"/>
          <w:szCs w:val="16"/>
          <w:b w:val="1"/>
          <w:bCs w:val="1"/>
          <w:color w:val="auto"/>
        </w:rPr>
        <w:t>The</w:t>
      </w:r>
      <w:r>
        <w:rPr>
          <w:rFonts w:ascii="Arial" w:cs="Arial" w:eastAsia="Arial" w:hAnsi="Arial"/>
          <w:sz w:val="16"/>
          <w:szCs w:val="16"/>
          <w:color w:val="auto"/>
        </w:rPr>
        <w:t xml:space="preserve"> </w:t>
      </w:r>
      <w:r>
        <w:rPr>
          <w:rFonts w:ascii="Arial" w:cs="Arial" w:eastAsia="Arial" w:hAnsi="Arial"/>
          <w:sz w:val="16"/>
          <w:szCs w:val="16"/>
          <w:b w:val="1"/>
          <w:bCs w:val="1"/>
          <w:color w:val="auto"/>
        </w:rPr>
        <w:t>method of delivery is at your option and risk. You are responsible for making sure that this Election Form is timely delivered as specified above. You must allow for delivery time based on the method of delivery that you choose to ensure we receive your Election Form on time.</w:t>
      </w:r>
    </w:p>
    <w:p>
      <w:pPr>
        <w:spacing w:after="0" w:line="164" w:lineRule="exact"/>
        <w:rPr>
          <w:rFonts w:ascii="Arial" w:cs="Arial" w:eastAsia="Arial" w:hAnsi="Arial"/>
          <w:sz w:val="16"/>
          <w:szCs w:val="16"/>
          <w:b w:val="1"/>
          <w:bCs w:val="1"/>
          <w:color w:val="auto"/>
        </w:rPr>
      </w:pPr>
    </w:p>
    <w:p>
      <w:pPr>
        <w:ind w:left="260" w:right="40" w:hanging="252"/>
        <w:spacing w:after="0" w:line="259" w:lineRule="auto"/>
        <w:tabs>
          <w:tab w:leader="none" w:pos="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Except as described in the following sentence, this Election Form must be executed by the optionholder who holds the eligible options to be tendered for exchange exactly as such optionholder’s name appears on the notice of grant for such options previously delivered to such optionholder. If the signature is by an attorney-in-fact or another person acting in a fiduciary or representative capacity, the signer’s full title and proper evidence of the authority of such person to act in such capacity must be identified on this Election Form.</w:t>
      </w:r>
    </w:p>
    <w:p>
      <w:pPr>
        <w:spacing w:after="0" w:line="186" w:lineRule="exact"/>
        <w:rPr>
          <w:rFonts w:ascii="Arial" w:cs="Arial" w:eastAsia="Arial" w:hAnsi="Arial"/>
          <w:sz w:val="18"/>
          <w:szCs w:val="18"/>
          <w:color w:val="auto"/>
        </w:rPr>
      </w:pPr>
    </w:p>
    <w:p>
      <w:pPr>
        <w:ind w:left="260" w:hanging="252"/>
        <w:spacing w:after="0" w:line="255" w:lineRule="auto"/>
        <w:tabs>
          <w:tab w:leader="none" w:pos="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If the optionholder is married and resides in a state the laws of which provide that a spouse has a community property interest in the eligible options which the optionholder has elected to tender in the Offer, the optionholder must timely deliver with this Election Form a Spousal Consent executed by the optionholder’s spouse, whereby such spouse agrees to be bound, and agrees that any such community property interest shall similarly be bound, by this Election Form. Note that New York, New Jersey, and Connecticut are </w:t>
      </w:r>
      <w:r>
        <w:rPr>
          <w:rFonts w:ascii="Arial" w:cs="Arial" w:eastAsia="Arial" w:hAnsi="Arial"/>
          <w:sz w:val="18"/>
          <w:szCs w:val="18"/>
          <w:b w:val="1"/>
          <w:bCs w:val="1"/>
          <w:color w:val="auto"/>
        </w:rPr>
        <w:t>NOT</w:t>
      </w:r>
      <w:r>
        <w:rPr>
          <w:rFonts w:ascii="Arial" w:cs="Arial" w:eastAsia="Arial" w:hAnsi="Arial"/>
          <w:sz w:val="18"/>
          <w:szCs w:val="18"/>
          <w:color w:val="auto"/>
        </w:rPr>
        <w:t xml:space="preserve"> “community property” states. If you are uncertain whether the state you reside in is such a “community property” state, or if you need a Spousal Consent form, please inquire by phone at 914-345-STOK or to our internal e-mail address, OptionsExchange@regeneron.com, and we will assist you.</w:t>
      </w:r>
    </w:p>
    <w:p>
      <w:pPr>
        <w:spacing w:after="0" w:line="193" w:lineRule="exact"/>
        <w:rPr>
          <w:rFonts w:ascii="Arial" w:cs="Arial" w:eastAsia="Arial" w:hAnsi="Arial"/>
          <w:sz w:val="18"/>
          <w:szCs w:val="18"/>
          <w:color w:val="auto"/>
        </w:rPr>
      </w:pPr>
    </w:p>
    <w:p>
      <w:pPr>
        <w:ind w:left="260" w:right="60" w:hanging="252"/>
        <w:spacing w:after="0" w:line="259" w:lineRule="auto"/>
        <w:tabs>
          <w:tab w:leader="none" w:pos="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you do not receive a confirmation of receipt of your Election Form from the Company via e-mail (or inter-office mail) within five business days after the date your Election Form should have been received by us, or if you submitted this Election Form less than five business days before the date the Offer is scheduled to expire, please contact us by phone at 914-345-STOK or at our internal e-mail address, OptionsExchange@regeneron.com, to confirm that we have received your Election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34"/>
        </w:trPr>
        <w:tc>
          <w:tcPr>
            <w:tcW w:w="2560" w:type="dxa"/>
            <w:vAlign w:val="bottom"/>
            <w:gridSpan w:val="5"/>
          </w:tcPr>
          <w:p>
            <w:pPr>
              <w:spacing w:after="0"/>
              <w:rPr>
                <w:sz w:val="20"/>
                <w:szCs w:val="20"/>
                <w:color w:val="auto"/>
              </w:rPr>
            </w:pPr>
            <w:r>
              <w:rPr>
                <w:rFonts w:ascii="Arial" w:cs="Arial" w:eastAsia="Arial" w:hAnsi="Arial"/>
                <w:sz w:val="18"/>
                <w:szCs w:val="18"/>
                <w:b w:val="1"/>
                <w:bCs w:val="1"/>
                <w:color w:val="auto"/>
                <w:w w:val="89"/>
              </w:rPr>
              <w:t>Regeneron Pharmaceuticals, Inc.</w:t>
            </w: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0" w:type="dxa"/>
            <w:vAlign w:val="bottom"/>
            <w:gridSpan w:val="7"/>
          </w:tcPr>
          <w:p>
            <w:pPr>
              <w:ind w:left="300"/>
              <w:spacing w:after="0"/>
              <w:rPr>
                <w:sz w:val="20"/>
                <w:szCs w:val="20"/>
                <w:color w:val="auto"/>
              </w:rPr>
            </w:pPr>
            <w:r>
              <w:rPr>
                <w:rFonts w:ascii="Arial" w:cs="Arial" w:eastAsia="Arial" w:hAnsi="Arial"/>
                <w:sz w:val="18"/>
                <w:szCs w:val="18"/>
                <w:b w:val="1"/>
                <w:bCs w:val="1"/>
                <w:color w:val="auto"/>
              </w:rPr>
              <w:t>STOCK OPTIONS AND AWARDS CANCELLED</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560" w:type="dxa"/>
            <w:vAlign w:val="bottom"/>
            <w:gridSpan w:val="5"/>
          </w:tcPr>
          <w:p>
            <w:pPr>
              <w:spacing w:after="0"/>
              <w:rPr>
                <w:sz w:val="20"/>
                <w:szCs w:val="20"/>
                <w:color w:val="auto"/>
              </w:rPr>
            </w:pPr>
            <w:r>
              <w:rPr>
                <w:rFonts w:ascii="Arial" w:cs="Arial" w:eastAsia="Arial" w:hAnsi="Arial"/>
                <w:sz w:val="18"/>
                <w:szCs w:val="18"/>
                <w:b w:val="1"/>
                <w:bCs w:val="1"/>
                <w:color w:val="auto"/>
                <w:w w:val="97"/>
              </w:rPr>
              <w:t>Name: [Name of Optionholder]</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6"/>
        </w:trPr>
        <w:tc>
          <w:tcPr>
            <w:tcW w:w="98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24"/>
                <w:szCs w:val="24"/>
                <w:color w:val="auto"/>
              </w:rPr>
            </w:pPr>
          </w:p>
        </w:tc>
        <w:tc>
          <w:tcPr>
            <w:tcW w:w="14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7"/>
              </w:rPr>
              <w:t>ID [Social</w:t>
            </w:r>
          </w:p>
        </w:tc>
        <w:tc>
          <w:tcPr>
            <w:tcW w:w="74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w w:val="94"/>
              </w:rPr>
              <w:t>Number</w:t>
            </w:r>
          </w:p>
        </w:tc>
        <w:tc>
          <w:tcPr>
            <w:tcW w:w="20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4"/>
                <w:szCs w:val="14"/>
                <w:b w:val="1"/>
                <w:bCs w:val="1"/>
                <w:color w:val="auto"/>
              </w:rPr>
              <w:t>Grant</w:t>
            </w:r>
          </w:p>
        </w:tc>
        <w:tc>
          <w:tcPr>
            <w:tcW w:w="200" w:type="dxa"/>
            <w:vAlign w:val="bottom"/>
          </w:tcPr>
          <w:p>
            <w:pPr>
              <w:spacing w:after="0"/>
              <w:rPr>
                <w:sz w:val="24"/>
                <w:szCs w:val="24"/>
                <w:color w:val="auto"/>
              </w:rPr>
            </w:pPr>
          </w:p>
        </w:tc>
        <w:tc>
          <w:tcPr>
            <w:tcW w:w="92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Plan</w:t>
            </w:r>
          </w:p>
        </w:tc>
        <w:tc>
          <w:tcPr>
            <w:tcW w:w="200" w:type="dxa"/>
            <w:vAlign w:val="bottom"/>
          </w:tcPr>
          <w:p>
            <w:pPr>
              <w:spacing w:after="0"/>
              <w:rPr>
                <w:sz w:val="24"/>
                <w:szCs w:val="24"/>
                <w:color w:val="auto"/>
              </w:rPr>
            </w:pPr>
          </w:p>
        </w:tc>
        <w:tc>
          <w:tcPr>
            <w:tcW w:w="960" w:type="dxa"/>
            <w:vAlign w:val="bottom"/>
          </w:tcPr>
          <w:p>
            <w:pPr>
              <w:ind w:left="260"/>
              <w:spacing w:after="0"/>
              <w:rPr>
                <w:sz w:val="20"/>
                <w:szCs w:val="20"/>
                <w:color w:val="auto"/>
              </w:rPr>
            </w:pPr>
            <w:r>
              <w:rPr>
                <w:rFonts w:ascii="Arial" w:cs="Arial" w:eastAsia="Arial" w:hAnsi="Arial"/>
                <w:sz w:val="14"/>
                <w:szCs w:val="14"/>
                <w:b w:val="1"/>
                <w:bCs w:val="1"/>
                <w:color w:val="auto"/>
              </w:rPr>
              <w:t>Cancel</w:t>
            </w:r>
          </w:p>
        </w:tc>
        <w:tc>
          <w:tcPr>
            <w:tcW w:w="200" w:type="dxa"/>
            <w:vAlign w:val="bottom"/>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Cancel Reason</w:t>
            </w:r>
          </w:p>
        </w:tc>
        <w:tc>
          <w:tcPr>
            <w:tcW w:w="220" w:type="dxa"/>
            <w:vAlign w:val="bottom"/>
          </w:tcPr>
          <w:p>
            <w:pPr>
              <w:spacing w:after="0"/>
              <w:rPr>
                <w:sz w:val="24"/>
                <w:szCs w:val="24"/>
                <w:color w:val="auto"/>
              </w:rPr>
            </w:pPr>
          </w:p>
        </w:tc>
        <w:tc>
          <w:tcPr>
            <w:tcW w:w="96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24"/>
                <w:szCs w:val="24"/>
                <w:color w:val="auto"/>
              </w:rPr>
            </w:pPr>
          </w:p>
        </w:tc>
        <w:tc>
          <w:tcPr>
            <w:tcW w:w="96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Price</w:t>
            </w:r>
          </w:p>
        </w:tc>
        <w:tc>
          <w:tcPr>
            <w:tcW w:w="200" w:type="dxa"/>
            <w:vAlign w:val="bottom"/>
          </w:tcPr>
          <w:p>
            <w:pPr>
              <w:spacing w:after="0"/>
              <w:rPr>
                <w:sz w:val="24"/>
                <w:szCs w:val="24"/>
                <w:color w:val="auto"/>
              </w:rPr>
            </w:pPr>
          </w:p>
        </w:tc>
        <w:tc>
          <w:tcPr>
            <w:tcW w:w="98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Total Price</w:t>
            </w:r>
          </w:p>
        </w:tc>
        <w:tc>
          <w:tcPr>
            <w:tcW w:w="0" w:type="dxa"/>
            <w:vAlign w:val="bottom"/>
          </w:tcPr>
          <w:p>
            <w:pPr>
              <w:spacing w:after="0"/>
              <w:rPr>
                <w:sz w:val="1"/>
                <w:szCs w:val="1"/>
                <w:color w:val="auto"/>
              </w:rPr>
            </w:pPr>
          </w:p>
        </w:tc>
      </w:tr>
      <w:tr>
        <w:trPr>
          <w:trHeight w:val="186"/>
        </w:trPr>
        <w:tc>
          <w:tcPr>
            <w:tcW w:w="9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4"/>
              </w:rPr>
              <w:t>Security No.]</w:t>
            </w:r>
          </w:p>
        </w:tc>
        <w:tc>
          <w:tcPr>
            <w:tcW w:w="7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ind w:left="320"/>
              <w:spacing w:after="0"/>
              <w:rPr>
                <w:sz w:val="20"/>
                <w:szCs w:val="20"/>
                <w:color w:val="auto"/>
              </w:rPr>
            </w:pPr>
            <w:r>
              <w:rPr>
                <w:rFonts w:ascii="Arial" w:cs="Arial" w:eastAsia="Arial" w:hAnsi="Arial"/>
                <w:sz w:val="14"/>
                <w:szCs w:val="14"/>
                <w:b w:val="1"/>
                <w:bCs w:val="1"/>
                <w:color w:val="auto"/>
              </w:rPr>
              <w:t>Date</w:t>
            </w:r>
          </w:p>
        </w:tc>
        <w:tc>
          <w:tcPr>
            <w:tcW w:w="2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ind w:left="320"/>
              <w:spacing w:after="0"/>
              <w:rPr>
                <w:sz w:val="20"/>
                <w:szCs w:val="20"/>
                <w:color w:val="auto"/>
              </w:rPr>
            </w:pPr>
            <w:r>
              <w:rPr>
                <w:rFonts w:ascii="Arial" w:cs="Arial" w:eastAsia="Arial" w:hAnsi="Arial"/>
                <w:sz w:val="14"/>
                <w:szCs w:val="14"/>
                <w:b w:val="1"/>
                <w:bCs w:val="1"/>
                <w:color w:val="auto"/>
              </w:rPr>
              <w:t>Date</w:t>
            </w:r>
          </w:p>
        </w:tc>
        <w:tc>
          <w:tcPr>
            <w:tcW w:w="2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980" w:type="dxa"/>
            <w:vAlign w:val="bottom"/>
            <w:tcBorders>
              <w:bottom w:val="single" w:sz="8" w:color="808080"/>
            </w:tcBorders>
          </w:tcPr>
          <w:p>
            <w:pPr>
              <w:spacing w:after="0"/>
              <w:rPr>
                <w:sz w:val="4"/>
                <w:szCs w:val="4"/>
                <w:color w:val="auto"/>
              </w:rPr>
            </w:pPr>
          </w:p>
        </w:tc>
        <w:tc>
          <w:tcPr>
            <w:tcW w:w="180" w:type="dxa"/>
            <w:vAlign w:val="bottom"/>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Borders>
              <w:bottom w:val="single" w:sz="8" w:color="808080"/>
            </w:tcBorders>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Borders>
              <w:bottom w:val="single" w:sz="8" w:color="808080"/>
            </w:tcBorders>
          </w:tcPr>
          <w:p>
            <w:pPr>
              <w:spacing w:after="0"/>
              <w:rPr>
                <w:sz w:val="4"/>
                <w:szCs w:val="4"/>
                <w:color w:val="auto"/>
              </w:rPr>
            </w:pPr>
          </w:p>
        </w:tc>
        <w:tc>
          <w:tcPr>
            <w:tcW w:w="200" w:type="dxa"/>
            <w:vAlign w:val="bottom"/>
          </w:tcPr>
          <w:p>
            <w:pPr>
              <w:spacing w:after="0"/>
              <w:rPr>
                <w:sz w:val="4"/>
                <w:szCs w:val="4"/>
                <w:color w:val="auto"/>
              </w:rPr>
            </w:pPr>
          </w:p>
        </w:tc>
        <w:tc>
          <w:tcPr>
            <w:tcW w:w="960" w:type="dxa"/>
            <w:vAlign w:val="bottom"/>
            <w:tcBorders>
              <w:bottom w:val="single" w:sz="8" w:color="808080"/>
            </w:tcBorders>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980" w:type="dxa"/>
            <w:vAlign w:val="bottom"/>
          </w:tcPr>
          <w:p>
            <w:pPr>
              <w:spacing w:after="0"/>
              <w:rPr>
                <w:sz w:val="20"/>
                <w:szCs w:val="20"/>
                <w:color w:val="auto"/>
              </w:rPr>
            </w:pPr>
            <w:r>
              <w:rPr>
                <w:rFonts w:ascii="Arial" w:cs="Arial" w:eastAsia="Arial" w:hAnsi="Arial"/>
                <w:sz w:val="18"/>
                <w:szCs w:val="18"/>
                <w:color w:val="auto"/>
              </w:rPr>
              <w:t>[ ]</w:t>
            </w:r>
          </w:p>
        </w:tc>
        <w:tc>
          <w:tcPr>
            <w:tcW w:w="1180" w:type="dxa"/>
            <w:vAlign w:val="bottom"/>
            <w:gridSpan w:val="2"/>
          </w:tcPr>
          <w:p>
            <w:pPr>
              <w:jc w:val="right"/>
              <w:ind w:right="368"/>
              <w:spacing w:after="0"/>
              <w:rPr>
                <w:sz w:val="20"/>
                <w:szCs w:val="20"/>
                <w:color w:val="auto"/>
              </w:rPr>
            </w:pPr>
            <w:r>
              <w:rPr>
                <w:rFonts w:ascii="Arial" w:cs="Arial" w:eastAsia="Arial" w:hAnsi="Arial"/>
                <w:sz w:val="18"/>
                <w:szCs w:val="18"/>
                <w:color w:val="auto"/>
              </w:rPr>
              <w:t>[ ]</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ind w:right="336"/>
              <w:spacing w:after="0"/>
              <w:rPr>
                <w:sz w:val="20"/>
                <w:szCs w:val="20"/>
                <w:color w:val="auto"/>
              </w:rPr>
            </w:pPr>
            <w:r>
              <w:rPr>
                <w:rFonts w:ascii="Arial" w:cs="Arial" w:eastAsia="Arial" w:hAnsi="Arial"/>
                <w:sz w:val="18"/>
                <w:szCs w:val="18"/>
                <w:color w:val="auto"/>
              </w:rPr>
              <w:t>[ ]</w:t>
            </w:r>
          </w:p>
        </w:tc>
        <w:tc>
          <w:tcPr>
            <w:tcW w:w="1120" w:type="dxa"/>
            <w:vAlign w:val="bottom"/>
            <w:gridSpan w:val="2"/>
          </w:tcPr>
          <w:p>
            <w:pPr>
              <w:ind w:left="500"/>
              <w:spacing w:after="0"/>
              <w:rPr>
                <w:sz w:val="20"/>
                <w:szCs w:val="20"/>
                <w:color w:val="auto"/>
              </w:rPr>
            </w:pPr>
            <w:r>
              <w:rPr>
                <w:rFonts w:ascii="Arial" w:cs="Arial" w:eastAsia="Arial" w:hAnsi="Arial"/>
                <w:sz w:val="18"/>
                <w:szCs w:val="18"/>
                <w:color w:val="auto"/>
              </w:rPr>
              <w:t>[ ]</w:t>
            </w:r>
          </w:p>
        </w:tc>
        <w:tc>
          <w:tcPr>
            <w:tcW w:w="1120" w:type="dxa"/>
            <w:vAlign w:val="bottom"/>
            <w:gridSpan w:val="2"/>
          </w:tcPr>
          <w:p>
            <w:pPr>
              <w:ind w:left="520"/>
              <w:spacing w:after="0"/>
              <w:rPr>
                <w:sz w:val="20"/>
                <w:szCs w:val="20"/>
                <w:color w:val="auto"/>
              </w:rPr>
            </w:pPr>
            <w:r>
              <w:rPr>
                <w:rFonts w:ascii="Arial" w:cs="Arial" w:eastAsia="Arial" w:hAnsi="Arial"/>
                <w:sz w:val="18"/>
                <w:szCs w:val="18"/>
                <w:color w:val="auto"/>
              </w:rPr>
              <w:t>[ ]</w:t>
            </w:r>
          </w:p>
        </w:tc>
        <w:tc>
          <w:tcPr>
            <w:tcW w:w="1160" w:type="dxa"/>
            <w:vAlign w:val="bottom"/>
            <w:gridSpan w:val="2"/>
          </w:tcPr>
          <w:p>
            <w:pPr>
              <w:ind w:left="520"/>
              <w:spacing w:after="0"/>
              <w:rPr>
                <w:sz w:val="20"/>
                <w:szCs w:val="20"/>
                <w:color w:val="auto"/>
              </w:rPr>
            </w:pPr>
            <w:r>
              <w:rPr>
                <w:rFonts w:ascii="Arial" w:cs="Arial" w:eastAsia="Arial" w:hAnsi="Arial"/>
                <w:sz w:val="18"/>
                <w:szCs w:val="18"/>
                <w:color w:val="auto"/>
              </w:rPr>
              <w:t>[ ]</w:t>
            </w:r>
          </w:p>
        </w:tc>
        <w:tc>
          <w:tcPr>
            <w:tcW w:w="1200" w:type="dxa"/>
            <w:vAlign w:val="bottom"/>
            <w:gridSpan w:val="2"/>
          </w:tcPr>
          <w:p>
            <w:pPr>
              <w:jc w:val="right"/>
              <w:ind w:right="388"/>
              <w:spacing w:after="0"/>
              <w:rPr>
                <w:sz w:val="20"/>
                <w:szCs w:val="20"/>
                <w:color w:val="auto"/>
              </w:rPr>
            </w:pPr>
            <w:r>
              <w:rPr>
                <w:rFonts w:ascii="Arial" w:cs="Arial" w:eastAsia="Arial" w:hAnsi="Arial"/>
                <w:sz w:val="18"/>
                <w:szCs w:val="18"/>
                <w:color w:val="auto"/>
              </w:rPr>
              <w:t>[ ]</w:t>
            </w:r>
          </w:p>
        </w:tc>
        <w:tc>
          <w:tcPr>
            <w:tcW w:w="1180" w:type="dxa"/>
            <w:vAlign w:val="bottom"/>
            <w:gridSpan w:val="4"/>
          </w:tcPr>
          <w:p>
            <w:pPr>
              <w:jc w:val="right"/>
              <w:ind w:right="420"/>
              <w:spacing w:after="0"/>
              <w:rPr>
                <w:sz w:val="20"/>
                <w:szCs w:val="20"/>
                <w:color w:val="auto"/>
              </w:rPr>
            </w:pPr>
            <w:r>
              <w:rPr>
                <w:rFonts w:ascii="Arial" w:cs="Arial" w:eastAsia="Arial" w:hAnsi="Arial"/>
                <w:sz w:val="18"/>
                <w:szCs w:val="18"/>
                <w:color w:val="auto"/>
              </w:rPr>
              <w:t>[ ]</w:t>
            </w:r>
          </w:p>
        </w:tc>
        <w:tc>
          <w:tcPr>
            <w:tcW w:w="1160" w:type="dxa"/>
            <w:vAlign w:val="bottom"/>
            <w:gridSpan w:val="4"/>
          </w:tcPr>
          <w:p>
            <w:pPr>
              <w:jc w:val="right"/>
              <w:ind w:right="420"/>
              <w:spacing w:after="0"/>
              <w:rPr>
                <w:sz w:val="20"/>
                <w:szCs w:val="20"/>
                <w:color w:val="auto"/>
              </w:rPr>
            </w:pPr>
            <w:r>
              <w:rPr>
                <w:rFonts w:ascii="Arial" w:cs="Arial" w:eastAsia="Arial" w:hAnsi="Arial"/>
                <w:sz w:val="18"/>
                <w:szCs w:val="18"/>
                <w:color w:val="auto"/>
              </w:rPr>
              <w:t>[ ]</w:t>
            </w:r>
          </w:p>
        </w:tc>
        <w:tc>
          <w:tcPr>
            <w:tcW w:w="1180" w:type="dxa"/>
            <w:vAlign w:val="bottom"/>
            <w:gridSpan w:val="4"/>
          </w:tcPr>
          <w:p>
            <w:pPr>
              <w:ind w:left="5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r>
              <w:rPr>
                <w:rFonts w:ascii="Arial" w:cs="Arial" w:eastAsia="Arial" w:hAnsi="Arial"/>
                <w:sz w:val="18"/>
                <w:szCs w:val="18"/>
                <w:color w:val="auto"/>
              </w:rPr>
              <w:t>[ ]</w:t>
            </w:r>
          </w:p>
        </w:tc>
        <w:tc>
          <w:tcPr>
            <w:tcW w:w="1180" w:type="dxa"/>
            <w:vAlign w:val="bottom"/>
            <w:gridSpan w:val="2"/>
          </w:tcPr>
          <w:p>
            <w:pPr>
              <w:jc w:val="right"/>
              <w:ind w:right="368"/>
              <w:spacing w:after="0"/>
              <w:rPr>
                <w:sz w:val="20"/>
                <w:szCs w:val="20"/>
                <w:color w:val="auto"/>
              </w:rPr>
            </w:pPr>
            <w:r>
              <w:rPr>
                <w:rFonts w:ascii="Arial" w:cs="Arial" w:eastAsia="Arial" w:hAnsi="Arial"/>
                <w:sz w:val="18"/>
                <w:szCs w:val="18"/>
                <w:color w:val="auto"/>
              </w:rPr>
              <w:t>[ ]</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336"/>
              <w:spacing w:after="0"/>
              <w:rPr>
                <w:sz w:val="20"/>
                <w:szCs w:val="20"/>
                <w:color w:val="auto"/>
              </w:rPr>
            </w:pPr>
            <w:r>
              <w:rPr>
                <w:rFonts w:ascii="Arial" w:cs="Arial" w:eastAsia="Arial" w:hAnsi="Arial"/>
                <w:sz w:val="18"/>
                <w:szCs w:val="18"/>
                <w:color w:val="auto"/>
              </w:rPr>
              <w:t>[ ]</w:t>
            </w:r>
          </w:p>
        </w:tc>
        <w:tc>
          <w:tcPr>
            <w:tcW w:w="1120" w:type="dxa"/>
            <w:vAlign w:val="bottom"/>
            <w:gridSpan w:val="2"/>
          </w:tcPr>
          <w:p>
            <w:pPr>
              <w:ind w:left="500"/>
              <w:spacing w:after="0"/>
              <w:rPr>
                <w:sz w:val="20"/>
                <w:szCs w:val="20"/>
                <w:color w:val="auto"/>
              </w:rPr>
            </w:pPr>
            <w:r>
              <w:rPr>
                <w:rFonts w:ascii="Arial" w:cs="Arial" w:eastAsia="Arial" w:hAnsi="Arial"/>
                <w:sz w:val="18"/>
                <w:szCs w:val="18"/>
                <w:color w:val="auto"/>
              </w:rPr>
              <w:t>[ ]</w:t>
            </w:r>
          </w:p>
        </w:tc>
        <w:tc>
          <w:tcPr>
            <w:tcW w:w="1120" w:type="dxa"/>
            <w:vAlign w:val="bottom"/>
            <w:gridSpan w:val="2"/>
          </w:tcPr>
          <w:p>
            <w:pPr>
              <w:ind w:left="520"/>
              <w:spacing w:after="0"/>
              <w:rPr>
                <w:sz w:val="20"/>
                <w:szCs w:val="20"/>
                <w:color w:val="auto"/>
              </w:rPr>
            </w:pPr>
            <w:r>
              <w:rPr>
                <w:rFonts w:ascii="Arial" w:cs="Arial" w:eastAsia="Arial" w:hAnsi="Arial"/>
                <w:sz w:val="18"/>
                <w:szCs w:val="18"/>
                <w:color w:val="auto"/>
              </w:rPr>
              <w:t>[ ]</w:t>
            </w:r>
          </w:p>
        </w:tc>
        <w:tc>
          <w:tcPr>
            <w:tcW w:w="1160" w:type="dxa"/>
            <w:vAlign w:val="bottom"/>
            <w:gridSpan w:val="2"/>
          </w:tcPr>
          <w:p>
            <w:pPr>
              <w:ind w:left="520"/>
              <w:spacing w:after="0"/>
              <w:rPr>
                <w:sz w:val="20"/>
                <w:szCs w:val="20"/>
                <w:color w:val="auto"/>
              </w:rPr>
            </w:pPr>
            <w:r>
              <w:rPr>
                <w:rFonts w:ascii="Arial" w:cs="Arial" w:eastAsia="Arial" w:hAnsi="Arial"/>
                <w:sz w:val="18"/>
                <w:szCs w:val="18"/>
                <w:color w:val="auto"/>
              </w:rPr>
              <w:t>[ ]</w:t>
            </w:r>
          </w:p>
        </w:tc>
        <w:tc>
          <w:tcPr>
            <w:tcW w:w="1200" w:type="dxa"/>
            <w:vAlign w:val="bottom"/>
            <w:gridSpan w:val="2"/>
          </w:tcPr>
          <w:p>
            <w:pPr>
              <w:jc w:val="right"/>
              <w:ind w:right="388"/>
              <w:spacing w:after="0"/>
              <w:rPr>
                <w:sz w:val="20"/>
                <w:szCs w:val="20"/>
                <w:color w:val="auto"/>
              </w:rPr>
            </w:pPr>
            <w:r>
              <w:rPr>
                <w:rFonts w:ascii="Arial" w:cs="Arial" w:eastAsia="Arial" w:hAnsi="Arial"/>
                <w:sz w:val="18"/>
                <w:szCs w:val="18"/>
                <w:color w:val="auto"/>
              </w:rPr>
              <w:t>[ ]</w:t>
            </w:r>
          </w:p>
        </w:tc>
        <w:tc>
          <w:tcPr>
            <w:tcW w:w="1180" w:type="dxa"/>
            <w:vAlign w:val="bottom"/>
            <w:gridSpan w:val="4"/>
          </w:tcPr>
          <w:p>
            <w:pPr>
              <w:jc w:val="right"/>
              <w:ind w:right="420"/>
              <w:spacing w:after="0"/>
              <w:rPr>
                <w:sz w:val="20"/>
                <w:szCs w:val="20"/>
                <w:color w:val="auto"/>
              </w:rPr>
            </w:pPr>
            <w:r>
              <w:rPr>
                <w:rFonts w:ascii="Arial" w:cs="Arial" w:eastAsia="Arial" w:hAnsi="Arial"/>
                <w:sz w:val="18"/>
                <w:szCs w:val="18"/>
                <w:color w:val="auto"/>
              </w:rPr>
              <w:t>[ ]</w:t>
            </w:r>
          </w:p>
        </w:tc>
        <w:tc>
          <w:tcPr>
            <w:tcW w:w="1160" w:type="dxa"/>
            <w:vAlign w:val="bottom"/>
            <w:gridSpan w:val="4"/>
          </w:tcPr>
          <w:p>
            <w:pPr>
              <w:jc w:val="right"/>
              <w:ind w:right="420"/>
              <w:spacing w:after="0"/>
              <w:rPr>
                <w:sz w:val="20"/>
                <w:szCs w:val="20"/>
                <w:color w:val="auto"/>
              </w:rPr>
            </w:pPr>
            <w:r>
              <w:rPr>
                <w:rFonts w:ascii="Arial" w:cs="Arial" w:eastAsia="Arial" w:hAnsi="Arial"/>
                <w:sz w:val="18"/>
                <w:szCs w:val="18"/>
                <w:color w:val="auto"/>
              </w:rPr>
              <w:t>[ ]</w:t>
            </w:r>
          </w:p>
        </w:tc>
        <w:tc>
          <w:tcPr>
            <w:tcW w:w="1180" w:type="dxa"/>
            <w:vAlign w:val="bottom"/>
            <w:gridSpan w:val="4"/>
          </w:tcPr>
          <w:p>
            <w:pPr>
              <w:ind w:left="5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5"/>
        </w:trPr>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22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 ]</w:t>
            </w:r>
          </w:p>
        </w:tc>
        <w:tc>
          <w:tcPr>
            <w:tcW w:w="420" w:type="dxa"/>
            <w:vAlign w:val="bottom"/>
          </w:tcPr>
          <w:p>
            <w:pPr>
              <w:spacing w:after="0"/>
              <w:rPr>
                <w:sz w:val="18"/>
                <w:szCs w:val="18"/>
                <w:color w:val="auto"/>
              </w:rPr>
            </w:pP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Hi</w:t>
            </w:r>
          </w:p>
        </w:tc>
        <w:tc>
          <w:tcPr>
            <w:tcW w:w="20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 ]</w:t>
            </w:r>
          </w:p>
        </w:tc>
        <w:tc>
          <w:tcPr>
            <w:tcW w:w="42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200" w:type="dxa"/>
            <w:vAlign w:val="bottom"/>
            <w:tcBorders>
              <w:top w:val="single" w:sz="8" w:color="808080"/>
            </w:tcBorders>
          </w:tcPr>
          <w:p>
            <w:pPr>
              <w:spacing w:after="0"/>
              <w:rPr>
                <w:sz w:val="20"/>
                <w:szCs w:val="20"/>
                <w:color w:val="auto"/>
              </w:rPr>
            </w:pPr>
            <w:r>
              <w:rPr>
                <w:rFonts w:ascii="Arial" w:cs="Arial" w:eastAsia="Arial" w:hAnsi="Arial"/>
                <w:sz w:val="18"/>
                <w:szCs w:val="18"/>
                <w:color w:val="auto"/>
              </w:rPr>
              <w:t>[ ]</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4"/>
          </w:tcPr>
          <w:p>
            <w:pPr>
              <w:jc w:val="right"/>
              <w:ind w:right="420"/>
              <w:spacing w:after="0"/>
              <w:rPr>
                <w:sz w:val="20"/>
                <w:szCs w:val="20"/>
                <w:color w:val="auto"/>
              </w:rPr>
            </w:pPr>
            <w:r>
              <w:rPr>
                <w:rFonts w:ascii="Arial" w:cs="Arial" w:eastAsia="Arial" w:hAnsi="Arial"/>
                <w:sz w:val="18"/>
                <w:szCs w:val="18"/>
                <w:color w:val="auto"/>
              </w:rPr>
              <w:t>Avg [ ]</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gridSpan w:val="4"/>
          </w:tcPr>
          <w:p>
            <w:pPr>
              <w:jc w:val="right"/>
              <w:ind w:right="420"/>
              <w:spacing w:after="0"/>
              <w:rPr>
                <w:sz w:val="20"/>
                <w:szCs w:val="20"/>
                <w:color w:val="auto"/>
              </w:rPr>
            </w:pPr>
            <w:r>
              <w:rPr>
                <w:rFonts w:ascii="Arial" w:cs="Arial" w:eastAsia="Arial" w:hAnsi="Arial"/>
                <w:sz w:val="18"/>
                <w:szCs w:val="18"/>
                <w:color w:val="auto"/>
              </w:rPr>
              <w:t>Low[ ]</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8"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color w:val="auto"/>
        </w:rPr>
        <w:t>Exhibit (a)(1)(iii)</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WITHDRAWAL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6376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58"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If you previously submitted an Election Form to tender for exchange and cancellation some or all of your eligible options, pursuant to the Offer to Exchange dated December 3, 2004 (as amended or supplemented from time to time, the “Offer to Exchange” which, together with the Election Form accompanying the Offer to Exchange, constitutes the “Offer”), and you wish to withdraw your tender of some or all of such options, you must execute this Notice of Withdrawal and send it as soon as possible by regular or overnight mail to Regeneron Pharmaceuticals, Inc., 777 Old Saw Mill River Road, Tarrytown, New York 10591, Attn: Human Resources Department, Options Exchange, or deliver it by hand to Pam Curtis at our Tarrytown, New York location or Lynne Fuierer at our Rensselaer, New York location. Your eligible options tendered for exchange will not be considered withdrawn unless a properly completed and signed Notice of Withdrawal is received by our Human Resources Department as specified above before 6:00 p.m., Eastern Time, on January 5, 2005, or such later expiration date of the Offer if the Company extends the Offer. If you miss this deadline but remain an eligible optionholder as described in the Offer to Exchange, any eligible options previously validly tendered by you and accepted for exchange will be cancelled and exchanged pursuant to the Offer. We will only accept delivery of the signed Notice of Withdrawal by hand or regular or overnight mail as specified above. Delivery by e-mail or other electronic means will NOT be accepted</w:t>
      </w:r>
      <w:r>
        <w:rPr>
          <w:rFonts w:ascii="Arial" w:cs="Arial" w:eastAsia="Arial" w:hAnsi="Arial"/>
          <w:sz w:val="17"/>
          <w:szCs w:val="17"/>
          <w:b w:val="1"/>
          <w:bCs w:val="1"/>
          <w:color w:val="auto"/>
        </w:rPr>
        <w:t>. The method of delivery is at your option and risk. You are responsible for making sure that the Notice of Withdrawal is timely</w:t>
      </w:r>
      <w:r>
        <w:rPr>
          <w:rFonts w:ascii="Arial" w:cs="Arial" w:eastAsia="Arial" w:hAnsi="Arial"/>
          <w:sz w:val="17"/>
          <w:szCs w:val="17"/>
          <w:color w:val="auto"/>
        </w:rPr>
        <w:t xml:space="preserve"> </w:t>
      </w:r>
      <w:r>
        <w:rPr>
          <w:rFonts w:ascii="Arial" w:cs="Arial" w:eastAsia="Arial" w:hAnsi="Arial"/>
          <w:sz w:val="17"/>
          <w:szCs w:val="17"/>
          <w:b w:val="1"/>
          <w:bCs w:val="1"/>
          <w:color w:val="auto"/>
        </w:rPr>
        <w:t>delivered as specified above. You must allow for delivery time based on the method of delivery that you choose to ensure we receive your Notice of Withdrawal on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26376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To Regeneron Pharmaceuticals, Inc.:</w:t>
      </w:r>
    </w:p>
    <w:p>
      <w:pPr>
        <w:spacing w:after="0" w:line="185" w:lineRule="exact"/>
        <w:rPr>
          <w:sz w:val="20"/>
          <w:szCs w:val="20"/>
          <w:color w:val="auto"/>
        </w:rPr>
      </w:pPr>
    </w:p>
    <w:p>
      <w:pPr>
        <w:ind w:right="100" w:firstLine="450"/>
        <w:spacing w:after="0" w:line="259" w:lineRule="auto"/>
        <w:rPr>
          <w:sz w:val="20"/>
          <w:szCs w:val="20"/>
          <w:color w:val="auto"/>
        </w:rPr>
      </w:pPr>
      <w:r>
        <w:rPr>
          <w:rFonts w:ascii="Arial" w:cs="Arial" w:eastAsia="Arial" w:hAnsi="Arial"/>
          <w:sz w:val="18"/>
          <w:szCs w:val="18"/>
          <w:color w:val="auto"/>
        </w:rPr>
        <w:t>I previously received a copy of the Offer to Exchange dated December 3, 2004 and the related Election Form. I signed and returned the Election Form, whereby I tendered for exchange certain options pursuant to the Offer to Exchange. I now wish to withdraw my tender with respect to the stock option grant(s) specified below</w:t>
      </w:r>
      <w:r>
        <w:rPr>
          <w:rFonts w:ascii="Arial" w:cs="Arial" w:eastAsia="Arial" w:hAnsi="Arial"/>
          <w:sz w:val="18"/>
          <w:szCs w:val="18"/>
          <w:b w:val="1"/>
          <w:bCs w:val="1"/>
          <w:color w:val="auto"/>
        </w:rPr>
        <w:t>. I understand that by withdrawing my tender with respect to the stock option grant(s) specified below, I am withdrawing my</w:t>
      </w:r>
      <w:r>
        <w:rPr>
          <w:rFonts w:ascii="Arial" w:cs="Arial" w:eastAsia="Arial" w:hAnsi="Arial"/>
          <w:sz w:val="18"/>
          <w:szCs w:val="18"/>
          <w:color w:val="auto"/>
        </w:rPr>
        <w:t xml:space="preserve"> </w:t>
      </w:r>
      <w:r>
        <w:rPr>
          <w:rFonts w:ascii="Arial" w:cs="Arial" w:eastAsia="Arial" w:hAnsi="Arial"/>
          <w:sz w:val="18"/>
          <w:szCs w:val="18"/>
          <w:b w:val="1"/>
          <w:bCs w:val="1"/>
          <w:color w:val="auto"/>
        </w:rPr>
        <w:t>tender of all the options covered by such specified grant(s).</w:t>
      </w:r>
    </w:p>
    <w:p>
      <w:pPr>
        <w:spacing w:after="0" w:line="146" w:lineRule="exact"/>
        <w:rPr>
          <w:sz w:val="20"/>
          <w:szCs w:val="20"/>
          <w:color w:val="auto"/>
        </w:rPr>
      </w:pPr>
    </w:p>
    <w:p>
      <w:pPr>
        <w:jc w:val="both"/>
        <w:ind w:right="140" w:firstLine="450"/>
        <w:spacing w:after="0" w:line="279" w:lineRule="auto"/>
        <w:rPr>
          <w:sz w:val="20"/>
          <w:szCs w:val="20"/>
          <w:color w:val="auto"/>
        </w:rPr>
      </w:pPr>
      <w:r>
        <w:rPr>
          <w:rFonts w:ascii="Arial" w:cs="Arial" w:eastAsia="Arial" w:hAnsi="Arial"/>
          <w:sz w:val="17"/>
          <w:szCs w:val="17"/>
          <w:color w:val="auto"/>
        </w:rPr>
        <w:t>I understand and acknowledge that, by withdrawing my previously tendered options specified below, I will not be granted any replacement options in exchange for such previously tendered options and I will retain such options with their existing exercise price(s), term(s) vesting schedule(s) and other terms and conditions. I also understand and acknowledge that all of such options will continue to be governed by the Long-Term Incentive Plan under which they were granted and the form(s) of option agreement(s) previously provided to me in connection with the grant of such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6376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493395</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9" w:name="page70"/>
    <w:bookmarkEnd w:id="69"/>
    <w:p>
      <w:pPr>
        <w:ind w:right="140" w:firstLine="450"/>
        <w:spacing w:after="0" w:line="264" w:lineRule="auto"/>
        <w:rPr>
          <w:sz w:val="20"/>
          <w:szCs w:val="20"/>
          <w:color w:val="auto"/>
        </w:rPr>
      </w:pPr>
      <w:r>
        <w:rPr>
          <w:rFonts w:ascii="Arial" w:cs="Arial" w:eastAsia="Arial" w:hAnsi="Arial"/>
          <w:sz w:val="18"/>
          <w:szCs w:val="18"/>
          <w:color w:val="auto"/>
        </w:rPr>
        <w:t>I hereby withdraw all of the eligible options subject to the option grant(s) listed below which I previously tendered for exchange and cancellation pursuant to the Offer. I have therefore completed this Notice of Withdrawal in accordance with the withdrawal instructions on the next page and have signed exactly as my name appears on the Notice of Grant for such options previously delivered to 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295910</wp:posOffset>
            </wp:positionV>
            <wp:extent cx="675767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57670" cy="889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spacing w:after="0"/>
        <w:tabs>
          <w:tab w:leader="none" w:pos="7420" w:val="left"/>
        </w:tabs>
        <w:rPr>
          <w:sz w:val="20"/>
          <w:szCs w:val="20"/>
          <w:color w:val="auto"/>
        </w:rPr>
      </w:pPr>
      <w:r>
        <w:rPr>
          <w:rFonts w:ascii="Arial" w:cs="Arial" w:eastAsia="Arial" w:hAnsi="Arial"/>
          <w:sz w:val="18"/>
          <w:szCs w:val="18"/>
          <w:color w:val="auto"/>
        </w:rPr>
        <w:t>Optionholder’s Signature</w:t>
      </w:r>
      <w:r>
        <w:rPr>
          <w:sz w:val="20"/>
          <w:szCs w:val="20"/>
          <w:color w:val="auto"/>
        </w:rPr>
        <w:tab/>
      </w: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349885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Optionholder’s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349885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Social Security Number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Options Withdrawn:</w:t>
      </w:r>
    </w:p>
    <w:p>
      <w:pPr>
        <w:spacing w:after="0" w:line="392" w:lineRule="exact"/>
        <w:rPr>
          <w:sz w:val="20"/>
          <w:szCs w:val="20"/>
          <w:color w:val="auto"/>
        </w:rPr>
      </w:pPr>
    </w:p>
    <w:p>
      <w:pPr>
        <w:spacing w:after="0"/>
        <w:tabs>
          <w:tab w:leader="none" w:pos="4500" w:val="left"/>
          <w:tab w:leader="none" w:pos="6280" w:val="left"/>
          <w:tab w:leader="none" w:pos="8260" w:val="left"/>
          <w:tab w:leader="none" w:pos="9960" w:val="left"/>
        </w:tabs>
        <w:rPr>
          <w:sz w:val="20"/>
          <w:szCs w:val="20"/>
          <w:color w:val="auto"/>
        </w:rPr>
      </w:pPr>
      <w:r>
        <w:rPr>
          <w:rFonts w:ascii="Arial" w:cs="Arial" w:eastAsia="Arial" w:hAnsi="Arial"/>
          <w:sz w:val="14"/>
          <w:szCs w:val="14"/>
          <w:b w:val="1"/>
          <w:bCs w:val="1"/>
          <w:color w:val="auto"/>
        </w:rPr>
        <w:t>Grant Number</w:t>
      </w:r>
      <w:r>
        <w:rPr>
          <w:sz w:val="20"/>
          <w:szCs w:val="20"/>
          <w:color w:val="auto"/>
        </w:rPr>
        <w:tab/>
      </w:r>
      <w:r>
        <w:rPr>
          <w:rFonts w:ascii="Arial" w:cs="Arial" w:eastAsia="Arial" w:hAnsi="Arial"/>
          <w:sz w:val="14"/>
          <w:szCs w:val="14"/>
          <w:b w:val="1"/>
          <w:bCs w:val="1"/>
          <w:color w:val="auto"/>
        </w:rPr>
        <w:t>Grant Date</w:t>
      </w:r>
      <w:r>
        <w:rPr>
          <w:sz w:val="20"/>
          <w:szCs w:val="20"/>
          <w:color w:val="auto"/>
        </w:rPr>
        <w:tab/>
      </w:r>
      <w:r>
        <w:rPr>
          <w:rFonts w:ascii="Arial" w:cs="Arial" w:eastAsia="Arial" w:hAnsi="Arial"/>
          <w:sz w:val="14"/>
          <w:szCs w:val="14"/>
          <w:b w:val="1"/>
          <w:bCs w:val="1"/>
          <w:color w:val="auto"/>
        </w:rPr>
        <w:t>Expiration Date</w:t>
      </w:r>
      <w:r>
        <w:rPr>
          <w:sz w:val="20"/>
          <w:szCs w:val="20"/>
          <w:color w:val="auto"/>
        </w:rPr>
        <w:tab/>
      </w:r>
      <w:r>
        <w:rPr>
          <w:rFonts w:ascii="Arial" w:cs="Arial" w:eastAsia="Arial" w:hAnsi="Arial"/>
          <w:sz w:val="14"/>
          <w:szCs w:val="14"/>
          <w:b w:val="1"/>
          <w:bCs w:val="1"/>
          <w:color w:val="auto"/>
        </w:rPr>
        <w:t>Exercise Price</w:t>
      </w:r>
      <w:r>
        <w:rPr>
          <w:sz w:val="20"/>
          <w:szCs w:val="20"/>
          <w:color w:val="auto"/>
        </w:rPr>
        <w:tab/>
      </w:r>
      <w:r>
        <w:rPr>
          <w:rFonts w:ascii="Arial" w:cs="Arial" w:eastAsia="Arial" w:hAnsi="Arial"/>
          <w:sz w:val="13"/>
          <w:szCs w:val="13"/>
          <w:b w:val="1"/>
          <w:bCs w:val="1"/>
          <w:color w:val="auto"/>
        </w:rPr>
        <w:t>Option Shares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418465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581025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744220</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906780</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1069975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1233170</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1395730</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1558925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1721485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t>Withdrawal Instructions:</w:t>
      </w:r>
    </w:p>
    <w:p>
      <w:pPr>
        <w:spacing w:after="0" w:line="225" w:lineRule="exact"/>
        <w:rPr>
          <w:sz w:val="20"/>
          <w:szCs w:val="20"/>
          <w:color w:val="auto"/>
        </w:rPr>
      </w:pPr>
    </w:p>
    <w:p>
      <w:pPr>
        <w:ind w:left="460" w:right="40" w:hanging="249"/>
        <w:spacing w:after="0" w:line="269" w:lineRule="auto"/>
        <w:tabs>
          <w:tab w:leader="none" w:pos="460" w:val="left"/>
        </w:tabs>
        <w:numPr>
          <w:ilvl w:val="0"/>
          <w:numId w:val="48"/>
        </w:numPr>
        <w:rPr>
          <w:rFonts w:ascii="Arial" w:cs="Arial" w:eastAsia="Arial" w:hAnsi="Arial"/>
          <w:sz w:val="17"/>
          <w:szCs w:val="17"/>
          <w:b w:val="1"/>
          <w:bCs w:val="1"/>
          <w:color w:val="auto"/>
        </w:rPr>
      </w:pPr>
      <w:r>
        <w:rPr>
          <w:rFonts w:ascii="Arial" w:cs="Arial" w:eastAsia="Arial" w:hAnsi="Arial"/>
          <w:sz w:val="17"/>
          <w:szCs w:val="17"/>
          <w:color w:val="auto"/>
        </w:rPr>
        <w:t xml:space="preserve">Complete and sign this Notice of Withdrawal and send it as soon as possible by regular or overnight mail to Regeneron Pharmaceuticals, Inc., 777 Old Saw Mill River Road, Tarrytown, New York 10591, Attention: Human Resources Department, Options Exchange, or deliver it by hand to Pam Curtis at our Tarrytown, New York location or Lynne Fuierer at our Rensselaer, New York location. You should make and keep a copy of the completed and signed Notice of Withdrawal for your records. </w:t>
      </w:r>
      <w:r>
        <w:rPr>
          <w:rFonts w:ascii="Arial" w:cs="Arial" w:eastAsia="Arial" w:hAnsi="Arial"/>
          <w:sz w:val="17"/>
          <w:szCs w:val="17"/>
          <w:b w:val="1"/>
          <w:bCs w:val="1"/>
          <w:color w:val="auto"/>
        </w:rPr>
        <w:t>This Notice of Withdrawal must be received by our Human Resources Department as specified</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above before 6:00 p.m., Eastern Time, on January 5, 2005, unless the Offer is extended by Regeneron Pharmaceuticals, Inc., in which case this Notice of Withdrawal must be so received by the extended expiration date. Your tendered options will not be considered withdrawn unless and until a properly completed and executed copy of this Notice of Withdrawal is timely received by our Human Resources Department as specified above. </w:t>
      </w:r>
      <w:r>
        <w:rPr>
          <w:rFonts w:ascii="Arial" w:cs="Arial" w:eastAsia="Arial" w:hAnsi="Arial"/>
          <w:sz w:val="17"/>
          <w:szCs w:val="17"/>
          <w:color w:val="auto"/>
        </w:rPr>
        <w:t>We will only accept delivery of the signed Notice of Withdrawal by hand or regular or overnight mail. Delivery by e-mail or other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electronic means will NOT be accepted. </w:t>
      </w:r>
      <w:r>
        <w:rPr>
          <w:rFonts w:ascii="Arial" w:cs="Arial" w:eastAsia="Arial" w:hAnsi="Arial"/>
          <w:sz w:val="17"/>
          <w:szCs w:val="17"/>
          <w:b w:val="1"/>
          <w:bCs w:val="1"/>
          <w:color w:val="auto"/>
        </w:rPr>
        <w:t>The method of delivery is at your option and risk. You are responsible for making sure that this Notice</w:t>
      </w:r>
      <w:r>
        <w:rPr>
          <w:rFonts w:ascii="Arial" w:cs="Arial" w:eastAsia="Arial" w:hAnsi="Arial"/>
          <w:sz w:val="17"/>
          <w:szCs w:val="17"/>
          <w:color w:val="auto"/>
        </w:rPr>
        <w:t xml:space="preserve"> </w:t>
      </w:r>
      <w:r>
        <w:rPr>
          <w:rFonts w:ascii="Arial" w:cs="Arial" w:eastAsia="Arial" w:hAnsi="Arial"/>
          <w:sz w:val="17"/>
          <w:szCs w:val="17"/>
          <w:b w:val="1"/>
          <w:bCs w:val="1"/>
          <w:color w:val="auto"/>
        </w:rPr>
        <w:t>of Withdrawal is timely delivered as specified above. You must allow for delivery time based on the method of delivery that you choose to ensure we receive your Notice of Withdrawal on time.</w:t>
      </w:r>
    </w:p>
    <w:p>
      <w:pPr>
        <w:spacing w:after="0" w:line="182" w:lineRule="exact"/>
        <w:rPr>
          <w:rFonts w:ascii="Arial" w:cs="Arial" w:eastAsia="Arial" w:hAnsi="Arial"/>
          <w:sz w:val="17"/>
          <w:szCs w:val="17"/>
          <w:b w:val="1"/>
          <w:bCs w:val="1"/>
          <w:color w:val="auto"/>
        </w:rPr>
      </w:pPr>
    </w:p>
    <w:p>
      <w:pPr>
        <w:ind w:left="460" w:right="80" w:hanging="249"/>
        <w:spacing w:after="0" w:line="279" w:lineRule="auto"/>
        <w:tabs>
          <w:tab w:leader="none" w:pos="4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Except as described in the following sentence, this Notice of Withdrawal must be executed by the eligible optionholder who holds the eligible options to be tendered for exchange exactly as such optionholder’s name appears on the notice of grant for such options previously delivered to such optionholder. If the signature is by an attorney-in-fact or another person acting in a fiduciary or representative capacity, the signer’s full title and proper evidence of the authority of such person to act in such capacity must be identified on this Notice of Withdrawal.</w:t>
      </w:r>
    </w:p>
    <w:p>
      <w:pPr>
        <w:spacing w:after="0" w:line="171" w:lineRule="exact"/>
        <w:rPr>
          <w:rFonts w:ascii="Arial" w:cs="Arial" w:eastAsia="Arial" w:hAnsi="Arial"/>
          <w:sz w:val="17"/>
          <w:szCs w:val="17"/>
          <w:color w:val="auto"/>
        </w:rPr>
      </w:pPr>
    </w:p>
    <w:p>
      <w:pPr>
        <w:ind w:left="460" w:right="40" w:hanging="249"/>
        <w:spacing w:after="0" w:line="293" w:lineRule="auto"/>
        <w:tabs>
          <w:tab w:leader="none" w:pos="4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 xml:space="preserve">If the optionholder is married and resides in a state the laws of which provide that a spouse has a community property interest in the eligible options the tender of which is being withdrawn pursuant to this Notice of Withdrawal, the optionholder must timely deliver with this Notice of Withdrawal a Spousal Consent form executed by the optionholder’s spouse, whereby such spouse agrees to be bound, and agrees that any such community property interest shall similarly be bound, by this Notice of Withdrawal. Note that New York, New Jersey, and Connecticut are </w:t>
      </w:r>
      <w:r>
        <w:rPr>
          <w:rFonts w:ascii="Arial" w:cs="Arial" w:eastAsia="Arial" w:hAnsi="Arial"/>
          <w:sz w:val="16"/>
          <w:szCs w:val="16"/>
          <w:b w:val="1"/>
          <w:bCs w:val="1"/>
          <w:color w:val="auto"/>
        </w:rPr>
        <w:t>NOT</w:t>
      </w:r>
      <w:r>
        <w:rPr>
          <w:rFonts w:ascii="Arial" w:cs="Arial" w:eastAsia="Arial" w:hAnsi="Arial"/>
          <w:sz w:val="16"/>
          <w:szCs w:val="16"/>
          <w:color w:val="auto"/>
        </w:rPr>
        <w:t xml:space="preserve"> “community property” states. If you are uncertain whether the state you reside in is such a “community property” state, or if you need a Spousal Consent form, please inquire by phone at 914-345-STOK or to our internal e-mail address, OptionsExchange@regeneron.com, and we will assist you.</w:t>
      </w:r>
    </w:p>
    <w:p>
      <w:pPr>
        <w:spacing w:after="0" w:line="164" w:lineRule="exact"/>
        <w:rPr>
          <w:rFonts w:ascii="Arial" w:cs="Arial" w:eastAsia="Arial" w:hAnsi="Arial"/>
          <w:sz w:val="16"/>
          <w:szCs w:val="16"/>
          <w:color w:val="auto"/>
        </w:rPr>
      </w:pPr>
    </w:p>
    <w:p>
      <w:pPr>
        <w:ind w:left="460" w:hanging="249"/>
        <w:spacing w:after="0" w:line="259"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you do not receive a confirmation of receipt of your Notice of Withdrawal from us via e-mail (or inter-office mail) within five business days after the date your Notice of Withdrawal should have been received by us, or if you submit your Notice of Withdrawal less than five business days before the date the Offer is scheduled to expire, please contact us by phone at 914-345-STOK or at our internal e-mail address, OptionsExchange@regeneron.com, to confirm that we have received your Notice of Withdrawal.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936"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color w:val="auto"/>
        </w:rPr>
        <w:t>EXHIBIT(a)(1)(iv)</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160" w:type="dxa"/>
            <w:vAlign w:val="bottom"/>
          </w:tcPr>
          <w:p>
            <w:pPr>
              <w:jc w:val="right"/>
              <w:spacing w:after="0"/>
              <w:rPr>
                <w:sz w:val="20"/>
                <w:szCs w:val="20"/>
                <w:color w:val="auto"/>
              </w:rPr>
            </w:pPr>
            <w:r>
              <w:rPr>
                <w:rFonts w:ascii="Arial" w:cs="Arial" w:eastAsia="Arial" w:hAnsi="Arial"/>
                <w:sz w:val="18"/>
                <w:szCs w:val="18"/>
                <w:b w:val="1"/>
                <w:bCs w:val="1"/>
                <w:color w:val="auto"/>
              </w:rPr>
              <w:t>FORM OF ACCEPTANCE LETTER</w:t>
            </w:r>
          </w:p>
        </w:tc>
      </w:tr>
      <w:tr>
        <w:trPr>
          <w:trHeight w:val="593"/>
        </w:trPr>
        <w:tc>
          <w:tcPr>
            <w:tcW w:w="980" w:type="dxa"/>
            <w:vAlign w:val="bottom"/>
          </w:tcPr>
          <w:p>
            <w:pPr>
              <w:spacing w:after="0"/>
              <w:rPr>
                <w:sz w:val="20"/>
                <w:szCs w:val="20"/>
                <w:color w:val="auto"/>
              </w:rPr>
            </w:pPr>
            <w:r>
              <w:rPr>
                <w:rFonts w:ascii="Arial" w:cs="Arial" w:eastAsia="Arial" w:hAnsi="Arial"/>
                <w:sz w:val="18"/>
                <w:szCs w:val="18"/>
                <w:color w:val="auto"/>
              </w:rPr>
              <w:t>To:</w:t>
            </w:r>
          </w:p>
        </w:tc>
        <w:tc>
          <w:tcPr>
            <w:tcW w:w="6180" w:type="dxa"/>
            <w:vAlign w:val="bottom"/>
            <w:gridSpan w:val="2"/>
          </w:tcPr>
          <w:p>
            <w:pPr>
              <w:ind w:left="520"/>
              <w:spacing w:after="0"/>
              <w:rPr>
                <w:sz w:val="20"/>
                <w:szCs w:val="20"/>
                <w:color w:val="auto"/>
              </w:rPr>
            </w:pPr>
            <w:r>
              <w:rPr>
                <w:rFonts w:ascii="Arial" w:cs="Arial" w:eastAsia="Arial" w:hAnsi="Arial"/>
                <w:sz w:val="18"/>
                <w:szCs w:val="18"/>
                <w:color w:val="auto"/>
              </w:rPr>
              <w:t>Name of Tendering Regeneron Pharmaceuticals, Inc. Optionholder</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From:</w:t>
            </w:r>
          </w:p>
        </w:tc>
        <w:tc>
          <w:tcPr>
            <w:tcW w:w="6180" w:type="dxa"/>
            <w:vAlign w:val="bottom"/>
            <w:gridSpan w:val="2"/>
          </w:tcPr>
          <w:p>
            <w:pPr>
              <w:ind w:left="520"/>
              <w:spacing w:after="0"/>
              <w:rPr>
                <w:sz w:val="20"/>
                <w:szCs w:val="20"/>
                <w:color w:val="auto"/>
              </w:rPr>
            </w:pPr>
            <w:r>
              <w:rPr>
                <w:rFonts w:ascii="Arial" w:cs="Arial" w:eastAsia="Arial" w:hAnsi="Arial"/>
                <w:sz w:val="18"/>
                <w:szCs w:val="18"/>
                <w:color w:val="auto"/>
              </w:rPr>
              <w:t>Regeneron Pharmaceuticals, Inc.</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Date:</w:t>
            </w:r>
          </w:p>
        </w:tc>
        <w:tc>
          <w:tcPr>
            <w:tcW w:w="1020" w:type="dxa"/>
            <w:vAlign w:val="bottom"/>
          </w:tcPr>
          <w:p>
            <w:pPr>
              <w:ind w:left="520"/>
              <w:spacing w:after="0"/>
              <w:rPr>
                <w:sz w:val="20"/>
                <w:szCs w:val="20"/>
                <w:color w:val="auto"/>
              </w:rPr>
            </w:pPr>
            <w:r>
              <w:rPr>
                <w:rFonts w:ascii="Arial" w:cs="Arial" w:eastAsia="Arial" w:hAnsi="Arial"/>
                <w:sz w:val="18"/>
                <w:szCs w:val="18"/>
                <w:color w:val="auto"/>
              </w:rPr>
              <w:t>[</w:t>
            </w:r>
          </w:p>
        </w:tc>
        <w:tc>
          <w:tcPr>
            <w:tcW w:w="5160" w:type="dxa"/>
            <w:vAlign w:val="bottom"/>
          </w:tcPr>
          <w:p>
            <w:pPr>
              <w:jc w:val="right"/>
              <w:ind w:right="4110"/>
              <w:spacing w:after="0"/>
              <w:rPr>
                <w:sz w:val="20"/>
                <w:szCs w:val="20"/>
                <w:color w:val="auto"/>
              </w:rPr>
            </w:pPr>
            <w:r>
              <w:rPr>
                <w:rFonts w:ascii="Arial" w:cs="Arial" w:eastAsia="Arial" w:hAnsi="Arial"/>
                <w:sz w:val="18"/>
                <w:szCs w:val="18"/>
                <w:color w:val="auto"/>
              </w:rPr>
              <w:t>], 2005</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Re:</w:t>
            </w:r>
          </w:p>
        </w:tc>
        <w:tc>
          <w:tcPr>
            <w:tcW w:w="6180" w:type="dxa"/>
            <w:vAlign w:val="bottom"/>
            <w:gridSpan w:val="2"/>
          </w:tcPr>
          <w:p>
            <w:pPr>
              <w:ind w:left="520"/>
              <w:spacing w:after="0"/>
              <w:rPr>
                <w:sz w:val="20"/>
                <w:szCs w:val="20"/>
                <w:color w:val="auto"/>
              </w:rPr>
            </w:pPr>
            <w:r>
              <w:rPr>
                <w:rFonts w:ascii="Arial" w:cs="Arial" w:eastAsia="Arial" w:hAnsi="Arial"/>
                <w:sz w:val="18"/>
                <w:szCs w:val="18"/>
                <w:color w:val="auto"/>
              </w:rPr>
              <w:t>Acceptance and Cancellation of Tendered Options</w:t>
            </w:r>
          </w:p>
        </w:tc>
      </w:tr>
    </w:tbl>
    <w:p>
      <w:pPr>
        <w:spacing w:after="0" w:line="161" w:lineRule="exact"/>
        <w:rPr>
          <w:sz w:val="20"/>
          <w:szCs w:val="20"/>
          <w:color w:val="auto"/>
        </w:rPr>
      </w:pPr>
    </w:p>
    <w:p>
      <w:pPr>
        <w:ind w:right="120" w:firstLine="222"/>
        <w:spacing w:after="0" w:line="257" w:lineRule="auto"/>
        <w:rPr>
          <w:sz w:val="20"/>
          <w:szCs w:val="20"/>
          <w:color w:val="auto"/>
        </w:rPr>
      </w:pPr>
      <w:r>
        <w:rPr>
          <w:rFonts w:ascii="Arial" w:cs="Arial" w:eastAsia="Arial" w:hAnsi="Arial"/>
          <w:sz w:val="18"/>
          <w:szCs w:val="18"/>
          <w:color w:val="auto"/>
        </w:rPr>
        <w:t>Thank you for your participation in the Regeneron Pharmaceuticals, Inc. Option Exchange Program. As you may know, on [ ], 2005 we accepted eligible options that were validly tendered pursuant to the Offer to Exchange dated December 3, 2004 (as it may have been amended or supplemented from time to time) and the related Election Form (which together constituted the “Offer”). We confirm with this letter that we have accepted your tender for exchange the options identified in the signed Election Form(s) you submitted and have cancelled the options you tendered for exchange and cancellation as set forth in the attachment entitled “Stock Options and Awards Cancelled.”</w:t>
      </w:r>
    </w:p>
    <w:p>
      <w:pPr>
        <w:spacing w:after="0" w:line="161" w:lineRule="exact"/>
        <w:rPr>
          <w:sz w:val="20"/>
          <w:szCs w:val="20"/>
          <w:color w:val="auto"/>
        </w:rPr>
      </w:pPr>
    </w:p>
    <w:p>
      <w:pPr>
        <w:ind w:right="260" w:firstLine="225"/>
        <w:spacing w:after="0" w:line="286" w:lineRule="auto"/>
        <w:rPr>
          <w:sz w:val="20"/>
          <w:szCs w:val="20"/>
          <w:color w:val="auto"/>
        </w:rPr>
      </w:pPr>
      <w:r>
        <w:rPr>
          <w:rFonts w:ascii="Arial" w:cs="Arial" w:eastAsia="Arial" w:hAnsi="Arial"/>
          <w:sz w:val="17"/>
          <w:szCs w:val="17"/>
          <w:color w:val="auto"/>
        </w:rPr>
        <w:t>In accordance with the Offer, as of [ ], 2005, we granted to you replacement options as identified in the attached Replacement Option Agreement(s) and Notice of Grant of Replacement Options. The replacement options have been granted under our 2000 Long-Term Incentive Plan and are subject to the terms and conditions of that Plan and the applicable form of option agreement, each of which is enclosed herewith.</w:t>
      </w:r>
    </w:p>
    <w:p>
      <w:pPr>
        <w:spacing w:after="0" w:line="12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Neither participation in the Option Exchange Program, this Acceptance Letter, nor the attached Replacement Option Agreement(s) and Notice of Grant of Replacement Options confers upon you the right to remain an employee of Regeneron Pharmaceuticals, Inc. The terms of your employment with us remain unchanged.</w:t>
      </w:r>
    </w:p>
    <w:p>
      <w:pPr>
        <w:spacing w:after="0" w:line="14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If you have questions regarding the foregoing, please contact our Human Resources Department by phone at 914-345-STOK or send your question to our internal e-mail address, OptionsExchange@regeneron.com or by interoffice mail.</w:t>
      </w:r>
    </w:p>
    <w:p>
      <w:pPr>
        <w:spacing w:after="0" w:line="14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Regeneron Pharmaceuticals, Inc.</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5200" w:type="dxa"/>
            <w:vAlign w:val="bottom"/>
          </w:tcPr>
          <w:p>
            <w:pPr>
              <w:jc w:val="right"/>
              <w:ind w:right="4590"/>
              <w:spacing w:after="0"/>
              <w:rPr>
                <w:sz w:val="20"/>
                <w:szCs w:val="20"/>
                <w:color w:val="auto"/>
              </w:rPr>
            </w:pPr>
            <w:r>
              <w:rPr>
                <w:rFonts w:ascii="Arial" w:cs="Arial" w:eastAsia="Arial" w:hAnsi="Arial"/>
                <w:sz w:val="18"/>
                <w:szCs w:val="18"/>
                <w:color w:val="auto"/>
              </w:rPr>
              <w:t>]</w:t>
            </w:r>
          </w:p>
        </w:tc>
      </w:tr>
      <w:tr>
        <w:trPr>
          <w:trHeight w:val="230"/>
        </w:trPr>
        <w:tc>
          <w:tcPr>
            <w:tcW w:w="62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5200" w:type="dxa"/>
            <w:vAlign w:val="bottom"/>
          </w:tcPr>
          <w:p>
            <w:pPr>
              <w:jc w:val="right"/>
              <w:ind w:right="4590"/>
              <w:spacing w:after="0"/>
              <w:rPr>
                <w:sz w:val="20"/>
                <w:szCs w:val="20"/>
                <w:color w:val="auto"/>
              </w:rPr>
            </w:pPr>
            <w:r>
              <w:rPr>
                <w:rFonts w:ascii="Arial" w:cs="Arial" w:eastAsia="Arial" w:hAnsi="Arial"/>
                <w:sz w:val="18"/>
                <w:szCs w:val="18"/>
                <w:color w:val="auto"/>
              </w:rPr>
              <w:t>]</w:t>
            </w:r>
          </w:p>
        </w:tc>
      </w:tr>
      <w:tr>
        <w:trPr>
          <w:trHeight w:val="618"/>
        </w:trPr>
        <w:tc>
          <w:tcPr>
            <w:tcW w:w="6220" w:type="dxa"/>
            <w:vAlign w:val="bottom"/>
            <w:tcBorders>
              <w:bottom w:val="single" w:sz="8" w:color="808080"/>
            </w:tcBorders>
          </w:tcPr>
          <w:p>
            <w:pPr>
              <w:spacing w:after="0"/>
              <w:rPr>
                <w:sz w:val="24"/>
                <w:szCs w:val="24"/>
                <w:color w:val="auto"/>
              </w:rPr>
            </w:pPr>
          </w:p>
        </w:tc>
        <w:tc>
          <w:tcPr>
            <w:tcW w:w="52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OPTIONS AND AWARDS CANCELLED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[Name of Optionholder]</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gridSpan w:val="2"/>
          </w:tcPr>
          <w:p>
            <w:pPr>
              <w:ind w:left="100"/>
              <w:spacing w:after="0"/>
              <w:rPr>
                <w:sz w:val="20"/>
                <w:szCs w:val="20"/>
                <w:color w:val="auto"/>
              </w:rPr>
            </w:pPr>
            <w:r>
              <w:rPr>
                <w:rFonts w:ascii="Arial" w:cs="Arial" w:eastAsia="Arial" w:hAnsi="Arial"/>
                <w:sz w:val="14"/>
                <w:szCs w:val="14"/>
                <w:b w:val="1"/>
                <w:bCs w:val="1"/>
                <w:color w:val="auto"/>
              </w:rPr>
              <w:t>ID [Social</w:t>
            </w:r>
          </w:p>
        </w:tc>
        <w:tc>
          <w:tcPr>
            <w:tcW w:w="500" w:type="dxa"/>
            <w:vAlign w:val="bottom"/>
          </w:tcPr>
          <w:p>
            <w:pPr>
              <w:spacing w:after="0"/>
              <w:rPr>
                <w:sz w:val="14"/>
                <w:szCs w:val="14"/>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Number</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19"/>
              <w:spacing w:after="0"/>
              <w:rPr>
                <w:sz w:val="20"/>
                <w:szCs w:val="20"/>
                <w:color w:val="auto"/>
              </w:rPr>
            </w:pPr>
            <w:r>
              <w:rPr>
                <w:rFonts w:ascii="Arial" w:cs="Arial" w:eastAsia="Arial" w:hAnsi="Arial"/>
                <w:sz w:val="14"/>
                <w:szCs w:val="14"/>
                <w:b w:val="1"/>
                <w:bCs w:val="1"/>
                <w:color w:val="auto"/>
              </w:rPr>
              <w:t>Grant</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rPr>
              <w:t>Plan</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7"/>
              </w:rPr>
              <w:t>Cancel</w:t>
            </w:r>
          </w:p>
        </w:tc>
        <w:tc>
          <w:tcPr>
            <w:tcW w:w="500" w:type="dxa"/>
            <w:vAlign w:val="bottom"/>
          </w:tcPr>
          <w:p>
            <w:pPr>
              <w:spacing w:after="0"/>
              <w:rPr>
                <w:sz w:val="14"/>
                <w:szCs w:val="14"/>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9"/>
              </w:rPr>
              <w:t>Cancel Reason</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w w:val="85"/>
              </w:rPr>
              <w:t>Shares</w:t>
            </w: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w w:val="99"/>
              </w:rPr>
              <w:t>Price</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2"/>
              </w:rPr>
              <w:t>Total Price</w:t>
            </w:r>
          </w:p>
        </w:tc>
        <w:tc>
          <w:tcPr>
            <w:tcW w:w="0" w:type="dxa"/>
            <w:vAlign w:val="bottom"/>
          </w:tcPr>
          <w:p>
            <w:pPr>
              <w:spacing w:after="0"/>
              <w:rPr>
                <w:sz w:val="1"/>
                <w:szCs w:val="1"/>
                <w:color w:val="auto"/>
              </w:rPr>
            </w:pPr>
          </w:p>
        </w:tc>
      </w:tr>
      <w:tr>
        <w:trPr>
          <w:trHeight w:val="186"/>
        </w:trPr>
        <w:tc>
          <w:tcPr>
            <w:tcW w:w="4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Security No.]</w:t>
            </w:r>
          </w:p>
        </w:tc>
        <w:tc>
          <w:tcPr>
            <w:tcW w:w="5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ind w:right="59"/>
              <w:spacing w:after="0"/>
              <w:rPr>
                <w:sz w:val="20"/>
                <w:szCs w:val="20"/>
                <w:color w:val="auto"/>
              </w:rPr>
            </w:pPr>
            <w:r>
              <w:rPr>
                <w:rFonts w:ascii="Arial" w:cs="Arial" w:eastAsia="Arial" w:hAnsi="Arial"/>
                <w:sz w:val="14"/>
                <w:szCs w:val="14"/>
                <w:b w:val="1"/>
                <w:bCs w:val="1"/>
                <w:color w:val="auto"/>
              </w:rPr>
              <w:t>Date</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ind w:right="59"/>
              <w:spacing w:after="0"/>
              <w:rPr>
                <w:sz w:val="20"/>
                <w:szCs w:val="20"/>
                <w:color w:val="auto"/>
              </w:rPr>
            </w:pPr>
            <w:r>
              <w:rPr>
                <w:rFonts w:ascii="Arial" w:cs="Arial" w:eastAsia="Arial" w:hAnsi="Arial"/>
                <w:sz w:val="14"/>
                <w:szCs w:val="14"/>
                <w:b w:val="1"/>
                <w:bCs w:val="1"/>
                <w:color w:val="auto"/>
              </w:rPr>
              <w:t>Date</w:t>
            </w:r>
          </w:p>
        </w:tc>
        <w:tc>
          <w:tcPr>
            <w:tcW w:w="5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44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54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center"/>
              <w:ind w:left="61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840" w:type="dxa"/>
            <w:vAlign w:val="bottom"/>
            <w:gridSpan w:val="2"/>
          </w:tcPr>
          <w:p>
            <w:pPr>
              <w:jc w:val="right"/>
              <w:ind w:right="139"/>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center"/>
              <w:ind w:left="61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139"/>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78"/>
              </w:rPr>
              <w:t>[</w:t>
            </w:r>
          </w:p>
        </w:tc>
        <w:tc>
          <w:tcPr>
            <w:tcW w:w="52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300" w:type="dxa"/>
            <w:vAlign w:val="bottom"/>
            <w:tcBorders>
              <w:top w:val="single" w:sz="8" w:color="808080"/>
            </w:tcBorders>
          </w:tcPr>
          <w:p>
            <w:pPr>
              <w:ind w:left="20"/>
              <w:spacing w:after="0"/>
              <w:rPr>
                <w:sz w:val="20"/>
                <w:szCs w:val="20"/>
                <w:color w:val="auto"/>
              </w:rPr>
            </w:pPr>
            <w:r>
              <w:rPr>
                <w:rFonts w:ascii="Arial" w:cs="Arial" w:eastAsia="Arial" w:hAnsi="Arial"/>
                <w:sz w:val="18"/>
                <w:szCs w:val="18"/>
                <w:color w:val="auto"/>
              </w:rPr>
              <w:t>Hi</w:t>
            </w:r>
          </w:p>
        </w:tc>
        <w:tc>
          <w:tcPr>
            <w:tcW w:w="540" w:type="dxa"/>
            <w:vAlign w:val="bottom"/>
            <w:tcBorders>
              <w:top w:val="single" w:sz="8" w:color="808080"/>
            </w:tcBorders>
          </w:tcPr>
          <w:p>
            <w:pPr>
              <w:jc w:val="right"/>
              <w:ind w:right="274"/>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340" w:type="dxa"/>
            <w:vAlign w:val="bottom"/>
            <w:tcBorders>
              <w:top w:val="single" w:sz="8" w:color="808080"/>
            </w:tcBorders>
          </w:tcPr>
          <w:p>
            <w:pPr>
              <w:jc w:val="right"/>
              <w:ind w:right="139"/>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gridSpan w:val="2"/>
          </w:tcPr>
          <w:p>
            <w:pPr>
              <w:jc w:val="center"/>
              <w:ind w:right="274"/>
              <w:spacing w:after="0"/>
              <w:rPr>
                <w:sz w:val="20"/>
                <w:szCs w:val="20"/>
                <w:color w:val="auto"/>
              </w:rPr>
            </w:pPr>
            <w:r>
              <w:rPr>
                <w:rFonts w:ascii="Arial" w:cs="Arial" w:eastAsia="Arial" w:hAnsi="Arial"/>
                <w:sz w:val="18"/>
                <w:szCs w:val="18"/>
                <w:color w:val="auto"/>
                <w:w w:val="97"/>
              </w:rPr>
              <w:t>Avg [</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gridSpan w:val="2"/>
          </w:tcPr>
          <w:p>
            <w:pPr>
              <w:jc w:val="center"/>
              <w:ind w:right="274"/>
              <w:spacing w:after="0"/>
              <w:rPr>
                <w:sz w:val="20"/>
                <w:szCs w:val="20"/>
                <w:color w:val="auto"/>
              </w:rPr>
            </w:pPr>
            <w:r>
              <w:rPr>
                <w:rFonts w:ascii="Arial" w:cs="Arial" w:eastAsia="Arial" w:hAnsi="Arial"/>
                <w:sz w:val="18"/>
                <w:szCs w:val="18"/>
                <w:color w:val="auto"/>
              </w:rPr>
              <w:t>Low [</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31"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color w:val="auto"/>
        </w:rPr>
        <w:t>EXHIBIT (a)(1)(v)</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COMMUNICATION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 OPTIONHOLDERS CONFIRMING RECEIPT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FORM/NOTICE OF WITHDRAWAL</w:t>
      </w:r>
    </w:p>
    <w:p>
      <w:pPr>
        <w:sectPr>
          <w:pgSz w:w="11900" w:h="16838" w:orient="portrait"/>
          <w:cols w:equalWidth="0" w:num="1">
            <w:col w:w="11420"/>
          </w:cols>
          <w:pgMar w:left="240" w:top="935" w:right="239" w:bottom="1440" w:gutter="0" w:footer="0" w:header="0"/>
        </w:sect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From: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w:t>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[Name of Optionholder]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Regeneron Pharmaceuticals, Inc.</w:t>
      </w:r>
    </w:p>
    <w:p>
      <w:pPr>
        <w:spacing w:after="0" w:line="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2005</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Confirmation of Receipt of [Election Form OR Notice of Withdrawal]</w:t>
      </w:r>
    </w:p>
    <w:p>
      <w:pPr>
        <w:spacing w:after="0" w:line="192" w:lineRule="exact"/>
        <w:rPr>
          <w:sz w:val="20"/>
          <w:szCs w:val="20"/>
          <w:color w:val="auto"/>
        </w:rPr>
      </w:pPr>
    </w:p>
    <w:p>
      <w:pPr>
        <w:sectPr>
          <w:pgSz w:w="11900" w:h="16838" w:orient="portrait"/>
          <w:cols w:equalWidth="0" w:num="2">
            <w:col w:w="780" w:space="720"/>
            <w:col w:w="9920"/>
          </w:cols>
          <w:pgMar w:left="240" w:top="935" w:right="239" w:bottom="1440" w:gutter="0" w:footer="0" w:header="0"/>
          <w:type w:val="continuous"/>
        </w:sectPr>
      </w:pPr>
    </w:p>
    <w:p>
      <w:pPr>
        <w:ind w:right="160" w:firstLine="222"/>
        <w:spacing w:after="0" w:line="279" w:lineRule="auto"/>
        <w:rPr>
          <w:sz w:val="20"/>
          <w:szCs w:val="20"/>
          <w:color w:val="auto"/>
        </w:rPr>
      </w:pPr>
      <w:r>
        <w:rPr>
          <w:rFonts w:ascii="Arial" w:cs="Arial" w:eastAsia="Arial" w:hAnsi="Arial"/>
          <w:sz w:val="17"/>
          <w:szCs w:val="17"/>
          <w:color w:val="auto"/>
        </w:rPr>
        <w:t>This message confirms that we have received your [Election Form OR Notice of Withdrawal] in connection with our offer being made to eligible employees to tender options to purchase our Common Stock, upon the terms and conditions set forth in the Offer to Exchange dated December 3, 2004 (as amended or supplemented from time to time, the “Offer to Exchange”) and the related Election Form (which together constitute the “Offer”). The Offer will expire at 6:00 p.m. Eastern Time, on January 5, 2005, unless the Offer is extended in accordance with the Offer to Exchange.</w:t>
      </w:r>
    </w:p>
    <w:p>
      <w:pPr>
        <w:spacing w:after="0" w:line="144" w:lineRule="exact"/>
        <w:rPr>
          <w:sz w:val="20"/>
          <w:szCs w:val="20"/>
          <w:color w:val="auto"/>
        </w:rPr>
      </w:pPr>
    </w:p>
    <w:p>
      <w:pPr>
        <w:ind w:right="480" w:firstLine="225"/>
        <w:spacing w:after="0" w:line="277" w:lineRule="auto"/>
        <w:rPr>
          <w:sz w:val="20"/>
          <w:szCs w:val="20"/>
          <w:color w:val="auto"/>
        </w:rPr>
      </w:pPr>
      <w:r>
        <w:rPr>
          <w:rFonts w:ascii="Arial" w:cs="Arial" w:eastAsia="Arial" w:hAnsi="Arial"/>
          <w:sz w:val="18"/>
          <w:szCs w:val="18"/>
          <w:color w:val="auto"/>
        </w:rPr>
        <w:t>If you have any questions, please contact us by phone to 914-345-STOK or to our internal e-mail address, OptionsExchange@Regeneron.com. or by interoffice mail.</w:t>
      </w:r>
    </w:p>
    <w:p>
      <w:pPr>
        <w:sectPr>
          <w:pgSz w:w="11900" w:h="16838" w:orient="portrait"/>
          <w:cols w:equalWidth="0" w:num="1">
            <w:col w:w="11420"/>
          </w:cols>
          <w:pgMar w:left="240" w:top="935" w:right="239" w:bottom="1440" w:gutter="0" w:footer="0" w:header="0"/>
          <w:type w:val="continuous"/>
        </w:sectPr>
      </w:pPr>
    </w:p>
    <w:bookmarkStart w:id="74" w:name="page75"/>
    <w:bookmarkEnd w:id="74"/>
    <w:p>
      <w:pPr>
        <w:ind w:left="10280"/>
        <w:spacing w:after="0"/>
        <w:rPr>
          <w:sz w:val="20"/>
          <w:szCs w:val="20"/>
          <w:color w:val="auto"/>
        </w:rPr>
      </w:pPr>
      <w:r>
        <w:rPr>
          <w:rFonts w:ascii="Arial" w:cs="Arial" w:eastAsia="Arial" w:hAnsi="Arial"/>
          <w:sz w:val="18"/>
          <w:szCs w:val="18"/>
          <w:color w:val="auto"/>
        </w:rPr>
        <w:t>EXHIBIT(d)(7)</w:t>
      </w:r>
    </w:p>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of Replacement Option Agreement</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and Notice of Grant of Replacement Options for Employees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of Regeneron Pharmaceuticals, Inc. other than Vice Presidents.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114935</wp:posOffset>
            </wp:positionV>
            <wp:extent cx="7267575"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920" w:type="dxa"/>
            <w:vAlign w:val="bottom"/>
            <w:gridSpan w:val="2"/>
          </w:tcPr>
          <w:p>
            <w:pPr>
              <w:ind w:left="1200"/>
              <w:spacing w:after="0"/>
              <w:rPr>
                <w:sz w:val="20"/>
                <w:szCs w:val="20"/>
                <w:color w:val="auto"/>
              </w:rPr>
            </w:pPr>
            <w:r>
              <w:rPr>
                <w:rFonts w:ascii="Arial" w:cs="Arial" w:eastAsia="Arial" w:hAnsi="Arial"/>
                <w:sz w:val="18"/>
                <w:szCs w:val="18"/>
                <w:b w:val="1"/>
                <w:bCs w:val="1"/>
                <w:color w:val="auto"/>
              </w:rPr>
              <w:t>Regeneron Pharmaceuticals, Inc.</w:t>
            </w:r>
          </w:p>
        </w:tc>
      </w:tr>
      <w:tr>
        <w:trPr>
          <w:trHeight w:val="234"/>
        </w:trPr>
        <w:tc>
          <w:tcPr>
            <w:tcW w:w="27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580" w:type="dxa"/>
            <w:vAlign w:val="bottom"/>
          </w:tcPr>
          <w:p>
            <w:pPr>
              <w:ind w:left="1200"/>
              <w:spacing w:after="0"/>
              <w:rPr>
                <w:sz w:val="20"/>
                <w:szCs w:val="20"/>
                <w:color w:val="auto"/>
              </w:rPr>
            </w:pPr>
            <w:r>
              <w:rPr>
                <w:rFonts w:ascii="Arial" w:cs="Arial" w:eastAsia="Arial" w:hAnsi="Arial"/>
                <w:sz w:val="18"/>
                <w:szCs w:val="18"/>
                <w:b w:val="1"/>
                <w:bCs w:val="1"/>
                <w:color w:val="auto"/>
              </w:rPr>
              <w:t xml:space="preserve">ID: </w:t>
            </w:r>
            <w:r>
              <w:rPr>
                <w:rFonts w:ascii="Arial" w:cs="Arial" w:eastAsia="Arial" w:hAnsi="Arial"/>
                <w:sz w:val="18"/>
                <w:szCs w:val="18"/>
                <w:color w:val="auto"/>
              </w:rPr>
              <w:t>[</w:t>
            </w:r>
          </w:p>
        </w:tc>
        <w:tc>
          <w:tcPr>
            <w:tcW w:w="5340" w:type="dxa"/>
            <w:vAlign w:val="bottom"/>
          </w:tcPr>
          <w:p>
            <w:pPr>
              <w:jc w:val="right"/>
              <w:ind w:right="4310"/>
              <w:spacing w:after="0"/>
              <w:rPr>
                <w:sz w:val="20"/>
                <w:szCs w:val="20"/>
                <w:color w:val="auto"/>
              </w:rPr>
            </w:pPr>
            <w:r>
              <w:rPr>
                <w:rFonts w:ascii="Arial" w:cs="Arial" w:eastAsia="Arial" w:hAnsi="Arial"/>
                <w:sz w:val="18"/>
                <w:szCs w:val="18"/>
                <w:color w:val="auto"/>
              </w:rPr>
              <w:t>]</w:t>
            </w:r>
          </w:p>
        </w:tc>
      </w:tr>
      <w:tr>
        <w:trPr>
          <w:trHeight w:val="603"/>
        </w:trPr>
        <w:tc>
          <w:tcPr>
            <w:tcW w:w="2760" w:type="dxa"/>
            <w:vAlign w:val="bottom"/>
          </w:tcPr>
          <w:p>
            <w:pPr>
              <w:spacing w:after="0"/>
              <w:rPr>
                <w:sz w:val="20"/>
                <w:szCs w:val="20"/>
                <w:color w:val="auto"/>
              </w:rPr>
            </w:pPr>
            <w:r>
              <w:rPr>
                <w:rFonts w:ascii="Arial" w:cs="Arial" w:eastAsia="Arial" w:hAnsi="Arial"/>
                <w:sz w:val="18"/>
                <w:szCs w:val="18"/>
                <w:b w:val="1"/>
                <w:bCs w:val="1"/>
                <w:color w:val="auto"/>
                <w:w w:val="98"/>
              </w:rPr>
              <w:t>Notice of Grant of Stock Options</w:t>
            </w:r>
          </w:p>
        </w:tc>
        <w:tc>
          <w:tcPr>
            <w:tcW w:w="1760" w:type="dxa"/>
            <w:vAlign w:val="bottom"/>
          </w:tcPr>
          <w:p>
            <w:pPr>
              <w:spacing w:after="0"/>
              <w:rPr>
                <w:sz w:val="24"/>
                <w:szCs w:val="24"/>
                <w:color w:val="auto"/>
              </w:rPr>
            </w:pPr>
          </w:p>
        </w:tc>
        <w:tc>
          <w:tcPr>
            <w:tcW w:w="6920" w:type="dxa"/>
            <w:vAlign w:val="bottom"/>
            <w:gridSpan w:val="2"/>
          </w:tcPr>
          <w:p>
            <w:pPr>
              <w:ind w:left="240"/>
              <w:spacing w:after="0"/>
              <w:rPr>
                <w:sz w:val="20"/>
                <w:szCs w:val="20"/>
                <w:color w:val="auto"/>
              </w:rPr>
            </w:pPr>
            <w:r>
              <w:rPr>
                <w:rFonts w:ascii="Arial" w:cs="Arial" w:eastAsia="Arial" w:hAnsi="Arial"/>
                <w:sz w:val="18"/>
                <w:szCs w:val="18"/>
                <w:color w:val="auto"/>
              </w:rPr>
              <w:t>777 Old Saw Mill River Road</w:t>
            </w: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b w:val="1"/>
                <w:bCs w:val="1"/>
                <w:color w:val="auto"/>
              </w:rPr>
              <w:t>and Option Agreement for Replacement</w:t>
            </w:r>
          </w:p>
        </w:tc>
        <w:tc>
          <w:tcPr>
            <w:tcW w:w="6920" w:type="dxa"/>
            <w:vAlign w:val="bottom"/>
            <w:gridSpan w:val="2"/>
          </w:tcPr>
          <w:p>
            <w:pPr>
              <w:ind w:left="240"/>
              <w:spacing w:after="0"/>
              <w:rPr>
                <w:sz w:val="20"/>
                <w:szCs w:val="20"/>
                <w:color w:val="auto"/>
              </w:rPr>
            </w:pPr>
            <w:r>
              <w:rPr>
                <w:rFonts w:ascii="Arial" w:cs="Arial" w:eastAsia="Arial" w:hAnsi="Arial"/>
                <w:sz w:val="18"/>
                <w:szCs w:val="18"/>
                <w:color w:val="auto"/>
              </w:rPr>
              <w:t>Tarrytown, New York 10591</w:t>
            </w:r>
          </w:p>
        </w:tc>
      </w:tr>
      <w:tr>
        <w:trPr>
          <w:trHeight w:val="234"/>
        </w:trPr>
        <w:tc>
          <w:tcPr>
            <w:tcW w:w="2760" w:type="dxa"/>
            <w:vAlign w:val="bottom"/>
          </w:tcPr>
          <w:p>
            <w:pPr>
              <w:spacing w:after="0"/>
              <w:rPr>
                <w:sz w:val="20"/>
                <w:szCs w:val="20"/>
                <w:color w:val="auto"/>
              </w:rPr>
            </w:pPr>
            <w:r>
              <w:rPr>
                <w:rFonts w:ascii="Arial" w:cs="Arial" w:eastAsia="Arial" w:hAnsi="Arial"/>
                <w:sz w:val="18"/>
                <w:szCs w:val="18"/>
                <w:b w:val="1"/>
                <w:bCs w:val="1"/>
                <w:color w:val="auto"/>
              </w:rPr>
              <w:t>Option Awards</w:t>
            </w:r>
          </w:p>
        </w:tc>
        <w:tc>
          <w:tcPr>
            <w:tcW w:w="17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5340" w:type="dxa"/>
            <w:vAlign w:val="bottom"/>
          </w:tcPr>
          <w:p>
            <w:pPr>
              <w:spacing w:after="0"/>
              <w:rPr>
                <w:sz w:val="20"/>
                <w:szCs w:val="20"/>
                <w:color w:val="auto"/>
              </w:rPr>
            </w:pPr>
          </w:p>
        </w:tc>
      </w:tr>
      <w:tr>
        <w:trPr>
          <w:trHeight w:val="118"/>
        </w:trPr>
        <w:tc>
          <w:tcPr>
            <w:tcW w:w="2760" w:type="dxa"/>
            <w:vAlign w:val="bottom"/>
            <w:tcBorders>
              <w:bottom w:val="single" w:sz="8" w:color="808080"/>
            </w:tcBorders>
          </w:tcPr>
          <w:p>
            <w:pPr>
              <w:spacing w:after="0"/>
              <w:rPr>
                <w:sz w:val="10"/>
                <w:szCs w:val="10"/>
                <w:color w:val="auto"/>
              </w:rPr>
            </w:pPr>
          </w:p>
        </w:tc>
        <w:tc>
          <w:tcPr>
            <w:tcW w:w="176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5340" w:type="dxa"/>
            <w:vAlign w:val="bottom"/>
            <w:tcBorders>
              <w:bottom w:val="single" w:sz="8" w:color="808080"/>
            </w:tcBorders>
          </w:tcPr>
          <w:p>
            <w:pPr>
              <w:spacing w:after="0"/>
              <w:rPr>
                <w:sz w:val="10"/>
                <w:szCs w:val="10"/>
                <w:color w:val="auto"/>
              </w:rPr>
            </w:pPr>
          </w:p>
        </w:tc>
      </w:tr>
      <w:tr>
        <w:trPr>
          <w:trHeight w:val="519"/>
        </w:trPr>
        <w:tc>
          <w:tcPr>
            <w:tcW w:w="2760" w:type="dxa"/>
            <w:vAlign w:val="bottom"/>
          </w:tcPr>
          <w:p>
            <w:pPr>
              <w:spacing w:after="0"/>
              <w:rPr>
                <w:sz w:val="20"/>
                <w:szCs w:val="20"/>
                <w:color w:val="auto"/>
              </w:rPr>
            </w:pPr>
            <w:r>
              <w:rPr>
                <w:rFonts w:ascii="Arial" w:cs="Arial" w:eastAsia="Arial" w:hAnsi="Arial"/>
                <w:sz w:val="18"/>
                <w:szCs w:val="18"/>
                <w:b w:val="1"/>
                <w:bCs w:val="1"/>
                <w:color w:val="auto"/>
              </w:rPr>
              <w:t>[OPTIONEE NAME]</w:t>
            </w:r>
          </w:p>
        </w:tc>
        <w:tc>
          <w:tcPr>
            <w:tcW w:w="1760" w:type="dxa"/>
            <w:vAlign w:val="bottom"/>
          </w:tcPr>
          <w:p>
            <w:pPr>
              <w:ind w:left="220"/>
              <w:spacing w:after="0"/>
              <w:rPr>
                <w:sz w:val="20"/>
                <w:szCs w:val="20"/>
                <w:color w:val="auto"/>
              </w:rPr>
            </w:pPr>
            <w:r>
              <w:rPr>
                <w:rFonts w:ascii="Arial" w:cs="Arial" w:eastAsia="Arial" w:hAnsi="Arial"/>
                <w:sz w:val="18"/>
                <w:szCs w:val="18"/>
                <w:b w:val="1"/>
                <w:bCs w:val="1"/>
                <w:color w:val="auto"/>
              </w:rPr>
              <w:t>Option Number:</w:t>
            </w:r>
          </w:p>
        </w:tc>
        <w:tc>
          <w:tcPr>
            <w:tcW w:w="1580" w:type="dxa"/>
            <w:vAlign w:val="bottom"/>
          </w:tcPr>
          <w:p>
            <w:pPr>
              <w:jc w:val="right"/>
              <w:ind w:right="810"/>
              <w:spacing w:after="0"/>
              <w:rPr>
                <w:sz w:val="20"/>
                <w:szCs w:val="20"/>
                <w:color w:val="auto"/>
              </w:rPr>
            </w:pPr>
            <w:r>
              <w:rPr>
                <w:rFonts w:ascii="Arial" w:cs="Arial" w:eastAsia="Arial" w:hAnsi="Arial"/>
                <w:sz w:val="18"/>
                <w:szCs w:val="18"/>
                <w:color w:val="auto"/>
              </w:rPr>
              <w:t>[</w:t>
            </w:r>
          </w:p>
        </w:tc>
        <w:tc>
          <w:tcPr>
            <w:tcW w:w="5340" w:type="dxa"/>
            <w:vAlign w:val="bottom"/>
          </w:tcPr>
          <w:p>
            <w:pPr>
              <w:jc w:val="right"/>
              <w:ind w:right="5190"/>
              <w:spacing w:after="0"/>
              <w:rPr>
                <w:sz w:val="20"/>
                <w:szCs w:val="20"/>
                <w:color w:val="auto"/>
              </w:rPr>
            </w:pPr>
            <w:r>
              <w:rPr>
                <w:rFonts w:ascii="Arial" w:cs="Arial" w:eastAsia="Arial" w:hAnsi="Arial"/>
                <w:sz w:val="18"/>
                <w:szCs w:val="18"/>
                <w:color w:val="auto"/>
                <w:w w:val="78"/>
              </w:rPr>
              <w:t>]</w:t>
            </w:r>
          </w:p>
        </w:tc>
      </w:tr>
      <w:tr>
        <w:trPr>
          <w:trHeight w:val="216"/>
        </w:trPr>
        <w:tc>
          <w:tcPr>
            <w:tcW w:w="2760" w:type="dxa"/>
            <w:vAlign w:val="bottom"/>
          </w:tcPr>
          <w:p>
            <w:pPr>
              <w:spacing w:after="0"/>
              <w:rPr>
                <w:sz w:val="20"/>
                <w:szCs w:val="20"/>
                <w:color w:val="auto"/>
              </w:rPr>
            </w:pPr>
            <w:r>
              <w:rPr>
                <w:rFonts w:ascii="Arial" w:cs="Arial" w:eastAsia="Arial" w:hAnsi="Arial"/>
                <w:sz w:val="18"/>
                <w:szCs w:val="18"/>
                <w:b w:val="1"/>
                <w:bCs w:val="1"/>
                <w:color w:val="auto"/>
              </w:rPr>
              <w:t>[OPTIONEE ADDRESS]</w:t>
            </w:r>
          </w:p>
        </w:tc>
        <w:tc>
          <w:tcPr>
            <w:tcW w:w="1760" w:type="dxa"/>
            <w:vAlign w:val="bottom"/>
          </w:tcPr>
          <w:p>
            <w:pPr>
              <w:ind w:left="220"/>
              <w:spacing w:after="0"/>
              <w:rPr>
                <w:sz w:val="20"/>
                <w:szCs w:val="20"/>
                <w:color w:val="auto"/>
              </w:rPr>
            </w:pPr>
            <w:r>
              <w:rPr>
                <w:rFonts w:ascii="Arial" w:cs="Arial" w:eastAsia="Arial" w:hAnsi="Arial"/>
                <w:sz w:val="18"/>
                <w:szCs w:val="18"/>
                <w:b w:val="1"/>
                <w:bCs w:val="1"/>
                <w:color w:val="auto"/>
              </w:rPr>
              <w:t>Plan:</w:t>
            </w:r>
          </w:p>
        </w:tc>
        <w:tc>
          <w:tcPr>
            <w:tcW w:w="1580" w:type="dxa"/>
            <w:vAlign w:val="bottom"/>
          </w:tcPr>
          <w:p>
            <w:pPr>
              <w:jc w:val="right"/>
              <w:ind w:right="170"/>
              <w:spacing w:after="0"/>
              <w:rPr>
                <w:sz w:val="20"/>
                <w:szCs w:val="20"/>
                <w:color w:val="auto"/>
              </w:rPr>
            </w:pPr>
            <w:r>
              <w:rPr>
                <w:rFonts w:ascii="Arial" w:cs="Arial" w:eastAsia="Arial" w:hAnsi="Arial"/>
                <w:sz w:val="18"/>
                <w:szCs w:val="18"/>
                <w:b w:val="1"/>
                <w:bCs w:val="1"/>
                <w:color w:val="auto"/>
              </w:rPr>
              <w:t>2004</w:t>
            </w:r>
          </w:p>
        </w:tc>
        <w:tc>
          <w:tcPr>
            <w:tcW w:w="5340" w:type="dxa"/>
            <w:vAlign w:val="bottom"/>
          </w:tcPr>
          <w:p>
            <w:pPr>
              <w:spacing w:after="0"/>
              <w:rPr>
                <w:sz w:val="18"/>
                <w:szCs w:val="18"/>
                <w:color w:val="auto"/>
              </w:rPr>
            </w:pPr>
          </w:p>
        </w:tc>
      </w:tr>
      <w:tr>
        <w:trPr>
          <w:trHeight w:val="234"/>
        </w:trPr>
        <w:tc>
          <w:tcPr>
            <w:tcW w:w="2760" w:type="dxa"/>
            <w:vAlign w:val="bottom"/>
          </w:tcPr>
          <w:p>
            <w:pPr>
              <w:spacing w:after="0"/>
              <w:rPr>
                <w:sz w:val="20"/>
                <w:szCs w:val="20"/>
                <w:color w:val="auto"/>
              </w:rPr>
            </w:pPr>
          </w:p>
        </w:tc>
        <w:tc>
          <w:tcPr>
            <w:tcW w:w="1760" w:type="dxa"/>
            <w:vAlign w:val="bottom"/>
          </w:tcPr>
          <w:p>
            <w:pPr>
              <w:ind w:left="220"/>
              <w:spacing w:after="0"/>
              <w:rPr>
                <w:sz w:val="20"/>
                <w:szCs w:val="20"/>
                <w:color w:val="auto"/>
              </w:rPr>
            </w:pPr>
            <w:r>
              <w:rPr>
                <w:rFonts w:ascii="Arial" w:cs="Arial" w:eastAsia="Arial" w:hAnsi="Arial"/>
                <w:sz w:val="18"/>
                <w:szCs w:val="18"/>
                <w:b w:val="1"/>
                <w:bCs w:val="1"/>
                <w:color w:val="auto"/>
              </w:rPr>
              <w:t>ID</w:t>
            </w:r>
          </w:p>
        </w:tc>
        <w:tc>
          <w:tcPr>
            <w:tcW w:w="1580" w:type="dxa"/>
            <w:vAlign w:val="bottom"/>
          </w:tcPr>
          <w:p>
            <w:pPr>
              <w:jc w:val="right"/>
              <w:ind w:right="810"/>
              <w:spacing w:after="0"/>
              <w:rPr>
                <w:sz w:val="20"/>
                <w:szCs w:val="20"/>
                <w:color w:val="auto"/>
              </w:rPr>
            </w:pPr>
            <w:r>
              <w:rPr>
                <w:rFonts w:ascii="Arial" w:cs="Arial" w:eastAsia="Arial" w:hAnsi="Arial"/>
                <w:sz w:val="18"/>
                <w:szCs w:val="18"/>
                <w:color w:val="auto"/>
              </w:rPr>
              <w:t>[</w:t>
            </w:r>
          </w:p>
        </w:tc>
        <w:tc>
          <w:tcPr>
            <w:tcW w:w="5340" w:type="dxa"/>
            <w:vAlign w:val="bottom"/>
          </w:tcPr>
          <w:p>
            <w:pPr>
              <w:jc w:val="right"/>
              <w:ind w:right="5190"/>
              <w:spacing w:after="0"/>
              <w:rPr>
                <w:sz w:val="20"/>
                <w:szCs w:val="20"/>
                <w:color w:val="auto"/>
              </w:rPr>
            </w:pPr>
            <w:r>
              <w:rPr>
                <w:rFonts w:ascii="Arial" w:cs="Arial" w:eastAsia="Arial" w:hAnsi="Arial"/>
                <w:sz w:val="18"/>
                <w:szCs w:val="18"/>
                <w:color w:val="auto"/>
                <w:w w:val="78"/>
              </w:rPr>
              <w:t>]</w:t>
            </w:r>
          </w:p>
        </w:tc>
      </w:tr>
      <w:tr>
        <w:trPr>
          <w:trHeight w:val="118"/>
        </w:trPr>
        <w:tc>
          <w:tcPr>
            <w:tcW w:w="2760" w:type="dxa"/>
            <w:vAlign w:val="bottom"/>
            <w:tcBorders>
              <w:bottom w:val="single" w:sz="8" w:color="808080"/>
            </w:tcBorders>
          </w:tcPr>
          <w:p>
            <w:pPr>
              <w:spacing w:after="0"/>
              <w:rPr>
                <w:sz w:val="10"/>
                <w:szCs w:val="10"/>
                <w:color w:val="auto"/>
              </w:rPr>
            </w:pPr>
          </w:p>
        </w:tc>
        <w:tc>
          <w:tcPr>
            <w:tcW w:w="176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53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-717550</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-717550</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00" w:type="dxa"/>
            <w:vAlign w:val="bottom"/>
            <w:gridSpan w:val="9"/>
          </w:tcPr>
          <w:p>
            <w:pPr>
              <w:spacing w:after="0"/>
              <w:rPr>
                <w:sz w:val="20"/>
                <w:szCs w:val="20"/>
                <w:color w:val="auto"/>
              </w:rPr>
            </w:pPr>
            <w:r>
              <w:rPr>
                <w:rFonts w:ascii="Arial" w:cs="Arial" w:eastAsia="Arial" w:hAnsi="Arial"/>
                <w:sz w:val="18"/>
                <w:szCs w:val="18"/>
                <w:color w:val="auto"/>
                <w:w w:val="96"/>
              </w:rPr>
              <w:t>Effective &lt;date&gt; (the “Grant Date”) you have been granted a(n) [Incentive][Non-Qualified] Stock Option to buy [</w:t>
            </w:r>
          </w:p>
        </w:tc>
        <w:tc>
          <w:tcPr>
            <w:tcW w:w="2940" w:type="dxa"/>
            <w:vAlign w:val="bottom"/>
          </w:tcPr>
          <w:p>
            <w:pPr>
              <w:ind w:left="300"/>
              <w:spacing w:after="0"/>
              <w:rPr>
                <w:sz w:val="20"/>
                <w:szCs w:val="20"/>
                <w:color w:val="auto"/>
              </w:rPr>
            </w:pPr>
            <w:r>
              <w:rPr>
                <w:rFonts w:ascii="Arial" w:cs="Arial" w:eastAsia="Arial" w:hAnsi="Arial"/>
                <w:sz w:val="18"/>
                <w:szCs w:val="18"/>
                <w:color w:val="auto"/>
              </w:rPr>
              <w:t>] shares of Regeneron</w:t>
            </w:r>
          </w:p>
        </w:tc>
      </w:tr>
      <w:tr>
        <w:trPr>
          <w:trHeight w:val="230"/>
        </w:trPr>
        <w:tc>
          <w:tcPr>
            <w:tcW w:w="3660" w:type="dxa"/>
            <w:vAlign w:val="bottom"/>
            <w:gridSpan w:val="5"/>
          </w:tcPr>
          <w:p>
            <w:pPr>
              <w:spacing w:after="0"/>
              <w:rPr>
                <w:sz w:val="20"/>
                <w:szCs w:val="20"/>
                <w:color w:val="auto"/>
              </w:rPr>
            </w:pPr>
            <w:r>
              <w:rPr>
                <w:rFonts w:ascii="Arial" w:cs="Arial" w:eastAsia="Arial" w:hAnsi="Arial"/>
                <w:sz w:val="18"/>
                <w:szCs w:val="18"/>
                <w:color w:val="auto"/>
                <w:w w:val="94"/>
              </w:rPr>
              <w:t>Pharmaceuticals, Inc. (the Company) stock at [$</w:t>
            </w:r>
          </w:p>
        </w:tc>
        <w:tc>
          <w:tcPr>
            <w:tcW w:w="1340" w:type="dxa"/>
            <w:vAlign w:val="bottom"/>
          </w:tcPr>
          <w:p>
            <w:pPr>
              <w:jc w:val="right"/>
              <w:ind w:right="96"/>
              <w:spacing w:after="0"/>
              <w:rPr>
                <w:sz w:val="20"/>
                <w:szCs w:val="20"/>
                <w:color w:val="auto"/>
              </w:rPr>
            </w:pPr>
            <w:r>
              <w:rPr>
                <w:rFonts w:ascii="Arial" w:cs="Arial" w:eastAsia="Arial" w:hAnsi="Arial"/>
                <w:sz w:val="18"/>
                <w:szCs w:val="18"/>
                <w:color w:val="auto"/>
              </w:rPr>
              <w:t>] per share.</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940" w:type="dxa"/>
            <w:vAlign w:val="bottom"/>
          </w:tcPr>
          <w:p>
            <w:pPr>
              <w:spacing w:after="0"/>
              <w:rPr>
                <w:sz w:val="20"/>
                <w:szCs w:val="20"/>
                <w:color w:val="auto"/>
              </w:rPr>
            </w:pPr>
          </w:p>
        </w:tc>
      </w:tr>
      <w:tr>
        <w:trPr>
          <w:trHeight w:val="392"/>
        </w:trPr>
        <w:tc>
          <w:tcPr>
            <w:tcW w:w="3660" w:type="dxa"/>
            <w:vAlign w:val="bottom"/>
            <w:gridSpan w:val="5"/>
          </w:tcPr>
          <w:p>
            <w:pPr>
              <w:spacing w:after="0"/>
              <w:rPr>
                <w:sz w:val="20"/>
                <w:szCs w:val="20"/>
                <w:color w:val="auto"/>
              </w:rPr>
            </w:pPr>
            <w:r>
              <w:rPr>
                <w:rFonts w:ascii="Arial" w:cs="Arial" w:eastAsia="Arial" w:hAnsi="Arial"/>
                <w:sz w:val="18"/>
                <w:szCs w:val="18"/>
                <w:color w:val="auto"/>
                <w:w w:val="95"/>
              </w:rPr>
              <w:t>The total option price of the shares granted is [$</w:t>
            </w:r>
          </w:p>
        </w:tc>
        <w:tc>
          <w:tcPr>
            <w:tcW w:w="1340" w:type="dxa"/>
            <w:vAlign w:val="bottom"/>
          </w:tcPr>
          <w:p>
            <w:pPr>
              <w:jc w:val="right"/>
              <w:ind w:right="756"/>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405"/>
        </w:trPr>
        <w:tc>
          <w:tcPr>
            <w:tcW w:w="5000" w:type="dxa"/>
            <w:vAlign w:val="bottom"/>
            <w:gridSpan w:val="6"/>
          </w:tcPr>
          <w:p>
            <w:pPr>
              <w:spacing w:after="0"/>
              <w:rPr>
                <w:sz w:val="20"/>
                <w:szCs w:val="20"/>
                <w:color w:val="auto"/>
              </w:rPr>
            </w:pPr>
            <w:r>
              <w:rPr>
                <w:rFonts w:ascii="Arial" w:cs="Arial" w:eastAsia="Arial" w:hAnsi="Arial"/>
                <w:sz w:val="18"/>
                <w:szCs w:val="18"/>
                <w:color w:val="auto"/>
                <w:w w:val="94"/>
              </w:rPr>
              <w:t>Shares in each period will become fully vested on the date shown.</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555"/>
        </w:trPr>
        <w:tc>
          <w:tcPr>
            <w:tcW w:w="500" w:type="dxa"/>
            <w:vAlign w:val="bottom"/>
          </w:tcPr>
          <w:p>
            <w:pPr>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24"/>
                <w:szCs w:val="24"/>
                <w:color w:val="auto"/>
              </w:rPr>
            </w:pPr>
          </w:p>
        </w:tc>
        <w:tc>
          <w:tcPr>
            <w:tcW w:w="1860" w:type="dxa"/>
            <w:vAlign w:val="bottom"/>
          </w:tcPr>
          <w:p>
            <w:pPr>
              <w:ind w:left="640"/>
              <w:spacing w:after="0"/>
              <w:rPr>
                <w:sz w:val="20"/>
                <w:szCs w:val="20"/>
                <w:color w:val="auto"/>
              </w:rPr>
            </w:pPr>
            <w:r>
              <w:rPr>
                <w:rFonts w:ascii="Arial" w:cs="Arial" w:eastAsia="Arial" w:hAnsi="Arial"/>
                <w:sz w:val="14"/>
                <w:szCs w:val="14"/>
                <w:b w:val="1"/>
                <w:bCs w:val="1"/>
                <w:color w:val="auto"/>
              </w:rPr>
              <w:t>Vest Type</w:t>
            </w: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jc w:val="right"/>
              <w:ind w:right="696"/>
              <w:spacing w:after="0"/>
              <w:rPr>
                <w:sz w:val="20"/>
                <w:szCs w:val="20"/>
                <w:color w:val="auto"/>
              </w:rPr>
            </w:pPr>
            <w:r>
              <w:rPr>
                <w:rFonts w:ascii="Arial" w:cs="Arial" w:eastAsia="Arial" w:hAnsi="Arial"/>
                <w:sz w:val="14"/>
                <w:szCs w:val="14"/>
                <w:b w:val="1"/>
                <w:bCs w:val="1"/>
                <w:color w:val="auto"/>
                <w:w w:val="92"/>
              </w:rPr>
              <w:t>Full Vest</w:t>
            </w:r>
          </w:p>
        </w:tc>
        <w:tc>
          <w:tcPr>
            <w:tcW w:w="280" w:type="dxa"/>
            <w:vAlign w:val="bottom"/>
          </w:tcPr>
          <w:p>
            <w:pPr>
              <w:spacing w:after="0"/>
              <w:rPr>
                <w:sz w:val="24"/>
                <w:szCs w:val="24"/>
                <w:color w:val="auto"/>
              </w:rPr>
            </w:pPr>
          </w:p>
        </w:tc>
        <w:tc>
          <w:tcPr>
            <w:tcW w:w="3220" w:type="dxa"/>
            <w:vAlign w:val="bottom"/>
            <w:gridSpan w:val="2"/>
          </w:tcPr>
          <w:p>
            <w:pPr>
              <w:spacing w:after="0"/>
              <w:rPr>
                <w:sz w:val="20"/>
                <w:szCs w:val="20"/>
                <w:color w:val="auto"/>
              </w:rPr>
            </w:pPr>
            <w:r>
              <w:rPr>
                <w:rFonts w:ascii="Arial" w:cs="Arial" w:eastAsia="Arial" w:hAnsi="Arial"/>
                <w:sz w:val="14"/>
                <w:szCs w:val="14"/>
                <w:b w:val="1"/>
                <w:bCs w:val="1"/>
                <w:color w:val="auto"/>
              </w:rPr>
              <w:t>Expiration Date</w:t>
            </w:r>
          </w:p>
        </w:tc>
        <w:tc>
          <w:tcPr>
            <w:tcW w:w="2940" w:type="dxa"/>
            <w:vAlign w:val="bottom"/>
          </w:tcPr>
          <w:p>
            <w:pPr>
              <w:spacing w:after="0"/>
              <w:rPr>
                <w:sz w:val="24"/>
                <w:szCs w:val="24"/>
                <w:color w:val="auto"/>
              </w:rPr>
            </w:pPr>
          </w:p>
        </w:tc>
      </w:tr>
      <w:tr>
        <w:trPr>
          <w:trHeight w:val="53"/>
        </w:trPr>
        <w:tc>
          <w:tcPr>
            <w:tcW w:w="500" w:type="dxa"/>
            <w:vAlign w:val="bottom"/>
            <w:tcBorders>
              <w:bottom w:val="single" w:sz="8" w:color="808080"/>
            </w:tcBorders>
          </w:tcPr>
          <w:p>
            <w:pPr>
              <w:spacing w:after="0"/>
              <w:rPr>
                <w:sz w:val="4"/>
                <w:szCs w:val="4"/>
                <w:color w:val="auto"/>
              </w:rPr>
            </w:pPr>
          </w:p>
        </w:tc>
        <w:tc>
          <w:tcPr>
            <w:tcW w:w="260" w:type="dxa"/>
            <w:vAlign w:val="bottom"/>
          </w:tcPr>
          <w:p>
            <w:pPr>
              <w:spacing w:after="0"/>
              <w:rPr>
                <w:sz w:val="4"/>
                <w:szCs w:val="4"/>
                <w:color w:val="auto"/>
              </w:rPr>
            </w:pPr>
          </w:p>
        </w:tc>
        <w:tc>
          <w:tcPr>
            <w:tcW w:w="186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134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2220" w:type="dxa"/>
            <w:vAlign w:val="bottom"/>
          </w:tcPr>
          <w:p>
            <w:pPr>
              <w:spacing w:after="0"/>
              <w:rPr>
                <w:sz w:val="4"/>
                <w:szCs w:val="4"/>
                <w:color w:val="auto"/>
              </w:rPr>
            </w:pPr>
          </w:p>
        </w:tc>
        <w:tc>
          <w:tcPr>
            <w:tcW w:w="2940" w:type="dxa"/>
            <w:vAlign w:val="bottom"/>
          </w:tcPr>
          <w:p>
            <w:pPr>
              <w:spacing w:after="0"/>
              <w:rPr>
                <w:sz w:val="4"/>
                <w:szCs w:val="4"/>
                <w:color w:val="auto"/>
              </w:rPr>
            </w:pPr>
          </w:p>
        </w:tc>
      </w:tr>
      <w:tr>
        <w:trPr>
          <w:trHeight w:val="276"/>
        </w:trPr>
        <w:tc>
          <w:tcPr>
            <w:tcW w:w="500" w:type="dxa"/>
            <w:vAlign w:val="bottom"/>
          </w:tcPr>
          <w:p>
            <w:pP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On Vest Date</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[1/_/06]**</w:t>
            </w:r>
          </w:p>
        </w:tc>
        <w:tc>
          <w:tcPr>
            <w:tcW w:w="1340" w:type="dxa"/>
            <w:vAlign w:val="bottom"/>
          </w:tcPr>
          <w:p>
            <w:pPr>
              <w:spacing w:after="0"/>
              <w:rPr>
                <w:sz w:val="24"/>
                <w:szCs w:val="24"/>
                <w:color w:val="auto"/>
              </w:rPr>
            </w:pPr>
          </w:p>
        </w:tc>
        <w:tc>
          <w:tcPr>
            <w:tcW w:w="12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22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On Vest Date</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[1/_/07]**</w:t>
            </w:r>
          </w:p>
        </w:tc>
        <w:tc>
          <w:tcPr>
            <w:tcW w:w="1340" w:type="dxa"/>
            <w:vAlign w:val="bottom"/>
          </w:tcPr>
          <w:p>
            <w:pPr>
              <w:spacing w:after="0"/>
              <w:rPr>
                <w:sz w:val="18"/>
                <w:szCs w:val="18"/>
                <w:color w:val="auto"/>
              </w:rPr>
            </w:pPr>
          </w:p>
        </w:tc>
        <w:tc>
          <w:tcPr>
            <w:tcW w:w="12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22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On Vest Date</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[1/_/08]**</w:t>
            </w:r>
          </w:p>
        </w:tc>
        <w:tc>
          <w:tcPr>
            <w:tcW w:w="1340" w:type="dxa"/>
            <w:vAlign w:val="bottom"/>
          </w:tcPr>
          <w:p>
            <w:pPr>
              <w:spacing w:after="0"/>
              <w:rPr>
                <w:sz w:val="18"/>
                <w:szCs w:val="18"/>
                <w:color w:val="auto"/>
              </w:rPr>
            </w:pPr>
          </w:p>
        </w:tc>
        <w:tc>
          <w:tcPr>
            <w:tcW w:w="12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22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On Vest Date</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[1/_/09]**</w:t>
            </w:r>
          </w:p>
        </w:tc>
        <w:tc>
          <w:tcPr>
            <w:tcW w:w="1340" w:type="dxa"/>
            <w:vAlign w:val="bottom"/>
          </w:tcPr>
          <w:p>
            <w:pPr>
              <w:spacing w:after="0"/>
              <w:rPr>
                <w:sz w:val="20"/>
                <w:szCs w:val="20"/>
                <w:color w:val="auto"/>
              </w:rPr>
            </w:pPr>
          </w:p>
        </w:tc>
        <w:tc>
          <w:tcPr>
            <w:tcW w:w="12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220" w:type="dxa"/>
            <w:vAlign w:val="bottom"/>
          </w:tcPr>
          <w:p>
            <w:pPr>
              <w:spacing w:after="0"/>
              <w:rPr>
                <w:sz w:val="20"/>
                <w:szCs w:val="20"/>
                <w:color w:val="auto"/>
              </w:rPr>
            </w:pPr>
          </w:p>
        </w:tc>
        <w:tc>
          <w:tcPr>
            <w:tcW w:w="2940" w:type="dxa"/>
            <w:vAlign w:val="bottom"/>
          </w:tcPr>
          <w:p>
            <w:pPr>
              <w:spacing w:after="0"/>
              <w:rPr>
                <w:sz w:val="20"/>
                <w:szCs w:val="20"/>
                <w:color w:val="auto"/>
              </w:rPr>
            </w:pPr>
          </w:p>
        </w:tc>
      </w:tr>
      <w:tr>
        <w:trPr>
          <w:trHeight w:val="118"/>
        </w:trPr>
        <w:tc>
          <w:tcPr>
            <w:tcW w:w="5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8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220" w:type="dxa"/>
            <w:vAlign w:val="bottom"/>
            <w:tcBorders>
              <w:bottom w:val="single" w:sz="8" w:color="808080"/>
            </w:tcBorders>
          </w:tcPr>
          <w:p>
            <w:pPr>
              <w:spacing w:after="0"/>
              <w:rPr>
                <w:sz w:val="10"/>
                <w:szCs w:val="10"/>
                <w:color w:val="auto"/>
              </w:rPr>
            </w:pPr>
          </w:p>
        </w:tc>
        <w:tc>
          <w:tcPr>
            <w:tcW w:w="29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3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You and the Company agree that these options are granted under and governed by the terms and conditions of the Company’s 2000 Long-Term Incentive Plan as amended and the enclosed Option Agreement, both of which are attached and made a part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67575"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394" w:lineRule="exact"/>
        <w:rPr>
          <w:sz w:val="20"/>
          <w:szCs w:val="20"/>
          <w:color w:val="auto"/>
        </w:rPr>
      </w:pPr>
    </w:p>
    <w:p>
      <w:pPr>
        <w:ind w:left="600" w:hanging="592"/>
        <w:spacing w:after="0"/>
        <w:tabs>
          <w:tab w:leader="none" w:pos="6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Option vests in approximately equal annual 25% installments</w:t>
      </w:r>
    </w:p>
    <w:p>
      <w:pPr>
        <w:spacing w:after="0" w:line="225" w:lineRule="exact"/>
        <w:rPr>
          <w:sz w:val="20"/>
          <w:szCs w:val="20"/>
          <w:color w:val="auto"/>
        </w:rPr>
      </w:pPr>
    </w:p>
    <w:p>
      <w:pPr>
        <w:ind w:left="600" w:hanging="592"/>
        <w:spacing w:after="0"/>
        <w:tabs>
          <w:tab w:leader="none" w:pos="6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Full Vest Dates will occur on the first, second, third and fourth anniversaries of the Grant Date</w:t>
      </w:r>
    </w:p>
    <w:p>
      <w:pPr>
        <w:spacing w:after="0" w:line="225" w:lineRule="exact"/>
        <w:rPr>
          <w:rFonts w:ascii="Arial" w:cs="Arial" w:eastAsia="Arial" w:hAnsi="Arial"/>
          <w:sz w:val="18"/>
          <w:szCs w:val="18"/>
          <w:color w:val="auto"/>
        </w:rPr>
      </w:pPr>
    </w:p>
    <w:p>
      <w:pPr>
        <w:ind w:left="5660" w:right="2000" w:hanging="5652"/>
        <w:spacing w:after="0" w:line="528" w:lineRule="auto"/>
        <w:tabs>
          <w:tab w:leader="none" w:pos="593" w:val="left"/>
        </w:tabs>
        <w:numPr>
          <w:ilvl w:val="0"/>
          <w:numId w:val="51"/>
        </w:numPr>
        <w:rPr>
          <w:rFonts w:ascii="Arial" w:cs="Arial" w:eastAsia="Arial" w:hAnsi="Arial"/>
          <w:sz w:val="18"/>
          <w:szCs w:val="18"/>
          <w:color w:val="auto"/>
        </w:rPr>
      </w:pPr>
      <w:r>
        <w:rPr>
          <w:rFonts w:ascii="Arial" w:cs="Arial" w:eastAsia="Arial" w:hAnsi="Arial"/>
          <w:sz w:val="18"/>
          <w:szCs w:val="18"/>
          <w:color w:val="auto"/>
        </w:rPr>
        <w:t>Option expires at the later to occur of (i) remaining term of the tendered option it replaces and (ii) 6 years from Grant Date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936" w:right="21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AGREEMENT PURSUANT TO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2000 LONG-TERM INCENTIVE PLAN</w:t>
      </w:r>
    </w:p>
    <w:p>
      <w:pPr>
        <w:spacing w:after="0" w:line="184" w:lineRule="exact"/>
        <w:rPr>
          <w:sz w:val="20"/>
          <w:szCs w:val="20"/>
          <w:color w:val="auto"/>
        </w:rPr>
      </w:pPr>
    </w:p>
    <w:p>
      <w:pPr>
        <w:ind w:right="460" w:firstLine="447"/>
        <w:spacing w:after="0" w:line="277" w:lineRule="auto"/>
        <w:rPr>
          <w:sz w:val="20"/>
          <w:szCs w:val="20"/>
          <w:color w:val="auto"/>
        </w:rPr>
      </w:pPr>
      <w:r>
        <w:rPr>
          <w:rFonts w:ascii="Arial" w:cs="Arial" w:eastAsia="Arial" w:hAnsi="Arial"/>
          <w:sz w:val="18"/>
          <w:szCs w:val="18"/>
          <w:color w:val="auto"/>
        </w:rPr>
        <w:t xml:space="preserve">THIS AGREEMENT, made as of the date on the </w:t>
      </w:r>
      <w:r>
        <w:rPr>
          <w:rFonts w:ascii="Arial" w:cs="Arial" w:eastAsia="Arial" w:hAnsi="Arial"/>
          <w:sz w:val="18"/>
          <w:szCs w:val="18"/>
          <w:i w:val="1"/>
          <w:iCs w:val="1"/>
          <w:color w:val="auto"/>
        </w:rPr>
        <w:t>Notice of Grant of Stock Options</w:t>
      </w:r>
      <w:r>
        <w:rPr>
          <w:rFonts w:ascii="Arial" w:cs="Arial" w:eastAsia="Arial" w:hAnsi="Arial"/>
          <w:sz w:val="18"/>
          <w:szCs w:val="18"/>
          <w:color w:val="auto"/>
        </w:rPr>
        <w:t xml:space="preserve">, by and between Regeneron Pharmaceuticals, Inc., a New York corporation (the “Company”), and the employee named on the </w:t>
      </w:r>
      <w:r>
        <w:rPr>
          <w:rFonts w:ascii="Arial" w:cs="Arial" w:eastAsia="Arial" w:hAnsi="Arial"/>
          <w:sz w:val="18"/>
          <w:szCs w:val="18"/>
          <w:i w:val="1"/>
          <w:iCs w:val="1"/>
          <w:color w:val="auto"/>
        </w:rPr>
        <w:t>Notice of Grant of Stock Options</w:t>
      </w:r>
      <w:r>
        <w:rPr>
          <w:rFonts w:ascii="Arial" w:cs="Arial" w:eastAsia="Arial" w:hAnsi="Arial"/>
          <w:sz w:val="18"/>
          <w:szCs w:val="18"/>
          <w:color w:val="auto"/>
        </w:rPr>
        <w:t xml:space="preserve"> (the “Grantee”);</w:t>
      </w:r>
    </w:p>
    <w:p>
      <w:pPr>
        <w:spacing w:after="0" w:line="130" w:lineRule="exact"/>
        <w:rPr>
          <w:sz w:val="20"/>
          <w:szCs w:val="20"/>
          <w:color w:val="auto"/>
        </w:rPr>
      </w:pPr>
    </w:p>
    <w:p>
      <w:pPr>
        <w:ind w:right="500" w:firstLine="447"/>
        <w:spacing w:after="0" w:line="308" w:lineRule="auto"/>
        <w:rPr>
          <w:sz w:val="20"/>
          <w:szCs w:val="20"/>
          <w:color w:val="auto"/>
        </w:rPr>
      </w:pPr>
      <w:r>
        <w:rPr>
          <w:rFonts w:ascii="Arial" w:cs="Arial" w:eastAsia="Arial" w:hAnsi="Arial"/>
          <w:sz w:val="17"/>
          <w:szCs w:val="17"/>
          <w:color w:val="auto"/>
        </w:rPr>
        <w:t>WHEREAS, the Grantee is an employee of the Company and the Company desires to afford the Grantee the opportunity to acquire or enlarge the Grantee’s stock ownership in the Company so that the Grantee may have a direct proprietary interest in the Company’s success; and</w:t>
      </w:r>
    </w:p>
    <w:p>
      <w:pPr>
        <w:spacing w:after="0" w:line="106" w:lineRule="exact"/>
        <w:rPr>
          <w:sz w:val="20"/>
          <w:szCs w:val="20"/>
          <w:color w:val="auto"/>
        </w:rPr>
      </w:pPr>
    </w:p>
    <w:p>
      <w:pPr>
        <w:ind w:right="20" w:firstLine="447"/>
        <w:spacing w:after="0" w:line="264" w:lineRule="auto"/>
        <w:rPr>
          <w:sz w:val="20"/>
          <w:szCs w:val="20"/>
          <w:color w:val="auto"/>
        </w:rPr>
      </w:pPr>
      <w:r>
        <w:rPr>
          <w:rFonts w:ascii="Arial" w:cs="Arial" w:eastAsia="Arial" w:hAnsi="Arial"/>
          <w:sz w:val="18"/>
          <w:szCs w:val="18"/>
          <w:color w:val="auto"/>
        </w:rPr>
        <w:t xml:space="preserve">WHEREAS, the Committee administering the 2000 Long-Term Incentive Plan (the “Plan”) has granted (as of the effective date of grant specified in the </w:t>
      </w:r>
      <w:r>
        <w:rPr>
          <w:rFonts w:ascii="Arial" w:cs="Arial" w:eastAsia="Arial" w:hAnsi="Arial"/>
          <w:sz w:val="18"/>
          <w:szCs w:val="18"/>
          <w:i w:val="1"/>
          <w:iCs w:val="1"/>
          <w:color w:val="auto"/>
        </w:rPr>
        <w:t>Notice of Grant of Stock Options</w:t>
      </w:r>
      <w:r>
        <w:rPr>
          <w:rFonts w:ascii="Arial" w:cs="Arial" w:eastAsia="Arial" w:hAnsi="Arial"/>
          <w:sz w:val="18"/>
          <w:szCs w:val="18"/>
          <w:color w:val="auto"/>
        </w:rPr>
        <w:t>) to the Grantee a Stock Option to purchase the number of shares of the Company’s Common Stock ($.001 par value)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“Common Stock”) as set forth in the </w:t>
      </w:r>
      <w:r>
        <w:rPr>
          <w:rFonts w:ascii="Arial" w:cs="Arial" w:eastAsia="Arial" w:hAnsi="Arial"/>
          <w:sz w:val="18"/>
          <w:szCs w:val="18"/>
          <w:i w:val="1"/>
          <w:iCs w:val="1"/>
          <w:color w:val="auto"/>
        </w:rPr>
        <w:t>Notice of Grant of Stock Options</w:t>
      </w:r>
      <w:r>
        <w:rPr>
          <w:rFonts w:ascii="Arial" w:cs="Arial" w:eastAsia="Arial" w:hAnsi="Arial"/>
          <w:sz w:val="18"/>
          <w:szCs w:val="18"/>
          <w:color w:val="auto"/>
        </w:rPr>
        <w:t>.</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in consideration of the covenants and agreements herein contained, the parties agree as follows:</w:t>
      </w:r>
    </w:p>
    <w:p>
      <w:pPr>
        <w:spacing w:after="0" w:line="181" w:lineRule="exact"/>
        <w:rPr>
          <w:sz w:val="20"/>
          <w:szCs w:val="20"/>
          <w:color w:val="auto"/>
        </w:rPr>
      </w:pPr>
    </w:p>
    <w:p>
      <w:pPr>
        <w:ind w:firstLine="233"/>
        <w:spacing w:after="0" w:line="262" w:lineRule="auto"/>
        <w:tabs>
          <w:tab w:leader="none" w:pos="405" w:val="left"/>
        </w:tabs>
        <w:numPr>
          <w:ilvl w:val="0"/>
          <w:numId w:val="5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Grant of Award. </w:t>
      </w:r>
      <w:r>
        <w:rPr>
          <w:rFonts w:ascii="Arial" w:cs="Arial" w:eastAsia="Arial" w:hAnsi="Arial"/>
          <w:sz w:val="17"/>
          <w:szCs w:val="17"/>
          <w:color w:val="auto"/>
        </w:rPr>
        <w:t>Pursuant to Section 7 of the Plan, the Company grants to the Grantee, subject to the terms and conditions of the Plan and subject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further to the terms and conditions set forth here, the option to purchase from the Company all or any part of an aggregate of shares of Common Stock at the purchase price per share (the “Option”) as shown on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[The Option is intended to be an Incentive Stock Option under Section 422 of the Internal Revenue Code of 1986, as amended (the “Code”). Notwithstanding the foregoing, the Option will not qualify as an Incentive Stock Option, among other events, (i) if the Grantee disposes of the Common Stock acquired pursuant to the Option at any time during the two year period following the date of this Agreement or the one year period following the date on which the Option is exercised, or (ii) if the Grantee is not employed by the Company or a subsidiary of the Company within the meaning of Section 424 of the Code (a “Subsidiary”) at all times during the period beginning on the date of this Agreement and ending on the day three months before the date of exercise of the Option, or (iii) to the extent the aggregate fair market value (determined as of the time the Option is granted) of the stock subject to Incentive Stock Options which become exercisable for the first time in any calendar year exceeds $100,000. To the extent that the Option does not qualify as an Incentive Stock Option, it shall constitute a separate Non-Qualified Stock Option.]</w:t>
      </w:r>
      <w:r>
        <w:rPr>
          <w:rFonts w:ascii="Arial" w:cs="Arial" w:eastAsia="Arial" w:hAnsi="Arial"/>
          <w:sz w:val="28"/>
          <w:szCs w:val="28"/>
          <w:color w:val="auto"/>
          <w:vertAlign w:val="superscript"/>
        </w:rPr>
        <w:t>1</w:t>
      </w:r>
      <w:r>
        <w:rPr>
          <w:rFonts w:ascii="Arial" w:cs="Arial" w:eastAsia="Arial" w:hAnsi="Arial"/>
          <w:sz w:val="17"/>
          <w:szCs w:val="17"/>
          <w:color w:val="auto"/>
        </w:rPr>
        <w:t xml:space="preserve"> [No part of the Option granted hereby is intended to qualify as an Incentive Stock Option under Section 422 of the Internal Revenue Code of 1986, as amended (the “Code”).]</w:t>
      </w:r>
      <w:r>
        <w:rPr>
          <w:rFonts w:ascii="Arial" w:cs="Arial" w:eastAsia="Arial" w:hAnsi="Arial"/>
          <w:sz w:val="28"/>
          <w:szCs w:val="28"/>
          <w:color w:val="auto"/>
          <w:vertAlign w:val="superscript"/>
        </w:rPr>
        <w:t>2</w:t>
      </w:r>
    </w:p>
    <w:p>
      <w:pPr>
        <w:spacing w:after="0" w:line="12" w:lineRule="exact"/>
        <w:rPr>
          <w:rFonts w:ascii="Arial" w:cs="Arial" w:eastAsia="Arial" w:hAnsi="Arial"/>
          <w:sz w:val="17"/>
          <w:szCs w:val="17"/>
          <w:b w:val="1"/>
          <w:bCs w:val="1"/>
          <w:color w:val="auto"/>
        </w:rPr>
      </w:pPr>
    </w:p>
    <w:p>
      <w:pPr>
        <w:ind w:right="120" w:firstLine="233"/>
        <w:spacing w:after="0" w:line="273" w:lineRule="auto"/>
        <w:tabs>
          <w:tab w:leader="none" w:pos="402" w:val="left"/>
        </w:tabs>
        <w:numPr>
          <w:ilvl w:val="0"/>
          <w:numId w:val="5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Vesting. </w:t>
      </w:r>
      <w:r>
        <w:rPr>
          <w:rFonts w:ascii="Arial" w:cs="Arial" w:eastAsia="Arial" w:hAnsi="Arial"/>
          <w:sz w:val="17"/>
          <w:szCs w:val="17"/>
          <w:color w:val="auto"/>
        </w:rPr>
        <w:t>(a) The Option is exercisable in installments as provided on the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To the extent that the Option has become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exercisable with respect to the number of shares of Common Stock as provided on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and subject to the terms and conditions of the Plan, including without limitation, Section 7(c)(1) &amp; (2), the Option may thereafter be exercised by the Grantee, in whole or in part, at any time or from time to time prior to the expiration of the Option in accordance with the requirements set forth in Section 7(c)(3) of the Plan, including, without limitation, the filing of such written form of exercise notice as may be promulgated by the Committee, and in accordance with applicable tax and other laws. The Company shall have the right to require the Grantee in connection with the exercise of the Option to remit to the Company in cash an amount sufficient to satisfy any federal, state and local withholding tax requirements related thereto.</w:t>
      </w:r>
    </w:p>
    <w:p>
      <w:pPr>
        <w:spacing w:after="0" w:line="149" w:lineRule="exact"/>
        <w:rPr>
          <w:sz w:val="20"/>
          <w:szCs w:val="20"/>
          <w:color w:val="auto"/>
        </w:rPr>
      </w:pPr>
    </w:p>
    <w:p>
      <w:pPr>
        <w:ind w:firstLine="233"/>
        <w:spacing w:after="0" w:line="271" w:lineRule="auto"/>
        <w:tabs>
          <w:tab w:leader="none" w:pos="477" w:val="left"/>
        </w:tabs>
        <w:numPr>
          <w:ilvl w:val="1"/>
          <w:numId w:val="53"/>
        </w:numPr>
        <w:rPr>
          <w:rFonts w:ascii="Arial" w:cs="Arial" w:eastAsia="Arial" w:hAnsi="Arial"/>
          <w:sz w:val="17"/>
          <w:szCs w:val="17"/>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indicates each date upon which the Grantee shall be entitled to exercise the Option with respect to the additional number of shares of Common Stock granted as indicated provided that the Grantee has not incurred a termination of employment or service with the Company and all Subsidiaries (collectively, the Company and all Subsidiaries shall be referred to herein as the “Employer” and no termination of employment or service shall be deemed to take place unless the Grantee is no longer employed by or providing service to the Employer) prior to such date. There shall be no proportionate or partial vesting in the periods between the Full Vest Dates specified in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and all vesting shall occur only on the Full Vest Dates. Except as otherwise provided in any employment agreement, consulting agreement, change in control agreement or similar agreement in effect between the Employer and the Grantee on the date specified in the Notice of Grant of Stock Options, no vesting shall occur after such date as the Grantee ceases to be employed by the Employer and all unvested Options shall be forfeited at such time.</w:t>
      </w:r>
    </w:p>
    <w:p>
      <w:pPr>
        <w:spacing w:after="0" w:line="300" w:lineRule="exact"/>
        <w:rPr>
          <w:rFonts w:ascii="Arial" w:cs="Arial" w:eastAsia="Arial" w:hAnsi="Arial"/>
          <w:sz w:val="17"/>
          <w:szCs w:val="17"/>
          <w:color w:val="auto"/>
        </w:rPr>
      </w:pPr>
    </w:p>
    <w:p>
      <w:pPr>
        <w:ind w:left="460" w:right="120" w:hanging="413"/>
        <w:spacing w:after="0" w:line="277" w:lineRule="auto"/>
        <w:rPr>
          <w:rFonts w:ascii="Arial" w:cs="Arial" w:eastAsia="Arial" w:hAnsi="Arial"/>
          <w:sz w:val="17"/>
          <w:szCs w:val="17"/>
          <w:color w:val="auto"/>
        </w:rPr>
      </w:pPr>
      <w:r>
        <w:rPr>
          <w:rFonts w:ascii="Arial" w:cs="Arial" w:eastAsia="Arial" w:hAnsi="Arial"/>
          <w:sz w:val="30"/>
          <w:szCs w:val="30"/>
          <w:color w:val="auto"/>
          <w:vertAlign w:val="superscript"/>
        </w:rPr>
        <w:t>1</w:t>
      </w:r>
      <w:r>
        <w:rPr>
          <w:rFonts w:ascii="Arial" w:cs="Arial" w:eastAsia="Arial" w:hAnsi="Arial"/>
          <w:sz w:val="18"/>
          <w:szCs w:val="18"/>
          <w:color w:val="auto"/>
        </w:rPr>
        <w:t>This text will appear in agreements for Replacement Options that are intended to be incentive stock options under Section 422 of the Internal Revenue Code of 1986,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-370840</wp:posOffset>
            </wp:positionV>
            <wp:extent cx="13208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150" w:lineRule="exact"/>
        <w:rPr>
          <w:sz w:val="20"/>
          <w:szCs w:val="20"/>
          <w:color w:val="auto"/>
        </w:rPr>
      </w:pPr>
    </w:p>
    <w:p>
      <w:pPr>
        <w:ind w:left="460" w:right="520" w:hanging="405"/>
        <w:spacing w:after="0" w:line="194" w:lineRule="auto"/>
        <w:tabs>
          <w:tab w:leader="none" w:pos="460" w:val="left"/>
        </w:tabs>
        <w:numPr>
          <w:ilvl w:val="0"/>
          <w:numId w:val="54"/>
        </w:numPr>
        <w:rPr>
          <w:rFonts w:ascii="Arial" w:cs="Arial" w:eastAsia="Arial" w:hAnsi="Arial"/>
          <w:sz w:val="30"/>
          <w:szCs w:val="30"/>
          <w:color w:val="auto"/>
          <w:vertAlign w:val="superscript"/>
        </w:rPr>
      </w:pPr>
      <w:r>
        <w:rPr>
          <w:rFonts w:ascii="Arial" w:cs="Arial" w:eastAsia="Arial" w:hAnsi="Arial"/>
          <w:sz w:val="18"/>
          <w:szCs w:val="18"/>
          <w:color w:val="auto"/>
        </w:rPr>
        <w:t>This text will appear in agreements for Replacement Options that are not intended to be incentive stock options under Section 422 of the Internal Revenue Code of 1986, as amended.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76" w:name="page77"/>
    <w:bookmarkEnd w:id="76"/>
    <w:p>
      <w:pPr>
        <w:ind w:firstLine="233"/>
        <w:spacing w:after="0" w:line="286" w:lineRule="auto"/>
        <w:tabs>
          <w:tab w:leader="none" w:pos="470" w:val="left"/>
        </w:tabs>
        <w:numPr>
          <w:ilvl w:val="0"/>
          <w:numId w:val="55"/>
        </w:numPr>
        <w:rPr>
          <w:rFonts w:ascii="Arial" w:cs="Arial" w:eastAsia="Arial" w:hAnsi="Arial"/>
          <w:sz w:val="16"/>
          <w:szCs w:val="16"/>
          <w:color w:val="auto"/>
        </w:rPr>
      </w:pPr>
      <w:r>
        <w:rPr>
          <w:rFonts w:ascii="Arial" w:cs="Arial" w:eastAsia="Arial" w:hAnsi="Arial"/>
          <w:sz w:val="16"/>
          <w:szCs w:val="16"/>
          <w:color w:val="auto"/>
        </w:rPr>
        <w:t xml:space="preserve">Notwithstanding anything herein (except the following sentence) or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to the contrary, the Option shall be fully vested if the Grantee’s employment with the Employer is terminated on or within two years after the occurrence of a Change in Control by the Employer (other than for Cause). Except as otherwise provided in any employment agreement, consulting agreement, change in control agreement or similar agreement in effect between the Employer and the Grantee on the date of grant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if the application of the provision in the preceding sentence, any similar provisions in other stock option or restricted stock grants, and other payments and benefits payable to Grantee upon termination of employment with the Company (collectively, the “Company Payments”) would result in the Grantee being subject to excise tax under Internal Revenue Code Section 4999 (the “Excise Tax”), the amount of any Company Payments shall be automatically reduced to an amount one dollar less than an amount that would subject the Grantee to the Excise Tax; provided, however, that the reduction shall occur only if the reduced Company Payments received by the Grantee (after taking into account further reductions for applicable federal, state and local income, social security and other taxes) would be greater than the unreduced Company Payments to be received by the Grantee minus (i) the Excise Tax payable with respect to such Company Payments and (ii) all applicable federal, state and local income, social security and other taxes on such Company Payments. If the Company Payments are to be reduced in accordance with the foregoing, the Company Payments shall be reduced as mutually agreed between the Employer and the Grantee or, in the event the parties cannot agree, in the following order (1) acceleration of vesting of any option where the exercise price exceeds the fair market value of the underlying shares at the time the acceleration would otherwise occur, (2) any lump sum severance based on a multiple of base salary or bonus, (3) any other cash amounts payable to the Grantee, (4) any benefits valued as parachute payments, and (5) acceleration of vesting of any equity not covered by (1) above.</w:t>
      </w:r>
    </w:p>
    <w:p>
      <w:pPr>
        <w:spacing w:after="0" w:line="138" w:lineRule="exact"/>
        <w:rPr>
          <w:sz w:val="20"/>
          <w:szCs w:val="20"/>
          <w:color w:val="auto"/>
        </w:rPr>
      </w:pPr>
    </w:p>
    <w:p>
      <w:pPr>
        <w:ind w:right="20" w:firstLine="233"/>
        <w:spacing w:after="0" w:line="293" w:lineRule="auto"/>
        <w:tabs>
          <w:tab w:leader="none" w:pos="405" w:val="left"/>
        </w:tabs>
        <w:numPr>
          <w:ilvl w:val="1"/>
          <w:numId w:val="5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Option Term. </w:t>
      </w:r>
      <w:r>
        <w:rPr>
          <w:rFonts w:ascii="Arial" w:cs="Arial" w:eastAsia="Arial" w:hAnsi="Arial"/>
          <w:sz w:val="16"/>
          <w:szCs w:val="16"/>
          <w:color w:val="auto"/>
        </w:rPr>
        <w:t>(a) Except as otherwise provided in the next sentence or in the Plan, the Option shall expire on Expiration Date shown on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Notice of</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Grant of Stock Options</w:t>
      </w:r>
      <w:r>
        <w:rPr>
          <w:rFonts w:ascii="Arial" w:cs="Arial" w:eastAsia="Arial" w:hAnsi="Arial"/>
          <w:sz w:val="16"/>
          <w:szCs w:val="16"/>
          <w:color w:val="auto"/>
        </w:rPr>
        <w:t>. In the event of termination of employment or service with the Employer, the vested portion of the Option shall expire on the earlier of</w:t>
      </w:r>
    </w:p>
    <w:p>
      <w:pPr>
        <w:spacing w:after="0" w:line="1" w:lineRule="exact"/>
        <w:rPr>
          <w:rFonts w:ascii="Arial" w:cs="Arial" w:eastAsia="Arial" w:hAnsi="Arial"/>
          <w:sz w:val="16"/>
          <w:szCs w:val="16"/>
          <w:b w:val="1"/>
          <w:bCs w:val="1"/>
          <w:color w:val="auto"/>
        </w:rPr>
      </w:pPr>
    </w:p>
    <w:p>
      <w:pPr>
        <w:ind w:right="140" w:firstLine="8"/>
        <w:spacing w:after="0" w:line="254" w:lineRule="auto"/>
        <w:tabs>
          <w:tab w:leader="none" w:pos="215"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Expiration Date, or (ii) (A) three months after such termination if such termination is for any reason other than death, retirement, or long-term disability, (B) two years after such termination if such termination is due to the Grantee’s retirement, (C) one year after the termination if such termination is due to the Grantee’s death or long-term disability, or (D) the occurrence of the Cause event if such termination is for Cause or Cause existed at the time of such termination (whether then known or later discovered).</w:t>
      </w:r>
    </w:p>
    <w:p>
      <w:pPr>
        <w:spacing w:after="0" w:line="189" w:lineRule="exact"/>
        <w:rPr>
          <w:rFonts w:ascii="Arial" w:cs="Arial" w:eastAsia="Arial" w:hAnsi="Arial"/>
          <w:sz w:val="18"/>
          <w:szCs w:val="18"/>
          <w:color w:val="auto"/>
        </w:rPr>
      </w:pPr>
    </w:p>
    <w:p>
      <w:pPr>
        <w:ind w:left="660" w:right="20" w:hanging="308"/>
        <w:spacing w:after="0" w:line="286" w:lineRule="auto"/>
        <w:tabs>
          <w:tab w:leader="none" w:pos="660" w:val="left"/>
        </w:tabs>
        <w:numPr>
          <w:ilvl w:val="2"/>
          <w:numId w:val="57"/>
        </w:numPr>
        <w:rPr>
          <w:rFonts w:ascii="Arial" w:cs="Arial" w:eastAsia="Arial" w:hAnsi="Arial"/>
          <w:sz w:val="16"/>
          <w:szCs w:val="16"/>
          <w:color w:val="auto"/>
        </w:rPr>
      </w:pPr>
      <w:r>
        <w:rPr>
          <w:rFonts w:ascii="Arial" w:cs="Arial" w:eastAsia="Arial" w:hAnsi="Arial"/>
          <w:sz w:val="16"/>
          <w:szCs w:val="16"/>
          <w:color w:val="auto"/>
        </w:rPr>
        <w:t>For purposes of this Agreement, “Cause” shall mean (i) in the case where there is no employment agreement, consulting agreement, change in control agreement or similar agreement in effect between the Company and the Grantee on the date of grant specified in the Notice of Grant of Stock Options (or where there is such an agreement but it does not define “cause” (or words of like import)) (A) the willful and continued failure by the Grantee substantially to perform his or her duties and obligations to the Employer, including without limitation, repeated refusal to follow the reasonable directions of the Employer, knowing violation of law in the course of performance of the duties of the Grantee’s employment with the Employer, repeated absences from work without a reasonable excuse, and intoxication with alcohol or illegal drugs while on the Employer’s premises during regular business hours (other than any such failure resulting from his or her incapacity due to physical or mental illness); (B) fraud or material dishonesty against the Employer; or (C) a conviction or plea of guilty or nolo contendere to a felony or a crime involving material dishonesty or (ii) in the case where there is an employment agreement, consulting agreement, change in control agreement or similar agreement in effect between the Employer and the Grantee on the date of grant specified in the Notice of Grant of Stock Options that defines “cause” (or words of like import), as defined under such agreement. For purposes of this Section 3(b), no act, or failure to act, on a Grantee’s part shall be considered “willful” unless done, or omitted to be done, by the Grantee in bad faith and without reasonable belief that his or her action or omission was in the best interest of the Employer. Any determination of Cause made prior to a Change in Control shall be made by the Committee in its sole discretion.</w:t>
      </w:r>
    </w:p>
    <w:p>
      <w:pPr>
        <w:spacing w:after="0" w:line="170" w:lineRule="exact"/>
        <w:rPr>
          <w:rFonts w:ascii="Arial" w:cs="Arial" w:eastAsia="Arial" w:hAnsi="Arial"/>
          <w:sz w:val="16"/>
          <w:szCs w:val="16"/>
          <w:color w:val="auto"/>
        </w:rPr>
      </w:pPr>
    </w:p>
    <w:p>
      <w:pPr>
        <w:ind w:right="120" w:firstLine="233"/>
        <w:spacing w:after="0" w:line="290" w:lineRule="auto"/>
        <w:tabs>
          <w:tab w:leader="none" w:pos="405" w:val="left"/>
        </w:tabs>
        <w:numPr>
          <w:ilvl w:val="1"/>
          <w:numId w:val="5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Restrictions on Transfer of Option. </w:t>
      </w:r>
      <w:r>
        <w:rPr>
          <w:rFonts w:ascii="Arial" w:cs="Arial" w:eastAsia="Arial" w:hAnsi="Arial"/>
          <w:sz w:val="16"/>
          <w:szCs w:val="16"/>
          <w:color w:val="auto"/>
        </w:rPr>
        <w:t>The Option granted hereby shall not be transferable other than by will or by the laws of descent and distribution.</w:t>
      </w:r>
      <w:r>
        <w:rPr>
          <w:rFonts w:ascii="Arial" w:cs="Arial" w:eastAsia="Arial" w:hAnsi="Arial"/>
          <w:sz w:val="16"/>
          <w:szCs w:val="16"/>
          <w:b w:val="1"/>
          <w:bCs w:val="1"/>
          <w:color w:val="auto"/>
        </w:rPr>
        <w:t xml:space="preserve"> </w:t>
      </w:r>
      <w:r>
        <w:rPr>
          <w:rFonts w:ascii="Arial" w:cs="Arial" w:eastAsia="Arial" w:hAnsi="Arial"/>
          <w:sz w:val="16"/>
          <w:szCs w:val="16"/>
          <w:color w:val="auto"/>
        </w:rPr>
        <w:t>During the lifetime of the Grantee, this Option shall be exercisable only by the Grantee. In addition, except as otherwise provided in this Agreement, the Option shall not be assigned, negotiated, pledged or hypothecated in any way (whether by operation of law or otherwise), and the Option shall not be subject to execution, attachment or similar process. Upon any other attempt to transfer, assign, negotiate, pledge or hypothecate the Option, or in the event of any levy upon the option by reason of any execution, attachment, or similar process contrary to the provisions hereof, the Option shall immediately become null and void. Notwithstanding the foregoing provisions of this Section 4, subject to the approval of the Committee in its sole and absolute discretion and to any conditions that the Committee may prescribe, the Grantee may, upon providing written notice to the Company, elect to transfer the Option to members of his or her immediate family, including, but not limited to, children, grandchildren and spouse or to trusts for the benefit of such immediate family members or to partnerships in which such family members are the only partners; provided, however, that no such transfer may be made in exchange for consideration.</w:t>
      </w:r>
    </w:p>
    <w:p>
      <w:pPr>
        <w:spacing w:after="0" w:line="119" w:lineRule="exact"/>
        <w:rPr>
          <w:rFonts w:ascii="Arial" w:cs="Arial" w:eastAsia="Arial" w:hAnsi="Arial"/>
          <w:sz w:val="16"/>
          <w:szCs w:val="16"/>
          <w:b w:val="1"/>
          <w:bCs w:val="1"/>
          <w:color w:val="auto"/>
        </w:rPr>
      </w:pPr>
    </w:p>
    <w:p>
      <w:pPr>
        <w:ind w:right="140" w:firstLine="233"/>
        <w:spacing w:after="0" w:line="282" w:lineRule="auto"/>
        <w:tabs>
          <w:tab w:leader="none" w:pos="405" w:val="left"/>
        </w:tabs>
        <w:numPr>
          <w:ilvl w:val="1"/>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Rights of a Stockholder. </w:t>
      </w:r>
      <w:r>
        <w:rPr>
          <w:rFonts w:ascii="Arial" w:cs="Arial" w:eastAsia="Arial" w:hAnsi="Arial"/>
          <w:sz w:val="18"/>
          <w:szCs w:val="18"/>
          <w:color w:val="auto"/>
        </w:rPr>
        <w:t>The Grantee shall have no rights as a stockholder with respect to any shares of Common Stock subject to this Option prior to</w:t>
      </w:r>
      <w:r>
        <w:rPr>
          <w:rFonts w:ascii="Arial" w:cs="Arial" w:eastAsia="Arial" w:hAnsi="Arial"/>
          <w:sz w:val="18"/>
          <w:szCs w:val="18"/>
          <w:b w:val="1"/>
          <w:bCs w:val="1"/>
          <w:color w:val="auto"/>
        </w:rPr>
        <w:t xml:space="preserve"> </w:t>
      </w:r>
      <w:r>
        <w:rPr>
          <w:rFonts w:ascii="Arial" w:cs="Arial" w:eastAsia="Arial" w:hAnsi="Arial"/>
          <w:sz w:val="18"/>
          <w:szCs w:val="18"/>
          <w:color w:val="auto"/>
        </w:rPr>
        <w:t>the date of issuance to the Grantee of a certificate or certificates for such shares.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7" w:name="page78"/>
    <w:bookmarkEnd w:id="77"/>
    <w:p>
      <w:pPr>
        <w:spacing w:after="0" w:line="277" w:lineRule="auto"/>
        <w:rPr>
          <w:sz w:val="20"/>
          <w:szCs w:val="20"/>
          <w:color w:val="auto"/>
        </w:rPr>
      </w:pPr>
      <w:r>
        <w:rPr>
          <w:rFonts w:ascii="Arial" w:cs="Arial" w:eastAsia="Arial" w:hAnsi="Arial"/>
          <w:sz w:val="18"/>
          <w:szCs w:val="18"/>
          <w:color w:val="auto"/>
        </w:rPr>
        <w:t>No adjustment shall be made for dividends in cash or other property, distributions, or other rights with respect to such shares for which the record date is prior to the date upon which the Grantee shall become the holder of record therefor.</w:t>
      </w:r>
    </w:p>
    <w:p>
      <w:pPr>
        <w:spacing w:after="0" w:line="139" w:lineRule="exact"/>
        <w:rPr>
          <w:sz w:val="20"/>
          <w:szCs w:val="20"/>
          <w:color w:val="auto"/>
        </w:rPr>
      </w:pPr>
    </w:p>
    <w:p>
      <w:pPr>
        <w:ind w:firstLine="233"/>
        <w:spacing w:after="0" w:line="289" w:lineRule="auto"/>
        <w:tabs>
          <w:tab w:leader="none" w:pos="405" w:val="left"/>
        </w:tabs>
        <w:numPr>
          <w:ilvl w:val="0"/>
          <w:numId w:val="5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Compliance with Law and Regulations. </w:t>
      </w:r>
      <w:r>
        <w:rPr>
          <w:rFonts w:ascii="Arial" w:cs="Arial" w:eastAsia="Arial" w:hAnsi="Arial"/>
          <w:sz w:val="16"/>
          <w:szCs w:val="16"/>
          <w:color w:val="auto"/>
        </w:rPr>
        <w:t>This award and any obligation of the Company hereunder shall be subject to all applicable federal, state and</w:t>
      </w:r>
      <w:r>
        <w:rPr>
          <w:rFonts w:ascii="Arial" w:cs="Arial" w:eastAsia="Arial" w:hAnsi="Arial"/>
          <w:sz w:val="16"/>
          <w:szCs w:val="16"/>
          <w:b w:val="1"/>
          <w:bCs w:val="1"/>
          <w:color w:val="auto"/>
        </w:rPr>
        <w:t xml:space="preserve"> </w:t>
      </w:r>
      <w:r>
        <w:rPr>
          <w:rFonts w:ascii="Arial" w:cs="Arial" w:eastAsia="Arial" w:hAnsi="Arial"/>
          <w:sz w:val="16"/>
          <w:szCs w:val="16"/>
          <w:color w:val="auto"/>
        </w:rPr>
        <w:t>local laws, rules and regulations and to such approvals by any government or regulatory agency as may be required. The Company shall be under no obligation to effect the registration pursuant to federal securities laws of any interests in the Plan or any shares of Common Stock to be issued hereunder or to effect similar compliance under any state laws. The Company shall not be obligated to cause to be issued or delivered any certificates evidencing shares of Common Stock pursuant to this Agreement unless and until the Company is advised by its counsel that the issuance and delivery of such certificates is in compliance with all applicable laws, regulations of governmental authority and the requirements of any securities exchange on which shares of Common Stock are traded. The Committee may require, as a condition of the issuance and delivery of certificates evidencing shares of Common Stock pursuant to the terms hereof, that the recipient of such shares make such agreements and representations, and that such certificates bear such legends, as the Committee, in its sole discretion, deems necessary or desirable. Except to the extent preempted by any applicable federal law, this Agreement shall be construed and administered in accordance with the laws of the State of New York without reference to its principles of conflicts of law.</w:t>
      </w:r>
    </w:p>
    <w:p>
      <w:pPr>
        <w:spacing w:after="0" w:line="120" w:lineRule="exact"/>
        <w:rPr>
          <w:rFonts w:ascii="Arial" w:cs="Arial" w:eastAsia="Arial" w:hAnsi="Arial"/>
          <w:sz w:val="16"/>
          <w:szCs w:val="16"/>
          <w:b w:val="1"/>
          <w:bCs w:val="1"/>
          <w:color w:val="auto"/>
        </w:rPr>
      </w:pPr>
    </w:p>
    <w:p>
      <w:pPr>
        <w:jc w:val="both"/>
        <w:ind w:right="140" w:firstLine="233"/>
        <w:spacing w:after="0" w:line="261" w:lineRule="auto"/>
        <w:tabs>
          <w:tab w:leader="none" w:pos="405"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Grantee Bound by Plan. </w:t>
      </w:r>
      <w:r>
        <w:rPr>
          <w:rFonts w:ascii="Arial" w:cs="Arial" w:eastAsia="Arial" w:hAnsi="Arial"/>
          <w:sz w:val="18"/>
          <w:szCs w:val="18"/>
          <w:color w:val="auto"/>
        </w:rPr>
        <w:t>The Grantee acknowledges receipt of a copy of the Plan and agrees to be bound by all the terms and provisions thereof.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is incorporated herein by reference, and any capitalized term used but not defined herein shall have the same meaning as in the Plan. To the extent that this Agreement is silent with respect to, or in any way inconsistent with, the terms of the Plan, the provisions of the Plan shall govern and this Agreement shall be deemed to be modified accordingly.</w:t>
      </w:r>
    </w:p>
    <w:p>
      <w:pPr>
        <w:spacing w:after="0" w:line="139" w:lineRule="exact"/>
        <w:rPr>
          <w:rFonts w:ascii="Arial" w:cs="Arial" w:eastAsia="Arial" w:hAnsi="Arial"/>
          <w:sz w:val="18"/>
          <w:szCs w:val="18"/>
          <w:b w:val="1"/>
          <w:bCs w:val="1"/>
          <w:color w:val="auto"/>
        </w:rPr>
      </w:pPr>
    </w:p>
    <w:p>
      <w:pPr>
        <w:ind w:right="20" w:firstLine="233"/>
        <w:spacing w:after="0" w:line="258" w:lineRule="auto"/>
        <w:tabs>
          <w:tab w:leader="none" w:pos="405"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Any notice or communication given hereunder shall be in writing and shall be deemed given when delivered in person, or by United States</w:t>
      </w:r>
      <w:r>
        <w:rPr>
          <w:rFonts w:ascii="Arial" w:cs="Arial" w:eastAsia="Arial" w:hAnsi="Arial"/>
          <w:sz w:val="18"/>
          <w:szCs w:val="18"/>
          <w:b w:val="1"/>
          <w:bCs w:val="1"/>
          <w:color w:val="auto"/>
        </w:rPr>
        <w:t xml:space="preserve"> </w:t>
      </w:r>
      <w:r>
        <w:rPr>
          <w:rFonts w:ascii="Arial" w:cs="Arial" w:eastAsia="Arial" w:hAnsi="Arial"/>
          <w:sz w:val="18"/>
          <w:szCs w:val="18"/>
          <w:color w:val="auto"/>
        </w:rPr>
        <w:t>mail, at the following addresses: (i) if to the Employer, to: Regeneron Pharmaceuticals, Inc., 777 Old Saw Mill River Road, Tarrytown, NY 10591, Attention: Secretary, and (ii) if to the Grantee, to: the Grantee at Regeneron Pharmaceuticals, Inc., 777 Old Saw Mill River Road, Tarrytown, NY 10591, or, if the Grantee has terminated employment, to the last address for the Grantee indicated in the records of the Employer, or such other address as the relevant party shall specify at any time hereafter in accordance with this Section 8.</w:t>
      </w:r>
    </w:p>
    <w:p>
      <w:pPr>
        <w:spacing w:after="0" w:line="156" w:lineRule="exact"/>
        <w:rPr>
          <w:rFonts w:ascii="Arial" w:cs="Arial" w:eastAsia="Arial" w:hAnsi="Arial"/>
          <w:sz w:val="18"/>
          <w:szCs w:val="18"/>
          <w:b w:val="1"/>
          <w:bCs w:val="1"/>
          <w:color w:val="auto"/>
        </w:rPr>
      </w:pPr>
    </w:p>
    <w:p>
      <w:pPr>
        <w:ind w:right="500" w:firstLine="233"/>
        <w:spacing w:after="0" w:line="282" w:lineRule="auto"/>
        <w:tabs>
          <w:tab w:leader="none" w:pos="405"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Obligation to Continue Employment. </w:t>
      </w:r>
      <w:r>
        <w:rPr>
          <w:rFonts w:ascii="Arial" w:cs="Arial" w:eastAsia="Arial" w:hAnsi="Arial"/>
          <w:sz w:val="18"/>
          <w:szCs w:val="18"/>
          <w:color w:val="auto"/>
        </w:rPr>
        <w:t>This Agreement does not guarantee that the Employer will employ the Grantee for any specified time</w:t>
      </w:r>
      <w:r>
        <w:rPr>
          <w:rFonts w:ascii="Arial" w:cs="Arial" w:eastAsia="Arial" w:hAnsi="Arial"/>
          <w:sz w:val="18"/>
          <w:szCs w:val="18"/>
          <w:b w:val="1"/>
          <w:bCs w:val="1"/>
          <w:color w:val="auto"/>
        </w:rPr>
        <w:t xml:space="preserve"> </w:t>
      </w:r>
      <w:r>
        <w:rPr>
          <w:rFonts w:ascii="Arial" w:cs="Arial" w:eastAsia="Arial" w:hAnsi="Arial"/>
          <w:sz w:val="18"/>
          <w:szCs w:val="18"/>
          <w:color w:val="auto"/>
        </w:rPr>
        <w:t>period, nor does it modify in any respect the Grantee’s employment or compensation.</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935" w:right="279" w:bottom="1440" w:gutter="0" w:footer="0" w:header="0"/>
        </w:sectPr>
      </w:pPr>
    </w:p>
    <w:bookmarkStart w:id="78" w:name="page79"/>
    <w:bookmarkEnd w:id="78"/>
    <w:p>
      <w:pPr>
        <w:ind w:left="10280"/>
        <w:spacing w:after="0"/>
        <w:rPr>
          <w:sz w:val="20"/>
          <w:szCs w:val="20"/>
          <w:color w:val="auto"/>
        </w:rPr>
      </w:pPr>
      <w:r>
        <w:rPr>
          <w:rFonts w:ascii="Arial" w:cs="Arial" w:eastAsia="Arial" w:hAnsi="Arial"/>
          <w:sz w:val="18"/>
          <w:szCs w:val="18"/>
          <w:color w:val="auto"/>
        </w:rPr>
        <w:t>EXHIBIT(d)(8)</w:t>
      </w:r>
    </w:p>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of Replacement Option Agreement and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Notice of Grant of Replacement Options for Vice Presidents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of 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114935</wp:posOffset>
            </wp:positionV>
            <wp:extent cx="7267575"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720" w:type="dxa"/>
            <w:vAlign w:val="bottom"/>
            <w:gridSpan w:val="2"/>
          </w:tcPr>
          <w:p>
            <w:pPr>
              <w:ind w:left="1000"/>
              <w:spacing w:after="0"/>
              <w:rPr>
                <w:sz w:val="20"/>
                <w:szCs w:val="20"/>
                <w:color w:val="auto"/>
              </w:rPr>
            </w:pPr>
            <w:r>
              <w:rPr>
                <w:rFonts w:ascii="Arial" w:cs="Arial" w:eastAsia="Arial" w:hAnsi="Arial"/>
                <w:sz w:val="18"/>
                <w:szCs w:val="18"/>
                <w:b w:val="1"/>
                <w:bCs w:val="1"/>
                <w:color w:val="auto"/>
                <w:w w:val="95"/>
              </w:rPr>
              <w:t>Regeneron Pharmaceuticals, Inc.</w:t>
            </w:r>
          </w:p>
        </w:tc>
        <w:tc>
          <w:tcPr>
            <w:tcW w:w="3000" w:type="dxa"/>
            <w:vAlign w:val="bottom"/>
          </w:tcPr>
          <w:p>
            <w:pPr>
              <w:spacing w:after="0"/>
              <w:rPr>
                <w:sz w:val="18"/>
                <w:szCs w:val="18"/>
                <w:color w:val="auto"/>
              </w:rPr>
            </w:pPr>
          </w:p>
        </w:tc>
      </w:tr>
      <w:tr>
        <w:trPr>
          <w:trHeight w:val="234"/>
        </w:trPr>
        <w:tc>
          <w:tcPr>
            <w:tcW w:w="2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80" w:type="dxa"/>
            <w:vAlign w:val="bottom"/>
          </w:tcPr>
          <w:p>
            <w:pPr>
              <w:ind w:left="1000"/>
              <w:spacing w:after="0"/>
              <w:rPr>
                <w:sz w:val="20"/>
                <w:szCs w:val="20"/>
                <w:color w:val="auto"/>
              </w:rPr>
            </w:pPr>
            <w:r>
              <w:rPr>
                <w:rFonts w:ascii="Arial" w:cs="Arial" w:eastAsia="Arial" w:hAnsi="Arial"/>
                <w:sz w:val="18"/>
                <w:szCs w:val="18"/>
                <w:b w:val="1"/>
                <w:bCs w:val="1"/>
                <w:color w:val="auto"/>
              </w:rPr>
              <w:t xml:space="preserve">ID: </w:t>
            </w:r>
            <w:r>
              <w:rPr>
                <w:rFonts w:ascii="Arial" w:cs="Arial" w:eastAsia="Arial" w:hAnsi="Arial"/>
                <w:sz w:val="18"/>
                <w:szCs w:val="18"/>
                <w:color w:val="auto"/>
              </w:rPr>
              <w:t>[</w:t>
            </w:r>
          </w:p>
        </w:tc>
        <w:tc>
          <w:tcPr>
            <w:tcW w:w="2340" w:type="dxa"/>
            <w:vAlign w:val="bottom"/>
          </w:tcPr>
          <w:p>
            <w:pPr>
              <w:jc w:val="right"/>
              <w:ind w:right="1310"/>
              <w:spacing w:after="0"/>
              <w:rPr>
                <w:sz w:val="20"/>
                <w:szCs w:val="20"/>
                <w:color w:val="auto"/>
              </w:rPr>
            </w:pPr>
            <w:r>
              <w:rPr>
                <w:rFonts w:ascii="Arial" w:cs="Arial" w:eastAsia="Arial" w:hAnsi="Arial"/>
                <w:sz w:val="18"/>
                <w:szCs w:val="18"/>
                <w:color w:val="auto"/>
              </w:rPr>
              <w:t>]</w:t>
            </w:r>
          </w:p>
        </w:tc>
        <w:tc>
          <w:tcPr>
            <w:tcW w:w="3000" w:type="dxa"/>
            <w:vAlign w:val="bottom"/>
          </w:tcPr>
          <w:p>
            <w:pPr>
              <w:spacing w:after="0"/>
              <w:rPr>
                <w:sz w:val="20"/>
                <w:szCs w:val="20"/>
                <w:color w:val="auto"/>
              </w:rPr>
            </w:pPr>
          </w:p>
        </w:tc>
      </w:tr>
      <w:tr>
        <w:trPr>
          <w:trHeight w:val="603"/>
        </w:trPr>
        <w:tc>
          <w:tcPr>
            <w:tcW w:w="2760" w:type="dxa"/>
            <w:vAlign w:val="bottom"/>
          </w:tcPr>
          <w:p>
            <w:pPr>
              <w:spacing w:after="0"/>
              <w:rPr>
                <w:sz w:val="20"/>
                <w:szCs w:val="20"/>
                <w:color w:val="auto"/>
              </w:rPr>
            </w:pPr>
            <w:r>
              <w:rPr>
                <w:rFonts w:ascii="Arial" w:cs="Arial" w:eastAsia="Arial" w:hAnsi="Arial"/>
                <w:sz w:val="18"/>
                <w:szCs w:val="18"/>
                <w:b w:val="1"/>
                <w:bCs w:val="1"/>
                <w:color w:val="auto"/>
                <w:w w:val="98"/>
              </w:rPr>
              <w:t>Notice of Grant of Stock Options</w:t>
            </w:r>
          </w:p>
        </w:tc>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720" w:type="dxa"/>
            <w:vAlign w:val="bottom"/>
            <w:gridSpan w:val="2"/>
          </w:tcPr>
          <w:p>
            <w:pPr>
              <w:ind w:left="40"/>
              <w:spacing w:after="0"/>
              <w:rPr>
                <w:sz w:val="20"/>
                <w:szCs w:val="20"/>
                <w:color w:val="auto"/>
              </w:rPr>
            </w:pPr>
            <w:r>
              <w:rPr>
                <w:rFonts w:ascii="Arial" w:cs="Arial" w:eastAsia="Arial" w:hAnsi="Arial"/>
                <w:sz w:val="18"/>
                <w:szCs w:val="18"/>
                <w:color w:val="auto"/>
              </w:rPr>
              <w:t>777 Old Saw Mill River Road</w:t>
            </w:r>
          </w:p>
        </w:tc>
        <w:tc>
          <w:tcPr>
            <w:tcW w:w="3000" w:type="dxa"/>
            <w:vAlign w:val="bottom"/>
          </w:tcPr>
          <w:p>
            <w:pPr>
              <w:spacing w:after="0"/>
              <w:rPr>
                <w:sz w:val="24"/>
                <w:szCs w:val="24"/>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b w:val="1"/>
                <w:bCs w:val="1"/>
                <w:color w:val="auto"/>
              </w:rPr>
              <w:t>and Option Agreement for Replacement</w:t>
            </w:r>
          </w:p>
        </w:tc>
        <w:tc>
          <w:tcPr>
            <w:tcW w:w="1040" w:type="dxa"/>
            <w:vAlign w:val="bottom"/>
          </w:tcPr>
          <w:p>
            <w:pPr>
              <w:spacing w:after="0"/>
              <w:rPr>
                <w:sz w:val="18"/>
                <w:szCs w:val="18"/>
                <w:color w:val="auto"/>
              </w:rPr>
            </w:pPr>
          </w:p>
        </w:tc>
        <w:tc>
          <w:tcPr>
            <w:tcW w:w="3720" w:type="dxa"/>
            <w:vAlign w:val="bottom"/>
            <w:gridSpan w:val="2"/>
          </w:tcPr>
          <w:p>
            <w:pPr>
              <w:ind w:left="40"/>
              <w:spacing w:after="0"/>
              <w:rPr>
                <w:sz w:val="20"/>
                <w:szCs w:val="20"/>
                <w:color w:val="auto"/>
              </w:rPr>
            </w:pPr>
            <w:r>
              <w:rPr>
                <w:rFonts w:ascii="Arial" w:cs="Arial" w:eastAsia="Arial" w:hAnsi="Arial"/>
                <w:sz w:val="18"/>
                <w:szCs w:val="18"/>
                <w:color w:val="auto"/>
              </w:rPr>
              <w:t>Tarrytown, New York 10591</w:t>
            </w:r>
          </w:p>
        </w:tc>
        <w:tc>
          <w:tcPr>
            <w:tcW w:w="3000" w:type="dxa"/>
            <w:vAlign w:val="bottom"/>
          </w:tcPr>
          <w:p>
            <w:pPr>
              <w:spacing w:after="0"/>
              <w:rPr>
                <w:sz w:val="18"/>
                <w:szCs w:val="18"/>
                <w:color w:val="auto"/>
              </w:rPr>
            </w:pPr>
          </w:p>
        </w:tc>
      </w:tr>
      <w:tr>
        <w:trPr>
          <w:trHeight w:val="234"/>
        </w:trPr>
        <w:tc>
          <w:tcPr>
            <w:tcW w:w="2760" w:type="dxa"/>
            <w:vAlign w:val="bottom"/>
          </w:tcPr>
          <w:p>
            <w:pPr>
              <w:spacing w:after="0"/>
              <w:rPr>
                <w:sz w:val="20"/>
                <w:szCs w:val="20"/>
                <w:color w:val="auto"/>
              </w:rPr>
            </w:pPr>
            <w:r>
              <w:rPr>
                <w:rFonts w:ascii="Arial" w:cs="Arial" w:eastAsia="Arial" w:hAnsi="Arial"/>
                <w:sz w:val="18"/>
                <w:szCs w:val="18"/>
                <w:b w:val="1"/>
                <w:bCs w:val="1"/>
                <w:color w:val="auto"/>
              </w:rPr>
              <w:t>Option Awards</w:t>
            </w:r>
          </w:p>
        </w:tc>
        <w:tc>
          <w:tcPr>
            <w:tcW w:w="9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3000" w:type="dxa"/>
            <w:vAlign w:val="bottom"/>
          </w:tcPr>
          <w:p>
            <w:pPr>
              <w:spacing w:after="0"/>
              <w:rPr>
                <w:sz w:val="20"/>
                <w:szCs w:val="20"/>
                <w:color w:val="auto"/>
              </w:rPr>
            </w:pPr>
          </w:p>
        </w:tc>
      </w:tr>
      <w:tr>
        <w:trPr>
          <w:trHeight w:val="118"/>
        </w:trPr>
        <w:tc>
          <w:tcPr>
            <w:tcW w:w="2760" w:type="dxa"/>
            <w:vAlign w:val="bottom"/>
            <w:tcBorders>
              <w:bottom w:val="single" w:sz="8" w:color="808080"/>
            </w:tcBorders>
          </w:tcPr>
          <w:p>
            <w:pPr>
              <w:spacing w:after="0"/>
              <w:rPr>
                <w:sz w:val="10"/>
                <w:szCs w:val="10"/>
                <w:color w:val="auto"/>
              </w:rPr>
            </w:pPr>
          </w:p>
        </w:tc>
        <w:tc>
          <w:tcPr>
            <w:tcW w:w="1960" w:type="dxa"/>
            <w:vAlign w:val="bottom"/>
            <w:tcBorders>
              <w:bottom w:val="single" w:sz="8" w:color="808080"/>
            </w:tcBorders>
            <w:gridSpan w:val="2"/>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340" w:type="dxa"/>
            <w:vAlign w:val="bottom"/>
            <w:tcBorders>
              <w:bottom w:val="single" w:sz="8" w:color="808080"/>
            </w:tcBorders>
          </w:tcPr>
          <w:p>
            <w:pPr>
              <w:spacing w:after="0"/>
              <w:rPr>
                <w:sz w:val="10"/>
                <w:szCs w:val="10"/>
                <w:color w:val="auto"/>
              </w:rPr>
            </w:pPr>
          </w:p>
        </w:tc>
        <w:tc>
          <w:tcPr>
            <w:tcW w:w="3000" w:type="dxa"/>
            <w:vAlign w:val="bottom"/>
            <w:tcBorders>
              <w:bottom w:val="single" w:sz="8" w:color="808080"/>
            </w:tcBorders>
          </w:tcPr>
          <w:p>
            <w:pPr>
              <w:spacing w:after="0"/>
              <w:rPr>
                <w:sz w:val="10"/>
                <w:szCs w:val="10"/>
                <w:color w:val="auto"/>
              </w:rPr>
            </w:pPr>
          </w:p>
        </w:tc>
      </w:tr>
      <w:tr>
        <w:trPr>
          <w:trHeight w:val="519"/>
        </w:trPr>
        <w:tc>
          <w:tcPr>
            <w:tcW w:w="2760" w:type="dxa"/>
            <w:vAlign w:val="bottom"/>
          </w:tcPr>
          <w:p>
            <w:pPr>
              <w:spacing w:after="0"/>
              <w:rPr>
                <w:sz w:val="20"/>
                <w:szCs w:val="20"/>
                <w:color w:val="auto"/>
              </w:rPr>
            </w:pPr>
            <w:r>
              <w:rPr>
                <w:rFonts w:ascii="Arial" w:cs="Arial" w:eastAsia="Arial" w:hAnsi="Arial"/>
                <w:sz w:val="18"/>
                <w:szCs w:val="18"/>
                <w:b w:val="1"/>
                <w:bCs w:val="1"/>
                <w:color w:val="auto"/>
              </w:rPr>
              <w:t>[OPTIONEE NAME]</w:t>
            </w:r>
          </w:p>
        </w:tc>
        <w:tc>
          <w:tcPr>
            <w:tcW w:w="1960" w:type="dxa"/>
            <w:vAlign w:val="bottom"/>
            <w:gridSpan w:val="2"/>
          </w:tcPr>
          <w:p>
            <w:pPr>
              <w:ind w:left="220"/>
              <w:spacing w:after="0"/>
              <w:rPr>
                <w:sz w:val="20"/>
                <w:szCs w:val="20"/>
                <w:color w:val="auto"/>
              </w:rPr>
            </w:pPr>
            <w:r>
              <w:rPr>
                <w:rFonts w:ascii="Arial" w:cs="Arial" w:eastAsia="Arial" w:hAnsi="Arial"/>
                <w:sz w:val="18"/>
                <w:szCs w:val="18"/>
                <w:b w:val="1"/>
                <w:bCs w:val="1"/>
                <w:color w:val="auto"/>
              </w:rPr>
              <w:t>Option Number:</w:t>
            </w:r>
          </w:p>
        </w:tc>
        <w:tc>
          <w:tcPr>
            <w:tcW w:w="1380" w:type="dxa"/>
            <w:vAlign w:val="bottom"/>
          </w:tcPr>
          <w:p>
            <w:pPr>
              <w:jc w:val="right"/>
              <w:ind w:right="810"/>
              <w:spacing w:after="0"/>
              <w:rPr>
                <w:sz w:val="20"/>
                <w:szCs w:val="20"/>
                <w:color w:val="auto"/>
              </w:rPr>
            </w:pPr>
            <w:r>
              <w:rPr>
                <w:rFonts w:ascii="Arial" w:cs="Arial" w:eastAsia="Arial" w:hAnsi="Arial"/>
                <w:sz w:val="18"/>
                <w:szCs w:val="18"/>
                <w:color w:val="auto"/>
              </w:rPr>
              <w:t>[</w:t>
            </w:r>
          </w:p>
        </w:tc>
        <w:tc>
          <w:tcPr>
            <w:tcW w:w="2340" w:type="dxa"/>
            <w:vAlign w:val="bottom"/>
          </w:tcPr>
          <w:p>
            <w:pPr>
              <w:jc w:val="right"/>
              <w:ind w:right="2190"/>
              <w:spacing w:after="0"/>
              <w:rPr>
                <w:sz w:val="20"/>
                <w:szCs w:val="20"/>
                <w:color w:val="auto"/>
              </w:rPr>
            </w:pPr>
            <w:r>
              <w:rPr>
                <w:rFonts w:ascii="Arial" w:cs="Arial" w:eastAsia="Arial" w:hAnsi="Arial"/>
                <w:sz w:val="18"/>
                <w:szCs w:val="18"/>
                <w:color w:val="auto"/>
                <w:w w:val="78"/>
              </w:rPr>
              <w:t>]</w:t>
            </w:r>
          </w:p>
        </w:tc>
        <w:tc>
          <w:tcPr>
            <w:tcW w:w="3000" w:type="dxa"/>
            <w:vAlign w:val="bottom"/>
          </w:tcPr>
          <w:p>
            <w:pPr>
              <w:spacing w:after="0"/>
              <w:rPr>
                <w:sz w:val="24"/>
                <w:szCs w:val="24"/>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b w:val="1"/>
                <w:bCs w:val="1"/>
                <w:color w:val="auto"/>
              </w:rPr>
              <w:t>[OPTIONEE ADDRESS]</w:t>
            </w:r>
          </w:p>
        </w:tc>
        <w:tc>
          <w:tcPr>
            <w:tcW w:w="920" w:type="dxa"/>
            <w:vAlign w:val="bottom"/>
          </w:tcPr>
          <w:p>
            <w:pPr>
              <w:ind w:left="220"/>
              <w:spacing w:after="0"/>
              <w:rPr>
                <w:sz w:val="20"/>
                <w:szCs w:val="20"/>
                <w:color w:val="auto"/>
              </w:rPr>
            </w:pPr>
            <w:r>
              <w:rPr>
                <w:rFonts w:ascii="Arial" w:cs="Arial" w:eastAsia="Arial" w:hAnsi="Arial"/>
                <w:sz w:val="18"/>
                <w:szCs w:val="18"/>
                <w:b w:val="1"/>
                <w:bCs w:val="1"/>
                <w:color w:val="auto"/>
              </w:rPr>
              <w:t>Plan:</w:t>
            </w:r>
          </w:p>
        </w:tc>
        <w:tc>
          <w:tcPr>
            <w:tcW w:w="1040" w:type="dxa"/>
            <w:vAlign w:val="bottom"/>
          </w:tcPr>
          <w:p>
            <w:pPr>
              <w:spacing w:after="0"/>
              <w:rPr>
                <w:sz w:val="18"/>
                <w:szCs w:val="18"/>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rPr>
              <w:t>2004</w:t>
            </w:r>
          </w:p>
        </w:tc>
        <w:tc>
          <w:tcPr>
            <w:tcW w:w="234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34"/>
        </w:trPr>
        <w:tc>
          <w:tcPr>
            <w:tcW w:w="2760" w:type="dxa"/>
            <w:vAlign w:val="bottom"/>
          </w:tcPr>
          <w:p>
            <w:pPr>
              <w:spacing w:after="0"/>
              <w:rPr>
                <w:sz w:val="20"/>
                <w:szCs w:val="20"/>
                <w:color w:val="auto"/>
              </w:rPr>
            </w:pPr>
          </w:p>
        </w:tc>
        <w:tc>
          <w:tcPr>
            <w:tcW w:w="920" w:type="dxa"/>
            <w:vAlign w:val="bottom"/>
          </w:tcPr>
          <w:p>
            <w:pPr>
              <w:ind w:left="220"/>
              <w:spacing w:after="0"/>
              <w:rPr>
                <w:sz w:val="20"/>
                <w:szCs w:val="20"/>
                <w:color w:val="auto"/>
              </w:rPr>
            </w:pPr>
            <w:r>
              <w:rPr>
                <w:rFonts w:ascii="Arial" w:cs="Arial" w:eastAsia="Arial" w:hAnsi="Arial"/>
                <w:sz w:val="18"/>
                <w:szCs w:val="18"/>
                <w:b w:val="1"/>
                <w:bCs w:val="1"/>
                <w:color w:val="auto"/>
              </w:rPr>
              <w:t>ID</w:t>
            </w:r>
          </w:p>
        </w:tc>
        <w:tc>
          <w:tcPr>
            <w:tcW w:w="1040" w:type="dxa"/>
            <w:vAlign w:val="bottom"/>
          </w:tcPr>
          <w:p>
            <w:pPr>
              <w:spacing w:after="0"/>
              <w:rPr>
                <w:sz w:val="20"/>
                <w:szCs w:val="20"/>
                <w:color w:val="auto"/>
              </w:rPr>
            </w:pPr>
          </w:p>
        </w:tc>
        <w:tc>
          <w:tcPr>
            <w:tcW w:w="1380" w:type="dxa"/>
            <w:vAlign w:val="bottom"/>
          </w:tcPr>
          <w:p>
            <w:pPr>
              <w:jc w:val="right"/>
              <w:ind w:right="810"/>
              <w:spacing w:after="0"/>
              <w:rPr>
                <w:sz w:val="20"/>
                <w:szCs w:val="20"/>
                <w:color w:val="auto"/>
              </w:rPr>
            </w:pPr>
            <w:r>
              <w:rPr>
                <w:rFonts w:ascii="Arial" w:cs="Arial" w:eastAsia="Arial" w:hAnsi="Arial"/>
                <w:sz w:val="18"/>
                <w:szCs w:val="18"/>
                <w:color w:val="auto"/>
              </w:rPr>
              <w:t>[</w:t>
            </w:r>
          </w:p>
        </w:tc>
        <w:tc>
          <w:tcPr>
            <w:tcW w:w="2340" w:type="dxa"/>
            <w:vAlign w:val="bottom"/>
          </w:tcPr>
          <w:p>
            <w:pPr>
              <w:jc w:val="right"/>
              <w:ind w:right="2190"/>
              <w:spacing w:after="0"/>
              <w:rPr>
                <w:sz w:val="20"/>
                <w:szCs w:val="20"/>
                <w:color w:val="auto"/>
              </w:rPr>
            </w:pPr>
            <w:r>
              <w:rPr>
                <w:rFonts w:ascii="Arial" w:cs="Arial" w:eastAsia="Arial" w:hAnsi="Arial"/>
                <w:sz w:val="18"/>
                <w:szCs w:val="18"/>
                <w:color w:val="auto"/>
                <w:w w:val="78"/>
              </w:rPr>
              <w:t>]</w:t>
            </w:r>
          </w:p>
        </w:tc>
        <w:tc>
          <w:tcPr>
            <w:tcW w:w="3000" w:type="dxa"/>
            <w:vAlign w:val="bottom"/>
          </w:tcPr>
          <w:p>
            <w:pPr>
              <w:spacing w:after="0"/>
              <w:rPr>
                <w:sz w:val="20"/>
                <w:szCs w:val="20"/>
                <w:color w:val="auto"/>
              </w:rPr>
            </w:pPr>
          </w:p>
        </w:tc>
      </w:tr>
      <w:tr>
        <w:trPr>
          <w:trHeight w:val="118"/>
        </w:trPr>
        <w:tc>
          <w:tcPr>
            <w:tcW w:w="8440" w:type="dxa"/>
            <w:vAlign w:val="bottom"/>
            <w:tcBorders>
              <w:bottom w:val="single" w:sz="8" w:color="808080"/>
            </w:tcBorders>
            <w:gridSpan w:val="5"/>
          </w:tcPr>
          <w:p>
            <w:pPr>
              <w:spacing w:after="0"/>
              <w:rPr>
                <w:sz w:val="10"/>
                <w:szCs w:val="10"/>
                <w:color w:val="auto"/>
              </w:rPr>
            </w:pPr>
          </w:p>
        </w:tc>
        <w:tc>
          <w:tcPr>
            <w:tcW w:w="3000" w:type="dxa"/>
            <w:vAlign w:val="bottom"/>
            <w:tcBorders>
              <w:bottom w:val="single" w:sz="8" w:color="808080"/>
            </w:tcBorders>
          </w:tcPr>
          <w:p>
            <w:pPr>
              <w:spacing w:after="0"/>
              <w:rPr>
                <w:sz w:val="10"/>
                <w:szCs w:val="10"/>
                <w:color w:val="auto"/>
              </w:rPr>
            </w:pPr>
          </w:p>
        </w:tc>
      </w:tr>
      <w:tr>
        <w:trPr>
          <w:trHeight w:val="374"/>
        </w:trPr>
        <w:tc>
          <w:tcPr>
            <w:tcW w:w="8440" w:type="dxa"/>
            <w:vAlign w:val="bottom"/>
            <w:gridSpan w:val="5"/>
          </w:tcPr>
          <w:p>
            <w:pPr>
              <w:spacing w:after="0"/>
              <w:rPr>
                <w:sz w:val="20"/>
                <w:szCs w:val="20"/>
                <w:color w:val="auto"/>
              </w:rPr>
            </w:pPr>
            <w:r>
              <w:rPr>
                <w:rFonts w:ascii="Arial" w:cs="Arial" w:eastAsia="Arial" w:hAnsi="Arial"/>
                <w:sz w:val="18"/>
                <w:szCs w:val="18"/>
                <w:color w:val="auto"/>
                <w:w w:val="95"/>
              </w:rPr>
              <w:t>Effective &lt;date&gt; (the “Grant Date”) you have been granted a(n) [Incentive][Non-Qualified] Stock Option to buy [</w:t>
            </w:r>
          </w:p>
        </w:tc>
        <w:tc>
          <w:tcPr>
            <w:tcW w:w="3000" w:type="dxa"/>
            <w:vAlign w:val="bottom"/>
          </w:tcPr>
          <w:p>
            <w:pPr>
              <w:ind w:left="180"/>
              <w:spacing w:after="0"/>
              <w:rPr>
                <w:sz w:val="20"/>
                <w:szCs w:val="20"/>
                <w:color w:val="auto"/>
              </w:rPr>
            </w:pPr>
            <w:r>
              <w:rPr>
                <w:rFonts w:ascii="Arial" w:cs="Arial" w:eastAsia="Arial" w:hAnsi="Arial"/>
                <w:sz w:val="18"/>
                <w:szCs w:val="18"/>
                <w:color w:val="auto"/>
              </w:rPr>
              <w:t>] shares of Regeneron</w:t>
            </w:r>
          </w:p>
        </w:tc>
      </w:tr>
      <w:tr>
        <w:trPr>
          <w:trHeight w:val="230"/>
        </w:trPr>
        <w:tc>
          <w:tcPr>
            <w:tcW w:w="3680" w:type="dxa"/>
            <w:vAlign w:val="bottom"/>
            <w:gridSpan w:val="2"/>
          </w:tcPr>
          <w:p>
            <w:pPr>
              <w:spacing w:after="0"/>
              <w:rPr>
                <w:sz w:val="20"/>
                <w:szCs w:val="20"/>
                <w:color w:val="auto"/>
              </w:rPr>
            </w:pPr>
            <w:r>
              <w:rPr>
                <w:rFonts w:ascii="Arial" w:cs="Arial" w:eastAsia="Arial" w:hAnsi="Arial"/>
                <w:sz w:val="18"/>
                <w:szCs w:val="18"/>
                <w:color w:val="auto"/>
                <w:w w:val="95"/>
              </w:rPr>
              <w:t>Pharmaceuticals, Inc. (the Company) stock at [$</w:t>
            </w:r>
          </w:p>
        </w:tc>
        <w:tc>
          <w:tcPr>
            <w:tcW w:w="1040" w:type="dxa"/>
            <w:vAlign w:val="bottom"/>
          </w:tcPr>
          <w:p>
            <w:pPr>
              <w:ind w:left="200"/>
              <w:spacing w:after="0"/>
              <w:rPr>
                <w:sz w:val="20"/>
                <w:szCs w:val="20"/>
                <w:color w:val="auto"/>
              </w:rPr>
            </w:pPr>
            <w:r>
              <w:rPr>
                <w:rFonts w:ascii="Arial" w:cs="Arial" w:eastAsia="Arial" w:hAnsi="Arial"/>
                <w:sz w:val="18"/>
                <w:szCs w:val="18"/>
                <w:color w:val="auto"/>
                <w:w w:val="90"/>
              </w:rPr>
              <w:t>] per share.</w:t>
            </w:r>
          </w:p>
        </w:tc>
        <w:tc>
          <w:tcPr>
            <w:tcW w:w="13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30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-1101090</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-1101090</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-398145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The total option price of the shares granted is [$ ].</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Shares in each period will become fully vested on the date shown.</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0" w:type="dxa"/>
            <w:vAlign w:val="bottom"/>
          </w:tcPr>
          <w:p>
            <w:pPr>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6"/>
                <w:szCs w:val="16"/>
                <w:color w:val="auto"/>
              </w:rPr>
            </w:pPr>
          </w:p>
        </w:tc>
        <w:tc>
          <w:tcPr>
            <w:tcW w:w="1860" w:type="dxa"/>
            <w:vAlign w:val="bottom"/>
          </w:tcPr>
          <w:p>
            <w:pPr>
              <w:ind w:left="640"/>
              <w:spacing w:after="0"/>
              <w:rPr>
                <w:sz w:val="20"/>
                <w:szCs w:val="20"/>
                <w:color w:val="auto"/>
              </w:rPr>
            </w:pPr>
            <w:r>
              <w:rPr>
                <w:rFonts w:ascii="Arial" w:cs="Arial" w:eastAsia="Arial" w:hAnsi="Arial"/>
                <w:sz w:val="14"/>
                <w:szCs w:val="14"/>
                <w:b w:val="1"/>
                <w:bCs w:val="1"/>
                <w:color w:val="auto"/>
              </w:rPr>
              <w:t>Vest Type</w:t>
            </w: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40" w:type="dxa"/>
            <w:vAlign w:val="bottom"/>
          </w:tcPr>
          <w:p>
            <w:pPr>
              <w:ind w:left="20"/>
              <w:spacing w:after="0"/>
              <w:rPr>
                <w:sz w:val="20"/>
                <w:szCs w:val="20"/>
                <w:color w:val="auto"/>
              </w:rPr>
            </w:pPr>
            <w:r>
              <w:rPr>
                <w:rFonts w:ascii="Arial" w:cs="Arial" w:eastAsia="Arial" w:hAnsi="Arial"/>
                <w:sz w:val="14"/>
                <w:szCs w:val="14"/>
                <w:b w:val="1"/>
                <w:bCs w:val="1"/>
                <w:color w:val="auto"/>
              </w:rPr>
              <w:t>Full Vest</w:t>
            </w:r>
          </w:p>
        </w:tc>
        <w:tc>
          <w:tcPr>
            <w:tcW w:w="280" w:type="dxa"/>
            <w:vAlign w:val="bottom"/>
          </w:tcPr>
          <w:p>
            <w:pPr>
              <w:spacing w:after="0"/>
              <w:rPr>
                <w:sz w:val="16"/>
                <w:szCs w:val="16"/>
                <w:color w:val="auto"/>
              </w:rPr>
            </w:pPr>
          </w:p>
        </w:tc>
        <w:tc>
          <w:tcPr>
            <w:tcW w:w="1000" w:type="dxa"/>
            <w:vAlign w:val="bottom"/>
          </w:tcPr>
          <w:p>
            <w:pPr>
              <w:spacing w:after="0"/>
              <w:rPr>
                <w:sz w:val="20"/>
                <w:szCs w:val="20"/>
                <w:color w:val="auto"/>
              </w:rPr>
            </w:pPr>
            <w:r>
              <w:rPr>
                <w:rFonts w:ascii="Arial" w:cs="Arial" w:eastAsia="Arial" w:hAnsi="Arial"/>
                <w:sz w:val="14"/>
                <w:szCs w:val="14"/>
                <w:b w:val="1"/>
                <w:bCs w:val="1"/>
                <w:color w:val="auto"/>
                <w:w w:val="95"/>
              </w:rPr>
              <w:t>Expiration Date</w:t>
            </w:r>
          </w:p>
        </w:tc>
        <w:tc>
          <w:tcPr>
            <w:tcW w:w="5160" w:type="dxa"/>
            <w:vAlign w:val="bottom"/>
          </w:tcPr>
          <w:p>
            <w:pPr>
              <w:spacing w:after="0"/>
              <w:rPr>
                <w:sz w:val="16"/>
                <w:szCs w:val="16"/>
                <w:color w:val="auto"/>
              </w:rPr>
            </w:pPr>
          </w:p>
        </w:tc>
      </w:tr>
      <w:tr>
        <w:trPr>
          <w:trHeight w:val="53"/>
        </w:trPr>
        <w:tc>
          <w:tcPr>
            <w:tcW w:w="500" w:type="dxa"/>
            <w:vAlign w:val="bottom"/>
            <w:tcBorders>
              <w:bottom w:val="single" w:sz="8" w:color="808080"/>
            </w:tcBorders>
          </w:tcPr>
          <w:p>
            <w:pPr>
              <w:spacing w:after="0"/>
              <w:rPr>
                <w:sz w:val="4"/>
                <w:szCs w:val="4"/>
                <w:color w:val="auto"/>
              </w:rPr>
            </w:pPr>
          </w:p>
        </w:tc>
        <w:tc>
          <w:tcPr>
            <w:tcW w:w="260" w:type="dxa"/>
            <w:vAlign w:val="bottom"/>
          </w:tcPr>
          <w:p>
            <w:pPr>
              <w:spacing w:after="0"/>
              <w:rPr>
                <w:sz w:val="4"/>
                <w:szCs w:val="4"/>
                <w:color w:val="auto"/>
              </w:rPr>
            </w:pPr>
          </w:p>
        </w:tc>
        <w:tc>
          <w:tcPr>
            <w:tcW w:w="186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134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5160" w:type="dxa"/>
            <w:vAlign w:val="bottom"/>
          </w:tcPr>
          <w:p>
            <w:pPr>
              <w:spacing w:after="0"/>
              <w:rPr>
                <w:sz w:val="4"/>
                <w:szCs w:val="4"/>
                <w:color w:val="auto"/>
              </w:rPr>
            </w:pPr>
          </w:p>
        </w:tc>
      </w:tr>
      <w:tr>
        <w:trPr>
          <w:trHeight w:val="276"/>
        </w:trPr>
        <w:tc>
          <w:tcPr>
            <w:tcW w:w="500" w:type="dxa"/>
            <w:vAlign w:val="bottom"/>
          </w:tcPr>
          <w:p>
            <w:pP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On Vest Date</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[1/_/06]**</w:t>
            </w:r>
          </w:p>
        </w:tc>
        <w:tc>
          <w:tcPr>
            <w:tcW w:w="1340" w:type="dxa"/>
            <w:vAlign w:val="bottom"/>
          </w:tcPr>
          <w:p>
            <w:pPr>
              <w:spacing w:after="0"/>
              <w:rPr>
                <w:sz w:val="24"/>
                <w:szCs w:val="24"/>
                <w:color w:val="auto"/>
              </w:rPr>
            </w:pPr>
          </w:p>
        </w:tc>
        <w:tc>
          <w:tcPr>
            <w:tcW w:w="12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160" w:type="dxa"/>
            <w:vAlign w:val="bottom"/>
          </w:tcPr>
          <w:p>
            <w:pPr>
              <w:spacing w:after="0"/>
              <w:rPr>
                <w:sz w:val="24"/>
                <w:szCs w:val="24"/>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On Vest Date</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[1/_/07]**</w:t>
            </w:r>
          </w:p>
        </w:tc>
        <w:tc>
          <w:tcPr>
            <w:tcW w:w="1340" w:type="dxa"/>
            <w:vAlign w:val="bottom"/>
          </w:tcPr>
          <w:p>
            <w:pPr>
              <w:spacing w:after="0"/>
              <w:rPr>
                <w:sz w:val="18"/>
                <w:szCs w:val="18"/>
                <w:color w:val="auto"/>
              </w:rPr>
            </w:pPr>
          </w:p>
        </w:tc>
        <w:tc>
          <w:tcPr>
            <w:tcW w:w="12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160" w:type="dxa"/>
            <w:vAlign w:val="bottom"/>
          </w:tcPr>
          <w:p>
            <w:pPr>
              <w:spacing w:after="0"/>
              <w:rPr>
                <w:sz w:val="18"/>
                <w:szCs w:val="18"/>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On Vest Date</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[1/_/08]**</w:t>
            </w:r>
          </w:p>
        </w:tc>
        <w:tc>
          <w:tcPr>
            <w:tcW w:w="1340" w:type="dxa"/>
            <w:vAlign w:val="bottom"/>
          </w:tcPr>
          <w:p>
            <w:pPr>
              <w:spacing w:after="0"/>
              <w:rPr>
                <w:sz w:val="18"/>
                <w:szCs w:val="18"/>
                <w:color w:val="auto"/>
              </w:rPr>
            </w:pPr>
          </w:p>
        </w:tc>
        <w:tc>
          <w:tcPr>
            <w:tcW w:w="12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160" w:type="dxa"/>
            <w:vAlign w:val="bottom"/>
          </w:tcPr>
          <w:p>
            <w:pPr>
              <w:spacing w:after="0"/>
              <w:rPr>
                <w:sz w:val="18"/>
                <w:szCs w:val="18"/>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On Vest Date</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[1/_/09]**</w:t>
            </w:r>
          </w:p>
        </w:tc>
        <w:tc>
          <w:tcPr>
            <w:tcW w:w="1340" w:type="dxa"/>
            <w:vAlign w:val="bottom"/>
          </w:tcPr>
          <w:p>
            <w:pPr>
              <w:spacing w:after="0"/>
              <w:rPr>
                <w:sz w:val="20"/>
                <w:szCs w:val="20"/>
                <w:color w:val="auto"/>
              </w:rPr>
            </w:pPr>
          </w:p>
        </w:tc>
        <w:tc>
          <w:tcPr>
            <w:tcW w:w="12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160" w:type="dxa"/>
            <w:vAlign w:val="bottom"/>
          </w:tcPr>
          <w:p>
            <w:pPr>
              <w:spacing w:after="0"/>
              <w:rPr>
                <w:sz w:val="20"/>
                <w:szCs w:val="20"/>
                <w:color w:val="auto"/>
              </w:rPr>
            </w:pPr>
          </w:p>
        </w:tc>
      </w:tr>
      <w:tr>
        <w:trPr>
          <w:trHeight w:val="118"/>
        </w:trPr>
        <w:tc>
          <w:tcPr>
            <w:tcW w:w="5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8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51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3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You and the Company agree that these options are granted under and governed by the terms and conditions of the Company’s 2000 Long-Term Incentive Plan as amended and the enclosed Option Agreement, both of which are attached and made a part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67575"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394" w:lineRule="exact"/>
        <w:rPr>
          <w:sz w:val="20"/>
          <w:szCs w:val="20"/>
          <w:color w:val="auto"/>
        </w:rPr>
      </w:pPr>
    </w:p>
    <w:p>
      <w:pPr>
        <w:ind w:left="600" w:hanging="592"/>
        <w:spacing w:after="0"/>
        <w:tabs>
          <w:tab w:leader="none" w:pos="6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Option vests in approximately equal annual 25% installments</w:t>
      </w:r>
    </w:p>
    <w:p>
      <w:pPr>
        <w:spacing w:after="0" w:line="225" w:lineRule="exact"/>
        <w:rPr>
          <w:sz w:val="20"/>
          <w:szCs w:val="20"/>
          <w:color w:val="auto"/>
        </w:rPr>
      </w:pPr>
    </w:p>
    <w:p>
      <w:pPr>
        <w:ind w:left="600" w:hanging="592"/>
        <w:spacing w:after="0"/>
        <w:tabs>
          <w:tab w:leader="none" w:pos="6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Full Vest Dates will occur on the first, second, third and fourth anniversaries of the Grant Date</w:t>
      </w:r>
    </w:p>
    <w:p>
      <w:pPr>
        <w:spacing w:after="0" w:line="225" w:lineRule="exact"/>
        <w:rPr>
          <w:rFonts w:ascii="Arial" w:cs="Arial" w:eastAsia="Arial" w:hAnsi="Arial"/>
          <w:sz w:val="18"/>
          <w:szCs w:val="18"/>
          <w:color w:val="auto"/>
        </w:rPr>
      </w:pPr>
    </w:p>
    <w:p>
      <w:pPr>
        <w:ind w:left="5660" w:right="2000" w:hanging="5652"/>
        <w:spacing w:after="0" w:line="528" w:lineRule="auto"/>
        <w:tabs>
          <w:tab w:leader="none" w:pos="593" w:val="left"/>
        </w:tabs>
        <w:numPr>
          <w:ilvl w:val="0"/>
          <w:numId w:val="61"/>
        </w:numPr>
        <w:rPr>
          <w:rFonts w:ascii="Arial" w:cs="Arial" w:eastAsia="Arial" w:hAnsi="Arial"/>
          <w:sz w:val="18"/>
          <w:szCs w:val="18"/>
          <w:color w:val="auto"/>
        </w:rPr>
      </w:pPr>
      <w:r>
        <w:rPr>
          <w:rFonts w:ascii="Arial" w:cs="Arial" w:eastAsia="Arial" w:hAnsi="Arial"/>
          <w:sz w:val="18"/>
          <w:szCs w:val="18"/>
          <w:color w:val="auto"/>
        </w:rPr>
        <w:t>Option expires at the later to occur of (i) remaining term of the tendered option it replaces and (ii) 6 years from Grant Date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935" w:right="21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2000 LONG-TERM INCENTIVE PLAN</w:t>
      </w:r>
    </w:p>
    <w:p>
      <w:pPr>
        <w:spacing w:after="0" w:line="170" w:lineRule="exact"/>
        <w:rPr>
          <w:sz w:val="20"/>
          <w:szCs w:val="20"/>
          <w:color w:val="auto"/>
        </w:rPr>
      </w:pPr>
    </w:p>
    <w:p>
      <w:pPr>
        <w:ind w:right="460" w:firstLine="447"/>
        <w:spacing w:after="0" w:line="277" w:lineRule="auto"/>
        <w:rPr>
          <w:sz w:val="20"/>
          <w:szCs w:val="20"/>
          <w:color w:val="auto"/>
        </w:rPr>
      </w:pPr>
      <w:r>
        <w:rPr>
          <w:rFonts w:ascii="Arial" w:cs="Arial" w:eastAsia="Arial" w:hAnsi="Arial"/>
          <w:sz w:val="18"/>
          <w:szCs w:val="18"/>
          <w:color w:val="auto"/>
        </w:rPr>
        <w:t xml:space="preserve">THIS AGREEMENT, made as of the date on the </w:t>
      </w:r>
      <w:r>
        <w:rPr>
          <w:rFonts w:ascii="Arial" w:cs="Arial" w:eastAsia="Arial" w:hAnsi="Arial"/>
          <w:sz w:val="18"/>
          <w:szCs w:val="18"/>
          <w:i w:val="1"/>
          <w:iCs w:val="1"/>
          <w:color w:val="auto"/>
        </w:rPr>
        <w:t>Notice of Grant of Stock Options</w:t>
      </w:r>
      <w:r>
        <w:rPr>
          <w:rFonts w:ascii="Arial" w:cs="Arial" w:eastAsia="Arial" w:hAnsi="Arial"/>
          <w:sz w:val="18"/>
          <w:szCs w:val="18"/>
          <w:color w:val="auto"/>
        </w:rPr>
        <w:t xml:space="preserve">, by and between Regeneron Pharmaceuticals, Inc., a New York corporation (the “Company”), and the employee named on the </w:t>
      </w:r>
      <w:r>
        <w:rPr>
          <w:rFonts w:ascii="Arial" w:cs="Arial" w:eastAsia="Arial" w:hAnsi="Arial"/>
          <w:sz w:val="18"/>
          <w:szCs w:val="18"/>
          <w:i w:val="1"/>
          <w:iCs w:val="1"/>
          <w:color w:val="auto"/>
        </w:rPr>
        <w:t>Notice of Grant of Stock Options</w:t>
      </w:r>
      <w:r>
        <w:rPr>
          <w:rFonts w:ascii="Arial" w:cs="Arial" w:eastAsia="Arial" w:hAnsi="Arial"/>
          <w:sz w:val="18"/>
          <w:szCs w:val="18"/>
          <w:color w:val="auto"/>
        </w:rPr>
        <w:t xml:space="preserve"> (the “Grantee”);</w:t>
      </w:r>
    </w:p>
    <w:p>
      <w:pPr>
        <w:spacing w:after="0" w:line="130" w:lineRule="exact"/>
        <w:rPr>
          <w:sz w:val="20"/>
          <w:szCs w:val="20"/>
          <w:color w:val="auto"/>
        </w:rPr>
      </w:pPr>
    </w:p>
    <w:p>
      <w:pPr>
        <w:ind w:right="500" w:firstLine="447"/>
        <w:spacing w:after="0" w:line="308" w:lineRule="auto"/>
        <w:rPr>
          <w:sz w:val="20"/>
          <w:szCs w:val="20"/>
          <w:color w:val="auto"/>
        </w:rPr>
      </w:pPr>
      <w:r>
        <w:rPr>
          <w:rFonts w:ascii="Arial" w:cs="Arial" w:eastAsia="Arial" w:hAnsi="Arial"/>
          <w:sz w:val="17"/>
          <w:szCs w:val="17"/>
          <w:color w:val="auto"/>
        </w:rPr>
        <w:t>WHEREAS, the Grantee is an employee of the Company and the Company desires to afford the Grantee the opportunity to acquire or enlarge the Grantee’s stock ownership in the Company so that the Grantee may have a direct proprietary interest in the Company’s success; and</w:t>
      </w:r>
    </w:p>
    <w:p>
      <w:pPr>
        <w:spacing w:after="0" w:line="120" w:lineRule="exact"/>
        <w:rPr>
          <w:sz w:val="20"/>
          <w:szCs w:val="20"/>
          <w:color w:val="auto"/>
        </w:rPr>
      </w:pPr>
    </w:p>
    <w:p>
      <w:pPr>
        <w:ind w:right="20" w:firstLine="447"/>
        <w:spacing w:after="0" w:line="264" w:lineRule="auto"/>
        <w:rPr>
          <w:sz w:val="20"/>
          <w:szCs w:val="20"/>
          <w:color w:val="auto"/>
        </w:rPr>
      </w:pPr>
      <w:r>
        <w:rPr>
          <w:rFonts w:ascii="Arial" w:cs="Arial" w:eastAsia="Arial" w:hAnsi="Arial"/>
          <w:sz w:val="18"/>
          <w:szCs w:val="18"/>
          <w:color w:val="auto"/>
        </w:rPr>
        <w:t xml:space="preserve">WHEREAS, the Committee administering the 2000 Long-Term Incentive Plan (the “Plan”) has granted (as of the effective date of grant specified in the </w:t>
      </w:r>
      <w:r>
        <w:rPr>
          <w:rFonts w:ascii="Arial" w:cs="Arial" w:eastAsia="Arial" w:hAnsi="Arial"/>
          <w:sz w:val="18"/>
          <w:szCs w:val="18"/>
          <w:i w:val="1"/>
          <w:iCs w:val="1"/>
          <w:color w:val="auto"/>
        </w:rPr>
        <w:t>Notice of Grant of Stock Options</w:t>
      </w:r>
      <w:r>
        <w:rPr>
          <w:rFonts w:ascii="Arial" w:cs="Arial" w:eastAsia="Arial" w:hAnsi="Arial"/>
          <w:sz w:val="18"/>
          <w:szCs w:val="18"/>
          <w:color w:val="auto"/>
        </w:rPr>
        <w:t>) to the Grantee a Stock Option to purchase the number of shares of the Company’s Common Stock ($.001 par value)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“Common Stock”) as set forth in the </w:t>
      </w:r>
      <w:r>
        <w:rPr>
          <w:rFonts w:ascii="Arial" w:cs="Arial" w:eastAsia="Arial" w:hAnsi="Arial"/>
          <w:sz w:val="18"/>
          <w:szCs w:val="18"/>
          <w:i w:val="1"/>
          <w:iCs w:val="1"/>
          <w:color w:val="auto"/>
        </w:rPr>
        <w:t>Notice of Grant of Stock Options</w:t>
      </w:r>
      <w:r>
        <w:rPr>
          <w:rFonts w:ascii="Arial" w:cs="Arial" w:eastAsia="Arial" w:hAnsi="Arial"/>
          <w:sz w:val="18"/>
          <w:szCs w:val="18"/>
          <w:color w:val="auto"/>
        </w:rPr>
        <w:t>.</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in consideration of the covenants and agreements herein contained, the parties agree as follows:</w:t>
      </w:r>
    </w:p>
    <w:p>
      <w:pPr>
        <w:spacing w:after="0" w:line="181" w:lineRule="exact"/>
        <w:rPr>
          <w:sz w:val="20"/>
          <w:szCs w:val="20"/>
          <w:color w:val="auto"/>
        </w:rPr>
      </w:pPr>
    </w:p>
    <w:p>
      <w:pPr>
        <w:ind w:firstLine="233"/>
        <w:spacing w:after="0" w:line="262" w:lineRule="auto"/>
        <w:tabs>
          <w:tab w:leader="none" w:pos="405" w:val="left"/>
        </w:tabs>
        <w:numPr>
          <w:ilvl w:val="0"/>
          <w:numId w:val="6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Grant of Award. </w:t>
      </w:r>
      <w:r>
        <w:rPr>
          <w:rFonts w:ascii="Arial" w:cs="Arial" w:eastAsia="Arial" w:hAnsi="Arial"/>
          <w:sz w:val="17"/>
          <w:szCs w:val="17"/>
          <w:color w:val="auto"/>
        </w:rPr>
        <w:t>Pursuant to Section 7 of the Plan, the Company grants to the Grantee, subject to the terms and conditions of the Plan and subject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further to the terms and conditions set forth here, the option to purchase from the Company all or any part of an aggregate of shares of Common Stock at the purchase price per share (the “Option”) as shown on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[The Option is intended to be an Incentive Stock Option under Section 422 of the Internal Revenue Code of 1986, as amended (the “Code”). Notwithstanding the foregoing, the Option will not qualify as an Incentive Stock Option, among other events, (i) if the Grantee disposes of the Common Stock acquired pursuant to the Option at any time during the two year period following the date of this Agreement or the one year period following the date on which the Option is exercised, or (ii) if the Grantee is not employed by the Company or a subsidiary of the Company within the meaning of Section 424 of the Code (a “Subsidiary”) at all times during the period beginning on the date of this Agreement and ending on the day three months before the date of exercise of the Option, or (iii) to the extent the aggregate fair market value (determined as of the time the Option is granted) of the stock subject to Incentive Stock Options which become exercisable for the first time in any calendar year exceeds $100,000. To the extent that the Option does not qualify as an Incentive Stock Option, it shall constitute a separate Non Qualified Stock Option.]</w:t>
      </w:r>
      <w:r>
        <w:rPr>
          <w:rFonts w:ascii="Arial" w:cs="Arial" w:eastAsia="Arial" w:hAnsi="Arial"/>
          <w:sz w:val="28"/>
          <w:szCs w:val="28"/>
          <w:color w:val="auto"/>
          <w:vertAlign w:val="superscript"/>
        </w:rPr>
        <w:t>1</w:t>
      </w:r>
      <w:r>
        <w:rPr>
          <w:rFonts w:ascii="Arial" w:cs="Arial" w:eastAsia="Arial" w:hAnsi="Arial"/>
          <w:sz w:val="17"/>
          <w:szCs w:val="17"/>
          <w:color w:val="auto"/>
        </w:rPr>
        <w:t xml:space="preserve"> [No part of the Option granted hereby is intended to qualify as an Incentive Stock Option under Section 422 of the Internal Revenue Code of 1986, as amended (the “Code”).]</w:t>
      </w:r>
      <w:r>
        <w:rPr>
          <w:rFonts w:ascii="Arial" w:cs="Arial" w:eastAsia="Arial" w:hAnsi="Arial"/>
          <w:sz w:val="28"/>
          <w:szCs w:val="28"/>
          <w:color w:val="auto"/>
          <w:vertAlign w:val="superscript"/>
        </w:rPr>
        <w:t>2</w:t>
      </w:r>
    </w:p>
    <w:p>
      <w:pPr>
        <w:spacing w:after="0" w:line="26" w:lineRule="exact"/>
        <w:rPr>
          <w:rFonts w:ascii="Arial" w:cs="Arial" w:eastAsia="Arial" w:hAnsi="Arial"/>
          <w:sz w:val="17"/>
          <w:szCs w:val="17"/>
          <w:b w:val="1"/>
          <w:bCs w:val="1"/>
          <w:color w:val="auto"/>
        </w:rPr>
      </w:pPr>
    </w:p>
    <w:p>
      <w:pPr>
        <w:ind w:right="120" w:firstLine="233"/>
        <w:spacing w:after="0" w:line="273" w:lineRule="auto"/>
        <w:tabs>
          <w:tab w:leader="none" w:pos="402" w:val="left"/>
        </w:tabs>
        <w:numPr>
          <w:ilvl w:val="0"/>
          <w:numId w:val="6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Vesting. </w:t>
      </w:r>
      <w:r>
        <w:rPr>
          <w:rFonts w:ascii="Arial" w:cs="Arial" w:eastAsia="Arial" w:hAnsi="Arial"/>
          <w:sz w:val="17"/>
          <w:szCs w:val="17"/>
          <w:color w:val="auto"/>
        </w:rPr>
        <w:t>(a) The Option is exercisable in installments as provided on the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To the extent that the Option has become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exercisable with respect to the number of shares of Common Stock as provided on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and subject to the terms and conditions of the Plan, including without limitation, Section 7(c)(1) &amp; (2), the Option may thereafter be exercised by the Grantee, in whole or in part, at any time or from time to time prior to the expiration of the Option in accordance with the requirements set forth in Section 7(c)(3) of the Plan, including, without limitation, the filing of such written form of exercise notice as may be promulgated by the Committee, and in accordance with applicable tax and other laws. The Company shall have the right to require the Grantee in connection with the exercise of the Option to remit to the Company in cash an amount sufficient to satisfy any federal, state and local withholding tax requirements related thereto.</w:t>
      </w:r>
    </w:p>
    <w:p>
      <w:pPr>
        <w:spacing w:after="0" w:line="136" w:lineRule="exact"/>
        <w:rPr>
          <w:sz w:val="20"/>
          <w:szCs w:val="20"/>
          <w:color w:val="auto"/>
        </w:rPr>
      </w:pPr>
    </w:p>
    <w:p>
      <w:pPr>
        <w:ind w:firstLine="233"/>
        <w:spacing w:after="0" w:line="255" w:lineRule="auto"/>
        <w:tabs>
          <w:tab w:leader="none" w:pos="477" w:val="left"/>
        </w:tabs>
        <w:numPr>
          <w:ilvl w:val="1"/>
          <w:numId w:val="63"/>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Notice of Grant of Stock Options</w:t>
      </w:r>
      <w:r>
        <w:rPr>
          <w:rFonts w:ascii="Arial" w:cs="Arial" w:eastAsia="Arial" w:hAnsi="Arial"/>
          <w:sz w:val="18"/>
          <w:szCs w:val="18"/>
          <w:color w:val="auto"/>
        </w:rPr>
        <w:t xml:space="preserve"> indicates each date upon which the Grantee shall be entitled to exercise the Option with respect to the additional number of shares of Common Stock granted as indicated provided that the Grantee has not incurred a termination of employment or service with the Company and all Subsidiaries (collectively, the Company and all Subsidiaries shall be referred to herein as the “Employer” and no termination of employment or service shall be deemed to take place unless the Grantee is no longer employed by or providing service to the Employer) prior to such date. There shall be no proportionate or partial vesting in the periods between the Full Vest Dates specified in the </w:t>
      </w:r>
      <w:r>
        <w:rPr>
          <w:rFonts w:ascii="Arial" w:cs="Arial" w:eastAsia="Arial" w:hAnsi="Arial"/>
          <w:sz w:val="18"/>
          <w:szCs w:val="18"/>
          <w:i w:val="1"/>
          <w:iCs w:val="1"/>
          <w:color w:val="auto"/>
        </w:rPr>
        <w:t>Notice of Grant of Stock Options</w:t>
      </w:r>
      <w:r>
        <w:rPr>
          <w:rFonts w:ascii="Arial" w:cs="Arial" w:eastAsia="Arial" w:hAnsi="Arial"/>
          <w:sz w:val="18"/>
          <w:szCs w:val="18"/>
          <w:color w:val="auto"/>
        </w:rPr>
        <w:t xml:space="preserve"> and all vesting shall occur only on the Full Vest Dates. Except as otherwise provided in any employment agreement, consulting agreement, change in control agreement or similar agreement in effect between the Employer and the</w:t>
      </w:r>
    </w:p>
    <w:p>
      <w:pPr>
        <w:spacing w:after="0" w:line="310" w:lineRule="exact"/>
        <w:rPr>
          <w:rFonts w:ascii="Arial" w:cs="Arial" w:eastAsia="Arial" w:hAnsi="Arial"/>
          <w:sz w:val="18"/>
          <w:szCs w:val="18"/>
          <w:color w:val="auto"/>
        </w:rPr>
      </w:pPr>
    </w:p>
    <w:p>
      <w:pPr>
        <w:ind w:left="460" w:right="120" w:hanging="413"/>
        <w:spacing w:after="0" w:line="277" w:lineRule="auto"/>
        <w:rPr>
          <w:rFonts w:ascii="Arial" w:cs="Arial" w:eastAsia="Arial" w:hAnsi="Arial"/>
          <w:sz w:val="18"/>
          <w:szCs w:val="18"/>
          <w:color w:val="auto"/>
        </w:rPr>
      </w:pPr>
      <w:r>
        <w:rPr>
          <w:rFonts w:ascii="Arial" w:cs="Arial" w:eastAsia="Arial" w:hAnsi="Arial"/>
          <w:sz w:val="30"/>
          <w:szCs w:val="30"/>
          <w:color w:val="auto"/>
          <w:vertAlign w:val="superscript"/>
        </w:rPr>
        <w:t>1</w:t>
      </w:r>
      <w:r>
        <w:rPr>
          <w:rFonts w:ascii="Arial" w:cs="Arial" w:eastAsia="Arial" w:hAnsi="Arial"/>
          <w:sz w:val="18"/>
          <w:szCs w:val="18"/>
          <w:color w:val="auto"/>
        </w:rPr>
        <w:t>This text will appear in agreements for Replacement Options that are intended to be incentive stock options under Section 422 of the Internal Revenue Code of 1986,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-370840</wp:posOffset>
            </wp:positionV>
            <wp:extent cx="13208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150" w:lineRule="exact"/>
        <w:rPr>
          <w:sz w:val="20"/>
          <w:szCs w:val="20"/>
          <w:color w:val="auto"/>
        </w:rPr>
      </w:pPr>
    </w:p>
    <w:p>
      <w:pPr>
        <w:ind w:left="460" w:right="520" w:hanging="405"/>
        <w:spacing w:after="0" w:line="194" w:lineRule="auto"/>
        <w:tabs>
          <w:tab w:leader="none" w:pos="460" w:val="left"/>
        </w:tabs>
        <w:numPr>
          <w:ilvl w:val="0"/>
          <w:numId w:val="64"/>
        </w:numPr>
        <w:rPr>
          <w:rFonts w:ascii="Arial" w:cs="Arial" w:eastAsia="Arial" w:hAnsi="Arial"/>
          <w:sz w:val="30"/>
          <w:szCs w:val="30"/>
          <w:color w:val="auto"/>
          <w:vertAlign w:val="superscript"/>
        </w:rPr>
      </w:pPr>
      <w:r>
        <w:rPr>
          <w:rFonts w:ascii="Arial" w:cs="Arial" w:eastAsia="Arial" w:hAnsi="Arial"/>
          <w:sz w:val="18"/>
          <w:szCs w:val="18"/>
          <w:color w:val="auto"/>
        </w:rPr>
        <w:t>This text will appear in agreements for Replacement Options that are not intended to be incentive stock options under Section 422 of the Internal Revenue Code of 1986, as amended.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80" w:name="page81"/>
    <w:bookmarkEnd w:id="80"/>
    <w:p>
      <w:pPr>
        <w:ind w:right="480"/>
        <w:spacing w:after="0" w:line="277" w:lineRule="auto"/>
        <w:rPr>
          <w:sz w:val="20"/>
          <w:szCs w:val="20"/>
          <w:color w:val="auto"/>
        </w:rPr>
      </w:pPr>
      <w:r>
        <w:rPr>
          <w:rFonts w:ascii="Arial" w:cs="Arial" w:eastAsia="Arial" w:hAnsi="Arial"/>
          <w:sz w:val="18"/>
          <w:szCs w:val="18"/>
          <w:color w:val="auto"/>
        </w:rPr>
        <w:t xml:space="preserve">Grantee on the date specified in the </w:t>
      </w:r>
      <w:r>
        <w:rPr>
          <w:rFonts w:ascii="Arial" w:cs="Arial" w:eastAsia="Arial" w:hAnsi="Arial"/>
          <w:sz w:val="18"/>
          <w:szCs w:val="18"/>
          <w:i w:val="1"/>
          <w:iCs w:val="1"/>
          <w:color w:val="auto"/>
        </w:rPr>
        <w:t>Notice of Grant of Stock Options</w:t>
      </w:r>
      <w:r>
        <w:rPr>
          <w:rFonts w:ascii="Arial" w:cs="Arial" w:eastAsia="Arial" w:hAnsi="Arial"/>
          <w:sz w:val="18"/>
          <w:szCs w:val="18"/>
          <w:color w:val="auto"/>
        </w:rPr>
        <w:t>, no vesting shall occur after such date as the Grantee ceases to be employed by the Employer and all unvested Options shall be forfeited at such time.</w:t>
      </w:r>
    </w:p>
    <w:p>
      <w:pPr>
        <w:spacing w:after="0" w:line="143" w:lineRule="exact"/>
        <w:rPr>
          <w:sz w:val="20"/>
          <w:szCs w:val="20"/>
          <w:color w:val="auto"/>
        </w:rPr>
      </w:pPr>
    </w:p>
    <w:p>
      <w:pPr>
        <w:ind w:right="40" w:firstLine="233"/>
        <w:spacing w:after="0" w:line="268" w:lineRule="auto"/>
        <w:tabs>
          <w:tab w:leader="none" w:pos="470" w:val="left"/>
        </w:tabs>
        <w:numPr>
          <w:ilvl w:val="0"/>
          <w:numId w:val="65"/>
        </w:numPr>
        <w:rPr>
          <w:rFonts w:ascii="Arial" w:cs="Arial" w:eastAsia="Arial" w:hAnsi="Arial"/>
          <w:sz w:val="17"/>
          <w:szCs w:val="17"/>
          <w:color w:val="auto"/>
        </w:rPr>
      </w:pPr>
      <w:r>
        <w:rPr>
          <w:rFonts w:ascii="Arial" w:cs="Arial" w:eastAsia="Arial" w:hAnsi="Arial"/>
          <w:sz w:val="17"/>
          <w:szCs w:val="17"/>
          <w:color w:val="auto"/>
        </w:rPr>
        <w:t xml:space="preserve">Notwithstanding anything herein (except the following sentence) or in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to the contrary, the Option shall be fully vested if the Grantee’s employment with the Employer is terminated on or within two years after the occurrence of a Change in Control by the Employer (other than for Cause) or by the Grantee for Good Reason. Except as otherwise provided in any employment agreement, consulting agreement, change in control agreement or similar agreement in effect between the Employer and the Grantee on the date of grant specified in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if the application of the provision in the foregoing sentence, similar provisions in other stock option or restricted stock grants, and other payments and benefits payable to the Grantee upon termination of employment (collectively, the “Company Payments”) would result in the Grantee being subject to the excise tax payable under Internal Revenue Code Section 4999 (the “Excise Tax”), the amount of any Company Payments shall be automatically reduced to an amount one dollar less than an amount that would subject the Grantee to the Excise Tax;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reduction shall occur only if the reduced Company Payments received by the Grantee (after taking into account further reductions for applicable federal, state and local income, social security and other taxes) would be greater than the unreduced Company Payments to be received by the Grantee minus (i) the Excise Tax payable with respect to such Company Payments and (ii) all applicable federal, state and local income, social security and other taxes on such Company Payments. If the Company Payments are to be reduced in accordance with the foregoing, the Company Payments shall be reduced as mutually agreed between the Employer and the Grantee or, in the event the parties cannot agree, in the following order (1) acceleration of vesting of any option where the exercise price exceeds the fair market value of the underlying shares at the time the acceleration would otherwise occur, (2) any lump sum severance based on a multiple of base salary or bonus, (3) any other cash amounts payable to the Grantee, (4) any benefits valued as parachute payments, and (5) acceleration of vesting of any equity not covered by (1) above.</w:t>
      </w:r>
    </w:p>
    <w:p>
      <w:pPr>
        <w:spacing w:after="0" w:line="136" w:lineRule="exact"/>
        <w:rPr>
          <w:sz w:val="20"/>
          <w:szCs w:val="20"/>
          <w:color w:val="auto"/>
        </w:rPr>
      </w:pPr>
    </w:p>
    <w:p>
      <w:pPr>
        <w:ind w:right="40" w:firstLine="233"/>
        <w:spacing w:after="0" w:line="285" w:lineRule="auto"/>
        <w:tabs>
          <w:tab w:leader="none" w:pos="405" w:val="left"/>
        </w:tabs>
        <w:numPr>
          <w:ilvl w:val="1"/>
          <w:numId w:val="6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Option Term. </w:t>
      </w:r>
      <w:r>
        <w:rPr>
          <w:rFonts w:ascii="Arial" w:cs="Arial" w:eastAsia="Arial" w:hAnsi="Arial"/>
          <w:sz w:val="16"/>
          <w:szCs w:val="16"/>
          <w:color w:val="auto"/>
        </w:rPr>
        <w:t>(a) Except as otherwise provided in the next sentence or in the Plan, the Option shall expire on the Expiration Date shown on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Notice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of Grant of Stock Options</w:t>
      </w:r>
      <w:r>
        <w:rPr>
          <w:rFonts w:ascii="Arial" w:cs="Arial" w:eastAsia="Arial" w:hAnsi="Arial"/>
          <w:sz w:val="16"/>
          <w:szCs w:val="16"/>
          <w:color w:val="auto"/>
        </w:rPr>
        <w:t>. In the event of termination of employment or service with the Employer, except as set forth in any employment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consulting agreement, change in control agreement or similar agreement in effect between the Employer and the Grantee on the date of grant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the vested portion of the Option shall expire on the earlier of (i) the Expiration Date, or (ii) (A) subject to (E) below,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after such termination if such termination is for any reason other than death, retirement, or long-term disability, (B) two years after such termination if such termination is due to the Grantee’s retirement, (C) one year after the termination if such termination is due to the Grantee’s death or long-term disability,</w:t>
      </w:r>
    </w:p>
    <w:p>
      <w:pPr>
        <w:spacing w:after="0" w:line="3" w:lineRule="exact"/>
        <w:rPr>
          <w:rFonts w:ascii="Arial" w:cs="Arial" w:eastAsia="Arial" w:hAnsi="Arial"/>
          <w:sz w:val="16"/>
          <w:szCs w:val="16"/>
          <w:b w:val="1"/>
          <w:bCs w:val="1"/>
          <w:color w:val="auto"/>
        </w:rPr>
      </w:pPr>
    </w:p>
    <w:p>
      <w:pPr>
        <w:ind w:right="40" w:firstLine="8"/>
        <w:spacing w:after="0" w:line="255" w:lineRule="auto"/>
        <w:tabs>
          <w:tab w:leader="none" w:pos="295"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occurrence of the Cause event if such termination is for Cause or Cause existed at the time of such termination (whether then known or later discovered) or (E) one year after such termination if such termination is at any time within two years after the occurrence of a Change in Control and is by the Employer without Cause or by the Grantee for Good Reason.</w:t>
      </w:r>
    </w:p>
    <w:p>
      <w:pPr>
        <w:spacing w:after="0" w:line="150" w:lineRule="exact"/>
        <w:rPr>
          <w:sz w:val="20"/>
          <w:szCs w:val="20"/>
          <w:color w:val="auto"/>
        </w:rPr>
      </w:pPr>
    </w:p>
    <w:p>
      <w:pPr>
        <w:ind w:right="60" w:firstLine="233"/>
        <w:spacing w:after="0" w:line="268" w:lineRule="auto"/>
        <w:tabs>
          <w:tab w:leader="none" w:pos="4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 xml:space="preserve">For purposes of this Agreement, “Cause” shall mean (i) in the case where there is no employment agreement, consulting agreement, change in control agreement or similar agreement in effect between the Company and the Grantee on the date of grant specified in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(or where there is such an agreement but it does not define “cause” (or words of like import)) (A) the willful and continued failure by the Grantee substantially to perform his or her duties and obligations to the Employer, including without limitation, repeated refusal to follow the reasonable directions of the Employer, knowing violation of law in the course of performance of the duties of the Grantee’s employment with the Employer, repeated absences from work without a reasonable excuse, and intoxication with alcohol or illegal drugs while on the Employer’s premises during regular business hours (other than any such failure resulting from his or her incapacity due to physical or mental illness); (B) fraud or material dishonesty against the Employer; or (C) a conviction or plea of guilty or nolo contendere to a felony or a crime involving material dishonesty or (ii) in the case where there is an employment agreement, consulting agreement, change in control agreement or similar agreement in effect between the Employer and the Grantee on the date of grant specified in the </w:t>
      </w:r>
      <w:r>
        <w:rPr>
          <w:rFonts w:ascii="Arial" w:cs="Arial" w:eastAsia="Arial" w:hAnsi="Arial"/>
          <w:sz w:val="17"/>
          <w:szCs w:val="17"/>
          <w:i w:val="1"/>
          <w:iCs w:val="1"/>
          <w:color w:val="auto"/>
        </w:rPr>
        <w:t>Notice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Grant of Stock Options </w:t>
      </w:r>
      <w:r>
        <w:rPr>
          <w:rFonts w:ascii="Arial" w:cs="Arial" w:eastAsia="Arial" w:hAnsi="Arial"/>
          <w:sz w:val="17"/>
          <w:szCs w:val="17"/>
          <w:color w:val="auto"/>
        </w:rPr>
        <w:t>that defines “cause” (or words of like import), as defined under such agreement. For purposes of this Section 3(b), no act, or failure to</w:t>
      </w:r>
      <w:r>
        <w:rPr>
          <w:rFonts w:ascii="Arial" w:cs="Arial" w:eastAsia="Arial" w:hAnsi="Arial"/>
          <w:sz w:val="17"/>
          <w:szCs w:val="17"/>
          <w:i w:val="1"/>
          <w:iCs w:val="1"/>
          <w:color w:val="auto"/>
        </w:rPr>
        <w:t xml:space="preserve"> </w:t>
      </w:r>
      <w:r>
        <w:rPr>
          <w:rFonts w:ascii="Arial" w:cs="Arial" w:eastAsia="Arial" w:hAnsi="Arial"/>
          <w:sz w:val="17"/>
          <w:szCs w:val="17"/>
          <w:color w:val="auto"/>
        </w:rPr>
        <w:t>act, on a Grantee’s part shall be considered “willful” unless done, or omitted to be done, by the Grantee in bad faith and without reasonable belief that his or her action or omission was in the best interest of the Employer. Any determination of Cause made prior to a Change in Control shall be made by the Committee in its sole discretion.</w:t>
      </w:r>
    </w:p>
    <w:p>
      <w:pPr>
        <w:spacing w:after="0" w:line="160" w:lineRule="exact"/>
        <w:rPr>
          <w:rFonts w:ascii="Arial" w:cs="Arial" w:eastAsia="Arial" w:hAnsi="Arial"/>
          <w:sz w:val="17"/>
          <w:szCs w:val="17"/>
          <w:color w:val="auto"/>
        </w:rPr>
      </w:pPr>
    </w:p>
    <w:p>
      <w:pPr>
        <w:ind w:firstLine="233"/>
        <w:spacing w:after="0" w:line="273" w:lineRule="auto"/>
        <w:tabs>
          <w:tab w:leader="none" w:pos="470" w:val="left"/>
        </w:tabs>
        <w:numPr>
          <w:ilvl w:val="0"/>
          <w:numId w:val="68"/>
        </w:numPr>
        <w:rPr>
          <w:rFonts w:ascii="Arial" w:cs="Arial" w:eastAsia="Arial" w:hAnsi="Arial"/>
          <w:sz w:val="17"/>
          <w:szCs w:val="17"/>
          <w:color w:val="auto"/>
        </w:rPr>
      </w:pPr>
      <w:r>
        <w:rPr>
          <w:rFonts w:ascii="Arial" w:cs="Arial" w:eastAsia="Arial" w:hAnsi="Arial"/>
          <w:sz w:val="17"/>
          <w:szCs w:val="17"/>
          <w:color w:val="auto"/>
        </w:rPr>
        <w:t xml:space="preserve">For purposes of this Agreement, “Good Reason” shall mean (i) in the case where there is no employment agreement, consulting agreement, change in control agreement or similar agreement in effect between the Employer and the Grantee on the date of grant specified in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(or where there is such an agreement but it does not define “good reason” (or words of like import)) a termination of employment by the Grantee within one hundred twenty (120) days after the occurrence of one of the following events after the occurrence of a Change in Control unless such events are fully corrected in all material respects by the Employer within thirty (30) days following written notification by the Grantee to the Employer that Grantee intends to terminate his employment hereunder for one of the reasons set forth below: (A) (1) any</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1" w:name="page82"/>
    <w:bookmarkEnd w:id="81"/>
    <w:p>
      <w:pPr>
        <w:ind w:right="20"/>
        <w:spacing w:after="0" w:line="289" w:lineRule="auto"/>
        <w:rPr>
          <w:sz w:val="20"/>
          <w:szCs w:val="20"/>
          <w:color w:val="auto"/>
        </w:rPr>
      </w:pPr>
      <w:r>
        <w:rPr>
          <w:rFonts w:ascii="Arial" w:cs="Arial" w:eastAsia="Arial" w:hAnsi="Arial"/>
          <w:sz w:val="16"/>
          <w:szCs w:val="16"/>
          <w:color w:val="auto"/>
        </w:rPr>
        <w:t xml:space="preserve">material diminution in the Grantee’s duties and responsibilities from that which exists immediately prior to a Change in Control (except in each case in connection with the termination of the Grantee’s employment for Cause or as a result of the Grantee’s death, or temporarily as a result of the Grantee’s illness or other absence), or (2) the assignment to the Grantee of duties and responsibilities materially inconsistent with the position held by the Grantee; (B) any material breach by the Employer of any material provision of any written agreement with the Grantee or failure to timely pay any compensation obligation to the Grantee; (C) a reduction in the Grantee’s annual base salary or target bonus opportunity (if any) from that which exists immediately prior to a Change in Control; or (D) if the Grantee is based at the Employer’s principal executive office, any relocation therefrom or, in any event, a relocation of the Grantee’s primary office of more than fifty (50) miles from the location immediately prior to a Change in Control; or (ii) in the case where there is an employment agreement, consulting agreement, change in control agreement or similar agreement in effect between the Employer and the Grantee on the date of grant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that defines “good reason” (or words of like import), as defined under such agreement.</w:t>
      </w:r>
    </w:p>
    <w:p>
      <w:pPr>
        <w:spacing w:after="0" w:line="136" w:lineRule="exact"/>
        <w:rPr>
          <w:sz w:val="20"/>
          <w:szCs w:val="20"/>
          <w:color w:val="auto"/>
        </w:rPr>
      </w:pPr>
    </w:p>
    <w:p>
      <w:pPr>
        <w:ind w:right="80" w:firstLine="233"/>
        <w:spacing w:after="0" w:line="290" w:lineRule="auto"/>
        <w:tabs>
          <w:tab w:leader="none" w:pos="405" w:val="left"/>
        </w:tabs>
        <w:numPr>
          <w:ilvl w:val="0"/>
          <w:numId w:val="6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Restrictions on Transfer of Option. </w:t>
      </w:r>
      <w:r>
        <w:rPr>
          <w:rFonts w:ascii="Arial" w:cs="Arial" w:eastAsia="Arial" w:hAnsi="Arial"/>
          <w:sz w:val="16"/>
          <w:szCs w:val="16"/>
          <w:color w:val="auto"/>
        </w:rPr>
        <w:t>The Option granted hereby shall not be transferable other than by will or by the laws of descent and distribution.</w:t>
      </w:r>
      <w:r>
        <w:rPr>
          <w:rFonts w:ascii="Arial" w:cs="Arial" w:eastAsia="Arial" w:hAnsi="Arial"/>
          <w:sz w:val="16"/>
          <w:szCs w:val="16"/>
          <w:b w:val="1"/>
          <w:bCs w:val="1"/>
          <w:color w:val="auto"/>
        </w:rPr>
        <w:t xml:space="preserve"> </w:t>
      </w:r>
      <w:r>
        <w:rPr>
          <w:rFonts w:ascii="Arial" w:cs="Arial" w:eastAsia="Arial" w:hAnsi="Arial"/>
          <w:sz w:val="16"/>
          <w:szCs w:val="16"/>
          <w:color w:val="auto"/>
        </w:rPr>
        <w:t>During the lifetime of the Grantee, this Option shall be exercisable only by the Grantee. In addition, except as otherwise provided in this Agreement, the Option shall not be assigned, negotiated, pledged or hypothecated in any way (whether by operation of law or otherwise), and the Option shall not be subject to execution, attachment or similar process. Upon any other attempt to transfer, assign, negotiate, pledge or hypothecate the Option, or in the event of any levy upon the option by reason of any execution, attachment, or similar process contrary to the provisions hereof, the Option shall immediately become null and void. Notwithstanding the foregoing provisions of this Section 4, subject to the approval of the Committee in its sole and absolute discretion and to any conditions that the Committee may prescribe, the Grantee may, upon providing written notice to the Company, elect to transfer the Option to members of his or her immediate family, including, but not limited to, children, grandchildren and spouse or to trusts for the benefit of such immediate family members or to partnerships in which such family members are the only partners; provided, however, that no such transfer may be made in exchange for consideration.</w:t>
      </w:r>
    </w:p>
    <w:p>
      <w:pPr>
        <w:spacing w:after="0" w:line="119" w:lineRule="exact"/>
        <w:rPr>
          <w:rFonts w:ascii="Arial" w:cs="Arial" w:eastAsia="Arial" w:hAnsi="Arial"/>
          <w:sz w:val="16"/>
          <w:szCs w:val="16"/>
          <w:b w:val="1"/>
          <w:bCs w:val="1"/>
          <w:color w:val="auto"/>
        </w:rPr>
      </w:pPr>
    </w:p>
    <w:p>
      <w:pPr>
        <w:ind w:right="100" w:firstLine="233"/>
        <w:spacing w:after="0" w:line="261" w:lineRule="auto"/>
        <w:tabs>
          <w:tab w:leader="none" w:pos="405"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Rights of a Stockholder. </w:t>
      </w:r>
      <w:r>
        <w:rPr>
          <w:rFonts w:ascii="Arial" w:cs="Arial" w:eastAsia="Arial" w:hAnsi="Arial"/>
          <w:sz w:val="18"/>
          <w:szCs w:val="18"/>
          <w:color w:val="auto"/>
        </w:rPr>
        <w:t>The Grantee shall have no rights as a stockholder with respect to any shares of Common Stock subject to this Option prior to</w:t>
      </w:r>
      <w:r>
        <w:rPr>
          <w:rFonts w:ascii="Arial" w:cs="Arial" w:eastAsia="Arial" w:hAnsi="Arial"/>
          <w:sz w:val="18"/>
          <w:szCs w:val="18"/>
          <w:b w:val="1"/>
          <w:bCs w:val="1"/>
          <w:color w:val="auto"/>
        </w:rPr>
        <w:t xml:space="preserve"> </w:t>
      </w:r>
      <w:r>
        <w:rPr>
          <w:rFonts w:ascii="Arial" w:cs="Arial" w:eastAsia="Arial" w:hAnsi="Arial"/>
          <w:sz w:val="18"/>
          <w:szCs w:val="18"/>
          <w:color w:val="auto"/>
        </w:rPr>
        <w:t>the date of issuance to the Grantee of a certificate or certificates for such shares. No adjustment shall be made for dividends in cash or other property, distributions, or other rights with respect to such shares for which the record date is prior to the date upon which the Grantee shall become the holder of record therefor.</w:t>
      </w:r>
    </w:p>
    <w:p>
      <w:pPr>
        <w:spacing w:after="0" w:line="139" w:lineRule="exact"/>
        <w:rPr>
          <w:rFonts w:ascii="Arial" w:cs="Arial" w:eastAsia="Arial" w:hAnsi="Arial"/>
          <w:sz w:val="18"/>
          <w:szCs w:val="18"/>
          <w:b w:val="1"/>
          <w:bCs w:val="1"/>
          <w:color w:val="auto"/>
        </w:rPr>
      </w:pPr>
    </w:p>
    <w:p>
      <w:pPr>
        <w:ind w:firstLine="233"/>
        <w:spacing w:after="0" w:line="289" w:lineRule="auto"/>
        <w:tabs>
          <w:tab w:leader="none" w:pos="405" w:val="left"/>
        </w:tabs>
        <w:numPr>
          <w:ilvl w:val="0"/>
          <w:numId w:val="6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Compliance with Law and Regulations. </w:t>
      </w:r>
      <w:r>
        <w:rPr>
          <w:rFonts w:ascii="Arial" w:cs="Arial" w:eastAsia="Arial" w:hAnsi="Arial"/>
          <w:sz w:val="16"/>
          <w:szCs w:val="16"/>
          <w:color w:val="auto"/>
        </w:rPr>
        <w:t>This award and any obligation of the Company hereunder shall be subject to all applicable federal, state and</w:t>
      </w:r>
      <w:r>
        <w:rPr>
          <w:rFonts w:ascii="Arial" w:cs="Arial" w:eastAsia="Arial" w:hAnsi="Arial"/>
          <w:sz w:val="16"/>
          <w:szCs w:val="16"/>
          <w:b w:val="1"/>
          <w:bCs w:val="1"/>
          <w:color w:val="auto"/>
        </w:rPr>
        <w:t xml:space="preserve"> </w:t>
      </w:r>
      <w:r>
        <w:rPr>
          <w:rFonts w:ascii="Arial" w:cs="Arial" w:eastAsia="Arial" w:hAnsi="Arial"/>
          <w:sz w:val="16"/>
          <w:szCs w:val="16"/>
          <w:color w:val="auto"/>
        </w:rPr>
        <w:t>local laws, rules and regulations and to such approvals by any government or regulatory agency as may be required. The Company shall be under no obligation to effect the registration pursuant to federal securities laws of any interests in the Plan or any shares of Common Stock to be issued hereunder or to effect similar compliance under any state laws. The Company shall not be obligated to cause to be issued or delivered any certificates evidencing shares of Common Stock pursuant to this Agreement unless and until the Company is advised by its counsel that the issuance and delivery of such certificates is in compliance with all applicable laws, regulations of governmental authority and the requirements of any securities exchange on which shares of Common Stock are traded. The Committee may require, as a condition of the issuance and delivery of certificates evidencing shares of Common Stock pursuant to the terms hereof, that the recipient of such shares make such agreements and representations, and that such certificates bear such legends, as the Committee, in its sole discretion, deems necessary or desirable. Except to the extent preempted by any applicable federal law, this Agreement shall be construed and administered in accordance with the laws of the State of New York without reference to its principles of conflicts of law.</w:t>
      </w:r>
    </w:p>
    <w:p>
      <w:pPr>
        <w:spacing w:after="0" w:line="134" w:lineRule="exact"/>
        <w:rPr>
          <w:rFonts w:ascii="Arial" w:cs="Arial" w:eastAsia="Arial" w:hAnsi="Arial"/>
          <w:sz w:val="16"/>
          <w:szCs w:val="16"/>
          <w:b w:val="1"/>
          <w:bCs w:val="1"/>
          <w:color w:val="auto"/>
        </w:rPr>
      </w:pPr>
    </w:p>
    <w:p>
      <w:pPr>
        <w:jc w:val="both"/>
        <w:ind w:right="140" w:firstLine="233"/>
        <w:spacing w:after="0" w:line="261" w:lineRule="auto"/>
        <w:tabs>
          <w:tab w:leader="none" w:pos="405"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Grantee Bound by Plan. </w:t>
      </w:r>
      <w:r>
        <w:rPr>
          <w:rFonts w:ascii="Arial" w:cs="Arial" w:eastAsia="Arial" w:hAnsi="Arial"/>
          <w:sz w:val="18"/>
          <w:szCs w:val="18"/>
          <w:color w:val="auto"/>
        </w:rPr>
        <w:t>The Grantee acknowledges receipt of a copy of the Plan and agrees to be bound by all the terms and provisions thereof.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is incorporated herein by reference, and any capitalized term used but not defined herein shall have the same meaning as in the Plan. To the extent that this Agreement is silent with respect to, or in any way inconsistent with, the terms of the Plan, the provisions of the Plan shall govern and this Agreement shall be deemed to be modified accordingly.</w:t>
      </w:r>
    </w:p>
    <w:p>
      <w:pPr>
        <w:spacing w:after="0" w:line="139" w:lineRule="exact"/>
        <w:rPr>
          <w:rFonts w:ascii="Arial" w:cs="Arial" w:eastAsia="Arial" w:hAnsi="Arial"/>
          <w:sz w:val="18"/>
          <w:szCs w:val="18"/>
          <w:b w:val="1"/>
          <w:bCs w:val="1"/>
          <w:color w:val="auto"/>
        </w:rPr>
      </w:pPr>
    </w:p>
    <w:p>
      <w:pPr>
        <w:ind w:right="20" w:firstLine="233"/>
        <w:spacing w:after="0" w:line="258" w:lineRule="auto"/>
        <w:tabs>
          <w:tab w:leader="none" w:pos="405"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Any notice or communication given hereunder shall be in writing and shall be deemed given when delivered in person, or by United States</w:t>
      </w:r>
      <w:r>
        <w:rPr>
          <w:rFonts w:ascii="Arial" w:cs="Arial" w:eastAsia="Arial" w:hAnsi="Arial"/>
          <w:sz w:val="18"/>
          <w:szCs w:val="18"/>
          <w:b w:val="1"/>
          <w:bCs w:val="1"/>
          <w:color w:val="auto"/>
        </w:rPr>
        <w:t xml:space="preserve"> </w:t>
      </w:r>
      <w:r>
        <w:rPr>
          <w:rFonts w:ascii="Arial" w:cs="Arial" w:eastAsia="Arial" w:hAnsi="Arial"/>
          <w:sz w:val="18"/>
          <w:szCs w:val="18"/>
          <w:color w:val="auto"/>
        </w:rPr>
        <w:t>mail, at the following addresses: (i) if to the Employer, to: Regeneron Pharmaceuticals, Inc., 777 Old Saw Mill River Road, Tarrytown, NY 10591, Attention: Secretary, and (ii) if to the Grantee, to: the Grantee at Regeneron Pharmaceuticals, Inc., 777 Old Saw Mill River Road, Tarrytown, NY 10591, or, if the Grantee has terminated employment, to the last address for the Grantee indicated in the records of the Employer, or such other address as the relevant party shall specify at any time hereafter in accordance with this Section 8.</w:t>
      </w:r>
    </w:p>
    <w:p>
      <w:pPr>
        <w:spacing w:after="0" w:line="143" w:lineRule="exact"/>
        <w:rPr>
          <w:rFonts w:ascii="Arial" w:cs="Arial" w:eastAsia="Arial" w:hAnsi="Arial"/>
          <w:sz w:val="18"/>
          <w:szCs w:val="18"/>
          <w:b w:val="1"/>
          <w:bCs w:val="1"/>
          <w:color w:val="auto"/>
        </w:rPr>
      </w:pPr>
    </w:p>
    <w:p>
      <w:pPr>
        <w:ind w:right="500" w:firstLine="233"/>
        <w:spacing w:after="0" w:line="282" w:lineRule="auto"/>
        <w:tabs>
          <w:tab w:leader="none" w:pos="405"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Obligation to Continue Employment. </w:t>
      </w:r>
      <w:r>
        <w:rPr>
          <w:rFonts w:ascii="Arial" w:cs="Arial" w:eastAsia="Arial" w:hAnsi="Arial"/>
          <w:sz w:val="18"/>
          <w:szCs w:val="18"/>
          <w:color w:val="auto"/>
        </w:rPr>
        <w:t>This Agreement does not guarantee that the Employer will employ the Grantee for any specified time</w:t>
      </w:r>
      <w:r>
        <w:rPr>
          <w:rFonts w:ascii="Arial" w:cs="Arial" w:eastAsia="Arial" w:hAnsi="Arial"/>
          <w:sz w:val="18"/>
          <w:szCs w:val="18"/>
          <w:b w:val="1"/>
          <w:bCs w:val="1"/>
          <w:color w:val="auto"/>
        </w:rPr>
        <w:t xml:space="preserve"> </w:t>
      </w:r>
      <w:r>
        <w:rPr>
          <w:rFonts w:ascii="Arial" w:cs="Arial" w:eastAsia="Arial" w:hAnsi="Arial"/>
          <w:sz w:val="18"/>
          <w:szCs w:val="18"/>
          <w:color w:val="auto"/>
        </w:rPr>
        <w:t>period, nor does it modify in any respect the Grantee’s employment or compensation.</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935" w:right="279" w:bottom="1440" w:gutter="0" w:footer="0" w:header="0"/>
        </w:sectPr>
      </w:pPr>
    </w:p>
    <w:bookmarkStart w:id="82" w:name="page83"/>
    <w:bookmarkEnd w:id="82"/>
    <w:p>
      <w:pPr>
        <w:ind w:left="10280"/>
        <w:spacing w:after="0"/>
        <w:rPr>
          <w:sz w:val="20"/>
          <w:szCs w:val="20"/>
          <w:color w:val="auto"/>
        </w:rPr>
      </w:pPr>
      <w:r>
        <w:rPr>
          <w:rFonts w:ascii="Arial" w:cs="Arial" w:eastAsia="Arial" w:hAnsi="Arial"/>
          <w:sz w:val="18"/>
          <w:szCs w:val="18"/>
          <w:color w:val="auto"/>
        </w:rPr>
        <w:t>EXHIBIT(d)(9)</w:t>
      </w:r>
    </w:p>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of Replacement Option Agreement and</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Notice of Grant of Replacement Options for Senior Vice Presidents</w:t>
      </w:r>
    </w:p>
    <w:p>
      <w:pPr>
        <w:spacing w:after="0" w:line="9"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and Executive Vice Presidents of 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6376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6400" w:type="dxa"/>
            <w:vAlign w:val="bottom"/>
            <w:gridSpan w:val="3"/>
          </w:tcPr>
          <w:p>
            <w:pPr>
              <w:ind w:left="680"/>
              <w:spacing w:after="0"/>
              <w:rPr>
                <w:sz w:val="20"/>
                <w:szCs w:val="20"/>
                <w:color w:val="auto"/>
              </w:rPr>
            </w:pPr>
            <w:r>
              <w:rPr>
                <w:rFonts w:ascii="Arial" w:cs="Arial" w:eastAsia="Arial" w:hAnsi="Arial"/>
                <w:sz w:val="18"/>
                <w:szCs w:val="18"/>
                <w:b w:val="1"/>
                <w:bCs w:val="1"/>
                <w:color w:val="auto"/>
              </w:rPr>
              <w:t>Regeneron Pharmaceuticals, Inc.</w:t>
            </w:r>
          </w:p>
        </w:tc>
      </w:tr>
      <w:tr>
        <w:trPr>
          <w:trHeight w:val="234"/>
        </w:trPr>
        <w:tc>
          <w:tcPr>
            <w:tcW w:w="20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140" w:type="dxa"/>
            <w:vAlign w:val="bottom"/>
          </w:tcPr>
          <w:p>
            <w:pPr>
              <w:ind w:left="680"/>
              <w:spacing w:after="0"/>
              <w:rPr>
                <w:sz w:val="20"/>
                <w:szCs w:val="20"/>
                <w:color w:val="auto"/>
              </w:rPr>
            </w:pPr>
            <w:r>
              <w:rPr>
                <w:rFonts w:ascii="Arial" w:cs="Arial" w:eastAsia="Arial" w:hAnsi="Arial"/>
                <w:sz w:val="18"/>
                <w:szCs w:val="18"/>
                <w:b w:val="1"/>
                <w:bCs w:val="1"/>
                <w:color w:val="auto"/>
              </w:rPr>
              <w:t xml:space="preserve">ID: </w:t>
            </w:r>
            <w:r>
              <w:rPr>
                <w:rFonts w:ascii="Arial" w:cs="Arial" w:eastAsia="Arial" w:hAnsi="Arial"/>
                <w:sz w:val="18"/>
                <w:szCs w:val="18"/>
                <w:color w:val="auto"/>
              </w:rPr>
              <w:t>[</w:t>
            </w:r>
          </w:p>
        </w:tc>
        <w:tc>
          <w:tcPr>
            <w:tcW w:w="800" w:type="dxa"/>
            <w:vAlign w:val="bottom"/>
          </w:tcPr>
          <w:p>
            <w:pPr>
              <w:spacing w:after="0"/>
              <w:rPr>
                <w:sz w:val="20"/>
                <w:szCs w:val="20"/>
                <w:color w:val="auto"/>
              </w:rPr>
            </w:pPr>
          </w:p>
        </w:tc>
        <w:tc>
          <w:tcPr>
            <w:tcW w:w="4460" w:type="dxa"/>
            <w:vAlign w:val="bottom"/>
          </w:tcPr>
          <w:p>
            <w:pPr>
              <w:jc w:val="right"/>
              <w:ind w:right="4310"/>
              <w:spacing w:after="0"/>
              <w:rPr>
                <w:sz w:val="20"/>
                <w:szCs w:val="20"/>
                <w:color w:val="auto"/>
              </w:rPr>
            </w:pPr>
            <w:r>
              <w:rPr>
                <w:rFonts w:ascii="Arial" w:cs="Arial" w:eastAsia="Arial" w:hAnsi="Arial"/>
                <w:sz w:val="18"/>
                <w:szCs w:val="18"/>
                <w:color w:val="auto"/>
                <w:w w:val="78"/>
              </w:rPr>
              <w:t>]</w:t>
            </w:r>
          </w:p>
        </w:tc>
      </w:tr>
      <w:tr>
        <w:trPr>
          <w:trHeight w:val="589"/>
        </w:trPr>
        <w:tc>
          <w:tcPr>
            <w:tcW w:w="3000" w:type="dxa"/>
            <w:vAlign w:val="bottom"/>
            <w:gridSpan w:val="2"/>
          </w:tcPr>
          <w:p>
            <w:pPr>
              <w:spacing w:after="0"/>
              <w:rPr>
                <w:sz w:val="20"/>
                <w:szCs w:val="20"/>
                <w:color w:val="auto"/>
              </w:rPr>
            </w:pPr>
            <w:r>
              <w:rPr>
                <w:rFonts w:ascii="Arial" w:cs="Arial" w:eastAsia="Arial" w:hAnsi="Arial"/>
                <w:sz w:val="18"/>
                <w:szCs w:val="18"/>
                <w:b w:val="1"/>
                <w:bCs w:val="1"/>
                <w:color w:val="auto"/>
              </w:rPr>
              <w:t>Notice of Grant of Stock Options</w:t>
            </w:r>
          </w:p>
        </w:tc>
        <w:tc>
          <w:tcPr>
            <w:tcW w:w="3180" w:type="dxa"/>
            <w:vAlign w:val="bottom"/>
            <w:gridSpan w:val="2"/>
          </w:tcPr>
          <w:p>
            <w:pPr>
              <w:ind w:left="660"/>
              <w:spacing w:after="0"/>
              <w:rPr>
                <w:sz w:val="20"/>
                <w:szCs w:val="20"/>
                <w:color w:val="auto"/>
              </w:rPr>
            </w:pPr>
            <w:r>
              <w:rPr>
                <w:rFonts w:ascii="Arial" w:cs="Arial" w:eastAsia="Arial" w:hAnsi="Arial"/>
                <w:sz w:val="18"/>
                <w:szCs w:val="18"/>
                <w:b w:val="1"/>
                <w:bCs w:val="1"/>
                <w:color w:val="auto"/>
              </w:rPr>
              <w:t>777 Old Saw Mill River Road</w:t>
            </w:r>
          </w:p>
        </w:tc>
        <w:tc>
          <w:tcPr>
            <w:tcW w:w="80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b w:val="1"/>
                <w:bCs w:val="1"/>
                <w:color w:val="auto"/>
                <w:w w:val="98"/>
              </w:rPr>
              <w:t>Option Agreement for Replacement</w:t>
            </w:r>
          </w:p>
        </w:tc>
        <w:tc>
          <w:tcPr>
            <w:tcW w:w="3180" w:type="dxa"/>
            <w:vAlign w:val="bottom"/>
            <w:gridSpan w:val="2"/>
          </w:tcPr>
          <w:p>
            <w:pPr>
              <w:ind w:left="660"/>
              <w:spacing w:after="0"/>
              <w:rPr>
                <w:sz w:val="20"/>
                <w:szCs w:val="20"/>
                <w:color w:val="auto"/>
              </w:rPr>
            </w:pPr>
            <w:r>
              <w:rPr>
                <w:rFonts w:ascii="Arial" w:cs="Arial" w:eastAsia="Arial" w:hAnsi="Arial"/>
                <w:sz w:val="18"/>
                <w:szCs w:val="18"/>
                <w:b w:val="1"/>
                <w:bCs w:val="1"/>
                <w:color w:val="auto"/>
              </w:rPr>
              <w:t>Tarrytown, New York 10591</w:t>
            </w:r>
          </w:p>
        </w:tc>
        <w:tc>
          <w:tcPr>
            <w:tcW w:w="800" w:type="dxa"/>
            <w:vAlign w:val="bottom"/>
          </w:tcPr>
          <w:p>
            <w:pPr>
              <w:spacing w:after="0"/>
              <w:rPr>
                <w:sz w:val="18"/>
                <w:szCs w:val="18"/>
                <w:color w:val="auto"/>
              </w:rPr>
            </w:pPr>
          </w:p>
        </w:tc>
        <w:tc>
          <w:tcPr>
            <w:tcW w:w="4460" w:type="dxa"/>
            <w:vAlign w:val="bottom"/>
          </w:tcPr>
          <w:p>
            <w:pPr>
              <w:spacing w:after="0"/>
              <w:rPr>
                <w:sz w:val="18"/>
                <w:szCs w:val="18"/>
                <w:color w:val="auto"/>
              </w:rPr>
            </w:pPr>
          </w:p>
        </w:tc>
      </w:tr>
      <w:tr>
        <w:trPr>
          <w:trHeight w:val="234"/>
        </w:trPr>
        <w:tc>
          <w:tcPr>
            <w:tcW w:w="2040" w:type="dxa"/>
            <w:vAlign w:val="bottom"/>
          </w:tcPr>
          <w:p>
            <w:pPr>
              <w:spacing w:after="0"/>
              <w:rPr>
                <w:sz w:val="20"/>
                <w:szCs w:val="20"/>
                <w:color w:val="auto"/>
              </w:rPr>
            </w:pPr>
            <w:r>
              <w:rPr>
                <w:rFonts w:ascii="Arial" w:cs="Arial" w:eastAsia="Arial" w:hAnsi="Arial"/>
                <w:sz w:val="18"/>
                <w:szCs w:val="18"/>
                <w:b w:val="1"/>
                <w:bCs w:val="1"/>
                <w:color w:val="auto"/>
              </w:rPr>
              <w:t>Option Awards</w:t>
            </w:r>
          </w:p>
        </w:tc>
        <w:tc>
          <w:tcPr>
            <w:tcW w:w="9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60" w:type="dxa"/>
            <w:vAlign w:val="bottom"/>
          </w:tcPr>
          <w:p>
            <w:pPr>
              <w:spacing w:after="0"/>
              <w:rPr>
                <w:sz w:val="20"/>
                <w:szCs w:val="20"/>
                <w:color w:val="auto"/>
              </w:rPr>
            </w:pPr>
          </w:p>
        </w:tc>
      </w:tr>
      <w:tr>
        <w:trPr>
          <w:trHeight w:val="216"/>
        </w:trPr>
        <w:tc>
          <w:tcPr>
            <w:tcW w:w="2040" w:type="dxa"/>
            <w:vAlign w:val="bottom"/>
            <w:tcBorders>
              <w:bottom w:val="single" w:sz="8" w:color="808080"/>
            </w:tcBorders>
          </w:tcPr>
          <w:p>
            <w:pPr>
              <w:spacing w:after="0"/>
              <w:rPr>
                <w:sz w:val="18"/>
                <w:szCs w:val="18"/>
                <w:color w:val="auto"/>
              </w:rPr>
            </w:pPr>
          </w:p>
        </w:tc>
        <w:tc>
          <w:tcPr>
            <w:tcW w:w="960" w:type="dxa"/>
            <w:vAlign w:val="bottom"/>
            <w:tcBorders>
              <w:bottom w:val="single" w:sz="8" w:color="808080"/>
            </w:tcBorders>
          </w:tcPr>
          <w:p>
            <w:pPr>
              <w:spacing w:after="0"/>
              <w:rPr>
                <w:sz w:val="18"/>
                <w:szCs w:val="18"/>
                <w:color w:val="auto"/>
              </w:rPr>
            </w:pPr>
          </w:p>
        </w:tc>
        <w:tc>
          <w:tcPr>
            <w:tcW w:w="2040" w:type="dxa"/>
            <w:vAlign w:val="bottom"/>
            <w:tcBorders>
              <w:bottom w:val="single" w:sz="8" w:color="808080"/>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4460" w:type="dxa"/>
            <w:vAlign w:val="bottom"/>
            <w:tcBorders>
              <w:bottom w:val="single" w:sz="8" w:color="808080"/>
            </w:tcBorders>
          </w:tcPr>
          <w:p>
            <w:pPr>
              <w:spacing w:after="0"/>
              <w:rPr>
                <w:sz w:val="18"/>
                <w:szCs w:val="18"/>
                <w:color w:val="auto"/>
              </w:rPr>
            </w:pPr>
          </w:p>
        </w:tc>
      </w:tr>
      <w:tr>
        <w:trPr>
          <w:trHeight w:val="515"/>
        </w:trPr>
        <w:tc>
          <w:tcPr>
            <w:tcW w:w="2040" w:type="dxa"/>
            <w:vAlign w:val="bottom"/>
          </w:tcPr>
          <w:p>
            <w:pPr>
              <w:spacing w:after="0"/>
              <w:rPr>
                <w:sz w:val="20"/>
                <w:szCs w:val="20"/>
                <w:color w:val="auto"/>
              </w:rPr>
            </w:pPr>
            <w:r>
              <w:rPr>
                <w:rFonts w:ascii="Arial" w:cs="Arial" w:eastAsia="Arial" w:hAnsi="Arial"/>
                <w:sz w:val="18"/>
                <w:szCs w:val="18"/>
                <w:b w:val="1"/>
                <w:bCs w:val="1"/>
                <w:color w:val="auto"/>
              </w:rPr>
              <w:t>[OPTIONEE NAME]</w:t>
            </w:r>
          </w:p>
        </w:tc>
        <w:tc>
          <w:tcPr>
            <w:tcW w:w="960" w:type="dxa"/>
            <w:vAlign w:val="bottom"/>
          </w:tcPr>
          <w:p>
            <w:pPr>
              <w:spacing w:after="0"/>
              <w:rPr>
                <w:sz w:val="24"/>
                <w:szCs w:val="24"/>
                <w:color w:val="auto"/>
              </w:rPr>
            </w:pPr>
          </w:p>
        </w:tc>
        <w:tc>
          <w:tcPr>
            <w:tcW w:w="2040" w:type="dxa"/>
            <w:vAlign w:val="bottom"/>
          </w:tcPr>
          <w:p>
            <w:pPr>
              <w:ind w:left="80"/>
              <w:spacing w:after="0"/>
              <w:rPr>
                <w:sz w:val="20"/>
                <w:szCs w:val="20"/>
                <w:color w:val="auto"/>
              </w:rPr>
            </w:pPr>
            <w:r>
              <w:rPr>
                <w:rFonts w:ascii="Arial" w:cs="Arial" w:eastAsia="Arial" w:hAnsi="Arial"/>
                <w:sz w:val="18"/>
                <w:szCs w:val="18"/>
                <w:b w:val="1"/>
                <w:bCs w:val="1"/>
                <w:color w:val="auto"/>
              </w:rPr>
              <w:t>Option Number:</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460" w:type="dxa"/>
            <w:vAlign w:val="bottom"/>
          </w:tcPr>
          <w:p>
            <w:pPr>
              <w:spacing w:after="0"/>
              <w:rPr>
                <w:sz w:val="24"/>
                <w:szCs w:val="24"/>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b w:val="1"/>
                <w:bCs w:val="1"/>
                <w:color w:val="auto"/>
              </w:rPr>
              <w:t>[OPTIONEE ADDRESS]</w:t>
            </w:r>
          </w:p>
        </w:tc>
        <w:tc>
          <w:tcPr>
            <w:tcW w:w="960" w:type="dxa"/>
            <w:vAlign w:val="bottom"/>
          </w:tcPr>
          <w:p>
            <w:pPr>
              <w:spacing w:after="0"/>
              <w:rPr>
                <w:sz w:val="18"/>
                <w:szCs w:val="18"/>
                <w:color w:val="auto"/>
              </w:rPr>
            </w:pPr>
          </w:p>
        </w:tc>
        <w:tc>
          <w:tcPr>
            <w:tcW w:w="2040" w:type="dxa"/>
            <w:vAlign w:val="bottom"/>
          </w:tcPr>
          <w:p>
            <w:pPr>
              <w:ind w:left="80"/>
              <w:spacing w:after="0"/>
              <w:rPr>
                <w:sz w:val="20"/>
                <w:szCs w:val="20"/>
                <w:color w:val="auto"/>
              </w:rPr>
            </w:pPr>
            <w:r>
              <w:rPr>
                <w:rFonts w:ascii="Arial" w:cs="Arial" w:eastAsia="Arial" w:hAnsi="Arial"/>
                <w:sz w:val="18"/>
                <w:szCs w:val="18"/>
                <w:b w:val="1"/>
                <w:bCs w:val="1"/>
                <w:color w:val="auto"/>
              </w:rPr>
              <w:t>Plan:</w:t>
            </w:r>
          </w:p>
        </w:tc>
        <w:tc>
          <w:tcPr>
            <w:tcW w:w="1140" w:type="dxa"/>
            <w:vAlign w:val="bottom"/>
          </w:tcPr>
          <w:p>
            <w:pPr>
              <w:spacing w:after="0"/>
              <w:rPr>
                <w:sz w:val="18"/>
                <w:szCs w:val="18"/>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2004</w:t>
            </w:r>
          </w:p>
        </w:tc>
        <w:tc>
          <w:tcPr>
            <w:tcW w:w="4460" w:type="dxa"/>
            <w:vAlign w:val="bottom"/>
          </w:tcPr>
          <w:p>
            <w:pPr>
              <w:spacing w:after="0"/>
              <w:rPr>
                <w:sz w:val="18"/>
                <w:szCs w:val="18"/>
                <w:color w:val="auto"/>
              </w:rPr>
            </w:pPr>
          </w:p>
        </w:tc>
      </w:tr>
      <w:tr>
        <w:trPr>
          <w:trHeight w:val="234"/>
        </w:trPr>
        <w:tc>
          <w:tcPr>
            <w:tcW w:w="20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40" w:type="dxa"/>
            <w:vAlign w:val="bottom"/>
          </w:tcPr>
          <w:p>
            <w:pPr>
              <w:ind w:left="80"/>
              <w:spacing w:after="0"/>
              <w:rPr>
                <w:sz w:val="20"/>
                <w:szCs w:val="20"/>
                <w:color w:val="auto"/>
              </w:rPr>
            </w:pPr>
            <w:r>
              <w:rPr>
                <w:rFonts w:ascii="Arial" w:cs="Arial" w:eastAsia="Arial" w:hAnsi="Arial"/>
                <w:sz w:val="18"/>
                <w:szCs w:val="18"/>
                <w:b w:val="1"/>
                <w:bCs w:val="1"/>
                <w:color w:val="auto"/>
              </w:rPr>
              <w:t>ID</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460" w:type="dxa"/>
            <w:vAlign w:val="bottom"/>
          </w:tcPr>
          <w:p>
            <w:pPr>
              <w:spacing w:after="0"/>
              <w:rPr>
                <w:sz w:val="20"/>
                <w:szCs w:val="20"/>
                <w:color w:val="auto"/>
              </w:rPr>
            </w:pPr>
          </w:p>
        </w:tc>
      </w:tr>
      <w:tr>
        <w:trPr>
          <w:trHeight w:val="216"/>
        </w:trPr>
        <w:tc>
          <w:tcPr>
            <w:tcW w:w="6980" w:type="dxa"/>
            <w:vAlign w:val="bottom"/>
            <w:tcBorders>
              <w:bottom w:val="single" w:sz="8" w:color="808080"/>
            </w:tcBorders>
            <w:gridSpan w:val="5"/>
          </w:tcPr>
          <w:p>
            <w:pPr>
              <w:spacing w:after="0"/>
              <w:rPr>
                <w:sz w:val="18"/>
                <w:szCs w:val="18"/>
                <w:color w:val="auto"/>
              </w:rPr>
            </w:pPr>
          </w:p>
        </w:tc>
        <w:tc>
          <w:tcPr>
            <w:tcW w:w="4460" w:type="dxa"/>
            <w:vAlign w:val="bottom"/>
            <w:tcBorders>
              <w:bottom w:val="single" w:sz="8" w:color="808080"/>
            </w:tcBorders>
          </w:tcPr>
          <w:p>
            <w:pPr>
              <w:spacing w:after="0"/>
              <w:rPr>
                <w:sz w:val="18"/>
                <w:szCs w:val="18"/>
                <w:color w:val="auto"/>
              </w:rPr>
            </w:pPr>
          </w:p>
        </w:tc>
      </w:tr>
      <w:tr>
        <w:trPr>
          <w:trHeight w:val="384"/>
        </w:trPr>
        <w:tc>
          <w:tcPr>
            <w:tcW w:w="6980" w:type="dxa"/>
            <w:vAlign w:val="bottom"/>
            <w:gridSpan w:val="5"/>
          </w:tcPr>
          <w:p>
            <w:pPr>
              <w:spacing w:after="0"/>
              <w:rPr>
                <w:sz w:val="20"/>
                <w:szCs w:val="20"/>
                <w:color w:val="auto"/>
              </w:rPr>
            </w:pPr>
            <w:r>
              <w:rPr>
                <w:rFonts w:ascii="Arial" w:cs="Arial" w:eastAsia="Arial" w:hAnsi="Arial"/>
                <w:sz w:val="18"/>
                <w:szCs w:val="18"/>
                <w:color w:val="auto"/>
                <w:w w:val="92"/>
              </w:rPr>
              <w:t>Effective &lt;date&gt; (the Grant Date) you have been granted a Non-Qualified Stock Option to buy [</w:t>
            </w:r>
          </w:p>
        </w:tc>
        <w:tc>
          <w:tcPr>
            <w:tcW w:w="4460" w:type="dxa"/>
            <w:vAlign w:val="bottom"/>
          </w:tcPr>
          <w:p>
            <w:pPr>
              <w:jc w:val="right"/>
              <w:ind w:right="530"/>
              <w:spacing w:after="0"/>
              <w:rPr>
                <w:sz w:val="20"/>
                <w:szCs w:val="20"/>
                <w:color w:val="auto"/>
              </w:rPr>
            </w:pPr>
            <w:r>
              <w:rPr>
                <w:rFonts w:ascii="Arial" w:cs="Arial" w:eastAsia="Arial" w:hAnsi="Arial"/>
                <w:sz w:val="18"/>
                <w:szCs w:val="18"/>
                <w:color w:val="auto"/>
                <w:w w:val="97"/>
              </w:rPr>
              <w:t>] shares of Regeneron Pharmaceuticals, Inc. (the</w:t>
            </w:r>
          </w:p>
        </w:tc>
      </w:tr>
      <w:tr>
        <w:trPr>
          <w:trHeight w:val="230"/>
        </w:trPr>
        <w:tc>
          <w:tcPr>
            <w:tcW w:w="2040" w:type="dxa"/>
            <w:vAlign w:val="bottom"/>
          </w:tcPr>
          <w:p>
            <w:pPr>
              <w:spacing w:after="0"/>
              <w:rPr>
                <w:sz w:val="20"/>
                <w:szCs w:val="20"/>
                <w:color w:val="auto"/>
              </w:rPr>
            </w:pPr>
            <w:r>
              <w:rPr>
                <w:rFonts w:ascii="Arial" w:cs="Arial" w:eastAsia="Arial" w:hAnsi="Arial"/>
                <w:sz w:val="18"/>
                <w:szCs w:val="18"/>
                <w:color w:val="auto"/>
              </w:rPr>
              <w:t>Company) stock at [$</w:t>
            </w:r>
          </w:p>
        </w:tc>
        <w:tc>
          <w:tcPr>
            <w:tcW w:w="960" w:type="dxa"/>
            <w:vAlign w:val="bottom"/>
          </w:tcPr>
          <w:p>
            <w:pPr>
              <w:ind w:left="60"/>
              <w:spacing w:after="0"/>
              <w:rPr>
                <w:sz w:val="20"/>
                <w:szCs w:val="20"/>
                <w:color w:val="auto"/>
              </w:rPr>
            </w:pPr>
            <w:r>
              <w:rPr>
                <w:rFonts w:ascii="Arial" w:cs="Arial" w:eastAsia="Arial" w:hAnsi="Arial"/>
                <w:sz w:val="18"/>
                <w:szCs w:val="18"/>
                <w:color w:val="auto"/>
                <w:w w:val="96"/>
              </w:rPr>
              <w:t>] per share.</w:t>
            </w:r>
          </w:p>
        </w:tc>
        <w:tc>
          <w:tcPr>
            <w:tcW w:w="20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60" w:type="dxa"/>
            <w:vAlign w:val="bottom"/>
          </w:tcPr>
          <w:p>
            <w:pPr>
              <w:spacing w:after="0"/>
              <w:rPr>
                <w:sz w:val="20"/>
                <w:szCs w:val="20"/>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total option price of the shares granted is [$ ].</w:t>
      </w:r>
    </w:p>
    <w:p>
      <w:pPr>
        <w:spacing w:after="0" w:line="18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 xml:space="preserve">The Stock Option becomes fully vested with respect to all shares underlying the option on the date the Company’s Products (as defined below) have achieved aggregate, worldwide gross sales of at least US$100 million during any consecutive twelve-month period (as determined by the Board in accordance with GAAP) based on sales directly by the Company and/or its licensees, affiliates, and distributors (the “Milestone Date”), unless the Milestone Date occurs before the third anniversary of the Grant Date, in which case all of the shares underlying the option becomes fully vested on the third anniversary of the Grant Date. The date of such vesting is referred to in the enclosed Option Agreement as the “Full Vest Date.” As used above, the term “Products” shall mean the VEGF Trap, IL-1 Trap, IL-4/13 Trap, AXOKINE and any other pharmaceutical or diagnostic product(s) of the Company that result from the Company’s research and development programs. Sales of the Company’s Products outside the United States shall be converted to dollars using the month-end spot rates published by </w:t>
      </w:r>
      <w:r>
        <w:rPr>
          <w:rFonts w:ascii="Arial" w:cs="Arial" w:eastAsia="Arial" w:hAnsi="Arial"/>
          <w:sz w:val="17"/>
          <w:szCs w:val="17"/>
          <w:i w:val="1"/>
          <w:iCs w:val="1"/>
          <w:color w:val="auto"/>
        </w:rPr>
        <w:t>The Wall Street Journal</w:t>
      </w:r>
      <w:r>
        <w:rPr>
          <w:rFonts w:ascii="Arial" w:cs="Arial" w:eastAsia="Arial" w:hAnsi="Arial"/>
          <w:sz w:val="17"/>
          <w:szCs w:val="17"/>
          <w:color w:val="auto"/>
        </w:rPr>
        <w:t>, Eastern Edition and a method of conversion consistent with the Company’s (or its licensee’s, as applicable) customary and usual procedures for currency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6376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64" w:lineRule="exact"/>
        <w:rPr>
          <w:sz w:val="20"/>
          <w:szCs w:val="20"/>
          <w:color w:val="auto"/>
        </w:rPr>
      </w:pPr>
    </w:p>
    <w:p>
      <w:pPr>
        <w:spacing w:after="0"/>
        <w:tabs>
          <w:tab w:leader="none" w:pos="3620" w:val="left"/>
        </w:tabs>
        <w:rPr>
          <w:sz w:val="20"/>
          <w:szCs w:val="20"/>
          <w:color w:val="auto"/>
        </w:rPr>
      </w:pPr>
      <w:r>
        <w:rPr>
          <w:rFonts w:ascii="Arial" w:cs="Arial" w:eastAsia="Arial" w:hAnsi="Arial"/>
          <w:sz w:val="18"/>
          <w:szCs w:val="18"/>
          <w:color w:val="auto"/>
        </w:rPr>
        <w:t>The Non-Qualified Stock Option expires on [</w:t>
      </w:r>
      <w:r>
        <w:rPr>
          <w:sz w:val="20"/>
          <w:szCs w:val="20"/>
          <w:color w:val="auto"/>
        </w:rPr>
        <w:tab/>
      </w:r>
      <w:r>
        <w:rPr>
          <w:rFonts w:ascii="Arial" w:cs="Arial" w:eastAsia="Arial" w:hAnsi="Arial"/>
          <w:sz w:val="17"/>
          <w:szCs w:val="17"/>
          <w:color w:val="auto"/>
        </w:rPr>
        <w:t>]* (the “Expiration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6376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27" w:lineRule="exact"/>
        <w:rPr>
          <w:sz w:val="20"/>
          <w:szCs w:val="20"/>
          <w:color w:val="auto"/>
        </w:rPr>
      </w:pPr>
    </w:p>
    <w:p>
      <w:pPr>
        <w:ind w:left="460" w:hanging="420"/>
        <w:spacing w:after="0"/>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Date to be the later of (i) the remaining term of the tendered option this new option replaces, and (ii) 6 years from the Grant Date.</w:t>
      </w:r>
    </w:p>
    <w:p>
      <w:pPr>
        <w:spacing w:after="0" w:line="18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You and the Company agree that these options are granted under and governed by the terms and conditions of the Company’s 2000 Long-Term Incentive Plan as amended and the enclosed Option Agreement, both of which are attached and made a part of this document.</w:t>
      </w:r>
    </w:p>
    <w:p>
      <w:pPr>
        <w:spacing w:after="0" w:line="1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935" w:right="21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Stock Option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2000 LONG-TERM INCENTIVE PLAN</w:t>
      </w:r>
    </w:p>
    <w:p>
      <w:pPr>
        <w:spacing w:after="0" w:line="170" w:lineRule="exact"/>
        <w:rPr>
          <w:sz w:val="20"/>
          <w:szCs w:val="20"/>
          <w:color w:val="auto"/>
        </w:rPr>
      </w:pPr>
    </w:p>
    <w:p>
      <w:pPr>
        <w:ind w:right="460" w:firstLine="447"/>
        <w:spacing w:after="0" w:line="277" w:lineRule="auto"/>
        <w:rPr>
          <w:sz w:val="20"/>
          <w:szCs w:val="20"/>
          <w:color w:val="auto"/>
        </w:rPr>
      </w:pPr>
      <w:r>
        <w:rPr>
          <w:rFonts w:ascii="Arial" w:cs="Arial" w:eastAsia="Arial" w:hAnsi="Arial"/>
          <w:sz w:val="18"/>
          <w:szCs w:val="18"/>
          <w:color w:val="auto"/>
        </w:rPr>
        <w:t xml:space="preserve">THIS AGREEMENT, made as of the date on the </w:t>
      </w:r>
      <w:r>
        <w:rPr>
          <w:rFonts w:ascii="Arial" w:cs="Arial" w:eastAsia="Arial" w:hAnsi="Arial"/>
          <w:sz w:val="18"/>
          <w:szCs w:val="18"/>
          <w:i w:val="1"/>
          <w:iCs w:val="1"/>
          <w:color w:val="auto"/>
        </w:rPr>
        <w:t>Notice of Grant of Stock Options</w:t>
      </w:r>
      <w:r>
        <w:rPr>
          <w:rFonts w:ascii="Arial" w:cs="Arial" w:eastAsia="Arial" w:hAnsi="Arial"/>
          <w:sz w:val="18"/>
          <w:szCs w:val="18"/>
          <w:color w:val="auto"/>
        </w:rPr>
        <w:t xml:space="preserve">, by and between Regeneron Pharmaceuticals, Inc., a New York corporation (the “Company”), and the employee named on the </w:t>
      </w:r>
      <w:r>
        <w:rPr>
          <w:rFonts w:ascii="Arial" w:cs="Arial" w:eastAsia="Arial" w:hAnsi="Arial"/>
          <w:sz w:val="18"/>
          <w:szCs w:val="18"/>
          <w:i w:val="1"/>
          <w:iCs w:val="1"/>
          <w:color w:val="auto"/>
        </w:rPr>
        <w:t>Notice of Grant of Stock Options</w:t>
      </w:r>
      <w:r>
        <w:rPr>
          <w:rFonts w:ascii="Arial" w:cs="Arial" w:eastAsia="Arial" w:hAnsi="Arial"/>
          <w:sz w:val="18"/>
          <w:szCs w:val="18"/>
          <w:color w:val="auto"/>
        </w:rPr>
        <w:t xml:space="preserve"> (the “Grantee”);</w:t>
      </w:r>
    </w:p>
    <w:p>
      <w:pPr>
        <w:spacing w:after="0" w:line="130" w:lineRule="exact"/>
        <w:rPr>
          <w:sz w:val="20"/>
          <w:szCs w:val="20"/>
          <w:color w:val="auto"/>
        </w:rPr>
      </w:pPr>
    </w:p>
    <w:p>
      <w:pPr>
        <w:ind w:right="500" w:firstLine="447"/>
        <w:spacing w:after="0" w:line="308" w:lineRule="auto"/>
        <w:rPr>
          <w:sz w:val="20"/>
          <w:szCs w:val="20"/>
          <w:color w:val="auto"/>
        </w:rPr>
      </w:pPr>
      <w:r>
        <w:rPr>
          <w:rFonts w:ascii="Arial" w:cs="Arial" w:eastAsia="Arial" w:hAnsi="Arial"/>
          <w:sz w:val="17"/>
          <w:szCs w:val="17"/>
          <w:color w:val="auto"/>
        </w:rPr>
        <w:t>WHEREAS, the Grantee is an employee of the Company and the Company desires to afford the Grantee the opportunity to acquire or enlarge the Grantee’s stock ownership in the Company so that the Grantee may have a direct proprietary interest in the Company’s success; and</w:t>
      </w:r>
    </w:p>
    <w:p>
      <w:pPr>
        <w:spacing w:after="0" w:line="120" w:lineRule="exact"/>
        <w:rPr>
          <w:sz w:val="20"/>
          <w:szCs w:val="20"/>
          <w:color w:val="auto"/>
        </w:rPr>
      </w:pPr>
    </w:p>
    <w:p>
      <w:pPr>
        <w:ind w:right="20" w:firstLine="447"/>
        <w:spacing w:after="0" w:line="264" w:lineRule="auto"/>
        <w:rPr>
          <w:sz w:val="20"/>
          <w:szCs w:val="20"/>
          <w:color w:val="auto"/>
        </w:rPr>
      </w:pPr>
      <w:r>
        <w:rPr>
          <w:rFonts w:ascii="Arial" w:cs="Arial" w:eastAsia="Arial" w:hAnsi="Arial"/>
          <w:sz w:val="18"/>
          <w:szCs w:val="18"/>
          <w:color w:val="auto"/>
        </w:rPr>
        <w:t xml:space="preserve">WHEREAS, the Committee administering the 2000 Long-Term Incentive Plan (the “Plan”) has granted (as of the effective date of grant specified in the </w:t>
      </w:r>
      <w:r>
        <w:rPr>
          <w:rFonts w:ascii="Arial" w:cs="Arial" w:eastAsia="Arial" w:hAnsi="Arial"/>
          <w:sz w:val="18"/>
          <w:szCs w:val="18"/>
          <w:i w:val="1"/>
          <w:iCs w:val="1"/>
          <w:color w:val="auto"/>
        </w:rPr>
        <w:t>Notice of Grant of Stock Options</w:t>
      </w:r>
      <w:r>
        <w:rPr>
          <w:rFonts w:ascii="Arial" w:cs="Arial" w:eastAsia="Arial" w:hAnsi="Arial"/>
          <w:sz w:val="18"/>
          <w:szCs w:val="18"/>
          <w:color w:val="auto"/>
        </w:rPr>
        <w:t>) to the Grantee a Stock Option to purchase the number of shares of the Company’s Common Stock ($.001 par value)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“Common Stock”) as set forth in the </w:t>
      </w:r>
      <w:r>
        <w:rPr>
          <w:rFonts w:ascii="Arial" w:cs="Arial" w:eastAsia="Arial" w:hAnsi="Arial"/>
          <w:sz w:val="18"/>
          <w:szCs w:val="18"/>
          <w:i w:val="1"/>
          <w:iCs w:val="1"/>
          <w:color w:val="auto"/>
        </w:rPr>
        <w:t>Notice of Grant of Stock Options</w:t>
      </w:r>
      <w:r>
        <w:rPr>
          <w:rFonts w:ascii="Arial" w:cs="Arial" w:eastAsia="Arial" w:hAnsi="Arial"/>
          <w:sz w:val="18"/>
          <w:szCs w:val="18"/>
          <w:color w:val="auto"/>
        </w:rPr>
        <w:t>.</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in consideration of the covenants and agreements herein contained, the parties agree as follows:</w:t>
      </w:r>
    </w:p>
    <w:p>
      <w:pPr>
        <w:spacing w:after="0" w:line="181" w:lineRule="exact"/>
        <w:rPr>
          <w:sz w:val="20"/>
          <w:szCs w:val="20"/>
          <w:color w:val="auto"/>
        </w:rPr>
      </w:pPr>
    </w:p>
    <w:p>
      <w:pPr>
        <w:ind w:right="140" w:firstLine="233"/>
        <w:spacing w:after="0" w:line="281" w:lineRule="auto"/>
        <w:tabs>
          <w:tab w:leader="none" w:pos="405" w:val="left"/>
        </w:tabs>
        <w:numPr>
          <w:ilvl w:val="0"/>
          <w:numId w:val="7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Grant of Award. </w:t>
      </w:r>
      <w:r>
        <w:rPr>
          <w:rFonts w:ascii="Arial" w:cs="Arial" w:eastAsia="Arial" w:hAnsi="Arial"/>
          <w:sz w:val="17"/>
          <w:szCs w:val="17"/>
          <w:color w:val="auto"/>
        </w:rPr>
        <w:t>Pursuant to Section 7 of the Plan, the Company grants to the Grantee, subject to the terms and conditions of the Plan and subject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further to the terms and conditions set forth here, the option to purchase from the Company all or any part of an aggregate of shares of Common Stock at the purchase price per share (the “Option”) as shown on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No part of the Option granted hereby is intended to qualify as an Incentive Stock Option under Section 422 of the Internal Revenue Code of 1986, as amended (the “Code”).</w:t>
      </w:r>
    </w:p>
    <w:p>
      <w:pPr>
        <w:spacing w:after="0" w:line="137" w:lineRule="exact"/>
        <w:rPr>
          <w:rFonts w:ascii="Arial" w:cs="Arial" w:eastAsia="Arial" w:hAnsi="Arial"/>
          <w:sz w:val="17"/>
          <w:szCs w:val="17"/>
          <w:b w:val="1"/>
          <w:bCs w:val="1"/>
          <w:color w:val="auto"/>
        </w:rPr>
      </w:pPr>
    </w:p>
    <w:p>
      <w:pPr>
        <w:ind w:right="100" w:firstLine="233"/>
        <w:spacing w:after="0" w:line="255" w:lineRule="auto"/>
        <w:tabs>
          <w:tab w:leader="none" w:pos="402"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Vesting. </w:t>
      </w:r>
      <w:r>
        <w:rPr>
          <w:rFonts w:ascii="Arial" w:cs="Arial" w:eastAsia="Arial" w:hAnsi="Arial"/>
          <w:sz w:val="18"/>
          <w:szCs w:val="18"/>
          <w:color w:val="auto"/>
        </w:rPr>
        <w:t>(a) The Option is exercisable as provided on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Notice of Grant of Stock Options</w:t>
      </w:r>
      <w:r>
        <w:rPr>
          <w:rFonts w:ascii="Arial" w:cs="Arial" w:eastAsia="Arial" w:hAnsi="Arial"/>
          <w:sz w:val="18"/>
          <w:szCs w:val="18"/>
          <w:color w:val="auto"/>
        </w:rPr>
        <w:t>. To the extent that the Option has become exercisable as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provided on the </w:t>
      </w:r>
      <w:r>
        <w:rPr>
          <w:rFonts w:ascii="Arial" w:cs="Arial" w:eastAsia="Arial" w:hAnsi="Arial"/>
          <w:sz w:val="18"/>
          <w:szCs w:val="18"/>
          <w:i w:val="1"/>
          <w:iCs w:val="1"/>
          <w:color w:val="auto"/>
        </w:rPr>
        <w:t>Notice of Grant of Stock Options</w:t>
      </w:r>
      <w:r>
        <w:rPr>
          <w:rFonts w:ascii="Arial" w:cs="Arial" w:eastAsia="Arial" w:hAnsi="Arial"/>
          <w:sz w:val="18"/>
          <w:szCs w:val="18"/>
          <w:color w:val="auto"/>
        </w:rPr>
        <w:t xml:space="preserve"> and subject to the terms and conditions of the Plan, including without limitation, Section 7(c)(1) &amp; (2), the Option may thereafter be exercised by the Grantee, in whole or in part, at any time or from time to time prior to the expiration of the Option in accordance with the requirements set forth in Section 7(c)(3) of the Plan, including, without limitation, the filing of such written form of exercise notice as may be promulgated by the Committee, and in accordance with applicable tax and other laws. The Company shall have the right to require the Grantee in connection with the exercise of the Option to remit to the Company in cash an amount sufficient to satisfy any federal, state and local withholding tax requirements related thereto.</w:t>
      </w:r>
    </w:p>
    <w:p>
      <w:pPr>
        <w:spacing w:after="0" w:line="153" w:lineRule="exact"/>
        <w:rPr>
          <w:sz w:val="20"/>
          <w:szCs w:val="20"/>
          <w:color w:val="auto"/>
        </w:rPr>
      </w:pPr>
    </w:p>
    <w:p>
      <w:pPr>
        <w:ind w:right="40" w:firstLine="233"/>
        <w:spacing w:after="0" w:line="271" w:lineRule="auto"/>
        <w:tabs>
          <w:tab w:leader="none" w:pos="477" w:val="left"/>
        </w:tabs>
        <w:numPr>
          <w:ilvl w:val="0"/>
          <w:numId w:val="72"/>
        </w:numPr>
        <w:rPr>
          <w:rFonts w:ascii="Arial" w:cs="Arial" w:eastAsia="Arial" w:hAnsi="Arial"/>
          <w:sz w:val="17"/>
          <w:szCs w:val="17"/>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describes the date (the “Full Vest Date”) upon which the Grantee shall be entitled to exercise the Option provided that the Grantee has not incurred a termination of employment or service with the Company and all Subsidiaries (collectively, the Company and all Subsidiaries shall be referred to herein as the “Employer” and no termination of employment or service shall be deemed to take place unless the Grantee is no longer employed by or providing service to the Employer) prior to such date. There shall be no proportionate or partial vesting prior to the Full Vest Date specified in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and all vesting shall occur only on the Full Vest Date. Except as otherwise provided in any employment agreement, consulting agreement, change in control agreement or similar agreement in effect between the Employer and the Grantee on the date specified in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no vesting shall occur after such date as the Grantee ceases to be employed by the Employer (or serve as a member of the Board of Directors, as the case may be) and all unvested Options shall be forfeited at such time.</w:t>
      </w:r>
    </w:p>
    <w:p>
      <w:pPr>
        <w:spacing w:after="0" w:line="138" w:lineRule="exact"/>
        <w:rPr>
          <w:rFonts w:ascii="Arial" w:cs="Arial" w:eastAsia="Arial" w:hAnsi="Arial"/>
          <w:sz w:val="17"/>
          <w:szCs w:val="17"/>
          <w:color w:val="auto"/>
        </w:rPr>
      </w:pPr>
    </w:p>
    <w:p>
      <w:pPr>
        <w:ind w:firstLine="233"/>
        <w:spacing w:after="0" w:line="296" w:lineRule="auto"/>
        <w:tabs>
          <w:tab w:leader="none" w:pos="470" w:val="left"/>
        </w:tabs>
        <w:numPr>
          <w:ilvl w:val="0"/>
          <w:numId w:val="72"/>
        </w:numPr>
        <w:rPr>
          <w:rFonts w:ascii="Arial" w:cs="Arial" w:eastAsia="Arial" w:hAnsi="Arial"/>
          <w:sz w:val="16"/>
          <w:szCs w:val="16"/>
          <w:color w:val="auto"/>
        </w:rPr>
      </w:pPr>
      <w:r>
        <w:rPr>
          <w:rFonts w:ascii="Arial" w:cs="Arial" w:eastAsia="Arial" w:hAnsi="Arial"/>
          <w:sz w:val="16"/>
          <w:szCs w:val="16"/>
          <w:color w:val="auto"/>
        </w:rPr>
        <w:t>[If Grantee makes payment upon exercise of the Option by delivering shares of Common Stock owned by the Grantee for at least six months prior to the date of exercise, the Grantee shall be granted a new option (a “Reload Option”) on the date of exercise for a number of shares equal to the number of shares surrendered by the Grantee upon exercise, subject to the availability of shares of Common Stock under the Plan at the time of such exercise. Such Reload Option shall be granted at an exercise price equal to the Fair Market Value (as defined in the Plan) of a share of Common Stock on the date of grant, shall expire on the date on which the original Option would have expired, and shall be fully vested; provided, however, that the Reload Option may not be exercised until the date that is six months after the date of grant. The Reload Option shall otherwise be subject to the same terms and conditions as the original Option; provided, however, that the exercise of the Reload Option shall not entitle the Grantee to any further Reload grant.]</w:t>
      </w:r>
      <w:r>
        <w:rPr>
          <w:rFonts w:ascii="Arial" w:cs="Arial" w:eastAsia="Arial" w:hAnsi="Arial"/>
          <w:sz w:val="26"/>
          <w:szCs w:val="26"/>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13208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140" w:lineRule="exact"/>
        <w:rPr>
          <w:sz w:val="20"/>
          <w:szCs w:val="20"/>
          <w:color w:val="auto"/>
        </w:rPr>
      </w:pPr>
    </w:p>
    <w:p>
      <w:pPr>
        <w:ind w:left="5660" w:right="1520" w:hanging="5605"/>
        <w:spacing w:after="0" w:line="336" w:lineRule="auto"/>
        <w:tabs>
          <w:tab w:leader="none" w:pos="458" w:val="left"/>
        </w:tabs>
        <w:numPr>
          <w:ilvl w:val="0"/>
          <w:numId w:val="73"/>
        </w:numPr>
        <w:rPr>
          <w:rFonts w:ascii="Arial" w:cs="Arial" w:eastAsia="Arial" w:hAnsi="Arial"/>
          <w:sz w:val="30"/>
          <w:szCs w:val="30"/>
          <w:color w:val="auto"/>
          <w:vertAlign w:val="superscript"/>
        </w:rPr>
      </w:pPr>
      <w:r>
        <w:rPr>
          <w:rFonts w:ascii="Arial" w:cs="Arial" w:eastAsia="Arial" w:hAnsi="Arial"/>
          <w:sz w:val="18"/>
          <w:szCs w:val="18"/>
          <w:color w:val="auto"/>
        </w:rPr>
        <w:t>This text will only appear in Replacement Options granted in exchange for options which currently have these “reload” provisions.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48260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84" w:name="page85"/>
    <w:bookmarkEnd w:id="84"/>
    <w:p>
      <w:pPr>
        <w:ind w:left="-20" w:firstLine="233"/>
        <w:spacing w:after="0" w:line="285" w:lineRule="auto"/>
        <w:tabs>
          <w:tab w:leader="none" w:pos="4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 xml:space="preserve">Notwithstanding anything herein (except the following sentence) or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to the contrary, the Option shall be fully vested if the Grantee’s employment with the Employer (or serve as a member of the Board of Directors, as the case may be) is terminated on or within two years after the occurrence of a Change in Control by the Employer (other than for Cause) or by the Grantee for Good Reason. Except as otherwise provided in any employment agreement, consulting agreement, change in control agreement or similar agreement in effect between the Employer and the Grantee on the date of grant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if the application of the provision in the foregoing sentence, similar provisions in other stock option or restricted stock grants, and other payments and benefits payable to the Grantee upon termination of employment (collectively, the “Company Payments”) would result in the Grantee being subject to excise tax payable under Internal Revenue Code Section 4999 (the Excise Tax”), the amount of any Company Payments shall be automatically reduced to an amount one dollar less than an amount that would subject the Grantee to the Excise Tax; provided, however, that the reduction shall occur only if the reduced Company Payments received by the Grantee (after taking into account further reductions for applicable federal, state and local income, social security and other taxes) would be greater than the unreduced Company Payments to be received by the Grantee minus (i) the Excise Tax payable with respect to such Company Payments and (ii) all applicable federal, state and local income, social security and other taxes on such Company Payments. If the Company Payments are to be reduced in accordance with the foregoing, the Company Payments shall be reduced as mutually agreed between the Employer and the Grantee or, in the event the parties cannot agree, in the following order (1) acceleration of vesting of any option where the exercise price exceeds the fair market value of the underlying shares at the time the acceleration would otherwise occur, (2) any lump sum severance based on a multiple of base salary or bonus, (3) any other cash amounts payable to the Grantee, (4) any benefits valued as parachute payments, and (5) acceleration of vesting of any equity not covered by (1) above.</w:t>
      </w:r>
    </w:p>
    <w:p>
      <w:pPr>
        <w:spacing w:after="0" w:line="147" w:lineRule="exact"/>
        <w:rPr>
          <w:sz w:val="20"/>
          <w:szCs w:val="20"/>
          <w:color w:val="auto"/>
        </w:rPr>
      </w:pPr>
    </w:p>
    <w:p>
      <w:pPr>
        <w:ind w:left="-20" w:right="20" w:firstLine="233"/>
        <w:spacing w:after="0" w:line="290" w:lineRule="auto"/>
        <w:tabs>
          <w:tab w:leader="none" w:pos="385" w:val="left"/>
        </w:tabs>
        <w:numPr>
          <w:ilvl w:val="0"/>
          <w:numId w:val="7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Option Term. </w:t>
      </w:r>
      <w:r>
        <w:rPr>
          <w:rFonts w:ascii="Arial" w:cs="Arial" w:eastAsia="Arial" w:hAnsi="Arial"/>
          <w:sz w:val="16"/>
          <w:szCs w:val="16"/>
          <w:color w:val="auto"/>
        </w:rPr>
        <w:t>(a) Except as otherwise provided in the next sentence or in the Plan, the Option shall expire on the Expiration Date shown on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Notice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of Grant of Stock Options</w:t>
      </w:r>
      <w:r>
        <w:rPr>
          <w:rFonts w:ascii="Arial" w:cs="Arial" w:eastAsia="Arial" w:hAnsi="Arial"/>
          <w:sz w:val="16"/>
          <w:szCs w:val="16"/>
          <w:color w:val="auto"/>
        </w:rPr>
        <w:t>. In the event of termination of employment or service with the Employer (including, by way of example, termination of service as 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member of the Board of Directors), except as set forth in any employment agreement, consulting agreement, change in control agreement or similar agreement in effect between the Employer and the Grantee on the date of grant specified in the </w:t>
      </w:r>
      <w:r>
        <w:rPr>
          <w:rFonts w:ascii="Arial" w:cs="Arial" w:eastAsia="Arial" w:hAnsi="Arial"/>
          <w:sz w:val="16"/>
          <w:szCs w:val="16"/>
          <w:i w:val="1"/>
          <w:iCs w:val="1"/>
          <w:color w:val="auto"/>
        </w:rPr>
        <w:t>Notice of Grant of Stock Option</w:t>
      </w:r>
      <w:r>
        <w:rPr>
          <w:rFonts w:ascii="Arial" w:cs="Arial" w:eastAsia="Arial" w:hAnsi="Arial"/>
          <w:sz w:val="16"/>
          <w:szCs w:val="16"/>
          <w:color w:val="auto"/>
        </w:rPr>
        <w:t>, the vested portion of the Option shall expire on the earlier of (i) the Expiration Date, or (ii)(A) subject to (E) below, three months after such termination if such termination is for any reason other than death, retirement, or long-term disability, (B) two years after such termination if such termination is due to the Grantee’s retirement, (C) one year after the termination if such termination is due to the Grantee’s death or long-term disability, (D) the occurrence of the Cause event if such termination is for Cause or Cause existed at the time of such termination (whether then known or later discovered) or (E) one year after such termination if such termination is at any time within two years after the occurrence of a Change in Control and is by the Employer without Cause or by the Grantee for Good Reason.</w:t>
      </w:r>
    </w:p>
    <w:p>
      <w:pPr>
        <w:spacing w:after="0" w:line="123" w:lineRule="exact"/>
        <w:rPr>
          <w:sz w:val="20"/>
          <w:szCs w:val="20"/>
          <w:color w:val="auto"/>
        </w:rPr>
      </w:pPr>
    </w:p>
    <w:p>
      <w:pPr>
        <w:ind w:left="-20" w:right="40" w:firstLine="233"/>
        <w:spacing w:after="0" w:line="268" w:lineRule="auto"/>
        <w:tabs>
          <w:tab w:leader="none" w:pos="4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 xml:space="preserve">For purposes of this Agreement, “Cause” shall mean (i) in the case where there is no employment agreement, consulting agreement, change in control agreement or similar agreement in effect between the Company and the Grantee on the date of grant specified in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(or where there is such an agreement but it does not define “cause” (or words of like import)) (A) the willful and continued failure by the Grantee substantially to perform his or her duties and obligations to the Employer, including without limitation, repeated refusal to follow the reasonable directions of the Employer, knowing violation of law in the course of performance of the duties of the Grantee’s employment with the Employer, repeated absences from work without a reasonable excuse, and intoxication with alcohol or illegal drugs while on the Employer’s premises during regular business hours (other than any such failure resulting from his or her incapacity due to physical or mental illness); (B) fraud or material dishonesty against the Employer; or (C) a conviction or plea of guilty or nolo contendere to a felony or a crime involving material dishonesty or (ii) in the case where there is an employment agreement, consulting agreement, change in control agreement or similar agreement in effect between the Employer and the Grantee on the date of grant specified in the </w:t>
      </w:r>
      <w:r>
        <w:rPr>
          <w:rFonts w:ascii="Arial" w:cs="Arial" w:eastAsia="Arial" w:hAnsi="Arial"/>
          <w:sz w:val="17"/>
          <w:szCs w:val="17"/>
          <w:i w:val="1"/>
          <w:iCs w:val="1"/>
          <w:color w:val="auto"/>
        </w:rPr>
        <w:t>Notice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Grant of Stock Options </w:t>
      </w:r>
      <w:r>
        <w:rPr>
          <w:rFonts w:ascii="Arial" w:cs="Arial" w:eastAsia="Arial" w:hAnsi="Arial"/>
          <w:sz w:val="17"/>
          <w:szCs w:val="17"/>
          <w:color w:val="auto"/>
        </w:rPr>
        <w:t>that defines “cause” (or words of like import), as defined under such agreement. For purposes of this Section 3(b), no act, or failure to</w:t>
      </w:r>
      <w:r>
        <w:rPr>
          <w:rFonts w:ascii="Arial" w:cs="Arial" w:eastAsia="Arial" w:hAnsi="Arial"/>
          <w:sz w:val="17"/>
          <w:szCs w:val="17"/>
          <w:i w:val="1"/>
          <w:iCs w:val="1"/>
          <w:color w:val="auto"/>
        </w:rPr>
        <w:t xml:space="preserve"> </w:t>
      </w:r>
      <w:r>
        <w:rPr>
          <w:rFonts w:ascii="Arial" w:cs="Arial" w:eastAsia="Arial" w:hAnsi="Arial"/>
          <w:sz w:val="17"/>
          <w:szCs w:val="17"/>
          <w:color w:val="auto"/>
        </w:rPr>
        <w:t>act, on a Grantee’s part shall be considered “willful” unless done, or omitted to be done, by the Grantee in bad faith and without reasonable belief that his or her action or omission was in the best interest of the Employer. Any determination of Cause made prior to a Change in Control shall be made by the Committee in its sole discretion.</w:t>
      </w:r>
    </w:p>
    <w:p>
      <w:pPr>
        <w:spacing w:after="0" w:line="147" w:lineRule="exact"/>
        <w:rPr>
          <w:rFonts w:ascii="Arial" w:cs="Arial" w:eastAsia="Arial" w:hAnsi="Arial"/>
          <w:sz w:val="17"/>
          <w:szCs w:val="17"/>
          <w:color w:val="auto"/>
        </w:rPr>
      </w:pPr>
    </w:p>
    <w:p>
      <w:pPr>
        <w:ind w:left="-20" w:right="60" w:firstLine="233"/>
        <w:spacing w:after="0" w:line="272" w:lineRule="auto"/>
        <w:tabs>
          <w:tab w:leader="none" w:pos="450" w:val="left"/>
        </w:tabs>
        <w:numPr>
          <w:ilvl w:val="0"/>
          <w:numId w:val="76"/>
        </w:numPr>
        <w:rPr>
          <w:rFonts w:ascii="Arial" w:cs="Arial" w:eastAsia="Arial" w:hAnsi="Arial"/>
          <w:sz w:val="17"/>
          <w:szCs w:val="17"/>
          <w:color w:val="auto"/>
        </w:rPr>
      </w:pPr>
      <w:r>
        <w:rPr>
          <w:rFonts w:ascii="Arial" w:cs="Arial" w:eastAsia="Arial" w:hAnsi="Arial"/>
          <w:sz w:val="17"/>
          <w:szCs w:val="17"/>
          <w:color w:val="auto"/>
        </w:rPr>
        <w:t xml:space="preserve">For purposes of this Agreement, “Good Reason” shall mean (i) in the case where there is no employment agreement, consulting agreement, change in control agreement or similar agreement in effect between the Employer and the Grantee on the date of grant specified in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(or where there is such an agreement but it does not define “good reason” (or words of like import)) a termination of employment or services by the Grantee within one hundred twenty (120) days after the occurrence of one of the following events after the occurrence of a Change in Control unless such events are fully corrected in all material respects by the Employer within thirty (30) days following written notification by the Grantee to the Employer that Grantee intends to terminate his employment hereunder for one of the reasons set forth below: (A) (1) any material diminution in the Grantee’s duties and responsibilities from that which exists immediately prior to a</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5" w:right="259" w:bottom="1440" w:gutter="0" w:footer="0" w:header="0"/>
        </w:sectPr>
      </w:pPr>
    </w:p>
    <w:bookmarkStart w:id="85" w:name="page86"/>
    <w:bookmarkEnd w:id="85"/>
    <w:p>
      <w:pPr>
        <w:ind w:right="160"/>
        <w:spacing w:after="0" w:line="270" w:lineRule="auto"/>
        <w:rPr>
          <w:sz w:val="20"/>
          <w:szCs w:val="20"/>
          <w:color w:val="auto"/>
        </w:rPr>
      </w:pPr>
      <w:r>
        <w:rPr>
          <w:rFonts w:ascii="Arial" w:cs="Arial" w:eastAsia="Arial" w:hAnsi="Arial"/>
          <w:sz w:val="17"/>
          <w:szCs w:val="17"/>
          <w:color w:val="auto"/>
        </w:rPr>
        <w:t xml:space="preserve">Change in Control (except in each case in connection with the termination of the Grantee’s employment or services for Cause or as a result of the Grantee’s death, or temporarily as a result of the Grantee’s illness or other absence), or (2) the assignment to the Grantee of duties and responsibilities materially inconsistent with the position held by the Grantee; (B) any material breach by the Employer of any material provision of any written agreement with the Grantee or failure to timely pay any compensation obligation to the Grantee; (C) a reduction in the Grantee’s annual base salary or target bonus opportunity (if any) from that which exists immediately prior to a Change in Control; or (D) if the Grantee is based at the Employer’s principal executive office, any relocation therefrom or, in any event, a relocation of the Grantee’s primary office of more than fifty (50) miles from the location immediately prior to a Change in Control; or (ii) in the case where there is an employment agreement, consulting agreement, change in control agreement or similar agreement in effect between the Employer and the Grantee on the date of grant specified in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that defines “good reason” (or words of like import), as defined under such agreement.</w:t>
      </w:r>
    </w:p>
    <w:p>
      <w:pPr>
        <w:spacing w:after="0" w:line="151" w:lineRule="exact"/>
        <w:rPr>
          <w:sz w:val="20"/>
          <w:szCs w:val="20"/>
          <w:color w:val="auto"/>
        </w:rPr>
      </w:pPr>
    </w:p>
    <w:p>
      <w:pPr>
        <w:ind w:right="80" w:firstLine="233"/>
        <w:spacing w:after="0" w:line="290" w:lineRule="auto"/>
        <w:tabs>
          <w:tab w:leader="none" w:pos="405" w:val="left"/>
        </w:tabs>
        <w:numPr>
          <w:ilvl w:val="0"/>
          <w:numId w:val="7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Restrictions on Transfer of Option. </w:t>
      </w:r>
      <w:r>
        <w:rPr>
          <w:rFonts w:ascii="Arial" w:cs="Arial" w:eastAsia="Arial" w:hAnsi="Arial"/>
          <w:sz w:val="16"/>
          <w:szCs w:val="16"/>
          <w:color w:val="auto"/>
        </w:rPr>
        <w:t>The Option granted hereby shall not be transferable other than by will or by the laws of descent and distribution.</w:t>
      </w:r>
      <w:r>
        <w:rPr>
          <w:rFonts w:ascii="Arial" w:cs="Arial" w:eastAsia="Arial" w:hAnsi="Arial"/>
          <w:sz w:val="16"/>
          <w:szCs w:val="16"/>
          <w:b w:val="1"/>
          <w:bCs w:val="1"/>
          <w:color w:val="auto"/>
        </w:rPr>
        <w:t xml:space="preserve"> </w:t>
      </w:r>
      <w:r>
        <w:rPr>
          <w:rFonts w:ascii="Arial" w:cs="Arial" w:eastAsia="Arial" w:hAnsi="Arial"/>
          <w:sz w:val="16"/>
          <w:szCs w:val="16"/>
          <w:color w:val="auto"/>
        </w:rPr>
        <w:t>During the lifetime of the Grantee, this Option shall be exercisable only by the Grantee. In addition, except as otherwise provided in this Agreement, the Option shall not be assigned, negotiated, pledged or hypothecated in any way (whether by operation of law or otherwise), and the Option shall not be subject to execution, attachment or similar process. Upon any other attempt to transfer, assign, negotiate, pledge or hypothecate the Option, or in the event of any levy upon the option by reason of any execution, attachment, or similar process contrary to the provisions hereof, the Option shall immediately become null and void. Notwithstanding the foregoing provisions of this Section 4, subject to the approval of the Committee in its sole and absolute discretion and to any conditions that the Committee may prescribe, the Grantee may, upon providing written notice to the Company, elect to transfer the Option to members of his or her immediate family, including, but not limited to, children, grandchildren and spouse or to trusts for the benefit of such immediate family members or to partnerships in which such family members are the only partners; provided, however, that no such transfer may be made in exchange for consideration.</w:t>
      </w:r>
    </w:p>
    <w:p>
      <w:pPr>
        <w:spacing w:after="0" w:line="119" w:lineRule="exact"/>
        <w:rPr>
          <w:rFonts w:ascii="Arial" w:cs="Arial" w:eastAsia="Arial" w:hAnsi="Arial"/>
          <w:sz w:val="16"/>
          <w:szCs w:val="16"/>
          <w:b w:val="1"/>
          <w:bCs w:val="1"/>
          <w:color w:val="auto"/>
        </w:rPr>
      </w:pPr>
    </w:p>
    <w:p>
      <w:pPr>
        <w:ind w:right="100" w:firstLine="233"/>
        <w:spacing w:after="0" w:line="261" w:lineRule="auto"/>
        <w:tabs>
          <w:tab w:leader="none" w:pos="405"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Rights of a Stockholder. </w:t>
      </w:r>
      <w:r>
        <w:rPr>
          <w:rFonts w:ascii="Arial" w:cs="Arial" w:eastAsia="Arial" w:hAnsi="Arial"/>
          <w:sz w:val="18"/>
          <w:szCs w:val="18"/>
          <w:color w:val="auto"/>
        </w:rPr>
        <w:t>The Grantee shall have no rights as a stockholder with respect to any shares of Common Stock subject to this Option prior to</w:t>
      </w:r>
      <w:r>
        <w:rPr>
          <w:rFonts w:ascii="Arial" w:cs="Arial" w:eastAsia="Arial" w:hAnsi="Arial"/>
          <w:sz w:val="18"/>
          <w:szCs w:val="18"/>
          <w:b w:val="1"/>
          <w:bCs w:val="1"/>
          <w:color w:val="auto"/>
        </w:rPr>
        <w:t xml:space="preserve"> </w:t>
      </w:r>
      <w:r>
        <w:rPr>
          <w:rFonts w:ascii="Arial" w:cs="Arial" w:eastAsia="Arial" w:hAnsi="Arial"/>
          <w:sz w:val="18"/>
          <w:szCs w:val="18"/>
          <w:color w:val="auto"/>
        </w:rPr>
        <w:t>the date of issuance to the Grantee of a certificate or certificates for such shares. No adjustment shall be made for dividends in cash or other property, distributions, or other rights with respect to such shares for which the record date is prior to the date upon which the Grantee shall become the holder of record therefor.</w:t>
      </w:r>
    </w:p>
    <w:p>
      <w:pPr>
        <w:spacing w:after="0" w:line="139" w:lineRule="exact"/>
        <w:rPr>
          <w:rFonts w:ascii="Arial" w:cs="Arial" w:eastAsia="Arial" w:hAnsi="Arial"/>
          <w:sz w:val="18"/>
          <w:szCs w:val="18"/>
          <w:b w:val="1"/>
          <w:bCs w:val="1"/>
          <w:color w:val="auto"/>
        </w:rPr>
      </w:pPr>
    </w:p>
    <w:p>
      <w:pPr>
        <w:ind w:firstLine="233"/>
        <w:spacing w:after="0" w:line="289" w:lineRule="auto"/>
        <w:tabs>
          <w:tab w:leader="none" w:pos="405" w:val="left"/>
        </w:tabs>
        <w:numPr>
          <w:ilvl w:val="0"/>
          <w:numId w:val="7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Compliance with Law and Regulations. </w:t>
      </w:r>
      <w:r>
        <w:rPr>
          <w:rFonts w:ascii="Arial" w:cs="Arial" w:eastAsia="Arial" w:hAnsi="Arial"/>
          <w:sz w:val="16"/>
          <w:szCs w:val="16"/>
          <w:color w:val="auto"/>
        </w:rPr>
        <w:t>This award and any obligation of the Company hereunder shall be subject to all applicable federal, state and</w:t>
      </w:r>
      <w:r>
        <w:rPr>
          <w:rFonts w:ascii="Arial" w:cs="Arial" w:eastAsia="Arial" w:hAnsi="Arial"/>
          <w:sz w:val="16"/>
          <w:szCs w:val="16"/>
          <w:b w:val="1"/>
          <w:bCs w:val="1"/>
          <w:color w:val="auto"/>
        </w:rPr>
        <w:t xml:space="preserve"> </w:t>
      </w:r>
      <w:r>
        <w:rPr>
          <w:rFonts w:ascii="Arial" w:cs="Arial" w:eastAsia="Arial" w:hAnsi="Arial"/>
          <w:sz w:val="16"/>
          <w:szCs w:val="16"/>
          <w:color w:val="auto"/>
        </w:rPr>
        <w:t>local laws, rules and regulations and to such approvals by any government or regulatory agency as may be required. The Company shall be under no obligation to effect the registration pursuant to federal securities laws of any interests in the Plan or any shares of Common Stock to be issued hereunder or to effect similar compliance under any state laws. The Company shall not be obligated to cause to be issued or delivered any certificates evidencing shares of Common Stock pursuant to this Agreement unless and until the Company is advised by its counsel that the issuance and delivery of such certificates is in compliance with all applicable laws, regulations of governmental authority and the requirements of any securities exchange on which shares of Common Stock are traded. The Committee may require, as a condition of the issuance and delivery of certificates evidencing shares of Common Stock pursuant to the terms hereof, that the recipient of such shares make such agreements and representations, and that such certificates bear such legends, as the Committee, in its sole discretion, deems necessary or desirable. Except to the extent preempted by any applicable federal law, this Agreement shall be construed and administered in accordance with the laws of the State of New York without reference to its principles of conflicts of law.</w:t>
      </w:r>
    </w:p>
    <w:p>
      <w:pPr>
        <w:spacing w:after="0" w:line="134" w:lineRule="exact"/>
        <w:rPr>
          <w:rFonts w:ascii="Arial" w:cs="Arial" w:eastAsia="Arial" w:hAnsi="Arial"/>
          <w:sz w:val="16"/>
          <w:szCs w:val="16"/>
          <w:b w:val="1"/>
          <w:bCs w:val="1"/>
          <w:color w:val="auto"/>
        </w:rPr>
      </w:pPr>
    </w:p>
    <w:p>
      <w:pPr>
        <w:jc w:val="both"/>
        <w:ind w:right="140" w:firstLine="233"/>
        <w:spacing w:after="0" w:line="261" w:lineRule="auto"/>
        <w:tabs>
          <w:tab w:leader="none" w:pos="405"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Grantee Bound by Plan. </w:t>
      </w:r>
      <w:r>
        <w:rPr>
          <w:rFonts w:ascii="Arial" w:cs="Arial" w:eastAsia="Arial" w:hAnsi="Arial"/>
          <w:sz w:val="18"/>
          <w:szCs w:val="18"/>
          <w:color w:val="auto"/>
        </w:rPr>
        <w:t>The Grantee acknowledges receipt of a copy of the Plan and agrees to be bound by all the terms and provisions thereof.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is incorporated herein by reference, and any capitalized term used but not defined herein shall have the same meaning as in the Plan. To the extent that this Agreement is silent with respect to, or in any way inconsistent with, the terms of the Plan, the provisions of the Plan shall govern and this Agreement shall be deemed to be modified accordingly.</w:t>
      </w:r>
    </w:p>
    <w:p>
      <w:pPr>
        <w:spacing w:after="0" w:line="139" w:lineRule="exact"/>
        <w:rPr>
          <w:rFonts w:ascii="Arial" w:cs="Arial" w:eastAsia="Arial" w:hAnsi="Arial"/>
          <w:sz w:val="18"/>
          <w:szCs w:val="18"/>
          <w:b w:val="1"/>
          <w:bCs w:val="1"/>
          <w:color w:val="auto"/>
        </w:rPr>
      </w:pPr>
    </w:p>
    <w:p>
      <w:pPr>
        <w:ind w:right="20" w:firstLine="233"/>
        <w:spacing w:after="0" w:line="258" w:lineRule="auto"/>
        <w:tabs>
          <w:tab w:leader="none" w:pos="405"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Any notice or communication given hereunder shall be in writing and shall be deemed given when delivered in person, or by United States</w:t>
      </w:r>
      <w:r>
        <w:rPr>
          <w:rFonts w:ascii="Arial" w:cs="Arial" w:eastAsia="Arial" w:hAnsi="Arial"/>
          <w:sz w:val="18"/>
          <w:szCs w:val="18"/>
          <w:b w:val="1"/>
          <w:bCs w:val="1"/>
          <w:color w:val="auto"/>
        </w:rPr>
        <w:t xml:space="preserve"> </w:t>
      </w:r>
      <w:r>
        <w:rPr>
          <w:rFonts w:ascii="Arial" w:cs="Arial" w:eastAsia="Arial" w:hAnsi="Arial"/>
          <w:sz w:val="18"/>
          <w:szCs w:val="18"/>
          <w:color w:val="auto"/>
        </w:rPr>
        <w:t>mail, at the following addresses: (i) if to the Employer, to: Regeneron Pharmaceuticals, Inc., 777 Old Saw Mill River Road, Tarrytown, NY 10591, Attention: Secretary, and (ii) if to the Grantee, to: the Grantee at Regeneron Pharmaceuticals, Inc., 777 Old Saw Mill River Road, Tarrytown, NY 10591, or, if the Grantee has terminated employment, to the last address for the Grantee indicated in the records of the Employer, or such other address as the relevant party shall specify at any time hereafter in accordance with this Section 8.</w:t>
      </w:r>
    </w:p>
    <w:p>
      <w:pPr>
        <w:spacing w:after="0" w:line="143" w:lineRule="exact"/>
        <w:rPr>
          <w:rFonts w:ascii="Arial" w:cs="Arial" w:eastAsia="Arial" w:hAnsi="Arial"/>
          <w:sz w:val="18"/>
          <w:szCs w:val="18"/>
          <w:b w:val="1"/>
          <w:bCs w:val="1"/>
          <w:color w:val="auto"/>
        </w:rPr>
      </w:pPr>
    </w:p>
    <w:p>
      <w:pPr>
        <w:ind w:right="500" w:firstLine="233"/>
        <w:spacing w:after="0" w:line="282" w:lineRule="auto"/>
        <w:tabs>
          <w:tab w:leader="none" w:pos="405"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Obligation to Continue Employment. </w:t>
      </w:r>
      <w:r>
        <w:rPr>
          <w:rFonts w:ascii="Arial" w:cs="Arial" w:eastAsia="Arial" w:hAnsi="Arial"/>
          <w:sz w:val="18"/>
          <w:szCs w:val="18"/>
          <w:color w:val="auto"/>
        </w:rPr>
        <w:t>This Agreement does not guarantee that the Employer will employ the Grantee for any specified time</w:t>
      </w:r>
      <w:r>
        <w:rPr>
          <w:rFonts w:ascii="Arial" w:cs="Arial" w:eastAsia="Arial" w:hAnsi="Arial"/>
          <w:sz w:val="18"/>
          <w:szCs w:val="18"/>
          <w:b w:val="1"/>
          <w:bCs w:val="1"/>
          <w:color w:val="auto"/>
        </w:rPr>
        <w:t xml:space="preserve"> </w:t>
      </w:r>
      <w:r>
        <w:rPr>
          <w:rFonts w:ascii="Arial" w:cs="Arial" w:eastAsia="Arial" w:hAnsi="Arial"/>
          <w:sz w:val="18"/>
          <w:szCs w:val="18"/>
          <w:color w:val="auto"/>
        </w:rPr>
        <w:t>period, nor does it modify in any respect the Grantee’s employment or compensation.</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sectPr>
      <w:pgSz w:w="11900" w:h="16838" w:orient="portrait"/>
      <w:cols w:equalWidth="0" w:num="1">
        <w:col w:w="11380"/>
      </w:cols>
      <w:pgMar w:left="240" w:top="93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
      <w:numFmt w:val="bullet"/>
      <w:start w:val="1"/>
    </w:lvl>
  </w:abstractNum>
  <w:abstractNum w:abstractNumId="2">
    <w:nsid w:val="2D517796"/>
    <w:multiLevelType w:val="hybridMultilevel"/>
    <w:lvl w:ilvl="0">
      <w:lvlJc w:val="left"/>
      <w:lvlText w:val="o"/>
      <w:numFmt w:val="bullet"/>
      <w:start w:val="1"/>
    </w:lvl>
  </w:abstractNum>
  <w:abstractNum w:abstractNumId="3">
    <w:nsid w:val="580BD78F"/>
    <w:multiLevelType w:val="hybridMultilevel"/>
    <w:lvl w:ilvl="0">
      <w:lvlJc w:val="left"/>
      <w:lvlText w:val="o"/>
      <w:numFmt w:val="bullet"/>
      <w:start w:val="1"/>
    </w:lvl>
  </w:abstractNum>
  <w:abstractNum w:abstractNumId="4">
    <w:nsid w:val="153EA438"/>
    <w:multiLevelType w:val="hybridMultilevel"/>
    <w:lvl w:ilvl="0">
      <w:lvlJc w:val="left"/>
      <w:lvlText w:val="☒"/>
      <w:numFmt w:val="bullet"/>
      <w:start w:val="1"/>
    </w:lvl>
  </w:abstractNum>
  <w:abstractNum w:abstractNumId="5">
    <w:nsid w:val="3855585C"/>
    <w:multiLevelType w:val="hybridMultilevel"/>
    <w:lvl w:ilvl="0">
      <w:lvlJc w:val="left"/>
      <w:lvlText w:val="-"/>
      <w:numFmt w:val="bullet"/>
      <w:start w:val="1"/>
    </w:lvl>
  </w:abstractNum>
  <w:abstractNum w:abstractNumId="6">
    <w:nsid w:val="70A64E2A"/>
    <w:multiLevelType w:val="hybridMultilevel"/>
    <w:lvl w:ilvl="0">
      <w:lvlJc w:val="left"/>
      <w:lvlText w:val="(%1)"/>
      <w:numFmt w:val="lowerLetter"/>
      <w:start w:val="2"/>
    </w:lvl>
  </w:abstractNum>
  <w:abstractNum w:abstractNumId="7">
    <w:nsid w:val="6A2342EC"/>
    <w:multiLevelType w:val="hybridMultilevel"/>
    <w:lvl w:ilvl="0">
      <w:lvlJc w:val="left"/>
      <w:lvlText w:val="(%1)"/>
      <w:numFmt w:val="lowerLetter"/>
      <w:start w:val="7"/>
    </w:lvl>
  </w:abstractNum>
  <w:abstractNum w:abstractNumId="8">
    <w:nsid w:val="2A487CB0"/>
    <w:multiLevelType w:val="hybridMultilevel"/>
    <w:lvl w:ilvl="0">
      <w:lvlJc w:val="left"/>
      <w:lvlText w:val="•"/>
      <w:numFmt w:val="bullet"/>
      <w:start w:val="1"/>
    </w:lvl>
  </w:abstractNum>
  <w:abstractNum w:abstractNumId="9">
    <w:nsid w:val="1D4ED43B"/>
    <w:multiLevelType w:val="hybridMultilevel"/>
    <w:lvl w:ilvl="0">
      <w:lvlJc w:val="left"/>
      <w:lvlText w:val="•"/>
      <w:numFmt w:val="bullet"/>
      <w:start w:val="1"/>
    </w:lvl>
  </w:abstractNum>
  <w:abstractNum w:abstractNumId="10">
    <w:nsid w:val="725A06FB"/>
    <w:multiLevelType w:val="hybridMultilevel"/>
    <w:lvl w:ilvl="0">
      <w:lvlJc w:val="left"/>
      <w:lvlText w:val="(%1)"/>
      <w:numFmt w:val="decimal"/>
      <w:start w:val="2"/>
    </w:lvl>
  </w:abstractNum>
  <w:abstractNum w:abstractNumId="11">
    <w:nsid w:val="2CD89A32"/>
    <w:multiLevelType w:val="hybridMultilevel"/>
    <w:lvl w:ilvl="0">
      <w:lvlJc w:val="left"/>
      <w:lvlText w:val="(%1)"/>
      <w:numFmt w:val="decimal"/>
      <w:start w:val="1"/>
    </w:lvl>
  </w:abstractNum>
  <w:abstractNum w:abstractNumId="12">
    <w:nsid w:val="57E4CCAF"/>
    <w:multiLevelType w:val="hybridMultilevel"/>
    <w:lvl w:ilvl="0">
      <w:lvlJc w:val="left"/>
      <w:lvlText w:val="(%1)"/>
      <w:numFmt w:val="decimal"/>
      <w:start w:val="4"/>
    </w:lvl>
  </w:abstractNum>
  <w:abstractNum w:abstractNumId="13">
    <w:nsid w:val="7A6D8D3C"/>
    <w:multiLevelType w:val="hybridMultilevel"/>
    <w:lvl w:ilvl="0">
      <w:lvlJc w:val="left"/>
      <w:lvlText w:val="(%1)"/>
      <w:numFmt w:val="decimal"/>
      <w:start w:val="1"/>
    </w:lvl>
  </w:abstractNum>
  <w:abstractNum w:abstractNumId="14">
    <w:nsid w:val="4B588F54"/>
    <w:multiLevelType w:val="hybridMultilevel"/>
    <w:lvl w:ilvl="0">
      <w:lvlJc w:val="left"/>
      <w:lvlText w:val="(%1)"/>
      <w:numFmt w:val="decimal"/>
      <w:start w:val="2"/>
    </w:lvl>
    <w:lvl w:ilvl="1">
      <w:lvlJc w:val="left"/>
      <w:lvlText w:val="(%2)"/>
      <w:numFmt w:val="lowerLetter"/>
      <w:start w:val="1"/>
    </w:lvl>
  </w:abstractNum>
  <w:abstractNum w:abstractNumId="15">
    <w:nsid w:val="542289EC"/>
    <w:multiLevelType w:val="hybridMultilevel"/>
    <w:lvl w:ilvl="0">
      <w:lvlJc w:val="left"/>
      <w:lvlText w:val="(%1)"/>
      <w:numFmt w:val="decimal"/>
      <w:start w:val="6"/>
    </w:lvl>
  </w:abstractNum>
  <w:abstractNum w:abstractNumId="16">
    <w:nsid w:val="6DE91B18"/>
    <w:multiLevelType w:val="hybridMultilevel"/>
    <w:lvl w:ilvl="0">
      <w:lvlJc w:val="left"/>
      <w:lvlText w:val="1"/>
      <w:numFmt w:val="bullet"/>
      <w:start w:val="1"/>
    </w:lvl>
  </w:abstractNum>
  <w:abstractNum w:abstractNumId="17">
    <w:nsid w:val="38437FDB"/>
    <w:multiLevelType w:val="hybridMultilevel"/>
    <w:lvl w:ilvl="0">
      <w:lvlJc w:val="left"/>
      <w:lvlText w:val="2"/>
      <w:numFmt w:val="bullet"/>
      <w:start w:val="1"/>
    </w:lvl>
  </w:abstractNum>
  <w:abstractNum w:abstractNumId="18">
    <w:nsid w:val="7644A45C"/>
    <w:multiLevelType w:val="hybridMultilevel"/>
    <w:lvl w:ilvl="0">
      <w:lvlJc w:val="left"/>
      <w:lvlText w:val="3"/>
      <w:numFmt w:val="bullet"/>
      <w:start w:val="1"/>
    </w:lvl>
  </w:abstractNum>
  <w:abstractNum w:abstractNumId="19">
    <w:nsid w:val="32FFF902"/>
    <w:multiLevelType w:val="hybridMultilevel"/>
    <w:lvl w:ilvl="0">
      <w:lvlJc w:val="left"/>
      <w:lvlText w:val="4"/>
      <w:numFmt w:val="bullet"/>
      <w:start w:val="1"/>
    </w:lvl>
  </w:abstractNum>
  <w:abstractNum w:abstractNumId="20">
    <w:nsid w:val="684A481A"/>
    <w:multiLevelType w:val="hybridMultilevel"/>
    <w:lvl w:ilvl="0">
      <w:lvlJc w:val="left"/>
      <w:lvlText w:val="5"/>
      <w:numFmt w:val="bullet"/>
      <w:start w:val="1"/>
    </w:lvl>
  </w:abstractNum>
  <w:abstractNum w:abstractNumId="21">
    <w:nsid w:val="579478FE"/>
    <w:multiLevelType w:val="hybridMultilevel"/>
    <w:lvl w:ilvl="0">
      <w:lvlJc w:val="left"/>
      <w:lvlText w:val="6"/>
      <w:numFmt w:val="bullet"/>
      <w:start w:val="1"/>
    </w:lvl>
  </w:abstractNum>
  <w:abstractNum w:abstractNumId="22">
    <w:nsid w:val="749ABB43"/>
    <w:multiLevelType w:val="hybridMultilevel"/>
    <w:lvl w:ilvl="0">
      <w:lvlJc w:val="left"/>
      <w:lvlText w:val="7"/>
      <w:numFmt w:val="bullet"/>
      <w:start w:val="1"/>
    </w:lvl>
  </w:abstractNum>
  <w:abstractNum w:abstractNumId="23">
    <w:nsid w:val="3DC240FB"/>
    <w:multiLevelType w:val="hybridMultilevel"/>
    <w:lvl w:ilvl="0">
      <w:lvlJc w:val="left"/>
      <w:lvlText w:val="8"/>
      <w:numFmt w:val="bullet"/>
      <w:start w:val="1"/>
    </w:lvl>
  </w:abstractNum>
  <w:abstractNum w:abstractNumId="24">
    <w:nsid w:val="1BA026FA"/>
    <w:multiLevelType w:val="hybridMultilevel"/>
    <w:lvl w:ilvl="0">
      <w:lvlJc w:val="left"/>
      <w:lvlText w:val="9"/>
      <w:numFmt w:val="bullet"/>
      <w:start w:val="1"/>
    </w:lvl>
  </w:abstractNum>
  <w:abstractNum w:abstractNumId="25">
    <w:nsid w:val="79A1DEAA"/>
    <w:multiLevelType w:val="hybridMultilevel"/>
    <w:lvl w:ilvl="0">
      <w:lvlJc w:val="left"/>
      <w:lvlText w:val="%1"/>
      <w:numFmt w:val="decimal"/>
      <w:start w:val="10"/>
    </w:lvl>
  </w:abstractNum>
  <w:abstractNum w:abstractNumId="26">
    <w:nsid w:val="75C6C33A"/>
    <w:multiLevelType w:val="hybridMultilevel"/>
    <w:lvl w:ilvl="0">
      <w:lvlJc w:val="left"/>
      <w:lvlText w:val="1"/>
      <w:numFmt w:val="bullet"/>
      <w:start w:val="1"/>
    </w:lvl>
  </w:abstractNum>
  <w:abstractNum w:abstractNumId="27">
    <w:nsid w:val="12E685FB"/>
    <w:multiLevelType w:val="hybridMultilevel"/>
    <w:lvl w:ilvl="0">
      <w:lvlJc w:val="left"/>
      <w:lvlText w:val="2"/>
      <w:numFmt w:val="bullet"/>
      <w:start w:val="1"/>
    </w:lvl>
  </w:abstractNum>
  <w:abstractNum w:abstractNumId="28">
    <w:nsid w:val="70C6A529"/>
    <w:multiLevelType w:val="hybridMultilevel"/>
    <w:lvl w:ilvl="0">
      <w:lvlJc w:val="left"/>
      <w:lvlText w:val="3"/>
      <w:numFmt w:val="bullet"/>
      <w:start w:val="1"/>
    </w:lvl>
  </w:abstractNum>
  <w:abstractNum w:abstractNumId="29">
    <w:nsid w:val="520EEDD1"/>
    <w:multiLevelType w:val="hybridMultilevel"/>
    <w:lvl w:ilvl="0">
      <w:lvlJc w:val="left"/>
      <w:lvlText w:val="4"/>
      <w:numFmt w:val="bullet"/>
      <w:start w:val="1"/>
    </w:lvl>
  </w:abstractNum>
  <w:abstractNum w:abstractNumId="30">
    <w:nsid w:val="374A3FE6"/>
    <w:multiLevelType w:val="hybridMultilevel"/>
    <w:lvl w:ilvl="0">
      <w:lvlJc w:val="left"/>
      <w:lvlText w:val="5"/>
      <w:numFmt w:val="bullet"/>
      <w:start w:val="1"/>
    </w:lvl>
  </w:abstractNum>
  <w:abstractNum w:abstractNumId="31">
    <w:nsid w:val="4F4EF005"/>
    <w:multiLevelType w:val="hybridMultilevel"/>
    <w:lvl w:ilvl="0">
      <w:lvlJc w:val="left"/>
      <w:lvlText w:val="6"/>
      <w:numFmt w:val="bullet"/>
      <w:start w:val="1"/>
    </w:lvl>
  </w:abstractNum>
  <w:abstractNum w:abstractNumId="32">
    <w:nsid w:val="23F9C13C"/>
    <w:multiLevelType w:val="hybridMultilevel"/>
    <w:lvl w:ilvl="0">
      <w:lvlJc w:val="left"/>
      <w:lvlText w:val="7"/>
      <w:numFmt w:val="bullet"/>
      <w:start w:val="1"/>
    </w:lvl>
  </w:abstractNum>
  <w:abstractNum w:abstractNumId="33">
    <w:nsid w:val="649BB77C"/>
    <w:multiLevelType w:val="hybridMultilevel"/>
    <w:lvl w:ilvl="0">
      <w:lvlJc w:val="left"/>
      <w:lvlText w:val="8"/>
      <w:numFmt w:val="bullet"/>
      <w:start w:val="1"/>
    </w:lvl>
  </w:abstractNum>
  <w:abstractNum w:abstractNumId="34">
    <w:nsid w:val="275AC794"/>
    <w:multiLevelType w:val="hybridMultilevel"/>
    <w:lvl w:ilvl="0">
      <w:lvlJc w:val="left"/>
      <w:lvlText w:val="9"/>
      <w:numFmt w:val="bullet"/>
      <w:start w:val="1"/>
    </w:lvl>
  </w:abstractNum>
  <w:abstractNum w:abstractNumId="35">
    <w:nsid w:val="39386575"/>
    <w:multiLevelType w:val="hybridMultilevel"/>
    <w:lvl w:ilvl="0">
      <w:lvlJc w:val="left"/>
      <w:lvlText w:val="%1"/>
      <w:numFmt w:val="decimal"/>
      <w:start w:val="10"/>
    </w:lvl>
  </w:abstractNum>
  <w:abstractNum w:abstractNumId="36">
    <w:nsid w:val="1CF10FD8"/>
    <w:multiLevelType w:val="hybridMultilevel"/>
    <w:lvl w:ilvl="0">
      <w:lvlJc w:val="left"/>
      <w:lvlText w:val="(%1)"/>
      <w:numFmt w:val="upperLetter"/>
      <w:start w:val="1"/>
    </w:lvl>
  </w:abstractNum>
  <w:abstractNum w:abstractNumId="37">
    <w:nsid w:val="180115BE"/>
    <w:multiLevelType w:val="hybridMultilevel"/>
    <w:lvl w:ilvl="0">
      <w:lvlJc w:val="left"/>
      <w:lvlText w:val="(%1)"/>
      <w:numFmt w:val="upperLetter"/>
      <w:start w:val="1"/>
    </w:lvl>
  </w:abstractNum>
  <w:abstractNum w:abstractNumId="38">
    <w:nsid w:val="235BA861"/>
    <w:multiLevelType w:val="hybridMultilevel"/>
    <w:lvl w:ilvl="0">
      <w:lvlJc w:val="left"/>
      <w:lvlText w:val="(%1)"/>
      <w:numFmt w:val="decimal"/>
      <w:start w:val="1"/>
    </w:lvl>
  </w:abstractNum>
  <w:abstractNum w:abstractNumId="39">
    <w:nsid w:val="47398C89"/>
    <w:multiLevelType w:val="hybridMultilevel"/>
    <w:lvl w:ilvl="0">
      <w:lvlJc w:val="left"/>
      <w:lvlText w:val="(%1)"/>
      <w:numFmt w:val="decimal"/>
      <w:start w:val="5"/>
    </w:lvl>
  </w:abstractNum>
  <w:abstractNum w:abstractNumId="40">
    <w:nsid w:val="354FE9F9"/>
    <w:multiLevelType w:val="hybridMultilevel"/>
    <w:lvl w:ilvl="0">
      <w:lvlJc w:val="left"/>
      <w:lvlText w:val="(%1)"/>
      <w:numFmt w:val="decimal"/>
      <w:start w:val="1"/>
    </w:lvl>
  </w:abstractNum>
  <w:abstractNum w:abstractNumId="41">
    <w:nsid w:val="15B5AF5C"/>
    <w:multiLevelType w:val="hybridMultilevel"/>
    <w:lvl w:ilvl="0">
      <w:lvlJc w:val="left"/>
      <w:lvlText w:val="-"/>
      <w:numFmt w:val="bullet"/>
      <w:start w:val="1"/>
    </w:lvl>
  </w:abstractNum>
  <w:abstractNum w:abstractNumId="42">
    <w:nsid w:val="741226BB"/>
    <w:multiLevelType w:val="hybridMultilevel"/>
    <w:lvl w:ilvl="0">
      <w:lvlJc w:val="left"/>
      <w:lvlText w:val="-"/>
      <w:numFmt w:val="bullet"/>
      <w:start w:val="1"/>
    </w:lvl>
  </w:abstractNum>
  <w:abstractNum w:abstractNumId="43">
    <w:nsid w:val="D34B6A8"/>
    <w:multiLevelType w:val="hybridMultilevel"/>
    <w:lvl w:ilvl="0">
      <w:lvlJc w:val="left"/>
      <w:lvlText w:val="(%1)"/>
      <w:numFmt w:val="decimal"/>
      <w:start w:val="1"/>
    </w:lvl>
  </w:abstractNum>
  <w:abstractNum w:abstractNumId="44">
    <w:nsid w:val="10233C99"/>
    <w:multiLevelType w:val="hybridMultilevel"/>
    <w:lvl w:ilvl="0">
      <w:lvlJc w:val="left"/>
      <w:lvlText w:val="(%1)"/>
      <w:numFmt w:val="decimal"/>
      <w:start w:val="914"/>
    </w:lvl>
  </w:abstractNum>
  <w:abstractNum w:abstractNumId="45">
    <w:nsid w:val="3F6AB60F"/>
    <w:multiLevelType w:val="hybridMultilevel"/>
    <w:lvl w:ilvl="0">
      <w:lvlJc w:val="left"/>
      <w:lvlText w:val="•"/>
      <w:numFmt w:val="bullet"/>
      <w:start w:val="1"/>
    </w:lvl>
  </w:abstractNum>
  <w:abstractNum w:abstractNumId="46">
    <w:nsid w:val="61574095"/>
    <w:multiLevelType w:val="hybridMultilevel"/>
    <w:lvl w:ilvl="0">
      <w:lvlJc w:val="left"/>
      <w:lvlText w:val="%1."/>
      <w:numFmt w:val="decimal"/>
      <w:start w:val="1"/>
    </w:lvl>
  </w:abstractNum>
  <w:abstractNum w:abstractNumId="47">
    <w:nsid w:val="7E0C57B1"/>
    <w:multiLevelType w:val="hybridMultilevel"/>
    <w:lvl w:ilvl="0">
      <w:lvlJc w:val="left"/>
      <w:lvlText w:val="%1."/>
      <w:numFmt w:val="decimal"/>
      <w:start w:val="1"/>
    </w:lvl>
  </w:abstractNum>
  <w:abstractNum w:abstractNumId="48">
    <w:nsid w:val="77AE35EB"/>
    <w:multiLevelType w:val="hybridMultilevel"/>
    <w:lvl w:ilvl="0">
      <w:lvlJc w:val="left"/>
      <w:lvlText w:val="*"/>
      <w:numFmt w:val="bullet"/>
      <w:start w:val="1"/>
    </w:lvl>
  </w:abstractNum>
  <w:abstractNum w:abstractNumId="49">
    <w:nsid w:val="579BE4F1"/>
    <w:multiLevelType w:val="hybridMultilevel"/>
    <w:lvl w:ilvl="0">
      <w:lvlJc w:val="left"/>
      <w:lvlText w:val="**"/>
      <w:numFmt w:val="bullet"/>
      <w:start w:val="1"/>
    </w:lvl>
  </w:abstractNum>
  <w:abstractNum w:abstractNumId="50">
    <w:nsid w:val="310C50B3"/>
    <w:multiLevelType w:val="hybridMultilevel"/>
    <w:lvl w:ilvl="0">
      <w:lvlJc w:val="left"/>
      <w:lvlText w:val="***"/>
      <w:numFmt w:val="bullet"/>
      <w:start w:val="1"/>
    </w:lvl>
  </w:abstractNum>
  <w:abstractNum w:abstractNumId="51">
    <w:nsid w:val="5FF87E05"/>
    <w:multiLevelType w:val="hybridMultilevel"/>
    <w:lvl w:ilvl="0">
      <w:lvlJc w:val="left"/>
      <w:lvlText w:val="%1."/>
      <w:numFmt w:val="decimal"/>
      <w:start w:val="1"/>
    </w:lvl>
  </w:abstractNum>
  <w:abstractNum w:abstractNumId="52">
    <w:nsid w:val="2F305DEF"/>
    <w:multiLevelType w:val="hybridMultilevel"/>
    <w:lvl w:ilvl="0">
      <w:lvlJc w:val="left"/>
      <w:lvlText w:val="%1"/>
      <w:numFmt w:val="decimal"/>
      <w:start w:val="1"/>
    </w:lvl>
    <w:lvl w:ilvl="1">
      <w:lvlJc w:val="left"/>
      <w:lvlText w:val="(%2)"/>
      <w:numFmt w:val="lowerLetter"/>
      <w:start w:val="2"/>
    </w:lvl>
  </w:abstractNum>
  <w:abstractNum w:abstractNumId="53">
    <w:nsid w:val="25A70BF7"/>
    <w:multiLevelType w:val="hybridMultilevel"/>
    <w:lvl w:ilvl="0">
      <w:lvlJc w:val="left"/>
      <w:lvlText w:val="2"/>
      <w:numFmt w:val="bullet"/>
      <w:start w:val="1"/>
    </w:lvl>
  </w:abstractNum>
  <w:abstractNum w:abstractNumId="54">
    <w:nsid w:val="1DBABF00"/>
    <w:multiLevelType w:val="hybridMultilevel"/>
    <w:lvl w:ilvl="0">
      <w:lvlJc w:val="left"/>
      <w:lvlText w:val="(%1)"/>
      <w:numFmt w:val="lowerLetter"/>
      <w:start w:val="3"/>
    </w:lvl>
  </w:abstractNum>
  <w:abstractNum w:abstractNumId="55">
    <w:nsid w:val="4AD084E9"/>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56">
    <w:nsid w:val="1F48EAA1"/>
    <w:multiLevelType w:val="hybridMultilevel"/>
    <w:lvl w:ilvl="0">
      <w:lvlJc w:val="left"/>
      <w:lvlText w:val="(%1)"/>
      <w:numFmt w:val="lowerLetter"/>
      <w:start w:val="9"/>
    </w:lvl>
    <w:lvl w:ilvl="1">
      <w:lvlJc w:val="left"/>
      <w:lvlText w:val="%2."/>
      <w:numFmt w:val="decimal"/>
      <w:start w:val="3"/>
    </w:lvl>
    <w:lvl w:ilvl="2">
      <w:lvlJc w:val="left"/>
      <w:lvlText w:val="(%3)"/>
      <w:numFmt w:val="lowerLetter"/>
      <w:start w:val="2"/>
    </w:lvl>
  </w:abstractNum>
  <w:abstractNum w:abstractNumId="57">
    <w:nsid w:val="1381823A"/>
    <w:multiLevelType w:val="hybridMultilevel"/>
    <w:lvl w:ilvl="0">
      <w:lvlJc w:val="left"/>
      <w:lvlText w:val="%1."/>
      <w:numFmt w:val="decimal"/>
      <w:start w:val="6"/>
    </w:lvl>
  </w:abstractNum>
  <w:abstractNum w:abstractNumId="58">
    <w:nsid w:val="5DB70AE5"/>
    <w:multiLevelType w:val="hybridMultilevel"/>
    <w:lvl w:ilvl="0">
      <w:lvlJc w:val="left"/>
      <w:lvlText w:val="*"/>
      <w:numFmt w:val="bullet"/>
      <w:start w:val="1"/>
    </w:lvl>
  </w:abstractNum>
  <w:abstractNum w:abstractNumId="59">
    <w:nsid w:val="100F8FCA"/>
    <w:multiLevelType w:val="hybridMultilevel"/>
    <w:lvl w:ilvl="0">
      <w:lvlJc w:val="left"/>
      <w:lvlText w:val="**"/>
      <w:numFmt w:val="bullet"/>
      <w:start w:val="1"/>
    </w:lvl>
  </w:abstractNum>
  <w:abstractNum w:abstractNumId="60">
    <w:nsid w:val="6590700B"/>
    <w:multiLevelType w:val="hybridMultilevel"/>
    <w:lvl w:ilvl="0">
      <w:lvlJc w:val="left"/>
      <w:lvlText w:val="***"/>
      <w:numFmt w:val="bullet"/>
      <w:start w:val="1"/>
    </w:lvl>
  </w:abstractNum>
  <w:abstractNum w:abstractNumId="61">
    <w:nsid w:val="15014ACB"/>
    <w:multiLevelType w:val="hybridMultilevel"/>
    <w:lvl w:ilvl="0">
      <w:lvlJc w:val="left"/>
      <w:lvlText w:val="%1."/>
      <w:numFmt w:val="decimal"/>
      <w:start w:val="1"/>
    </w:lvl>
  </w:abstractNum>
  <w:abstractNum w:abstractNumId="62">
    <w:nsid w:val="5F5E7FD0"/>
    <w:multiLevelType w:val="hybridMultilevel"/>
    <w:lvl w:ilvl="0">
      <w:lvlJc w:val="left"/>
      <w:lvlText w:val="%1"/>
      <w:numFmt w:val="decimal"/>
      <w:start w:val="1"/>
    </w:lvl>
    <w:lvl w:ilvl="1">
      <w:lvlJc w:val="left"/>
      <w:lvlText w:val="(%2)"/>
      <w:numFmt w:val="lowerLetter"/>
      <w:start w:val="2"/>
    </w:lvl>
  </w:abstractNum>
  <w:abstractNum w:abstractNumId="63">
    <w:nsid w:val="98A3148"/>
    <w:multiLevelType w:val="hybridMultilevel"/>
    <w:lvl w:ilvl="0">
      <w:lvlJc w:val="left"/>
      <w:lvlText w:val="2"/>
      <w:numFmt w:val="bullet"/>
      <w:start w:val="1"/>
    </w:lvl>
  </w:abstractNum>
  <w:abstractNum w:abstractNumId="64">
    <w:nsid w:val="799D0247"/>
    <w:multiLevelType w:val="hybridMultilevel"/>
    <w:lvl w:ilvl="0">
      <w:lvlJc w:val="left"/>
      <w:lvlText w:val="(%1)"/>
      <w:numFmt w:val="lowerLetter"/>
      <w:start w:val="3"/>
    </w:lvl>
  </w:abstractNum>
  <w:abstractNum w:abstractNumId="65">
    <w:nsid w:val="6B94764"/>
    <w:multiLevelType w:val="hybridMultilevel"/>
    <w:lvl w:ilvl="0">
      <w:lvlJc w:val="left"/>
      <w:lvlText w:val="%1"/>
      <w:numFmt w:val="upperLetter"/>
      <w:start w:val="1"/>
    </w:lvl>
    <w:lvl w:ilvl="1">
      <w:lvlJc w:val="left"/>
      <w:lvlText w:val="%2."/>
      <w:numFmt w:val="decimal"/>
      <w:start w:val="3"/>
    </w:lvl>
  </w:abstractNum>
  <w:abstractNum w:abstractNumId="66">
    <w:nsid w:val="42C296BD"/>
    <w:multiLevelType w:val="hybridMultilevel"/>
    <w:lvl w:ilvl="0">
      <w:lvlJc w:val="left"/>
      <w:lvlText w:val="(%1)"/>
      <w:numFmt w:val="upperLetter"/>
      <w:start w:val="4"/>
    </w:lvl>
    <w:lvl w:ilvl="1">
      <w:lvlJc w:val="left"/>
      <w:lvlText w:val="%2"/>
      <w:numFmt w:val="decimal"/>
      <w:start w:val="1"/>
    </w:lvl>
  </w:abstractNum>
  <w:abstractNum w:abstractNumId="67">
    <w:nsid w:val="168E121F"/>
    <w:multiLevelType w:val="hybridMultilevel"/>
    <w:lvl w:ilvl="0">
      <w:lvlJc w:val="left"/>
      <w:lvlText w:val="(%1)"/>
      <w:numFmt w:val="lowerLetter"/>
      <w:start w:val="2"/>
    </w:lvl>
  </w:abstractNum>
  <w:abstractNum w:abstractNumId="68">
    <w:nsid w:val="1EBA5D23"/>
    <w:multiLevelType w:val="hybridMultilevel"/>
    <w:lvl w:ilvl="0">
      <w:lvlJc w:val="left"/>
      <w:lvlText w:val="%1."/>
      <w:numFmt w:val="decimal"/>
      <w:start w:val="4"/>
    </w:lvl>
  </w:abstractNum>
  <w:abstractNum w:abstractNumId="69">
    <w:nsid w:val="661E3F1E"/>
    <w:multiLevelType w:val="hybridMultilevel"/>
    <w:lvl w:ilvl="0">
      <w:lvlJc w:val="left"/>
      <w:lvlText w:val="*"/>
      <w:numFmt w:val="bullet"/>
      <w:start w:val="1"/>
    </w:lvl>
  </w:abstractNum>
  <w:abstractNum w:abstractNumId="70">
    <w:nsid w:val="5DC79EA8"/>
    <w:multiLevelType w:val="hybridMultilevel"/>
    <w:lvl w:ilvl="0">
      <w:lvlJc w:val="left"/>
      <w:lvlText w:val="%1."/>
      <w:numFmt w:val="decimal"/>
      <w:start w:val="1"/>
    </w:lvl>
  </w:abstractNum>
  <w:abstractNum w:abstractNumId="71">
    <w:nsid w:val="540A471C"/>
    <w:multiLevelType w:val="hybridMultilevel"/>
    <w:lvl w:ilvl="0">
      <w:lvlJc w:val="left"/>
      <w:lvlText w:val="(%1)"/>
      <w:numFmt w:val="lowerLetter"/>
      <w:start w:val="2"/>
    </w:lvl>
  </w:abstractNum>
  <w:abstractNum w:abstractNumId="72">
    <w:nsid w:val="7BD3EE7B"/>
    <w:multiLevelType w:val="hybridMultilevel"/>
    <w:lvl w:ilvl="0">
      <w:lvlJc w:val="left"/>
      <w:lvlText w:val="1"/>
      <w:numFmt w:val="bullet"/>
      <w:start w:val="1"/>
    </w:lvl>
  </w:abstractNum>
  <w:abstractNum w:abstractNumId="73">
    <w:nsid w:val="51D9C564"/>
    <w:multiLevelType w:val="hybridMultilevel"/>
    <w:lvl w:ilvl="0">
      <w:lvlJc w:val="left"/>
      <w:lvlText w:val="(%1)"/>
      <w:numFmt w:val="lowerLetter"/>
      <w:start w:val="4"/>
    </w:lvl>
  </w:abstractNum>
  <w:abstractNum w:abstractNumId="74">
    <w:nsid w:val="613EFDC5"/>
    <w:multiLevelType w:val="hybridMultilevel"/>
    <w:lvl w:ilvl="0">
      <w:lvlJc w:val="left"/>
      <w:lvlText w:val="%1."/>
      <w:numFmt w:val="decimal"/>
      <w:start w:val="3"/>
    </w:lvl>
  </w:abstractNum>
  <w:abstractNum w:abstractNumId="75">
    <w:nsid w:val="BF72B14"/>
    <w:multiLevelType w:val="hybridMultilevel"/>
    <w:lvl w:ilvl="0">
      <w:lvlJc w:val="left"/>
      <w:lvlText w:val="(%1)"/>
      <w:numFmt w:val="lowerLetter"/>
      <w:start w:val="2"/>
    </w:lvl>
  </w:abstractNum>
  <w:abstractNum w:abstractNumId="76">
    <w:nsid w:val="11447B73"/>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2019-12-11T21:51:54Z</dcterms:created>
  <dcterms:modified xsi:type="dcterms:W3CDTF">2019-12-11T21:51:54Z</dcterms:modified>
</cp:coreProperties>
</file>