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9"/>
        <w:spacing w:after="0"/>
        <w:rPr>
          <w:sz w:val="20"/>
          <w:szCs w:val="20"/>
          <w:color w:val="auto"/>
        </w:rPr>
      </w:pPr>
      <w:r>
        <w:rPr>
          <w:rFonts w:ascii="Arial" w:cs="Arial" w:eastAsia="Arial" w:hAnsi="Arial"/>
          <w:sz w:val="12"/>
          <w:szCs w:val="12"/>
          <w:b w:val="1"/>
          <w:bCs w:val="1"/>
          <w:color w:val="auto"/>
        </w:rPr>
        <w:t>Washington, D.C. 20549</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w:t>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Proxy Statement Pursuant to Section 14(a) of</w:t>
      </w:r>
    </w:p>
    <w:p>
      <w:pPr>
        <w:spacing w:after="0" w:line="19" w:lineRule="exact"/>
        <w:rPr>
          <w:sz w:val="24"/>
          <w:szCs w:val="24"/>
          <w:color w:val="auto"/>
        </w:rPr>
      </w:pPr>
    </w:p>
    <w:p>
      <w:pPr>
        <w:jc w:val="center"/>
        <w:ind w:right="-39"/>
        <w:spacing w:after="0"/>
        <w:tabs>
          <w:tab w:leader="none" w:pos="140" w:val="left"/>
        </w:tabs>
        <w:rPr>
          <w:sz w:val="20"/>
          <w:szCs w:val="20"/>
          <w:color w:val="auto"/>
        </w:rPr>
      </w:pPr>
      <w:r>
        <w:rPr>
          <w:rFonts w:ascii="Arial" w:cs="Arial" w:eastAsia="Arial" w:hAnsi="Arial"/>
          <w:sz w:val="11"/>
          <w:szCs w:val="11"/>
          <w:b w:val="1"/>
          <w:bCs w:val="1"/>
          <w:color w:val="auto"/>
        </w:rPr>
        <w:t>the Securities Exchange Act of 1934 (Amendment No.</w:t>
      </w:r>
      <w:r>
        <w:rPr>
          <w:sz w:val="20"/>
          <w:szCs w:val="20"/>
          <w:color w:val="auto"/>
        </w:rPr>
        <w:tab/>
      </w:r>
      <w:r>
        <w:rPr>
          <w:rFonts w:ascii="Arial" w:cs="Arial" w:eastAsia="Arial" w:hAnsi="Arial"/>
          <w:sz w:val="12"/>
          <w:szCs w:val="12"/>
          <w:b w:val="1"/>
          <w:bCs w:val="1"/>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2"/>
          <w:szCs w:val="12"/>
          <w:color w:val="auto"/>
        </w:rPr>
        <w:t>Filed by the Registrant x</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Filed by a Party other than the Registrant o</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w:t>
      </w:r>
    </w:p>
    <w:p>
      <w:pPr>
        <w:spacing w:after="0" w:line="15"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Preliminary Proxy Statement</w:t>
      </w:r>
    </w:p>
    <w:p>
      <w:pPr>
        <w:spacing w:after="0" w:line="6" w:lineRule="exact"/>
        <w:rPr>
          <w:rFonts w:ascii="Arial" w:cs="Arial" w:eastAsia="Arial" w:hAnsi="Arial"/>
          <w:sz w:val="12"/>
          <w:szCs w:val="12"/>
          <w:color w:val="auto"/>
        </w:rPr>
      </w:pPr>
    </w:p>
    <w:p>
      <w:pPr>
        <w:ind w:left="580" w:hanging="580"/>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6" w:lineRule="exact"/>
        <w:rPr>
          <w:rFonts w:ascii="Arial" w:cs="Arial" w:eastAsia="Arial" w:hAnsi="Arial"/>
          <w:sz w:val="12"/>
          <w:szCs w:val="12"/>
          <w:color w:val="auto"/>
        </w:rPr>
      </w:pPr>
    </w:p>
    <w:p>
      <w:pPr>
        <w:ind w:left="580" w:hanging="580"/>
        <w:spacing w:after="0"/>
        <w:tabs>
          <w:tab w:leader="none" w:pos="580" w:val="left"/>
        </w:tabs>
        <w:numPr>
          <w:ilvl w:val="0"/>
          <w:numId w:val="1"/>
        </w:numPr>
        <w:rPr>
          <w:rFonts w:ascii="Arial" w:cs="Arial" w:eastAsia="Arial" w:hAnsi="Arial"/>
          <w:sz w:val="12"/>
          <w:szCs w:val="12"/>
          <w:color w:val="auto"/>
        </w:rPr>
      </w:pPr>
      <w:r>
        <w:rPr>
          <w:rFonts w:ascii="Arial" w:cs="Arial" w:eastAsia="Arial" w:hAnsi="Arial"/>
          <w:sz w:val="12"/>
          <w:szCs w:val="12"/>
          <w:color w:val="auto"/>
        </w:rPr>
        <w:t>Definitive Proxy Statement</w:t>
      </w:r>
    </w:p>
    <w:p>
      <w:pPr>
        <w:spacing w:after="0" w:line="6"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Definitive Additional Materials</w:t>
      </w:r>
    </w:p>
    <w:p>
      <w:pPr>
        <w:spacing w:after="0" w:line="6"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Soliciting Material under §240.14a-12</w:t>
      </w:r>
    </w:p>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189230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150" w:lineRule="exact"/>
        <w:rPr>
          <w:sz w:val="24"/>
          <w:szCs w:val="24"/>
          <w:color w:val="auto"/>
        </w:rPr>
      </w:pPr>
    </w:p>
    <w:p>
      <w:pPr>
        <w:spacing w:after="0"/>
        <w:rPr>
          <w:sz w:val="20"/>
          <w:szCs w:val="20"/>
          <w:color w:val="auto"/>
        </w:rPr>
      </w:pPr>
      <w:r>
        <w:rPr>
          <w:rFonts w:ascii="Arial" w:cs="Arial" w:eastAsia="Arial" w:hAnsi="Arial"/>
          <w:sz w:val="12"/>
          <w:szCs w:val="12"/>
          <w:color w:val="auto"/>
        </w:rPr>
        <w:t>Payment of Filing Fee (Check the appropriate box):</w:t>
      </w:r>
    </w:p>
    <w:p>
      <w:pPr>
        <w:spacing w:after="0" w:line="15"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 fee required.</w:t>
      </w:r>
    </w:p>
    <w:p>
      <w:pPr>
        <w:spacing w:after="0" w:line="6"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computed on table below per Exchange Act Rules 14a-6(i)(1) and 0-11.</w:t>
      </w:r>
    </w:p>
    <w:p>
      <w:pPr>
        <w:spacing w:after="0" w:line="6" w:lineRule="exact"/>
        <w:rPr>
          <w:rFonts w:ascii="Arial" w:cs="Arial" w:eastAsia="Arial" w:hAnsi="Arial"/>
          <w:sz w:val="12"/>
          <w:szCs w:val="12"/>
          <w:color w:val="auto"/>
        </w:rPr>
      </w:pPr>
    </w:p>
    <w:p>
      <w:pPr>
        <w:ind w:left="1120" w:hanging="534"/>
        <w:spacing w:after="0"/>
        <w:tabs>
          <w:tab w:leader="none" w:pos="112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150" w:lineRule="exact"/>
        <w:rPr>
          <w:rFonts w:ascii="Arial" w:cs="Arial" w:eastAsia="Arial" w:hAnsi="Arial"/>
          <w:sz w:val="12"/>
          <w:szCs w:val="12"/>
          <w:color w:val="auto"/>
        </w:rPr>
      </w:pPr>
    </w:p>
    <w:p>
      <w:pPr>
        <w:ind w:left="1120" w:hanging="534"/>
        <w:spacing w:after="0"/>
        <w:tabs>
          <w:tab w:leader="none" w:pos="112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159" w:lineRule="exact"/>
        <w:rPr>
          <w:rFonts w:ascii="Arial" w:cs="Arial" w:eastAsia="Arial" w:hAnsi="Arial"/>
          <w:sz w:val="12"/>
          <w:szCs w:val="12"/>
          <w:color w:val="auto"/>
        </w:rPr>
      </w:pPr>
    </w:p>
    <w:p>
      <w:pPr>
        <w:ind w:left="1120" w:hanging="534"/>
        <w:spacing w:after="0"/>
        <w:tabs>
          <w:tab w:leader="none" w:pos="11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59" w:lineRule="exact"/>
        <w:rPr>
          <w:rFonts w:ascii="Arial" w:cs="Arial" w:eastAsia="Arial" w:hAnsi="Arial"/>
          <w:sz w:val="12"/>
          <w:szCs w:val="12"/>
          <w:color w:val="auto"/>
        </w:rPr>
      </w:pPr>
    </w:p>
    <w:p>
      <w:pPr>
        <w:ind w:left="1120" w:hanging="534"/>
        <w:spacing w:after="0"/>
        <w:tabs>
          <w:tab w:leader="none" w:pos="112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159" w:lineRule="exact"/>
        <w:rPr>
          <w:rFonts w:ascii="Arial" w:cs="Arial" w:eastAsia="Arial" w:hAnsi="Arial"/>
          <w:sz w:val="12"/>
          <w:szCs w:val="12"/>
          <w:color w:val="auto"/>
        </w:rPr>
      </w:pPr>
    </w:p>
    <w:p>
      <w:pPr>
        <w:ind w:left="1120" w:hanging="534"/>
        <w:spacing w:after="0"/>
        <w:tabs>
          <w:tab w:leader="none" w:pos="112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150" w:lineRule="exact"/>
        <w:rPr>
          <w:rFonts w:ascii="Arial" w:cs="Arial" w:eastAsia="Arial" w:hAnsi="Arial"/>
          <w:sz w:val="12"/>
          <w:szCs w:val="12"/>
          <w:color w:val="auto"/>
        </w:rPr>
      </w:pPr>
    </w:p>
    <w:p>
      <w:pPr>
        <w:ind w:left="580" w:hanging="580"/>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Fee paid previously with preliminary materials.</w:t>
      </w:r>
    </w:p>
    <w:p>
      <w:pPr>
        <w:spacing w:after="0" w:line="14" w:lineRule="exact"/>
        <w:rPr>
          <w:rFonts w:ascii="Arial" w:cs="Arial" w:eastAsia="Arial" w:hAnsi="Arial"/>
          <w:sz w:val="12"/>
          <w:szCs w:val="12"/>
          <w:color w:val="auto"/>
        </w:rPr>
      </w:pPr>
    </w:p>
    <w:p>
      <w:pPr>
        <w:ind w:left="580" w:hanging="580"/>
        <w:spacing w:after="0" w:line="250"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14"/>
        <w:spacing w:after="0"/>
        <w:tabs>
          <w:tab w:leader="none" w:pos="110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150" w:lineRule="exact"/>
        <w:rPr>
          <w:rFonts w:ascii="Arial" w:cs="Arial" w:eastAsia="Arial" w:hAnsi="Arial"/>
          <w:sz w:val="12"/>
          <w:szCs w:val="12"/>
          <w:color w:val="auto"/>
        </w:rPr>
      </w:pPr>
    </w:p>
    <w:p>
      <w:pPr>
        <w:ind w:left="1100" w:hanging="514"/>
        <w:spacing w:after="0"/>
        <w:tabs>
          <w:tab w:leader="none" w:pos="110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159" w:lineRule="exact"/>
        <w:rPr>
          <w:rFonts w:ascii="Arial" w:cs="Arial" w:eastAsia="Arial" w:hAnsi="Arial"/>
          <w:sz w:val="12"/>
          <w:szCs w:val="12"/>
          <w:color w:val="auto"/>
        </w:rPr>
      </w:pPr>
    </w:p>
    <w:p>
      <w:pPr>
        <w:ind w:left="1100" w:hanging="514"/>
        <w:spacing w:after="0"/>
        <w:tabs>
          <w:tab w:leader="none" w:pos="110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159" w:lineRule="exact"/>
        <w:rPr>
          <w:rFonts w:ascii="Arial" w:cs="Arial" w:eastAsia="Arial" w:hAnsi="Arial"/>
          <w:sz w:val="12"/>
          <w:szCs w:val="12"/>
          <w:color w:val="auto"/>
        </w:rPr>
      </w:pPr>
    </w:p>
    <w:p>
      <w:pPr>
        <w:ind w:left="1100" w:hanging="514"/>
        <w:spacing w:after="0"/>
        <w:tabs>
          <w:tab w:leader="none" w:pos="110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-1677035</wp:posOffset>
            </wp:positionV>
            <wp:extent cx="7336155" cy="7366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6155" cy="7366635"/>
                    </a:xfrm>
                    <a:prstGeom prst="rect">
                      <a:avLst/>
                    </a:prstGeom>
                    <a:noFill/>
                  </pic:spPr>
                </pic:pic>
              </a:graphicData>
            </a:graphic>
          </wp:anchor>
        </w:drawing>
      </w:r>
    </w:p>
    <w:p>
      <w:pPr>
        <w:sectPr>
          <w:pgSz w:w="11900" w:h="16838" w:orient="portrait"/>
          <w:cols w:equalWidth="0" w:num="1">
            <w:col w:w="11420"/>
          </w:cols>
          <w:pgMar w:left="220" w:top="341"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288925</wp:posOffset>
            </wp:positionV>
            <wp:extent cx="7332980" cy="518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332980" cy="5181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181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332980" cy="5181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5181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332980" cy="51816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2019-12-05T21:11:18Z</dcterms:created>
  <dcterms:modified xsi:type="dcterms:W3CDTF">2019-12-05T21:11:18Z</dcterms:modified>
</cp:coreProperties>
</file>