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9</w:t>
      </w:r>
    </w:p>
    <w:p>
      <w:pPr>
        <w:spacing w:after="0" w:line="238" w:lineRule="auto"/>
        <w:rPr>
          <w:sz w:val="20"/>
          <w:szCs w:val="20"/>
          <w:color w:val="auto"/>
        </w:rPr>
      </w:pPr>
      <w:r>
        <w:rPr>
          <w:rFonts w:ascii="Courier New" w:cs="Courier New" w:eastAsia="Courier New" w:hAnsi="Courier New"/>
          <w:sz w:val="18"/>
          <w:szCs w:val="18"/>
          <w:color w:val="auto"/>
        </w:rPr>
        <w:t>Regeneron Pharmaceuticals Incorporated</w:t>
      </w:r>
    </w:p>
    <w:p>
      <w:pPr>
        <w:spacing w:after="0"/>
        <w:rPr>
          <w:sz w:val="20"/>
          <w:szCs w:val="20"/>
          <w:color w:val="auto"/>
        </w:rPr>
      </w:pPr>
      <w:r>
        <w:rPr>
          <w:rFonts w:ascii="Courier New" w:cs="Courier New" w:eastAsia="Courier New" w:hAnsi="Courier New"/>
          <w:sz w:val="18"/>
          <w:szCs w:val="18"/>
          <w:color w:val="auto"/>
        </w:rPr>
        <w:t>Common Stock</w:t>
      </w:r>
    </w:p>
    <w:p>
      <w:pPr>
        <w:spacing w:after="0" w:line="237" w:lineRule="auto"/>
        <w:rPr>
          <w:sz w:val="20"/>
          <w:szCs w:val="20"/>
          <w:color w:val="auto"/>
        </w:rPr>
      </w:pPr>
      <w:r>
        <w:rPr>
          <w:rFonts w:ascii="Courier New" w:cs="Courier New" w:eastAsia="Courier New" w:hAnsi="Courier New"/>
          <w:sz w:val="18"/>
          <w:szCs w:val="18"/>
          <w:color w:val="auto"/>
        </w:rPr>
        <w:t>Cusip #75886F107</w:t>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#75886F107</w:t>
      </w:r>
    </w:p>
    <w:p>
      <w:pPr>
        <w:spacing w:after="0" w:line="238" w:lineRule="auto"/>
        <w:rPr>
          <w:sz w:val="20"/>
          <w:szCs w:val="20"/>
          <w:color w:val="auto"/>
        </w:rPr>
      </w:pPr>
      <w:r>
        <w:rPr>
          <w:rFonts w:ascii="Courier New" w:cs="Courier New" w:eastAsia="Courier New" w:hAnsi="Courier New"/>
          <w:sz w:val="18"/>
          <w:szCs w:val="18"/>
          <w:color w:val="auto"/>
        </w:rPr>
        <w:t>Item 1: Reporting Person - FMR LLC</w:t>
      </w:r>
    </w:p>
    <w:p>
      <w:pPr>
        <w:spacing w:after="0"/>
        <w:rPr>
          <w:sz w:val="20"/>
          <w:szCs w:val="20"/>
          <w:color w:val="auto"/>
        </w:rPr>
      </w:pPr>
      <w:r>
        <w:rPr>
          <w:rFonts w:ascii="Courier New" w:cs="Courier New" w:eastAsia="Courier New" w:hAnsi="Courier New"/>
          <w:sz w:val="18"/>
          <w:szCs w:val="18"/>
          <w:color w:val="auto"/>
        </w:rPr>
        <w:t>Item 4: Delaware</w:t>
      </w:r>
    </w:p>
    <w:p>
      <w:pPr>
        <w:spacing w:after="0" w:line="237" w:lineRule="auto"/>
        <w:rPr>
          <w:sz w:val="20"/>
          <w:szCs w:val="20"/>
          <w:color w:val="auto"/>
        </w:rPr>
      </w:pPr>
      <w:r>
        <w:rPr>
          <w:rFonts w:ascii="Courier New" w:cs="Courier New" w:eastAsia="Courier New" w:hAnsi="Courier New"/>
          <w:sz w:val="18"/>
          <w:szCs w:val="18"/>
          <w:color w:val="auto"/>
        </w:rPr>
        <w:t>Item 5: 2,200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2,709,691</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2,709,691</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040" w:type="dxa"/>
            <w:vAlign w:val="bottom"/>
          </w:tcPr>
          <w:p>
            <w:pPr>
              <w:jc w:val="right"/>
              <w:spacing w:after="0" w:line="202" w:lineRule="exact"/>
              <w:rPr>
                <w:sz w:val="20"/>
                <w:szCs w:val="20"/>
                <w:color w:val="auto"/>
              </w:rPr>
            </w:pPr>
            <w:r>
              <w:rPr>
                <w:rFonts w:ascii="Courier New" w:cs="Courier New" w:eastAsia="Courier New" w:hAnsi="Courier New"/>
                <w:sz w:val="18"/>
                <w:szCs w:val="18"/>
                <w:color w:val="auto"/>
              </w:rPr>
              <w:t>3.477%</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HC</w:t>
            </w:r>
          </w:p>
        </w:tc>
      </w:tr>
    </w:tbl>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#75886F107</w:t>
      </w:r>
    </w:p>
    <w:p>
      <w:pPr>
        <w:spacing w:after="0" w:line="238" w:lineRule="auto"/>
        <w:rPr>
          <w:sz w:val="20"/>
          <w:szCs w:val="20"/>
          <w:color w:val="auto"/>
        </w:rPr>
      </w:pPr>
      <w:r>
        <w:rPr>
          <w:rFonts w:ascii="Courier New" w:cs="Courier New" w:eastAsia="Courier New" w:hAnsi="Courier New"/>
          <w:sz w:val="18"/>
          <w:szCs w:val="18"/>
          <w:color w:val="auto"/>
        </w:rPr>
        <w:t>Item 1: Reporting Person - Edward C. Johnson 3d</w:t>
      </w:r>
    </w:p>
    <w:p>
      <w:pPr>
        <w:spacing w:after="0"/>
        <w:rPr>
          <w:sz w:val="20"/>
          <w:szCs w:val="20"/>
          <w:color w:val="auto"/>
        </w:rPr>
      </w:pPr>
      <w:r>
        <w:rPr>
          <w:rFonts w:ascii="Courier New" w:cs="Courier New" w:eastAsia="Courier New" w:hAnsi="Courier New"/>
          <w:sz w:val="18"/>
          <w:szCs w:val="18"/>
          <w:color w:val="auto"/>
        </w:rPr>
        <w:t>Item 4: United States of America</w:t>
      </w:r>
    </w:p>
    <w:p>
      <w:pPr>
        <w:spacing w:after="0" w:line="237" w:lineRule="auto"/>
        <w:rPr>
          <w:sz w:val="20"/>
          <w:szCs w:val="20"/>
          <w:color w:val="auto"/>
        </w:rPr>
      </w:pPr>
      <w:r>
        <w:rPr>
          <w:rFonts w:ascii="Courier New" w:cs="Courier New" w:eastAsia="Courier New" w:hAnsi="Courier New"/>
          <w:sz w:val="18"/>
          <w:szCs w:val="18"/>
          <w:color w:val="auto"/>
        </w:rPr>
        <w:t>Item 5: 0</w:t>
      </w:r>
    </w:p>
    <w:p>
      <w:pPr>
        <w:spacing w:after="0" w:line="238" w:lineRule="auto"/>
        <w:rPr>
          <w:sz w:val="20"/>
          <w:szCs w:val="20"/>
          <w:color w:val="auto"/>
        </w:rPr>
      </w:pPr>
      <w:r>
        <w:rPr>
          <w:rFonts w:ascii="Courier New" w:cs="Courier New" w:eastAsia="Courier New" w:hAnsi="Courier New"/>
          <w:sz w:val="18"/>
          <w:szCs w:val="18"/>
          <w:color w:val="auto"/>
        </w:rPr>
        <w:t>Item 6: 0</w:t>
      </w:r>
    </w:p>
    <w:p>
      <w:pPr>
        <w:spacing w:after="0"/>
        <w:rPr>
          <w:sz w:val="20"/>
          <w:szCs w:val="20"/>
          <w:color w:val="auto"/>
        </w:rPr>
      </w:pPr>
      <w:r>
        <w:rPr>
          <w:rFonts w:ascii="Courier New" w:cs="Courier New" w:eastAsia="Courier New" w:hAnsi="Courier New"/>
          <w:sz w:val="18"/>
          <w:szCs w:val="18"/>
          <w:color w:val="auto"/>
        </w:rPr>
        <w:t>Item 7: 2,709,691</w:t>
      </w:r>
    </w:p>
    <w:p>
      <w:pPr>
        <w:spacing w:after="0" w:line="237" w:lineRule="auto"/>
        <w:rPr>
          <w:sz w:val="20"/>
          <w:szCs w:val="20"/>
          <w:color w:val="auto"/>
        </w:rPr>
      </w:pPr>
      <w:r>
        <w:rPr>
          <w:rFonts w:ascii="Courier New" w:cs="Courier New" w:eastAsia="Courier New" w:hAnsi="Courier New"/>
          <w:sz w:val="18"/>
          <w:szCs w:val="18"/>
          <w:color w:val="auto"/>
        </w:rPr>
        <w:t>Item 8: 0</w:t>
      </w:r>
    </w:p>
    <w:p>
      <w:pPr>
        <w:spacing w:after="0"/>
        <w:rPr>
          <w:sz w:val="20"/>
          <w:szCs w:val="20"/>
          <w:color w:val="auto"/>
        </w:rPr>
      </w:pPr>
      <w:r>
        <w:rPr>
          <w:rFonts w:ascii="Courier New" w:cs="Courier New" w:eastAsia="Courier New" w:hAnsi="Courier New"/>
          <w:sz w:val="18"/>
          <w:szCs w:val="18"/>
          <w:color w:val="auto"/>
        </w:rPr>
        <w:t>Item 9: 2,709,691</w:t>
      </w:r>
    </w:p>
    <w:tbl>
      <w:tblPr>
        <w:tblLayout w:type="fixed"/>
        <w:tblInd w:w="0" w:type="dxa"/>
        <w:tblCellMar>
          <w:top w:w="0" w:type="dxa"/>
          <w:left w:w="0" w:type="dxa"/>
          <w:bottom w:w="0" w:type="dxa"/>
          <w:right w:w="0" w:type="dxa"/>
        </w:tblCellMar>
      </w:tblPr>
      <w:tr>
        <w:trPr>
          <w:trHeight w:val="202"/>
        </w:trPr>
        <w:tc>
          <w:tcPr>
            <w:tcW w:w="480" w:type="dxa"/>
            <w:vAlign w:val="bottom"/>
          </w:tcPr>
          <w:p>
            <w:pPr>
              <w:spacing w:after="0" w:line="202"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2" w:lineRule="exact"/>
              <w:rPr>
                <w:sz w:val="20"/>
                <w:szCs w:val="20"/>
                <w:color w:val="auto"/>
              </w:rPr>
            </w:pPr>
            <w:r>
              <w:rPr>
                <w:rFonts w:ascii="Courier New" w:cs="Courier New" w:eastAsia="Courier New" w:hAnsi="Courier New"/>
                <w:sz w:val="18"/>
                <w:szCs w:val="18"/>
                <w:color w:val="auto"/>
              </w:rPr>
              <w:t>11:</w:t>
            </w:r>
          </w:p>
        </w:tc>
        <w:tc>
          <w:tcPr>
            <w:tcW w:w="1040" w:type="dxa"/>
            <w:vAlign w:val="bottom"/>
          </w:tcPr>
          <w:p>
            <w:pPr>
              <w:ind w:left="420"/>
              <w:spacing w:after="0" w:line="202" w:lineRule="exact"/>
              <w:rPr>
                <w:sz w:val="20"/>
                <w:szCs w:val="20"/>
                <w:color w:val="auto"/>
              </w:rPr>
            </w:pPr>
            <w:r>
              <w:rPr>
                <w:rFonts w:ascii="Courier New" w:cs="Courier New" w:eastAsia="Courier New" w:hAnsi="Courier New"/>
                <w:sz w:val="18"/>
                <w:szCs w:val="18"/>
                <w:color w:val="auto"/>
                <w:w w:val="92"/>
              </w:rPr>
              <w:t>3.477%</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80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12:</w:t>
            </w:r>
          </w:p>
        </w:tc>
        <w:tc>
          <w:tcPr>
            <w:tcW w:w="104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IN</w:t>
            </w:r>
          </w:p>
        </w:tc>
      </w:tr>
    </w:tbl>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9"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Regeneron Pharmaceuticals</w:t>
      </w:r>
    </w:p>
    <w:p>
      <w:pPr>
        <w:spacing w:after="0" w:line="238" w:lineRule="auto"/>
        <w:rPr>
          <w:sz w:val="20"/>
          <w:szCs w:val="20"/>
          <w:color w:val="auto"/>
        </w:rPr>
      </w:pPr>
      <w:r>
        <w:rPr>
          <w:rFonts w:ascii="Courier New" w:cs="Courier New" w:eastAsia="Courier New" w:hAnsi="Courier New"/>
          <w:sz w:val="18"/>
          <w:szCs w:val="18"/>
          <w:color w:val="auto"/>
        </w:rPr>
        <w:t>Incorporated</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1(b).</w:t>
      </w:r>
      <w:r>
        <w:rPr>
          <w:sz w:val="20"/>
          <w:szCs w:val="20"/>
          <w:color w:val="auto"/>
        </w:rPr>
        <w:tab/>
      </w:r>
      <w:r>
        <w:rPr>
          <w:rFonts w:ascii="Courier New" w:cs="Courier New" w:eastAsia="Courier New" w:hAnsi="Courier New"/>
          <w:sz w:val="16"/>
          <w:szCs w:val="16"/>
          <w:color w:val="auto"/>
        </w:rPr>
        <w:t>Name of Issuer's Principal Executive Offices: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777 Old Saw Mill River Road</w:t>
      </w:r>
    </w:p>
    <w:p>
      <w:pPr>
        <w:ind w:left="1700"/>
        <w:spacing w:after="0"/>
        <w:tabs>
          <w:tab w:leader="none" w:pos="3260" w:val="left"/>
        </w:tabs>
        <w:rPr>
          <w:sz w:val="20"/>
          <w:szCs w:val="20"/>
          <w:color w:val="auto"/>
        </w:rPr>
      </w:pPr>
      <w:r>
        <w:rPr>
          <w:rFonts w:ascii="Courier New" w:cs="Courier New" w:eastAsia="Courier New" w:hAnsi="Courier New"/>
          <w:sz w:val="18"/>
          <w:szCs w:val="18"/>
          <w:color w:val="auto"/>
        </w:rPr>
        <w:t>Tarrytown, NY</w:t>
      </w:r>
      <w:r>
        <w:rPr>
          <w:sz w:val="20"/>
          <w:szCs w:val="20"/>
          <w:color w:val="auto"/>
        </w:rPr>
        <w:tab/>
      </w:r>
      <w:r>
        <w:rPr>
          <w:rFonts w:ascii="Courier New" w:cs="Courier New" w:eastAsia="Courier New" w:hAnsi="Courier New"/>
          <w:sz w:val="16"/>
          <w:szCs w:val="16"/>
          <w:color w:val="auto"/>
        </w:rPr>
        <w:t>10591-6707</w:t>
      </w:r>
    </w:p>
    <w:p>
      <w:pPr>
        <w:spacing w:after="0" w:line="200" w:lineRule="exact"/>
        <w:rPr>
          <w:sz w:val="24"/>
          <w:szCs w:val="24"/>
          <w:color w:val="auto"/>
        </w:rPr>
      </w:pPr>
    </w:p>
    <w:p>
      <w:pPr>
        <w:spacing w:after="0" w:line="204"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FMR LLC</w:t>
      </w:r>
    </w:p>
    <w:p>
      <w:pPr>
        <w:spacing w:after="0" w:line="207" w:lineRule="exact"/>
        <w:rPr>
          <w:sz w:val="24"/>
          <w:szCs w:val="24"/>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Item 2(b). Address or Principal Business Office or, if None, Residence:</w:t>
      </w:r>
    </w:p>
    <w:p>
      <w:pPr>
        <w:spacing w:after="0" w:line="203"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82 Devonshire Street, Boston,</w:t>
      </w:r>
    </w:p>
    <w:p>
      <w:pPr>
        <w:spacing w:after="0" w:line="238" w:lineRule="auto"/>
        <w:tabs>
          <w:tab w:leader="none" w:pos="1560" w:val="left"/>
        </w:tabs>
        <w:rPr>
          <w:sz w:val="20"/>
          <w:szCs w:val="20"/>
          <w:color w:val="auto"/>
        </w:rPr>
      </w:pPr>
      <w:r>
        <w:rPr>
          <w:rFonts w:ascii="Courier New" w:cs="Courier New" w:eastAsia="Courier New" w:hAnsi="Courier New"/>
          <w:sz w:val="18"/>
          <w:szCs w:val="18"/>
          <w:color w:val="auto"/>
        </w:rPr>
        <w:t>Massachusetts</w:t>
        <w:tab/>
        <w:t>02109</w:t>
      </w:r>
    </w:p>
    <w:p>
      <w:pPr>
        <w:spacing w:after="0" w:line="202"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201" w:lineRule="exact"/>
        <w:rPr>
          <w:sz w:val="24"/>
          <w:szCs w:val="24"/>
          <w:color w:val="auto"/>
        </w:rPr>
      </w:pPr>
    </w:p>
    <w:p>
      <w:pPr>
        <w:jc w:val="center"/>
        <w:ind w:right="5359"/>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2(d).</w:t>
      </w:r>
      <w:r>
        <w:rPr>
          <w:sz w:val="20"/>
          <w:szCs w:val="20"/>
          <w:color w:val="auto"/>
        </w:rPr>
        <w:tab/>
      </w:r>
      <w:r>
        <w:rPr>
          <w:rFonts w:ascii="Courier New" w:cs="Courier New" w:eastAsia="Courier New" w:hAnsi="Courier New"/>
          <w:sz w:val="16"/>
          <w:szCs w:val="16"/>
          <w:color w:val="auto"/>
        </w:rPr>
        <w:t>Title of Class of Securities:</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2(e).</w:t>
      </w:r>
      <w:r>
        <w:rPr>
          <w:sz w:val="20"/>
          <w:szCs w:val="20"/>
          <w:color w:val="auto"/>
        </w:rPr>
        <w:tab/>
      </w:r>
      <w:r>
        <w:rPr>
          <w:rFonts w:ascii="Courier New" w:cs="Courier New" w:eastAsia="Courier New" w:hAnsi="Courier New"/>
          <w:sz w:val="16"/>
          <w:szCs w:val="16"/>
          <w:color w:val="auto"/>
        </w:rPr>
        <w:t>CUSIP Number:</w:t>
      </w:r>
    </w:p>
    <w:p>
      <w:pPr>
        <w:spacing w:after="0" w:line="201" w:lineRule="exact"/>
        <w:rPr>
          <w:sz w:val="24"/>
          <w:szCs w:val="24"/>
          <w:color w:val="auto"/>
        </w:rPr>
      </w:pPr>
    </w:p>
    <w:p>
      <w:pPr>
        <w:ind w:left="1700"/>
        <w:spacing w:after="0"/>
        <w:rPr>
          <w:sz w:val="20"/>
          <w:szCs w:val="20"/>
          <w:color w:val="auto"/>
        </w:rPr>
      </w:pPr>
      <w:r>
        <w:rPr>
          <w:rFonts w:ascii="Courier New" w:cs="Courier New" w:eastAsia="Courier New" w:hAnsi="Courier New"/>
          <w:sz w:val="18"/>
          <w:szCs w:val="18"/>
          <w:color w:val="auto"/>
        </w:rPr>
        <w:t>75886F107</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Item 3. This statement is filed pursuant to Rule 13d-1(b) or 13d-2(b)</w:t>
      </w:r>
    </w:p>
    <w:p>
      <w:pPr>
        <w:spacing w:after="0" w:line="21" w:lineRule="exact"/>
        <w:rPr>
          <w:sz w:val="24"/>
          <w:szCs w:val="24"/>
          <w:color w:val="auto"/>
        </w:rPr>
      </w:pPr>
    </w:p>
    <w:p>
      <w:pPr>
        <w:ind w:right="3899"/>
        <w:spacing w:after="0" w:line="236" w:lineRule="auto"/>
        <w:rPr>
          <w:sz w:val="20"/>
          <w:szCs w:val="20"/>
          <w:color w:val="auto"/>
        </w:rPr>
      </w:pPr>
      <w:r>
        <w:rPr>
          <w:rFonts w:ascii="Courier New" w:cs="Courier New" w:eastAsia="Courier New" w:hAnsi="Courier New"/>
          <w:sz w:val="18"/>
          <w:szCs w:val="18"/>
          <w:color w:val="auto"/>
        </w:rPr>
        <w:t>and the person filing, FMR LLC, is a parent holding company in accordance with Section 240.13d-1(b)(ii)(G). (Note: See Item 7).</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4"/>
          <w:szCs w:val="24"/>
          <w:color w:val="auto"/>
        </w:rPr>
      </w:pPr>
    </w:p>
    <w:p>
      <w:pPr>
        <w:ind w:left="860"/>
        <w:spacing w:after="0"/>
        <w:tabs>
          <w:tab w:leader="none" w:pos="1680" w:val="left"/>
          <w:tab w:leader="none" w:pos="5040" w:val="left"/>
        </w:tabs>
        <w:rPr>
          <w:sz w:val="20"/>
          <w:szCs w:val="20"/>
          <w:color w:val="auto"/>
        </w:rPr>
      </w:pPr>
      <w:r>
        <w:rPr>
          <w:rFonts w:ascii="Courier New" w:cs="Courier New" w:eastAsia="Courier New" w:hAnsi="Courier New"/>
          <w:sz w:val="18"/>
          <w:szCs w:val="18"/>
          <w:color w:val="auto"/>
        </w:rPr>
        <w:t>(a)</w:t>
      </w:r>
      <w:r>
        <w:rPr>
          <w:sz w:val="20"/>
          <w:szCs w:val="20"/>
          <w:color w:val="auto"/>
        </w:rPr>
        <w:tab/>
      </w:r>
      <w:r>
        <w:rPr>
          <w:rFonts w:ascii="Courier New" w:cs="Courier New" w:eastAsia="Courier New" w:hAnsi="Courier New"/>
          <w:sz w:val="18"/>
          <w:szCs w:val="18"/>
          <w:color w:val="auto"/>
        </w:rPr>
        <w:t>Amount Beneficially Owned:</w:t>
      </w:r>
      <w:r>
        <w:rPr>
          <w:sz w:val="20"/>
          <w:szCs w:val="20"/>
          <w:color w:val="auto"/>
        </w:rPr>
        <w:tab/>
      </w:r>
      <w:r>
        <w:rPr>
          <w:rFonts w:ascii="Courier New" w:cs="Courier New" w:eastAsia="Courier New" w:hAnsi="Courier New"/>
          <w:sz w:val="16"/>
          <w:szCs w:val="16"/>
          <w:color w:val="auto"/>
        </w:rPr>
        <w:t>2,709,691</w:t>
      </w:r>
    </w:p>
    <w:p>
      <w:pPr>
        <w:sectPr>
          <w:pgSz w:w="11900" w:h="16855" w:orient="portrait"/>
          <w:cols w:equalWidth="0" w:num="1">
            <w:col w:w="10219"/>
          </w:cols>
          <w:pgMar w:left="240" w:top="244" w:right="1440" w:bottom="0" w:gutter="0" w:footer="0" w:header="0"/>
        </w:sectPr>
      </w:pPr>
    </w:p>
    <w:bookmarkStart w:id="1" w:name="page2"/>
    <w:bookmarkEnd w:id="1"/>
    <w:p>
      <w:pPr>
        <w:ind w:left="860"/>
        <w:spacing w:after="0"/>
        <w:tabs>
          <w:tab w:leader="none" w:pos="1680" w:val="left"/>
          <w:tab w:leader="none" w:pos="4200" w:val="left"/>
        </w:tabs>
        <w:rPr>
          <w:sz w:val="20"/>
          <w:szCs w:val="20"/>
          <w:color w:val="auto"/>
        </w:rPr>
      </w:pPr>
      <w:r>
        <w:rPr>
          <w:rFonts w:ascii="Courier New" w:cs="Courier New" w:eastAsia="Courier New" w:hAnsi="Courier New"/>
          <w:sz w:val="18"/>
          <w:szCs w:val="18"/>
          <w:color w:val="auto"/>
        </w:rPr>
        <w:t>(b)</w:t>
      </w:r>
      <w:r>
        <w:rPr>
          <w:sz w:val="20"/>
          <w:szCs w:val="20"/>
          <w:color w:val="auto"/>
        </w:rPr>
        <w:tab/>
      </w:r>
      <w:r>
        <w:rPr>
          <w:rFonts w:ascii="Courier New" w:cs="Courier New" w:eastAsia="Courier New" w:hAnsi="Courier New"/>
          <w:sz w:val="18"/>
          <w:szCs w:val="18"/>
          <w:color w:val="auto"/>
        </w:rPr>
        <w:t>Percent of Class:</w:t>
      </w:r>
      <w:r>
        <w:rPr>
          <w:sz w:val="20"/>
          <w:szCs w:val="20"/>
          <w:color w:val="auto"/>
        </w:rPr>
        <w:tab/>
      </w:r>
      <w:r>
        <w:rPr>
          <w:rFonts w:ascii="Courier New" w:cs="Courier New" w:eastAsia="Courier New" w:hAnsi="Courier New"/>
          <w:sz w:val="16"/>
          <w:szCs w:val="16"/>
          <w:color w:val="auto"/>
        </w:rPr>
        <w:t>3.477%</w:t>
      </w:r>
    </w:p>
    <w:p>
      <w:pPr>
        <w:spacing w:after="0" w:line="207" w:lineRule="exact"/>
        <w:rPr>
          <w:sz w:val="20"/>
          <w:szCs w:val="20"/>
          <w:color w:val="auto"/>
        </w:rPr>
      </w:pPr>
    </w:p>
    <w:p>
      <w:pPr>
        <w:ind w:left="1700" w:hanging="849"/>
        <w:spacing w:after="0"/>
        <w:tabs>
          <w:tab w:leader="none" w:pos="170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Number of shares as to which such</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person has:</w:t>
      </w:r>
    </w:p>
    <w:p>
      <w:pPr>
        <w:sectPr>
          <w:pgSz w:w="11900" w:h="16838" w:orient="portrait"/>
          <w:cols w:equalWidth="0" w:num="1">
            <w:col w:w="10219"/>
          </w:cols>
          <w:pgMar w:left="240" w:top="339" w:right="1440" w:bottom="334" w:gutter="0" w:footer="0" w:header="0"/>
        </w:sectPr>
      </w:pPr>
    </w:p>
    <w:p>
      <w:pPr>
        <w:spacing w:after="0" w:line="207" w:lineRule="exact"/>
        <w:rPr>
          <w:sz w:val="20"/>
          <w:szCs w:val="20"/>
          <w:color w:val="auto"/>
        </w:rPr>
      </w:pPr>
    </w:p>
    <w:p>
      <w:pPr>
        <w:ind w:left="860"/>
        <w:spacing w:after="0"/>
        <w:rPr>
          <w:sz w:val="20"/>
          <w:szCs w:val="20"/>
          <w:color w:val="auto"/>
        </w:rPr>
      </w:pPr>
      <w:r>
        <w:rPr>
          <w:rFonts w:ascii="Courier New" w:cs="Courier New" w:eastAsia="Courier New" w:hAnsi="Courier New"/>
          <w:sz w:val="16"/>
          <w:szCs w:val="16"/>
          <w:color w:val="auto"/>
        </w:rPr>
        <w:t>(i)</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vote:</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sole power to vote or to direct</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2,200</w:t>
      </w:r>
    </w:p>
    <w:p>
      <w:pPr>
        <w:spacing w:after="0" w:line="200" w:lineRule="exact"/>
        <w:rPr>
          <w:sz w:val="20"/>
          <w:szCs w:val="20"/>
          <w:color w:val="auto"/>
        </w:rPr>
      </w:pPr>
    </w:p>
    <w:p>
      <w:pPr>
        <w:sectPr>
          <w:pgSz w:w="11900" w:h="16838" w:orient="portrait"/>
          <w:cols w:equalWidth="0" w:num="2">
            <w:col w:w="1160" w:space="540"/>
            <w:col w:w="8519"/>
          </w:cols>
          <w:pgMar w:left="240" w:top="339" w:right="1440" w:bottom="334" w:gutter="0" w:footer="0" w:header="0"/>
          <w:type w:val="continuous"/>
        </w:sectPr>
      </w:pPr>
    </w:p>
    <w:p>
      <w:pPr>
        <w:spacing w:after="0" w:line="1" w:lineRule="exact"/>
        <w:rPr>
          <w:sz w:val="20"/>
          <w:szCs w:val="20"/>
          <w:color w:val="auto"/>
        </w:rPr>
      </w:pPr>
    </w:p>
    <w:p>
      <w:pPr>
        <w:ind w:left="1700" w:hanging="849"/>
        <w:spacing w:after="0"/>
        <w:tabs>
          <w:tab w:leader="none" w:pos="170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w:t>
      </w:r>
    </w:p>
    <w:tbl>
      <w:tblPr>
        <w:tblLayout w:type="fixed"/>
        <w:tblInd w:w="0" w:type="dxa"/>
        <w:tblCellMar>
          <w:top w:w="0" w:type="dxa"/>
          <w:left w:w="0" w:type="dxa"/>
          <w:bottom w:w="0" w:type="dxa"/>
          <w:right w:w="0" w:type="dxa"/>
        </w:tblCellMar>
      </w:tblPr>
      <w:tr>
        <w:trPr>
          <w:trHeight w:val="203"/>
        </w:trPr>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vote:</w:t>
            </w:r>
          </w:p>
        </w:tc>
        <w:tc>
          <w:tcPr>
            <w:tcW w:w="5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ind w:left="1700" w:hanging="849"/>
        <w:spacing w:after="0"/>
        <w:tabs>
          <w:tab w:leader="none" w:pos="170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12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2,709,691</w:t>
            </w:r>
          </w:p>
        </w:tc>
      </w:tr>
    </w:tbl>
    <w:p>
      <w:pPr>
        <w:spacing w:after="0" w:line="201" w:lineRule="exact"/>
        <w:rPr>
          <w:sz w:val="20"/>
          <w:szCs w:val="20"/>
          <w:color w:val="auto"/>
        </w:rPr>
      </w:pPr>
    </w:p>
    <w:p>
      <w:pPr>
        <w:ind w:left="1700" w:hanging="849"/>
        <w:spacing w:after="0"/>
        <w:tabs>
          <w:tab w:leader="none" w:pos="170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w:t>
      </w:r>
    </w:p>
    <w:tbl>
      <w:tblPr>
        <w:tblLayout w:type="fixed"/>
        <w:tblInd w:w="0" w:type="dxa"/>
        <w:tblCellMar>
          <w:top w:w="0" w:type="dxa"/>
          <w:left w:w="0" w:type="dxa"/>
          <w:bottom w:w="0" w:type="dxa"/>
          <w:right w:w="0" w:type="dxa"/>
        </w:tblCellMar>
      </w:tblPr>
      <w:tr>
        <w:trPr>
          <w:trHeight w:val="203"/>
        </w:trPr>
        <w:tc>
          <w:tcPr>
            <w:tcW w:w="3060" w:type="dxa"/>
            <w:vAlign w:val="bottom"/>
          </w:tcPr>
          <w:p>
            <w:pPr>
              <w:spacing w:after="0" w:line="203" w:lineRule="exact"/>
              <w:rPr>
                <w:sz w:val="20"/>
                <w:szCs w:val="20"/>
                <w:color w:val="auto"/>
              </w:rPr>
            </w:pPr>
            <w:r>
              <w:rPr>
                <w:rFonts w:ascii="Courier New" w:cs="Courier New" w:eastAsia="Courier New" w:hAnsi="Courier New"/>
                <w:sz w:val="18"/>
                <w:szCs w:val="18"/>
                <w:color w:val="auto"/>
              </w:rPr>
              <w:t>direct the disposition of:</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0</w:t>
            </w: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7" w:lineRule="exact"/>
        <w:rPr>
          <w:sz w:val="20"/>
          <w:szCs w:val="20"/>
          <w:color w:val="auto"/>
        </w:rPr>
      </w:pPr>
    </w:p>
    <w:p>
      <w:pPr>
        <w:ind w:right="2419" w:firstLine="843"/>
        <w:spacing w:after="0" w:line="235" w:lineRule="auto"/>
        <w:rPr>
          <w:sz w:val="20"/>
          <w:szCs w:val="20"/>
          <w:color w:val="auto"/>
        </w:rPr>
      </w:pPr>
      <w:r>
        <w:rPr>
          <w:rFonts w:ascii="Courier New" w:cs="Courier New" w:eastAsia="Courier New" w:hAnsi="Courier New"/>
          <w:sz w:val="18"/>
          <w:szCs w:val="18"/>
          <w:color w:val="auto"/>
        </w:rPr>
        <w:t>If this statement is being filed to report the fact that as of the date hereof, the reporting person has ceased to be the</w:t>
      </w:r>
    </w:p>
    <w:p>
      <w:pPr>
        <w:spacing w:after="0" w:line="6" w:lineRule="exact"/>
        <w:rPr>
          <w:sz w:val="20"/>
          <w:szCs w:val="20"/>
          <w:color w:val="auto"/>
        </w:rPr>
      </w:pPr>
    </w:p>
    <w:p>
      <w:pPr>
        <w:ind w:right="4099"/>
        <w:spacing w:after="0" w:line="235" w:lineRule="auto"/>
        <w:rPr>
          <w:sz w:val="20"/>
          <w:szCs w:val="20"/>
          <w:color w:val="auto"/>
        </w:rPr>
      </w:pPr>
      <w:r>
        <w:rPr>
          <w:rFonts w:ascii="Courier New" w:cs="Courier New" w:eastAsia="Courier New" w:hAnsi="Courier New"/>
          <w:sz w:val="18"/>
          <w:szCs w:val="18"/>
          <w:color w:val="auto"/>
        </w:rPr>
        <w:t>beneficial owner of more than five percent of the class of securities, check the following (X).</w:t>
      </w:r>
    </w:p>
    <w:p>
      <w:pPr>
        <w:spacing w:after="0" w:line="208"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Item 6. Ownership of More than Five Percent on Behalf of Another Person.</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See attached Exhibit A.</w:t>
      </w:r>
    </w:p>
    <w:p>
      <w:pPr>
        <w:spacing w:after="0" w:line="207" w:lineRule="exact"/>
        <w:rPr>
          <w:sz w:val="20"/>
          <w:szCs w:val="20"/>
          <w:color w:val="auto"/>
        </w:rPr>
      </w:pPr>
    </w:p>
    <w:p>
      <w:pPr>
        <w:ind w:right="4419"/>
        <w:spacing w:after="0" w:line="235" w:lineRule="auto"/>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3" w:lineRule="exact"/>
        <w:rPr>
          <w:sz w:val="20"/>
          <w:szCs w:val="20"/>
          <w:color w:val="auto"/>
        </w:rPr>
      </w:pPr>
    </w:p>
    <w:p>
      <w:pPr>
        <w:ind w:left="860"/>
        <w:spacing w:after="0"/>
        <w:tabs>
          <w:tab w:leader="none" w:pos="2620" w:val="left"/>
        </w:tabs>
        <w:rPr>
          <w:sz w:val="20"/>
          <w:szCs w:val="20"/>
          <w:color w:val="auto"/>
        </w:rPr>
      </w:pPr>
      <w:r>
        <w:rPr>
          <w:rFonts w:ascii="Courier New" w:cs="Courier New" w:eastAsia="Courier New" w:hAnsi="Courier New"/>
          <w:sz w:val="18"/>
          <w:szCs w:val="18"/>
          <w:color w:val="auto"/>
        </w:rPr>
        <w:t>Not applicable.</w:t>
      </w:r>
      <w:r>
        <w:rPr>
          <w:sz w:val="20"/>
          <w:szCs w:val="20"/>
          <w:color w:val="auto"/>
        </w:rPr>
        <w:tab/>
      </w:r>
      <w:r>
        <w:rPr>
          <w:rFonts w:ascii="Courier New" w:cs="Courier New" w:eastAsia="Courier New" w:hAnsi="Courier New"/>
          <w:sz w:val="16"/>
          <w:szCs w:val="16"/>
          <w:color w:val="auto"/>
        </w:rPr>
        <w:t>See attached Exhibit A.</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Item 10.</w:t>
      </w:r>
      <w:r>
        <w:rPr>
          <w:sz w:val="20"/>
          <w:szCs w:val="20"/>
          <w:color w:val="auto"/>
        </w:rPr>
        <w:tab/>
      </w:r>
      <w:r>
        <w:rPr>
          <w:rFonts w:ascii="Courier New" w:cs="Courier New" w:eastAsia="Courier New" w:hAnsi="Courier New"/>
          <w:sz w:val="16"/>
          <w:szCs w:val="16"/>
          <w:color w:val="auto"/>
        </w:rPr>
        <w:t>Certification.</w:t>
      </w:r>
    </w:p>
    <w:p>
      <w:pPr>
        <w:spacing w:after="0" w:line="207" w:lineRule="exact"/>
        <w:rPr>
          <w:sz w:val="20"/>
          <w:szCs w:val="20"/>
          <w:color w:val="auto"/>
        </w:rPr>
      </w:pPr>
    </w:p>
    <w:p>
      <w:pPr>
        <w:ind w:right="2839" w:firstLine="843"/>
        <w:spacing w:after="0" w:line="237" w:lineRule="auto"/>
        <w:rPr>
          <w:sz w:val="20"/>
          <w:szCs w:val="20"/>
          <w:color w:val="auto"/>
        </w:rPr>
      </w:pPr>
      <w:r>
        <w:rPr>
          <w:rFonts w:ascii="Courier New" w:cs="Courier New" w:eastAsia="Courier New" w:hAnsi="Courier New"/>
          <w:sz w:val="18"/>
          <w:szCs w:val="18"/>
          <w:color w:val="auto"/>
        </w:rPr>
        <w:t>Inasmuch as the reporting persons are no longer the beneficial owners of more than five percent of the number of shares outstanding, the reporting persons have no further reporting obligation under Section 13(d) of the Securities and Exchange Commission thereunder, and the reporting persons have no</w:t>
      </w:r>
    </w:p>
    <w:p>
      <w:pPr>
        <w:spacing w:after="0" w:line="6" w:lineRule="exact"/>
        <w:rPr>
          <w:sz w:val="20"/>
          <w:szCs w:val="20"/>
          <w:color w:val="auto"/>
        </w:rPr>
      </w:pPr>
    </w:p>
    <w:p>
      <w:pPr>
        <w:ind w:right="4199"/>
        <w:spacing w:after="0" w:line="235" w:lineRule="auto"/>
        <w:rPr>
          <w:sz w:val="20"/>
          <w:szCs w:val="20"/>
          <w:color w:val="auto"/>
        </w:rPr>
      </w:pPr>
      <w:r>
        <w:rPr>
          <w:rFonts w:ascii="Courier New" w:cs="Courier New" w:eastAsia="Courier New" w:hAnsi="Courier New"/>
          <w:sz w:val="18"/>
          <w:szCs w:val="18"/>
          <w:color w:val="auto"/>
        </w:rPr>
        <w:t>obligation to amend this Statement if any material change occurs in the facts set forth herein.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039" w:firstLine="843"/>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November 09, 2009</w:t>
      </w:r>
    </w:p>
    <w:p>
      <w:pPr>
        <w:spacing w:after="0" w:line="238" w:lineRule="auto"/>
        <w:rPr>
          <w:sz w:val="20"/>
          <w:szCs w:val="20"/>
          <w:color w:val="auto"/>
        </w:rPr>
      </w:pPr>
      <w:r>
        <w:rPr>
          <w:rFonts w:ascii="Courier New" w:cs="Courier New" w:eastAsia="Courier New" w:hAnsi="Courier New"/>
          <w:sz w:val="18"/>
          <w:szCs w:val="18"/>
          <w:color w:val="auto"/>
        </w:rPr>
        <w:t>Date</w:t>
      </w:r>
    </w:p>
    <w:p>
      <w:pPr>
        <w:spacing w:after="0" w:line="202"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/s/ Scott C. Goebel</w:t>
      </w:r>
    </w:p>
    <w:p>
      <w:pPr>
        <w:spacing w:after="0" w:line="238" w:lineRule="auto"/>
        <w:rPr>
          <w:sz w:val="20"/>
          <w:szCs w:val="20"/>
          <w:color w:val="auto"/>
        </w:rPr>
      </w:pPr>
      <w:r>
        <w:rPr>
          <w:rFonts w:ascii="Courier New" w:cs="Courier New" w:eastAsia="Courier New" w:hAnsi="Courier New"/>
          <w:sz w:val="18"/>
          <w:szCs w:val="18"/>
          <w:color w:val="auto"/>
        </w:rPr>
        <w:t>Signature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Scott C. Goebel</w:t>
      </w:r>
    </w:p>
    <w:p>
      <w:pPr>
        <w:spacing w:after="0" w:line="238" w:lineRule="auto"/>
        <w:rPr>
          <w:sz w:val="20"/>
          <w:szCs w:val="20"/>
          <w:color w:val="auto"/>
        </w:rPr>
      </w:pPr>
      <w:r>
        <w:rPr>
          <w:rFonts w:ascii="Courier New" w:cs="Courier New" w:eastAsia="Courier New" w:hAnsi="Courier New"/>
          <w:sz w:val="18"/>
          <w:szCs w:val="18"/>
          <w:color w:val="auto"/>
        </w:rPr>
        <w:t>Duly authorized under Power of Attorney</w:t>
      </w:r>
    </w:p>
    <w:p>
      <w:pPr>
        <w:spacing w:after="0" w:line="5" w:lineRule="exact"/>
        <w:rPr>
          <w:sz w:val="20"/>
          <w:szCs w:val="20"/>
          <w:color w:val="auto"/>
        </w:rPr>
      </w:pPr>
    </w:p>
    <w:p>
      <w:pPr>
        <w:ind w:right="4319"/>
        <w:spacing w:after="0" w:line="235" w:lineRule="auto"/>
        <w:rPr>
          <w:sz w:val="20"/>
          <w:szCs w:val="20"/>
          <w:color w:val="auto"/>
        </w:rPr>
      </w:pPr>
      <w:r>
        <w:rPr>
          <w:rFonts w:ascii="Courier New" w:cs="Courier New" w:eastAsia="Courier New" w:hAnsi="Courier New"/>
          <w:sz w:val="18"/>
          <w:szCs w:val="18"/>
          <w:color w:val="auto"/>
        </w:rPr>
        <w:t>effective as of June 1, 2008 by and on behalf of FMR LLC and its direct and indirect subsidiaries</w:t>
      </w:r>
    </w:p>
    <w:p>
      <w:pPr>
        <w:spacing w:after="0" w:line="200" w:lineRule="exact"/>
        <w:rPr>
          <w:sz w:val="20"/>
          <w:szCs w:val="20"/>
          <w:color w:val="auto"/>
        </w:rPr>
      </w:pPr>
    </w:p>
    <w:p>
      <w:pPr>
        <w:spacing w:after="0" w:line="205"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sectPr>
          <w:pgSz w:w="11900" w:h="16838" w:orient="portrait"/>
          <w:cols w:equalWidth="0" w:num="1">
            <w:col w:w="10219"/>
          </w:cols>
          <w:pgMar w:left="240" w:top="339" w:right="1440" w:bottom="334" w:gutter="0" w:footer="0" w:header="0"/>
          <w:type w:val="continuous"/>
        </w:sectPr>
      </w:pPr>
    </w:p>
    <w:bookmarkStart w:id="2" w:name="page3"/>
    <w:bookmarkEnd w:id="2"/>
    <w:p>
      <w:pPr>
        <w:ind w:right="3579" w:firstLine="843"/>
        <w:spacing w:after="0" w:line="237" w:lineRule="auto"/>
        <w:rPr>
          <w:sz w:val="20"/>
          <w:szCs w:val="20"/>
          <w:color w:val="auto"/>
        </w:rPr>
      </w:pPr>
      <w:r>
        <w:rPr>
          <w:rFonts w:ascii="Courier New" w:cs="Courier New" w:eastAsia="Courier New" w:hAnsi="Courier New"/>
          <w:sz w:val="18"/>
          <w:szCs w:val="18"/>
          <w:color w:val="auto"/>
        </w:rPr>
        <w:t>Pursuant to the instructions in Item 7 of Schedule 13G, Fidelity Management &amp; Research Company ("Fidelity"), 82 Devonshire Street, Boston, Massachusetts 02109, a wholly-owned subsidiary of FMR LLC and an investment adviser registered under Section 203 of the Investment Advisers Act</w:t>
      </w:r>
    </w:p>
    <w:p>
      <w:pPr>
        <w:spacing w:after="0" w:line="6" w:lineRule="exact"/>
        <w:rPr>
          <w:sz w:val="20"/>
          <w:szCs w:val="20"/>
          <w:color w:val="auto"/>
        </w:rPr>
      </w:pPr>
    </w:p>
    <w:p>
      <w:pPr>
        <w:ind w:right="3679"/>
        <w:spacing w:after="0" w:line="237" w:lineRule="auto"/>
        <w:rPr>
          <w:sz w:val="20"/>
          <w:szCs w:val="20"/>
          <w:color w:val="auto"/>
        </w:rPr>
      </w:pPr>
      <w:r>
        <w:rPr>
          <w:rFonts w:ascii="Courier New" w:cs="Courier New" w:eastAsia="Courier New" w:hAnsi="Courier New"/>
          <w:sz w:val="18"/>
          <w:szCs w:val="18"/>
          <w:color w:val="auto"/>
        </w:rPr>
        <w:t>of 1940, is the beneficial owner of 2,709,691 shares or 3.477% of the Common Stock outstanding of Regeneron Pharmaceuticals Incorporated ("the Company") as a result of acting as investment adviser to various investment companies registered under Section 8 of the Investment Company Act of 1940.</w:t>
      </w:r>
    </w:p>
    <w:p>
      <w:pPr>
        <w:spacing w:after="0" w:line="210" w:lineRule="exact"/>
        <w:rPr>
          <w:sz w:val="20"/>
          <w:szCs w:val="20"/>
          <w:color w:val="auto"/>
        </w:rPr>
      </w:pPr>
    </w:p>
    <w:p>
      <w:pPr>
        <w:ind w:right="4199" w:firstLine="843"/>
        <w:spacing w:after="0" w:line="236" w:lineRule="auto"/>
        <w:rPr>
          <w:sz w:val="20"/>
          <w:szCs w:val="20"/>
          <w:color w:val="auto"/>
        </w:rPr>
      </w:pPr>
      <w:r>
        <w:rPr>
          <w:rFonts w:ascii="Courier New" w:cs="Courier New" w:eastAsia="Courier New" w:hAnsi="Courier New"/>
          <w:sz w:val="18"/>
          <w:szCs w:val="18"/>
          <w:color w:val="auto"/>
        </w:rPr>
        <w:t>Edward C. Johnson 3d and FMR LLC, through its control of Fidelity, and the funds each has sole power to dispose of the 2,709,691 shares owned by the Funds.</w:t>
      </w:r>
    </w:p>
    <w:p>
      <w:pPr>
        <w:spacing w:after="0" w:line="209" w:lineRule="exact"/>
        <w:rPr>
          <w:sz w:val="20"/>
          <w:szCs w:val="20"/>
          <w:color w:val="auto"/>
        </w:rPr>
      </w:pPr>
    </w:p>
    <w:p>
      <w:pPr>
        <w:ind w:right="4099" w:firstLine="843"/>
        <w:spacing w:after="0" w:line="268" w:lineRule="auto"/>
        <w:rPr>
          <w:sz w:val="20"/>
          <w:szCs w:val="20"/>
          <w:color w:val="auto"/>
        </w:rPr>
      </w:pPr>
      <w:r>
        <w:rPr>
          <w:rFonts w:ascii="Courier New" w:cs="Courier New" w:eastAsia="Courier New" w:hAnsi="Courier New"/>
          <w:sz w:val="16"/>
          <w:szCs w:val="16"/>
          <w:color w:val="auto"/>
        </w:rPr>
        <w:t>Members of the family of Edward C. Johnson 3d, Chairman of FMR LLC, are the predominant owners, directly or through trusts, of Series B voting common shares of FMR LLC, representing 49% of the voting power of FMR LLC.</w:t>
      </w:r>
    </w:p>
    <w:p>
      <w:pPr>
        <w:spacing w:after="0" w:line="1" w:lineRule="exact"/>
        <w:rPr>
          <w:sz w:val="20"/>
          <w:szCs w:val="20"/>
          <w:color w:val="auto"/>
        </w:rPr>
      </w:pPr>
    </w:p>
    <w:p>
      <w:pPr>
        <w:ind w:right="3899"/>
        <w:spacing w:after="0" w:line="237" w:lineRule="auto"/>
        <w:rPr>
          <w:sz w:val="20"/>
          <w:szCs w:val="20"/>
          <w:color w:val="auto"/>
        </w:rPr>
      </w:pPr>
      <w:r>
        <w:rPr>
          <w:rFonts w:ascii="Courier New" w:cs="Courier New" w:eastAsia="Courier New" w:hAnsi="Courier New"/>
          <w:sz w:val="18"/>
          <w:szCs w:val="18"/>
          <w:color w:val="auto"/>
        </w:rPr>
        <w:t>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208"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8"/>
          <w:szCs w:val="18"/>
          <w:color w:val="auto"/>
        </w:rPr>
        <w:t>Neither FMR LLC nor Edward C. Johnson 3d,</w:t>
      </w:r>
    </w:p>
    <w:p>
      <w:pPr>
        <w:spacing w:after="0" w:line="4" w:lineRule="exact"/>
        <w:rPr>
          <w:sz w:val="20"/>
          <w:szCs w:val="20"/>
          <w:color w:val="auto"/>
        </w:rPr>
      </w:pPr>
    </w:p>
    <w:p>
      <w:pPr>
        <w:jc w:val="center"/>
        <w:ind w:right="4199"/>
        <w:spacing w:after="0"/>
        <w:rPr>
          <w:sz w:val="20"/>
          <w:szCs w:val="20"/>
          <w:color w:val="auto"/>
        </w:rPr>
      </w:pPr>
      <w:r>
        <w:rPr>
          <w:rFonts w:ascii="Courier New" w:cs="Courier New" w:eastAsia="Courier New" w:hAnsi="Courier New"/>
          <w:sz w:val="16"/>
          <w:szCs w:val="16"/>
          <w:color w:val="auto"/>
        </w:rPr>
        <w:t>Chairman of FMR LLC, has the sole power to vote or direct</w:t>
      </w:r>
    </w:p>
    <w:p>
      <w:pPr>
        <w:spacing w:after="0" w:line="21" w:lineRule="exact"/>
        <w:rPr>
          <w:sz w:val="20"/>
          <w:szCs w:val="20"/>
          <w:color w:val="auto"/>
        </w:rPr>
      </w:pPr>
    </w:p>
    <w:p>
      <w:pPr>
        <w:ind w:right="3679"/>
        <w:spacing w:after="0" w:line="275" w:lineRule="auto"/>
        <w:rPr>
          <w:sz w:val="20"/>
          <w:szCs w:val="20"/>
          <w:color w:val="auto"/>
        </w:rPr>
      </w:pPr>
      <w:r>
        <w:rPr>
          <w:rFonts w:ascii="Courier New" w:cs="Courier New" w:eastAsia="Courier New" w:hAnsi="Courier New"/>
          <w:sz w:val="16"/>
          <w:szCs w:val="16"/>
          <w:color w:val="auto"/>
        </w:rPr>
        <w:t>the voting of the shares owned directly by the Fidelity Funds, which power resides with the Funds' Boards of Trustees. Fidelity carries out the voting of the shares under written guidelines established by the Funds' Boards of Trustees.</w:t>
      </w:r>
    </w:p>
    <w:p>
      <w:pPr>
        <w:spacing w:after="0" w:line="200" w:lineRule="exact"/>
        <w:rPr>
          <w:sz w:val="20"/>
          <w:szCs w:val="20"/>
          <w:color w:val="auto"/>
        </w:rPr>
      </w:pPr>
    </w:p>
    <w:p>
      <w:pPr>
        <w:spacing w:after="0" w:line="38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SCHEDULE 13G - TO BE INCLUDED IN</w:t>
      </w:r>
    </w:p>
    <w:p>
      <w:pPr>
        <w:spacing w:after="0" w:line="238" w:lineRule="auto"/>
        <w:rPr>
          <w:sz w:val="20"/>
          <w:szCs w:val="20"/>
          <w:color w:val="auto"/>
        </w:rPr>
      </w:pPr>
      <w:r>
        <w:rPr>
          <w:rFonts w:ascii="Courier New" w:cs="Courier New" w:eastAsia="Courier New" w:hAnsi="Courier New"/>
          <w:sz w:val="18"/>
          <w:szCs w:val="18"/>
          <w:color w:val="auto"/>
        </w:rPr>
        <w:t>STATEMENTS</w:t>
      </w:r>
    </w:p>
    <w:p>
      <w:pPr>
        <w:ind w:left="860"/>
        <w:spacing w:after="0"/>
        <w:rPr>
          <w:sz w:val="20"/>
          <w:szCs w:val="20"/>
          <w:color w:val="auto"/>
        </w:rPr>
      </w:pPr>
      <w:r>
        <w:rPr>
          <w:rFonts w:ascii="Courier New" w:cs="Courier New" w:eastAsia="Courier New" w:hAnsi="Courier New"/>
          <w:sz w:val="18"/>
          <w:szCs w:val="18"/>
          <w:color w:val="auto"/>
        </w:rPr>
        <w:t>FILED PURSUANT TO RULE 13d-1(b) or 13d-2(b)</w:t>
      </w:r>
    </w:p>
    <w:p>
      <w:pPr>
        <w:ind w:left="860"/>
        <w:spacing w:after="0"/>
        <w:tabs>
          <w:tab w:leader="none" w:pos="2720" w:val="left"/>
        </w:tabs>
        <w:rPr>
          <w:sz w:val="20"/>
          <w:szCs w:val="20"/>
          <w:color w:val="auto"/>
        </w:rPr>
      </w:pPr>
      <w:r>
        <w:rPr>
          <w:rFonts w:ascii="Courier New" w:cs="Courier New" w:eastAsia="Courier New" w:hAnsi="Courier New"/>
          <w:sz w:val="18"/>
          <w:szCs w:val="18"/>
          <w:color w:val="auto"/>
        </w:rPr>
        <w:t>RULE 13d-1(f)(1)</w:t>
      </w:r>
      <w:r>
        <w:rPr>
          <w:sz w:val="20"/>
          <w:szCs w:val="20"/>
          <w:color w:val="auto"/>
        </w:rPr>
        <w:tab/>
      </w:r>
      <w:r>
        <w:rPr>
          <w:rFonts w:ascii="Courier New" w:cs="Courier New" w:eastAsia="Courier New" w:hAnsi="Courier New"/>
          <w:sz w:val="16"/>
          <w:szCs w:val="16"/>
          <w:color w:val="auto"/>
        </w:rPr>
        <w:t>AGREEMENT</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The undersigned persons, on November 09, 2009,</w:t>
      </w:r>
    </w:p>
    <w:p>
      <w:pPr>
        <w:spacing w:after="0" w:line="238" w:lineRule="auto"/>
        <w:rPr>
          <w:sz w:val="20"/>
          <w:szCs w:val="20"/>
          <w:color w:val="auto"/>
        </w:rPr>
      </w:pPr>
      <w:r>
        <w:rPr>
          <w:rFonts w:ascii="Courier New" w:cs="Courier New" w:eastAsia="Courier New" w:hAnsi="Courier New"/>
          <w:sz w:val="18"/>
          <w:szCs w:val="18"/>
          <w:color w:val="auto"/>
        </w:rPr>
        <w:t>agree and consent to the joint filing on their behalf of this</w:t>
      </w:r>
    </w:p>
    <w:p>
      <w:pPr>
        <w:spacing w:after="0"/>
        <w:rPr>
          <w:sz w:val="20"/>
          <w:szCs w:val="20"/>
          <w:color w:val="auto"/>
        </w:rPr>
      </w:pPr>
      <w:r>
        <w:rPr>
          <w:rFonts w:ascii="Courier New" w:cs="Courier New" w:eastAsia="Courier New" w:hAnsi="Courier New"/>
          <w:sz w:val="18"/>
          <w:szCs w:val="18"/>
          <w:color w:val="auto"/>
        </w:rPr>
        <w:t>Schedule 13G in connection with their beneficial ownership of</w:t>
      </w:r>
    </w:p>
    <w:p>
      <w:pPr>
        <w:spacing w:after="0" w:line="237" w:lineRule="auto"/>
        <w:rPr>
          <w:sz w:val="20"/>
          <w:szCs w:val="20"/>
          <w:color w:val="auto"/>
        </w:rPr>
      </w:pPr>
      <w:r>
        <w:rPr>
          <w:rFonts w:ascii="Courier New" w:cs="Courier New" w:eastAsia="Courier New" w:hAnsi="Courier New"/>
          <w:sz w:val="18"/>
          <w:szCs w:val="18"/>
          <w:color w:val="auto"/>
        </w:rPr>
        <w:t>the Common Stock of Regeneron Pharmaceuticals</w:t>
      </w:r>
    </w:p>
    <w:p>
      <w:pPr>
        <w:spacing w:after="0" w:line="238" w:lineRule="auto"/>
        <w:rPr>
          <w:sz w:val="20"/>
          <w:szCs w:val="20"/>
          <w:color w:val="auto"/>
        </w:rPr>
      </w:pPr>
      <w:r>
        <w:rPr>
          <w:rFonts w:ascii="Courier New" w:cs="Courier New" w:eastAsia="Courier New" w:hAnsi="Courier New"/>
          <w:sz w:val="18"/>
          <w:szCs w:val="18"/>
          <w:color w:val="auto"/>
        </w:rPr>
        <w:t>Incorporated at October 31, 2009.</w:t>
      </w:r>
    </w:p>
    <w:p>
      <w:pPr>
        <w:spacing w:after="0" w:line="202"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line="5" w:lineRule="exact"/>
        <w:rPr>
          <w:sz w:val="20"/>
          <w:szCs w:val="20"/>
          <w:color w:val="auto"/>
        </w:rPr>
      </w:pPr>
    </w:p>
    <w:p>
      <w:pPr>
        <w:ind w:right="3899" w:firstLine="843"/>
        <w:spacing w:after="0" w:line="236" w:lineRule="auto"/>
        <w:rPr>
          <w:sz w:val="20"/>
          <w:szCs w:val="20"/>
          <w:color w:val="auto"/>
        </w:rPr>
      </w:pPr>
      <w:r>
        <w:rPr>
          <w:rFonts w:ascii="Courier New" w:cs="Courier New" w:eastAsia="Courier New" w:hAnsi="Courier New"/>
          <w:sz w:val="18"/>
          <w:szCs w:val="18"/>
          <w:color w:val="auto"/>
        </w:rPr>
        <w:t>Duly authorized under Power of Attorney effective as of June 1, 2008, by and on behalf of FMR LLC and its direct and indirect subsidiaries</w:t>
      </w:r>
    </w:p>
    <w:p>
      <w:pPr>
        <w:spacing w:after="0" w:line="203"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Edward C. Johnson 3d</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spacing w:after="0" w:line="5" w:lineRule="exact"/>
        <w:rPr>
          <w:sz w:val="20"/>
          <w:szCs w:val="20"/>
          <w:color w:val="auto"/>
        </w:rPr>
      </w:pPr>
    </w:p>
    <w:p>
      <w:pPr>
        <w:ind w:right="3899" w:firstLine="843"/>
        <w:spacing w:after="0" w:line="290" w:lineRule="auto"/>
        <w:rPr>
          <w:sz w:val="20"/>
          <w:szCs w:val="20"/>
          <w:color w:val="auto"/>
        </w:rPr>
      </w:pPr>
      <w:r>
        <w:rPr>
          <w:rFonts w:ascii="Courier New" w:cs="Courier New" w:eastAsia="Courier New" w:hAnsi="Courier New"/>
          <w:sz w:val="16"/>
          <w:szCs w:val="16"/>
          <w:color w:val="auto"/>
        </w:rPr>
        <w:t>Duly authorized under Power of Attorney effective as of June 1, 2008, by and on behalf of Edward C. Johnson 3d</w:t>
      </w:r>
    </w:p>
    <w:p>
      <w:pPr>
        <w:spacing w:after="0" w:line="164"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Fidelity Management &amp; Research Company</w:t>
      </w:r>
    </w:p>
    <w:p>
      <w:pPr>
        <w:spacing w:after="0" w:line="201" w:lineRule="exact"/>
        <w:rPr>
          <w:sz w:val="20"/>
          <w:szCs w:val="20"/>
          <w:color w:val="auto"/>
        </w:rPr>
      </w:pPr>
    </w:p>
    <w:p>
      <w:pPr>
        <w:ind w:left="860"/>
        <w:spacing w:after="0"/>
        <w:rPr>
          <w:sz w:val="20"/>
          <w:szCs w:val="20"/>
          <w:color w:val="auto"/>
        </w:rPr>
      </w:pPr>
      <w:r>
        <w:rPr>
          <w:rFonts w:ascii="Courier New" w:cs="Courier New" w:eastAsia="Courier New" w:hAnsi="Courier New"/>
          <w:sz w:val="18"/>
          <w:szCs w:val="18"/>
          <w:color w:val="auto"/>
        </w:rPr>
        <w:t>By /s/ Scott C. Goebel</w:t>
      </w:r>
    </w:p>
    <w:p>
      <w:pPr>
        <w:ind w:left="860"/>
        <w:spacing w:after="0" w:line="238" w:lineRule="auto"/>
        <w:rPr>
          <w:sz w:val="20"/>
          <w:szCs w:val="20"/>
          <w:color w:val="auto"/>
        </w:rPr>
      </w:pPr>
      <w:r>
        <w:rPr>
          <w:rFonts w:ascii="Courier New" w:cs="Courier New" w:eastAsia="Courier New" w:hAnsi="Courier New"/>
          <w:sz w:val="18"/>
          <w:szCs w:val="18"/>
          <w:color w:val="auto"/>
        </w:rPr>
        <w:t>Scott C. Goebel</w:t>
      </w:r>
    </w:p>
    <w:p>
      <w:pPr>
        <w:ind w:left="860"/>
        <w:spacing w:after="0"/>
        <w:rPr>
          <w:sz w:val="20"/>
          <w:szCs w:val="20"/>
          <w:color w:val="auto"/>
        </w:rPr>
      </w:pPr>
      <w:r>
        <w:rPr>
          <w:rFonts w:ascii="Courier New" w:cs="Courier New" w:eastAsia="Courier New" w:hAnsi="Courier New"/>
          <w:sz w:val="18"/>
          <w:szCs w:val="18"/>
          <w:color w:val="auto"/>
        </w:rPr>
        <w:t>Senior V.P. and General Counsel</w:t>
      </w:r>
    </w:p>
    <w:p>
      <w:pPr>
        <w:sectPr>
          <w:pgSz w:w="11900" w:h="16838" w:orient="portrait"/>
          <w:cols w:equalWidth="0" w:num="1">
            <w:col w:w="10219"/>
          </w:cols>
          <w:pgMar w:left="240" w:top="142" w:right="1440"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lowerLetter"/>
      <w:start w:val="3"/>
    </w:lvl>
  </w:abstractNum>
  <w:abstractNum w:abstractNumId="1">
    <w:nsid w:val="19495CFF"/>
    <w:multiLevelType w:val="hybridMultilevel"/>
    <w:lvl w:ilvl="0">
      <w:lvlJc w:val="left"/>
      <w:lvlText w:val="(%1)"/>
      <w:numFmt w:val="lowerRoman"/>
      <w:start w:val="2"/>
    </w:lvl>
  </w:abstractNum>
  <w:abstractNum w:abstractNumId="2">
    <w:nsid w:val="2AE8944A"/>
    <w:multiLevelType w:val="hybridMultilevel"/>
    <w:lvl w:ilvl="0">
      <w:lvlJc w:val="left"/>
      <w:lvlText w:val="(%1)"/>
      <w:numFmt w:val="lowerRoman"/>
      <w:start w:val="3"/>
    </w:lvl>
  </w:abstractNum>
  <w:abstractNum w:abstractNumId="3">
    <w:nsid w:val="625558EC"/>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2019-12-10T09:55:36Z</dcterms:created>
  <dcterms:modified xsi:type="dcterms:W3CDTF">2019-12-10T09:55:36Z</dcterms:modified>
</cp:coreProperties>
</file>