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598.58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599.59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600.53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601.56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602.48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604.51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605.4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606.5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-4853940</wp:posOffset>
            </wp:positionV>
            <wp:extent cx="7031355" cy="489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89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June 1, 2020 at prices ranging from $598.13 to $598.99.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June 1, 2020 at prices ranging from $599.15 to $599.94.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June 1, 2020 at prices ranging from $600.27 to $600.78.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June 1, 2020 at prices ranging from $601.17 to $601.87.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June 1, 2020 at prices ranging from $602.24 to $602.98.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June 1, 2020 at prices ranging from $603.02 to $603.95.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 shares of Company stock on June 1, 2020 at prices ranging from $604.06 to $604.90.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June 1, 2020 at prices ranging from $605.00 to $605.85.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80" w:firstLine="7"/>
        <w:spacing w:after="0" w:line="301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June 1, 2020 at prices ranging from $606.07 to $606.95.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ind w:left="40" w:right="160" w:firstLine="7"/>
        <w:spacing w:after="0" w:line="308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June 1, 2020 at prices ranging from $607.18 to $607.22. Upon request by the Commission staff, the Company, or a security holder of the Company, the reporting person will provide full information regarding the number of shares sold by the reporting person on June 1,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06/02/2020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7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7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2020-06-02T15:05:14Z</dcterms:created>
  <dcterms:modified xsi:type="dcterms:W3CDTF">2020-06-02T15:05:14Z</dcterms:modified>
</cp:coreProperties>
</file>