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February 24, 2016 (February 19, 2016)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REGENERON PHARMACEUTICALS,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New York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000-19034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13-3444607</w:t>
            </w:r>
          </w:p>
        </w:tc>
      </w:tr>
      <w:tr>
        <w:trPr>
          <w:trHeight w:val="216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(Commission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(I.R.S. Employer</w:t>
            </w:r>
          </w:p>
        </w:tc>
      </w:tr>
      <w:tr>
        <w:trPr>
          <w:trHeight w:val="230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File Number)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Identification No.)</w:t>
            </w:r>
          </w:p>
        </w:tc>
      </w:tr>
      <w:tr>
        <w:trPr>
          <w:trHeight w:val="418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777 Old Saw Mill River Road, Tarrytown, New York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10591-6707</w:t>
            </w:r>
          </w:p>
        </w:tc>
      </w:tr>
      <w:tr>
        <w:trPr>
          <w:trHeight w:val="230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(914) 847-7000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1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Instructions A.2. below):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194945</wp:posOffset>
            </wp:positionV>
            <wp:extent cx="72466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433070</wp:posOffset>
            </wp:positionV>
            <wp:extent cx="7267575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1.01. Entry into a Material Definitive Agreement.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firstLine="324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February 19, 2016, Regeneron Pharmaceuticals, Inc. (“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Regeneron</w:t>
      </w:r>
      <w:r>
        <w:rPr>
          <w:rFonts w:ascii="Arial" w:cs="Arial" w:eastAsia="Arial" w:hAnsi="Arial"/>
          <w:sz w:val="18"/>
          <w:szCs w:val="18"/>
          <w:color w:val="auto"/>
        </w:rPr>
        <w:t>” or 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entered into the Second Amendment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Second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Amendment</w:t>
      </w:r>
      <w:r>
        <w:rPr>
          <w:rFonts w:ascii="Arial" w:cs="Arial" w:eastAsia="Arial" w:hAnsi="Arial"/>
          <w:sz w:val="18"/>
          <w:szCs w:val="18"/>
          <w:color w:val="auto"/>
        </w:rPr>
        <w:t>”) to the Master Terms and Conditions for Warrants, dated as of October 18, 2011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Master Terms</w:t>
      </w:r>
      <w:r>
        <w:rPr>
          <w:rFonts w:ascii="Arial" w:cs="Arial" w:eastAsia="Arial" w:hAnsi="Arial"/>
          <w:sz w:val="18"/>
          <w:szCs w:val="18"/>
          <w:color w:val="auto"/>
        </w:rPr>
        <w:t>”), as supplemented by a confirmation dated October 18, 2011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Confirmation</w:t>
      </w:r>
      <w:r>
        <w:rPr>
          <w:rFonts w:ascii="Arial" w:cs="Arial" w:eastAsia="Arial" w:hAnsi="Arial"/>
          <w:sz w:val="18"/>
          <w:szCs w:val="18"/>
          <w:color w:val="auto"/>
        </w:rPr>
        <w:t>”) and as amended by the Amendment dated May 13, 2014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First Amendment</w:t>
      </w:r>
      <w:r>
        <w:rPr>
          <w:rFonts w:ascii="Arial" w:cs="Arial" w:eastAsia="Arial" w:hAnsi="Arial"/>
          <w:sz w:val="18"/>
          <w:szCs w:val="18"/>
          <w:color w:val="auto"/>
        </w:rPr>
        <w:t>”), with Citibank, N.A. (“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Citi</w:t>
      </w:r>
      <w:r>
        <w:rPr>
          <w:rFonts w:ascii="Arial" w:cs="Arial" w:eastAsia="Arial" w:hAnsi="Arial"/>
          <w:sz w:val="18"/>
          <w:szCs w:val="18"/>
          <w:color w:val="auto"/>
        </w:rPr>
        <w:t>”). The Master Terms, as supplemented by the Confirmation and amended by the First Amendment, are referred to below as 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Warrant Agreement</w:t>
      </w:r>
      <w:r>
        <w:rPr>
          <w:rFonts w:ascii="Arial" w:cs="Arial" w:eastAsia="Arial" w:hAnsi="Arial"/>
          <w:sz w:val="18"/>
          <w:szCs w:val="18"/>
          <w:color w:val="auto"/>
        </w:rPr>
        <w:t>.” The Warrant Agreement governed the remaining outstanding warrants issued by the Company to Citi in 2011 in connection with the issuance of Regeneron’s 1.875% convertible senior notes and the related hedging transactions.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firstLine="324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Second Amendment, Regeneron and Citi have agreed to reduce the remaining number of warrants held by Citi by up to 975,142, or 97%, for an aggregate amount payable by Regeneron not to exceed $214.8 million. The reduction in the number of warrants will be determined on a daily basis based on the number of warrants with respect to which Citi has closed out its hedge positions on a trading day during the period starting on February 22, 2016 and ending no later than May 5, 2016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Transaction Period</w:t>
      </w:r>
      <w:r>
        <w:rPr>
          <w:rFonts w:ascii="Arial" w:cs="Arial" w:eastAsia="Arial" w:hAnsi="Arial"/>
          <w:sz w:val="18"/>
          <w:szCs w:val="18"/>
          <w:color w:val="auto"/>
        </w:rPr>
        <w:t>”). Each payment amount (a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Daily Amendment Payment</w:t>
      </w:r>
      <w:r>
        <w:rPr>
          <w:rFonts w:ascii="Arial" w:cs="Arial" w:eastAsia="Arial" w:hAnsi="Arial"/>
          <w:sz w:val="18"/>
          <w:szCs w:val="18"/>
          <w:color w:val="auto"/>
        </w:rPr>
        <w:t>”) will be based on the volume-weighted average of the per share prices at which Citi purchases shares of Regeneron common stock, par value $0.001 per share (“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Common Stock</w:t>
      </w:r>
      <w:r>
        <w:rPr>
          <w:rFonts w:ascii="Arial" w:cs="Arial" w:eastAsia="Arial" w:hAnsi="Arial"/>
          <w:sz w:val="18"/>
          <w:szCs w:val="18"/>
          <w:color w:val="auto"/>
        </w:rPr>
        <w:t>”), in order to close out its hedge positions in respect of such warrants on a trading day during the Transaction Period, and will be due on the third business day following each such trading day.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 its sole discretion, Regeneron may satisfy any Daily Amendment Payment in cash or by delivering shares of Common Stock (“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Settlement Shares</w:t>
      </w:r>
      <w:r>
        <w:rPr>
          <w:rFonts w:ascii="Arial" w:cs="Arial" w:eastAsia="Arial" w:hAnsi="Arial"/>
          <w:sz w:val="16"/>
          <w:szCs w:val="16"/>
          <w:color w:val="auto"/>
        </w:rPr>
        <w:t>”) to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Citi (or its designee) with a value equal to such Daily Amendment Payment, as determined by Citi in good faith and in commercially reasonable manner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(taking into account a commercially reasonable illiquidity discount in the case of any unregistered Settlement Shares). If, following the sale of Settlement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by or on behalf of Citi on the conditions set forth in the Second Amendment, it is determined that the net proceeds thereof are less than the applicable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Daily Amendment Payment, Regeneron will become obligated to cover the shortfall either in cash or by delivery of additional shares of Common Stock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Makewhole Shares</w:t>
      </w:r>
      <w:r>
        <w:rPr>
          <w:rFonts w:ascii="Arial" w:cs="Arial" w:eastAsia="Arial" w:hAnsi="Arial"/>
          <w:sz w:val="16"/>
          <w:szCs w:val="16"/>
          <w:color w:val="auto"/>
        </w:rPr>
        <w:t>”). The maximum aggregate number of Settlement Shares and Makewhole Shares required to be delivered by Regeneron upon settlement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of all Daily Amendment Payments settled in Common Stock may not exceed 250,000 (the 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Share Cap</w:t>
      </w:r>
      <w:r>
        <w:rPr>
          <w:rFonts w:ascii="Arial" w:cs="Arial" w:eastAsia="Arial" w:hAnsi="Arial"/>
          <w:sz w:val="16"/>
          <w:szCs w:val="16"/>
          <w:color w:val="auto"/>
        </w:rPr>
        <w:t>”). If Regeneron elects to settle any Daily Amendment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in Common Stock and such settlement would otherwise require delivery of shares of Common Stock in excess of the Share Cap, Regeneron will not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be required to cover the shortfall in cash or otherwise.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Second Amendment also contains customary representations, warranties and covenants of the Company and Citi, respectively.</w:t>
      </w:r>
    </w:p>
    <w:p>
      <w:pPr>
        <w:sectPr>
          <w:pgSz w:w="11900" w:h="16838" w:orient="portrait"/>
          <w:cols w:equalWidth="0" w:num="1">
            <w:col w:w="11400"/>
          </w:cols>
          <w:pgMar w:left="240" w:top="544" w:right="259" w:bottom="0" w:gutter="0" w:footer="0" w:header="0"/>
        </w:sectPr>
      </w:pPr>
    </w:p>
    <w:bookmarkStart w:id="1" w:name="page2"/>
    <w:bookmarkEnd w:id="1"/>
    <w:p>
      <w:pPr>
        <w:jc w:val="both"/>
        <w:ind w:right="240" w:firstLine="324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foregoing description of the Second Amendment is qualified in its entirety by reference to the full text of the Second Amendment, a copy of which will be filed with the Securities and Exchange Commission as an exhibit to the Company’s Quarterly Report on Form 10-Q for the quarterly period ending March 31, 2016.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67575" cy="29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52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February 24, 2016</w:t>
            </w:r>
          </w:p>
        </w:tc>
        <w:tc>
          <w:tcPr>
            <w:tcW w:w="7820" w:type="dxa"/>
            <w:vAlign w:val="bottom"/>
            <w:gridSpan w:val="2"/>
          </w:tcPr>
          <w:p>
            <w:pPr>
              <w:ind w:left="1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REGENERON PHARMACEUTICALS,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4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1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5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Joseph J. LaRosa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18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522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Joseph J. LaRosa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1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Senior Vice President, General Counsel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Secretary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2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5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2"/>
        </w:trPr>
        <w:tc>
          <w:tcPr>
            <w:tcW w:w="3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-29210</wp:posOffset>
            </wp:positionV>
            <wp:extent cx="1270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60"/>
      </w:cols>
      <w:pgMar w:left="240" w:top="341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2019-12-06T00:01:53Z</dcterms:created>
  <dcterms:modified xsi:type="dcterms:W3CDTF">2019-12-06T00:01:53Z</dcterms:modified>
</cp:coreProperties>
</file>