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59"/>
        <w:spacing w:after="0"/>
        <w:rPr>
          <w:sz w:val="20"/>
          <w:szCs w:val="20"/>
          <w:color w:val="auto"/>
        </w:rPr>
      </w:pPr>
      <w:r>
        <w:rPr>
          <w:rFonts w:ascii="Courier New" w:cs="Courier New" w:eastAsia="Courier New" w:hAnsi="Courier New"/>
          <w:sz w:val="15"/>
          <w:szCs w:val="15"/>
          <w:color w:val="auto"/>
        </w:rPr>
        <w:t>UNITED STATES</w:t>
      </w:r>
    </w:p>
    <w:p>
      <w:pPr>
        <w:jc w:val="center"/>
        <w:ind w:right="317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9"/>
        <w:spacing w:after="0"/>
        <w:rPr>
          <w:sz w:val="20"/>
          <w:szCs w:val="20"/>
          <w:color w:val="auto"/>
        </w:rPr>
      </w:pPr>
      <w:r>
        <w:rPr>
          <w:rFonts w:ascii="Courier New" w:cs="Courier New" w:eastAsia="Courier New" w:hAnsi="Courier New"/>
          <w:sz w:val="15"/>
          <w:szCs w:val="15"/>
          <w:color w:val="auto"/>
        </w:rPr>
        <w:t>Washington, D.C. 20549</w:t>
      </w:r>
    </w:p>
    <w:p>
      <w:pPr>
        <w:spacing w:after="0" w:line="168"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10-K</w:t>
      </w:r>
    </w:p>
    <w:p>
      <w:pPr>
        <w:spacing w:after="0" w:line="339" w:lineRule="exact"/>
        <w:rPr>
          <w:sz w:val="24"/>
          <w:szCs w:val="24"/>
          <w:color w:val="auto"/>
        </w:rPr>
      </w:pPr>
    </w:p>
    <w:p>
      <w:pPr>
        <w:ind w:left="780"/>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340" w:right="3179" w:hanging="339"/>
        <w:spacing w:after="0" w:line="235" w:lineRule="auto"/>
        <w:tabs>
          <w:tab w:leader="none" w:pos="320" w:val="left"/>
        </w:tabs>
        <w:rPr>
          <w:sz w:val="20"/>
          <w:szCs w:val="20"/>
          <w:color w:val="auto"/>
        </w:rPr>
      </w:pPr>
      <w:r>
        <w:rPr>
          <w:rFonts w:ascii="Courier New" w:cs="Courier New" w:eastAsia="Courier New" w:hAnsi="Courier New"/>
          <w:sz w:val="15"/>
          <w:szCs w:val="15"/>
          <w:color w:val="auto"/>
        </w:rPr>
        <w:t>/x/</w:t>
        <w:tab/>
        <w:t>ANNUAL REPORT PURSUANT TO SECTION 13 OR 15(d) OF THE SECURITIES EXCHANGE ACT OF 1934</w:t>
      </w:r>
    </w:p>
    <w:p>
      <w:pPr>
        <w:spacing w:after="0" w:line="170" w:lineRule="exact"/>
        <w:rPr>
          <w:sz w:val="24"/>
          <w:szCs w:val="24"/>
          <w:color w:val="auto"/>
        </w:rPr>
      </w:pPr>
    </w:p>
    <w:p>
      <w:pPr>
        <w:ind w:left="780"/>
        <w:spacing w:after="0"/>
        <w:rPr>
          <w:sz w:val="20"/>
          <w:szCs w:val="20"/>
          <w:color w:val="auto"/>
        </w:rPr>
      </w:pPr>
      <w:r>
        <w:rPr>
          <w:rFonts w:ascii="Courier New" w:cs="Courier New" w:eastAsia="Courier New" w:hAnsi="Courier New"/>
          <w:sz w:val="15"/>
          <w:szCs w:val="15"/>
          <w:color w:val="auto"/>
        </w:rPr>
        <w:t>For the fiscal year ended December 31, 1998</w:t>
      </w:r>
    </w:p>
    <w:p>
      <w:pPr>
        <w:spacing w:after="0" w:line="344" w:lineRule="exact"/>
        <w:rPr>
          <w:sz w:val="24"/>
          <w:szCs w:val="24"/>
          <w:color w:val="auto"/>
        </w:rPr>
      </w:pPr>
    </w:p>
    <w:p>
      <w:pPr>
        <w:ind w:left="340" w:right="3179" w:hanging="352"/>
        <w:spacing w:after="0" w:line="235" w:lineRule="auto"/>
        <w:rPr>
          <w:sz w:val="20"/>
          <w:szCs w:val="20"/>
          <w:color w:val="auto"/>
        </w:rPr>
      </w:pPr>
      <w:r>
        <w:rPr>
          <w:rFonts w:ascii="Courier New" w:cs="Courier New" w:eastAsia="Courier New" w:hAnsi="Courier New"/>
          <w:sz w:val="15"/>
          <w:szCs w:val="15"/>
          <w:color w:val="auto"/>
        </w:rPr>
        <w:t>/_/ TRANSITION REPORT PURSUANT TO SECTION 13 OR 15(d) OF THE SECURITIES EXCHANGE ACT OF 1934</w:t>
      </w:r>
    </w:p>
    <w:p>
      <w:pPr>
        <w:spacing w:after="0" w:line="340" w:lineRule="exact"/>
        <w:rPr>
          <w:sz w:val="24"/>
          <w:szCs w:val="24"/>
          <w:color w:val="auto"/>
        </w:rPr>
      </w:pPr>
    </w:p>
    <w:p>
      <w:pPr>
        <w:ind w:left="780"/>
        <w:spacing w:after="0"/>
        <w:rPr>
          <w:sz w:val="20"/>
          <w:szCs w:val="20"/>
          <w:color w:val="auto"/>
        </w:rPr>
      </w:pPr>
      <w:r>
        <w:rPr>
          <w:rFonts w:ascii="Courier New" w:cs="Courier New" w:eastAsia="Courier New" w:hAnsi="Courier New"/>
          <w:sz w:val="15"/>
          <w:szCs w:val="15"/>
          <w:color w:val="auto"/>
        </w:rPr>
        <w:t>For the transition period from ________________ to _____________</w:t>
      </w:r>
    </w:p>
    <w:p>
      <w:pPr>
        <w:spacing w:after="0" w:line="339"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Commission File Number 0-19034</w:t>
      </w:r>
    </w:p>
    <w:p>
      <w:pPr>
        <w:spacing w:after="0" w:line="339"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REGENERON PHARMACEUTICALS, INC.</w:t>
      </w:r>
    </w:p>
    <w:p>
      <w:pPr>
        <w:jc w:val="center"/>
        <w:ind w:right="317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882" w:right="1440" w:bottom="463" w:gutter="0" w:footer="0" w:header="0"/>
        </w:sectPr>
      </w:pPr>
    </w:p>
    <w:p>
      <w:pPr>
        <w:spacing w:after="0" w:line="338" w:lineRule="exact"/>
        <w:rPr>
          <w:sz w:val="24"/>
          <w:szCs w:val="24"/>
          <w:color w:val="auto"/>
        </w:rPr>
      </w:pPr>
    </w:p>
    <w:p>
      <w:pPr>
        <w:ind w:left="1040"/>
        <w:spacing w:after="0"/>
        <w:rPr>
          <w:sz w:val="20"/>
          <w:szCs w:val="20"/>
          <w:color w:val="auto"/>
        </w:rPr>
      </w:pPr>
      <w:r>
        <w:rPr>
          <w:rFonts w:ascii="Courier New" w:cs="Courier New" w:eastAsia="Courier New" w:hAnsi="Courier New"/>
          <w:sz w:val="15"/>
          <w:szCs w:val="15"/>
          <w:color w:val="auto"/>
        </w:rPr>
        <w:t>New York</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1"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13-3444607</w:t>
      </w:r>
    </w:p>
    <w:p>
      <w:pPr>
        <w:spacing w:after="0" w:line="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(I.R.S. Employer Identification No)</w:t>
      </w:r>
    </w:p>
    <w:p>
      <w:pPr>
        <w:spacing w:after="0" w:line="369" w:lineRule="exact"/>
        <w:rPr>
          <w:sz w:val="24"/>
          <w:szCs w:val="24"/>
          <w:color w:val="auto"/>
        </w:rPr>
      </w:pPr>
    </w:p>
    <w:p>
      <w:pPr>
        <w:sectPr>
          <w:pgSz w:w="11900" w:h="16838" w:orient="portrait"/>
          <w:cols w:equalWidth="0" w:num="2">
            <w:col w:w="3240" w:space="720"/>
            <w:col w:w="6259"/>
          </w:cols>
          <w:pgMar w:left="240" w:top="882" w:right="1440" w:bottom="463" w:gutter="0" w:footer="0" w:header="0"/>
          <w:type w:val="continuous"/>
        </w:sectPr>
      </w:pPr>
    </w:p>
    <w:p>
      <w:pPr>
        <w:spacing w:after="0" w:line="150" w:lineRule="exact"/>
        <w:rPr>
          <w:sz w:val="24"/>
          <w:szCs w:val="24"/>
          <w:color w:val="auto"/>
        </w:rPr>
      </w:pPr>
    </w:p>
    <w:p>
      <w:pPr>
        <w:ind w:left="260" w:right="1220" w:hanging="263"/>
        <w:spacing w:after="0" w:line="265" w:lineRule="auto"/>
        <w:rPr>
          <w:sz w:val="20"/>
          <w:szCs w:val="20"/>
          <w:color w:val="auto"/>
        </w:rPr>
      </w:pPr>
      <w:r>
        <w:rPr>
          <w:rFonts w:ascii="Courier New" w:cs="Courier New" w:eastAsia="Courier New" w:hAnsi="Courier New"/>
          <w:sz w:val="14"/>
          <w:szCs w:val="14"/>
          <w:color w:val="auto"/>
        </w:rPr>
        <w:t>777 Old Saw Mill River Road, Tarrytown, New York (Address of principal executive offices)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10591-6707</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22" w:lineRule="exact"/>
        <w:rPr>
          <w:sz w:val="24"/>
          <w:szCs w:val="24"/>
          <w:color w:val="auto"/>
        </w:rPr>
      </w:pPr>
    </w:p>
    <w:p>
      <w:pPr>
        <w:sectPr>
          <w:pgSz w:w="11900" w:h="16838" w:orient="portrait"/>
          <w:cols w:equalWidth="0" w:num="2">
            <w:col w:w="5440" w:space="720"/>
            <w:col w:w="4059"/>
          </w:cols>
          <w:pgMar w:left="240" w:top="882" w:right="1440" w:bottom="463" w:gutter="0" w:footer="0" w:header="0"/>
          <w:type w:val="continuous"/>
        </w:sectPr>
      </w:pPr>
    </w:p>
    <w:p>
      <w:pPr>
        <w:spacing w:after="0" w:line="122"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5"/>
          <w:szCs w:val="15"/>
          <w:color w:val="auto"/>
        </w:rPr>
        <w:t>(914) 347-7000</w:t>
      </w:r>
    </w:p>
    <w:p>
      <w:pPr>
        <w:spacing w:after="0" w:line="5"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(Registrant's telephone number, including area code)</w:t>
      </w:r>
    </w:p>
    <w:p>
      <w:pPr>
        <w:sectPr>
          <w:pgSz w:w="11900" w:h="16838" w:orient="portrait"/>
          <w:cols w:equalWidth="0" w:num="1">
            <w:col w:w="10219"/>
          </w:cols>
          <w:pgMar w:left="240" w:top="882" w:right="1440" w:bottom="463" w:gutter="0" w:footer="0" w:header="0"/>
          <w:type w:val="continuous"/>
        </w:sectPr>
      </w:pPr>
    </w:p>
    <w:p>
      <w:pPr>
        <w:spacing w:after="0" w:line="344" w:lineRule="exact"/>
        <w:rPr>
          <w:sz w:val="24"/>
          <w:szCs w:val="24"/>
          <w:color w:val="auto"/>
        </w:rPr>
      </w:pPr>
    </w:p>
    <w:p>
      <w:pPr>
        <w:ind w:left="96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33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None</w:t>
      </w:r>
    </w:p>
    <w:p>
      <w:pPr>
        <w:jc w:val="center"/>
        <w:ind w:right="3179"/>
        <w:spacing w:after="0"/>
        <w:rPr>
          <w:sz w:val="20"/>
          <w:szCs w:val="20"/>
          <w:color w:val="auto"/>
        </w:rPr>
      </w:pPr>
      <w:r>
        <w:rPr>
          <w:rFonts w:ascii="Courier New" w:cs="Courier New" w:eastAsia="Courier New" w:hAnsi="Courier New"/>
          <w:sz w:val="15"/>
          <w:szCs w:val="15"/>
          <w:color w:val="auto"/>
        </w:rPr>
        <w:t>(Title of Class)</w:t>
      </w:r>
    </w:p>
    <w:p>
      <w:pPr>
        <w:spacing w:after="0" w:line="338" w:lineRule="exact"/>
        <w:rPr>
          <w:sz w:val="24"/>
          <w:szCs w:val="24"/>
          <w:color w:val="auto"/>
        </w:rPr>
      </w:pPr>
    </w:p>
    <w:p>
      <w:pPr>
        <w:ind w:left="960"/>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33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Common Stock - par value $.001 per share</w:t>
      </w:r>
    </w:p>
    <w:p>
      <w:pPr>
        <w:jc w:val="center"/>
        <w:ind w:right="3179"/>
        <w:spacing w:after="0"/>
        <w:rPr>
          <w:sz w:val="20"/>
          <w:szCs w:val="20"/>
          <w:color w:val="auto"/>
        </w:rPr>
      </w:pPr>
      <w:r>
        <w:rPr>
          <w:rFonts w:ascii="Courier New" w:cs="Courier New" w:eastAsia="Courier New" w:hAnsi="Courier New"/>
          <w:sz w:val="15"/>
          <w:szCs w:val="15"/>
          <w:color w:val="auto"/>
        </w:rPr>
        <w:t>(Title of Class)</w:t>
      </w:r>
    </w:p>
    <w:p>
      <w:pPr>
        <w:spacing w:after="0" w:line="338"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Preferred Share Purchase Rights expiring October 18, 2006</w:t>
      </w:r>
    </w:p>
    <w:p>
      <w:pPr>
        <w:jc w:val="center"/>
        <w:ind w:right="3179"/>
        <w:spacing w:after="0"/>
        <w:rPr>
          <w:sz w:val="20"/>
          <w:szCs w:val="20"/>
          <w:color w:val="auto"/>
        </w:rPr>
      </w:pPr>
      <w:r>
        <w:rPr>
          <w:rFonts w:ascii="Courier New" w:cs="Courier New" w:eastAsia="Courier New" w:hAnsi="Courier New"/>
          <w:sz w:val="15"/>
          <w:szCs w:val="15"/>
          <w:color w:val="auto"/>
        </w:rPr>
        <w:t>(Title of Class)</w:t>
      </w:r>
    </w:p>
    <w:p>
      <w:pPr>
        <w:spacing w:after="0" w:line="174" w:lineRule="exact"/>
        <w:rPr>
          <w:sz w:val="24"/>
          <w:szCs w:val="24"/>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78" w:lineRule="exact"/>
        <w:rPr>
          <w:sz w:val="24"/>
          <w:szCs w:val="24"/>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(Section 229.405 of this chapter) is not contained herein, and will not be contained, to the best of registrant's knowledge, in definitive proxy or information statements incorporated by reference in Part III of this Form 10-K or any amendment to this Form 10-K. /_/</w:t>
      </w:r>
    </w:p>
    <w:p>
      <w:pPr>
        <w:spacing w:after="0" w:line="178" w:lineRule="exact"/>
        <w:rPr>
          <w:sz w:val="24"/>
          <w:szCs w:val="24"/>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At March 5, 1999, the aggregate market value of voting stock held by non-affiliates of the Registrant totaled approximately $213,833,411 based on the last sale price as reported by The Nasdaq Stock Market.</w:t>
      </w:r>
    </w:p>
    <w:p>
      <w:pPr>
        <w:spacing w:after="0" w:line="175" w:lineRule="exact"/>
        <w:rPr>
          <w:sz w:val="24"/>
          <w:szCs w:val="24"/>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Indicate the number of shares outstanding of each of Registrant's classes of common stock as of March 5, 1999:</w:t>
      </w:r>
    </w:p>
    <w:p>
      <w:pPr>
        <w:sectPr>
          <w:pgSz w:w="11900" w:h="16838" w:orient="portrait"/>
          <w:cols w:equalWidth="0" w:num="1">
            <w:col w:w="10219"/>
          </w:cols>
          <w:pgMar w:left="240" w:top="882" w:right="1440" w:bottom="463" w:gutter="0" w:footer="0" w:header="0"/>
          <w:type w:val="continuous"/>
        </w:sectPr>
      </w:pPr>
    </w:p>
    <w:p>
      <w:pPr>
        <w:spacing w:after="0" w:line="170"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Class of Common Stock</w:t>
      </w: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Class A Stock, $.001 par value</w:t>
      </w:r>
    </w:p>
    <w:p>
      <w:pPr>
        <w:spacing w:after="0" w:line="5"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Common Stock, $.001 par value</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Number of Shares</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3,630,786</w:t>
      </w:r>
    </w:p>
    <w:p>
      <w:pPr>
        <w:ind w:left="180"/>
        <w:spacing w:after="0"/>
        <w:rPr>
          <w:sz w:val="20"/>
          <w:szCs w:val="20"/>
          <w:color w:val="auto"/>
        </w:rPr>
      </w:pPr>
      <w:r>
        <w:rPr>
          <w:rFonts w:ascii="Courier New" w:cs="Courier New" w:eastAsia="Courier New" w:hAnsi="Courier New"/>
          <w:sz w:val="15"/>
          <w:szCs w:val="15"/>
          <w:color w:val="auto"/>
        </w:rPr>
        <w:t>27,669,761</w:t>
      </w:r>
    </w:p>
    <w:p>
      <w:pPr>
        <w:spacing w:after="0" w:line="169" w:lineRule="exact"/>
        <w:rPr>
          <w:sz w:val="24"/>
          <w:szCs w:val="24"/>
          <w:color w:val="auto"/>
        </w:rPr>
      </w:pPr>
    </w:p>
    <w:p>
      <w:pPr>
        <w:sectPr>
          <w:pgSz w:w="11900" w:h="16838" w:orient="portrait"/>
          <w:cols w:equalWidth="0" w:num="2">
            <w:col w:w="4560" w:space="720"/>
            <w:col w:w="4939"/>
          </w:cols>
          <w:pgMar w:left="240" w:top="882" w:right="1440" w:bottom="463" w:gutter="0" w:footer="0" w:header="0"/>
          <w:type w:val="continuous"/>
        </w:sectPr>
      </w:pPr>
    </w:p>
    <w:p>
      <w:pPr>
        <w:ind w:left="192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5" w:lineRule="exact"/>
        <w:rPr>
          <w:sz w:val="24"/>
          <w:szCs w:val="24"/>
          <w:color w:val="auto"/>
        </w:rPr>
      </w:pPr>
    </w:p>
    <w:p>
      <w:pPr>
        <w:ind w:right="3259" w:firstLine="793"/>
        <w:spacing w:after="0" w:line="259" w:lineRule="auto"/>
        <w:rPr>
          <w:sz w:val="20"/>
          <w:szCs w:val="20"/>
          <w:color w:val="auto"/>
        </w:rPr>
      </w:pPr>
      <w:r>
        <w:rPr>
          <w:rFonts w:ascii="Courier New" w:cs="Courier New" w:eastAsia="Courier New" w:hAnsi="Courier New"/>
          <w:sz w:val="14"/>
          <w:szCs w:val="14"/>
          <w:color w:val="auto"/>
        </w:rPr>
        <w:t>The Registrant's definitive proxy statement to be filed in connection with solicitation of proxies for its Annual Meeting of Shareholders to be held on June 11, 1999, is incorporated by reference into Part III of this Form 10-K. Exhibit index is located on pages 32 to 33 of this filing.</w:t>
      </w:r>
    </w:p>
    <w:p>
      <w:pPr>
        <w:sectPr>
          <w:pgSz w:w="11900" w:h="16838" w:orient="portrait"/>
          <w:cols w:equalWidth="0" w:num="1">
            <w:col w:w="10219"/>
          </w:cols>
          <w:pgMar w:left="240" w:top="882" w:right="1440" w:bottom="463" w:gutter="0" w:footer="0" w:header="0"/>
          <w:type w:val="continuous"/>
        </w:sectPr>
      </w:pPr>
    </w:p>
    <w:bookmarkStart w:id="1" w:name="page2"/>
    <w:bookmarkEnd w:id="1"/>
    <w:p>
      <w:pPr>
        <w:ind w:left="3260"/>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Regeneron Pharmaceuticals, Inc. ("Regeneron" or the "Company") is a leader in the application of molecular and cell biology to discover novel potential therapeutics for human medical conditions and is seeking to develop and commercialize these discoveries. The Company is applying its technological expertise in protein growth factors, their receptors, and their mechanisms of action to the discovery and development of protein-based drugs and orally active, small molecule drugs.</w:t>
      </w:r>
    </w:p>
    <w:p>
      <w:pPr>
        <w:spacing w:after="0" w:line="177" w:lineRule="exact"/>
        <w:rPr>
          <w:sz w:val="20"/>
          <w:szCs w:val="20"/>
          <w:color w:val="auto"/>
        </w:rPr>
      </w:pPr>
    </w:p>
    <w:p>
      <w:pPr>
        <w:ind w:left="1580" w:right="3439" w:hanging="796"/>
        <w:spacing w:after="0" w:line="237" w:lineRule="auto"/>
        <w:tabs>
          <w:tab w:leader="none" w:pos="15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AXOKINE(Registered) second generation ciliary neurotrophic factor for the treatment of obesity and diseases related to obesity such as Type II diabetes,</w:t>
      </w:r>
    </w:p>
    <w:p>
      <w:pPr>
        <w:spacing w:after="0" w:line="174" w:lineRule="exact"/>
        <w:rPr>
          <w:rFonts w:ascii="Courier New" w:cs="Courier New" w:eastAsia="Courier New" w:hAnsi="Courier New"/>
          <w:sz w:val="15"/>
          <w:szCs w:val="15"/>
          <w:color w:val="auto"/>
        </w:rPr>
      </w:pPr>
    </w:p>
    <w:p>
      <w:pPr>
        <w:ind w:left="1580" w:right="3179" w:hanging="796"/>
        <w:spacing w:after="0" w:line="237" w:lineRule="auto"/>
        <w:tabs>
          <w:tab w:leader="none" w:pos="15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Brain-derived neurotrophic factor ("BDNF") for the treatment of amyotrophic lateral sclerosis ("ALS," commonly known as Lou Gehrig's disease),</w:t>
      </w:r>
    </w:p>
    <w:p>
      <w:pPr>
        <w:spacing w:after="0" w:line="174" w:lineRule="exact"/>
        <w:rPr>
          <w:rFonts w:ascii="Courier New" w:cs="Courier New" w:eastAsia="Courier New" w:hAnsi="Courier New"/>
          <w:sz w:val="15"/>
          <w:szCs w:val="15"/>
          <w:color w:val="auto"/>
        </w:rPr>
      </w:pPr>
    </w:p>
    <w:p>
      <w:pPr>
        <w:ind w:left="1580" w:right="3619" w:hanging="796"/>
        <w:spacing w:after="0" w:line="235" w:lineRule="auto"/>
        <w:tabs>
          <w:tab w:leader="none" w:pos="15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Neurotrophin-3 ("NT-3") for the treatment of constipating conditions,</w:t>
      </w:r>
    </w:p>
    <w:p>
      <w:pPr>
        <w:spacing w:after="0" w:line="175" w:lineRule="exact"/>
        <w:rPr>
          <w:rFonts w:ascii="Courier New" w:cs="Courier New" w:eastAsia="Courier New" w:hAnsi="Courier New"/>
          <w:sz w:val="15"/>
          <w:szCs w:val="15"/>
          <w:color w:val="auto"/>
        </w:rPr>
      </w:pPr>
    </w:p>
    <w:p>
      <w:pPr>
        <w:ind w:left="1580" w:right="3359" w:hanging="796"/>
        <w:spacing w:after="0" w:line="238" w:lineRule="auto"/>
        <w:tabs>
          <w:tab w:leader="none" w:pos="15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Angiogenesis, including stimulating blood vessel growth in settings where more blood flow is desired and blocking blood vessel growth in abnormal conditions such as cancer. The angiogenesis program is based on Regeneron's discovery of Angiopoietins, a new family of ligands (and their receptors, called the TIE family of receptors) that appears to regulate blood vessel formation,</w:t>
      </w:r>
    </w:p>
    <w:p>
      <w:pPr>
        <w:spacing w:after="0" w:line="176" w:lineRule="exact"/>
        <w:rPr>
          <w:rFonts w:ascii="Courier New" w:cs="Courier New" w:eastAsia="Courier New" w:hAnsi="Courier New"/>
          <w:sz w:val="15"/>
          <w:szCs w:val="15"/>
          <w:color w:val="auto"/>
        </w:rPr>
      </w:pPr>
    </w:p>
    <w:p>
      <w:pPr>
        <w:ind w:left="1580" w:right="3179" w:hanging="796"/>
        <w:spacing w:after="0" w:line="237" w:lineRule="auto"/>
        <w:tabs>
          <w:tab w:leader="none" w:pos="15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Protein antagonists for cytokines such as interleukin-1 ("IL-1"), interleukin-4 ("IL-4") and interleukin-6 ("IL-6") as potential treatment of inflammatory diseases, allergic disorders, and cancer,</w:t>
      </w:r>
    </w:p>
    <w:p>
      <w:pPr>
        <w:spacing w:after="0" w:line="176" w:lineRule="exact"/>
        <w:rPr>
          <w:rFonts w:ascii="Courier New" w:cs="Courier New" w:eastAsia="Courier New" w:hAnsi="Courier New"/>
          <w:sz w:val="15"/>
          <w:szCs w:val="15"/>
          <w:color w:val="auto"/>
        </w:rPr>
      </w:pPr>
    </w:p>
    <w:p>
      <w:pPr>
        <w:ind w:left="1580" w:right="3979" w:hanging="796"/>
        <w:spacing w:after="0" w:line="235" w:lineRule="auto"/>
        <w:tabs>
          <w:tab w:leader="none" w:pos="15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AXOKINE for the treatment of retinal diseases such as retinitis pigmentosa,</w:t>
      </w:r>
    </w:p>
    <w:p>
      <w:pPr>
        <w:spacing w:after="0" w:line="175" w:lineRule="exact"/>
        <w:rPr>
          <w:rFonts w:ascii="Courier New" w:cs="Courier New" w:eastAsia="Courier New" w:hAnsi="Courier New"/>
          <w:sz w:val="15"/>
          <w:szCs w:val="15"/>
          <w:color w:val="auto"/>
        </w:rPr>
      </w:pPr>
    </w:p>
    <w:p>
      <w:pPr>
        <w:ind w:left="1580" w:right="3259" w:hanging="796"/>
        <w:spacing w:after="0" w:line="235" w:lineRule="auto"/>
        <w:tabs>
          <w:tab w:leader="none" w:pos="15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Muscle atrophy, using a variety of approaches to identify and validate drug targets, and</w:t>
      </w:r>
    </w:p>
    <w:p>
      <w:pPr>
        <w:spacing w:after="0" w:line="175" w:lineRule="exact"/>
        <w:rPr>
          <w:rFonts w:ascii="Courier New" w:cs="Courier New" w:eastAsia="Courier New" w:hAnsi="Courier New"/>
          <w:sz w:val="15"/>
          <w:szCs w:val="15"/>
          <w:color w:val="auto"/>
        </w:rPr>
      </w:pPr>
    </w:p>
    <w:p>
      <w:pPr>
        <w:ind w:left="1580" w:right="3179" w:hanging="796"/>
        <w:spacing w:after="0" w:line="237" w:lineRule="auto"/>
        <w:tabs>
          <w:tab w:leader="none" w:pos="15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programs to discover orally active, small molecule-based drugs, some of which may mimic or antagonize protein- or receptor-based drug candidates that the Company is developing.</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Company conducts many of its programs in collaboration with The Procter &amp; Gamble Company ("Procter &amp; Gamble"). In May 1997, the Company entered into a ten-year collaboration agreement with Procter &amp; Gamble to discover, develop, and commercialize pharmaceutical products (the "P&amp;G Agreement"). The P&amp;G Agreement expanded and superseded a collaboration agreement that the Company and Procter &amp; Gamble Pharmaceuticals, Inc. entered into in December 1996 jointly to develop drugs for skeletal muscle injury and atrophy. Procter &amp; Gamble agreed over the first five years of the various agreements to purchase up to $60.0 million in Regeneron equity, of which, as of March 15, 1999, Procter &amp; Gamble had purchased $42.9 million (in addition to a $10.0 million purchase of Regeneron Common Stock in March 1997 pursuant to the December 1996 agreement). In addition, Procter &amp; Gamble agreed over the first five years of the various agreements to provide up to $94.7 million in support of Regeneron's research efforts related to the collaboration, of which the Company had received $7.7 million as of March 15, 1999.</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2" w:right="1440" w:bottom="1440" w:gutter="0" w:footer="0" w:header="0"/>
        </w:sectPr>
      </w:pPr>
    </w:p>
    <w:bookmarkStart w:id="2" w:name="page3"/>
    <w:bookmarkEnd w:id="2"/>
    <w:p>
      <w:pPr>
        <w:ind w:right="3179" w:firstLine="793"/>
        <w:spacing w:after="0" w:line="238" w:lineRule="auto"/>
        <w:rPr>
          <w:sz w:val="20"/>
          <w:szCs w:val="20"/>
          <w:color w:val="auto"/>
        </w:rPr>
      </w:pPr>
      <w:r>
        <w:rPr>
          <w:rFonts w:ascii="Courier New" w:cs="Courier New" w:eastAsia="Courier New" w:hAnsi="Courier New"/>
          <w:sz w:val="15"/>
          <w:szCs w:val="15"/>
          <w:color w:val="auto"/>
        </w:rPr>
        <w:t>In September 1997, the Company and Procter &amp; Gamble expanded the P&amp;G Agreement to include AXOKINE and related molecules (delivered systemically), and agreed to develop AXOKINE initially to treat obesity associated with Type II diabetes. Procter &amp; Gamble agreed to reimburse the Company for certain research and development costs and pay the Company as much as $15.0 million in additional funding, partly subject to achieving certain milestones related to AXOKINE, of which $10.0 million has been paid. The Company and Procter &amp; Gamble filed an Investigational New Drug application ("IND") with the United States Food and Drug Administration ("FDA") in the first quarter of 1999 and plan to commence a Phase I clinical study during the first half of 1999 to determine the safety of AXOKINE administered subcutaneously for a short duration to mildly to moderately obese healthy volunteers.</w:t>
      </w:r>
    </w:p>
    <w:p>
      <w:pPr>
        <w:spacing w:after="0" w:line="182" w:lineRule="exact"/>
        <w:rPr>
          <w:sz w:val="20"/>
          <w:szCs w:val="20"/>
          <w:color w:val="auto"/>
        </w:rPr>
      </w:pPr>
    </w:p>
    <w:p>
      <w:pPr>
        <w:ind w:right="3539" w:firstLine="793"/>
        <w:spacing w:after="0" w:line="235" w:lineRule="auto"/>
        <w:rPr>
          <w:sz w:val="20"/>
          <w:szCs w:val="20"/>
          <w:color w:val="auto"/>
        </w:rPr>
      </w:pPr>
      <w:r>
        <w:rPr>
          <w:rFonts w:ascii="Courier New" w:cs="Courier New" w:eastAsia="Courier New" w:hAnsi="Courier New"/>
          <w:sz w:val="15"/>
          <w:szCs w:val="15"/>
          <w:color w:val="auto"/>
        </w:rPr>
        <w:t>The Company is independently developing AXOKINE for use in treating retinitis pigmentosa.</w:t>
      </w:r>
    </w:p>
    <w:p>
      <w:pPr>
        <w:spacing w:after="0" w:line="176" w:lineRule="exact"/>
        <w:rPr>
          <w:sz w:val="20"/>
          <w:szCs w:val="20"/>
          <w:color w:val="auto"/>
        </w:rPr>
      </w:pPr>
    </w:p>
    <w:p>
      <w:pPr>
        <w:ind w:right="3179" w:firstLine="793"/>
        <w:spacing w:after="0" w:line="239" w:lineRule="auto"/>
        <w:rPr>
          <w:sz w:val="20"/>
          <w:szCs w:val="20"/>
          <w:color w:val="auto"/>
        </w:rPr>
      </w:pPr>
      <w:r>
        <w:rPr>
          <w:rFonts w:ascii="Courier New" w:cs="Courier New" w:eastAsia="Courier New" w:hAnsi="Courier New"/>
          <w:sz w:val="15"/>
          <w:szCs w:val="15"/>
          <w:color w:val="auto"/>
        </w:rPr>
        <w:t>The Company and Amgen Inc. ("Amgen") are conducting clinical trials of BDNF and NT-3 on behalf of Amgen-Regeneron Partners, a general partnership owned equally by Regeneron and Amgen. BDNF is currently being developed by Amgen-Regeneron Partners for potential use in treating ALS through two routes of administration: intrathecal (infusion into the spinal fluid through an implanted pump) and subcutaneous (injection under the skin). In the fourth quarter of 1998, Amgen, on behalf of the partnership, began an intrathecal study in more than 200 patients with ALS. Subcutaneous studies conducted by Regeneron on behalf of the partnership began in the first quarter of 1998. The subcutaneous studies are based on an analysis of the Amgen-Regeneron Partners Phase III trial of BDNF for ALS that was completed in 1996. That trial failed to achieve its predetermined end points, but subsequent analyses indicated that a retrospectively-defined subset of ALS patients in the trial may have received a survival benefit from BDNF treatment. Based on the analyses and the 1998 follow-up studies, the Company, on behalf of Amgen-Regeneron Partners, plans to begin a double-blind, placebo-controlled, multi-center study of more than 200 patients in 1999 to determine the safety and efficacy of BDNF delivered subcutaneously to ALS patients. In addition, Sumitomo Pharmaceuticals Co., Ltd. ("Sumitomo Pharmaceuticals"), the Company's licensee in the development of BDNF in Japan, commenced a Phase I safety assessment of BDNF delivered subcutaneously to normal volunteers in 1998. Sumitomo Pharmaceuticals is initially developing BDNF to treat ALS.</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Amgen-Regeneron Partners' clinical development of NT-3 is currently focused on constipating conditions. Amgen-Regeneron Partners has conducted clinical studies of NT-3 in normal volunteers and patients suffering peripheral neuropathies associated with diabetes. These studies indicated, among other things, that NT-3 appears to be safe and well tolerated at a variety of doses in patients and that, at certain doses, NT-3 appears to cause increased gastrointestinal motility. In 1998, Regeneron, on behalf of Amgen-Regeneron Partners, completed a small clinical study that included healthy volunteers and patients suffering from severe idiopathic constipation and began additional small studies in patients who suffer from constipation associated with conditions such as spinal cord injury and Parkinson's disease.</w:t>
      </w:r>
    </w:p>
    <w:p>
      <w:pPr>
        <w:spacing w:after="0" w:line="181"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Additional information about the Company's agreements with Procter &amp; Gamble, Amgen, and Sumitomo Pharmaceuticals (among others) is provided below in the section titled "Research Collaboration and Licensing Agreements."</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The Company has not received revenue from the sale of any commercial product and has incurred losses in each year since inception of operations in 1988. As of December 31, 1998, the Company had an accumulated deficit of $177.2 million.</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7" w:right="1440" w:bottom="1440" w:gutter="0" w:footer="0" w:header="0"/>
        </w:sectPr>
      </w:pPr>
    </w:p>
    <w:bookmarkStart w:id="3" w:name="page4"/>
    <w:bookmarkEnd w:id="3"/>
    <w:p>
      <w:pPr>
        <w:ind w:right="3179"/>
        <w:spacing w:after="0" w:line="257" w:lineRule="auto"/>
        <w:rPr>
          <w:sz w:val="20"/>
          <w:szCs w:val="20"/>
          <w:color w:val="auto"/>
        </w:rPr>
      </w:pPr>
      <w:r>
        <w:rPr>
          <w:rFonts w:ascii="Courier New" w:cs="Courier New" w:eastAsia="Courier New" w:hAnsi="Courier New"/>
          <w:sz w:val="14"/>
          <w:szCs w:val="14"/>
          <w:color w:val="auto"/>
        </w:rPr>
        <w:t>To date, the Company has received revenues from its licensees and collaborators for research and development efforts, from Merck &amp; Co., Inc. ("Merck") for contract manufacturing, and from investment income. There can be no assurance that such revenue will continue or to what extent, if any, the Company's expenses incurred in connection with its work on BDNF or NT-3 or other programs will be reimbursed by its licensees or collaborators. In the absence of revenues from commercial product sales or other sources (the amount, timing, nature, or source of which can not be predicted), the Company's losses will continue as the Company conducts its research and development activities. The Company's activities may expand over time and may require additional resources, and the Company's operating losses may be substantial over at least the next several years. The Company's losses may fluctuate from quarter to quarter and will depend, among other factors, on the timing of certain expenses and on the progress of the Company's research and development efforts. There can be no assurance that the Company will ever have an approved product or achieve significant revenues or profitable operations. To date, Regeneron has not received any revenues from the commercial sale of products and does not expect to receive any such revenues for at least several years.</w:t>
      </w:r>
    </w:p>
    <w:p>
      <w:pPr>
        <w:spacing w:after="0" w:line="333" w:lineRule="exact"/>
        <w:rPr>
          <w:sz w:val="20"/>
          <w:szCs w:val="20"/>
          <w:color w:val="auto"/>
        </w:rPr>
      </w:pPr>
    </w:p>
    <w:p>
      <w:pPr>
        <w:ind w:right="3179" w:firstLine="793"/>
        <w:spacing w:after="0" w:line="239" w:lineRule="auto"/>
        <w:rPr>
          <w:sz w:val="20"/>
          <w:szCs w:val="20"/>
          <w:color w:val="auto"/>
        </w:rPr>
      </w:pPr>
      <w:r>
        <w:rPr>
          <w:rFonts w:ascii="Courier New" w:cs="Courier New" w:eastAsia="Courier New" w:hAnsi="Courier New"/>
          <w:sz w:val="15"/>
          <w:szCs w:val="15"/>
          <w:color w:val="auto"/>
        </w:rPr>
        <w:t>The Company has incurred negative cash flow from operations in each year since its inception. The Company expects that the funding requirements for its activities will remain substantial and could increase significantly if, among other things, its development or clinical trial programs are successful or its research is expanded. In addition, the Company is required to provide capital from time to time to fund and remain equal partners with Amgen in Amgen-Regeneron Partners. The Company's aggregate capital contribution to Amgen-Regeneron Partners from the partnership's inception in June 1993 through December 31, 1998 was $50.4 million. The Company expects that its capital contributions in 1999 will total at least $2.0 million. These contributions could increase or decrease, depending upon (among other things) the nature and cost of ongoing and additional BDNF and NT-3 studies that Amgen-Regeneron Partners may conduct and the outcomes of those studies. In addition, the amount needed to fund the Company's operations will also depend on other factors, including the potential future need to expand the Company's professional and support staff and facilities to support new areas of research and development, competitive products, the success of the Company's research and development programs, the status of patent and other intellectual property right developments, and the extent and success of any collaborative research arrangements. The Company believes that its existing capital resources will enable it to meet operating needs for at least several years. No assurance can be given that there will be no change in projected revenues or expenses that would lead to the Company's capital being consumed significantly before such time.</w:t>
      </w:r>
    </w:p>
    <w:p>
      <w:pPr>
        <w:spacing w:after="0" w:line="177"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Most drug research and development programs fail. A small minority of all research and development programs ultimately result in commercially successful drugs; it is not possible to predict whether any program will succeed until it actually produces a drug that is commercially marketed for a significant period of time. The Company is attempting to develop drugs for human therapeutic use and no assurance can be made that any of the Company's research and development activities will be successful or that any of the Company's current or future potential product candidates will be commercialized.</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Programs</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AXOKINE. AXOKINE is Regeneron's patented second generation ciliary neurotrophic factor ("CNTF"). In an earlier clinical program, CNTF was evaluated as a potential treatment for patients with ALS. It was discovered that reduced appetite and</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7" w:right="1440" w:bottom="1440" w:gutter="0" w:footer="0" w:header="0"/>
        </w:sectPr>
      </w:pPr>
    </w:p>
    <w:bookmarkStart w:id="4" w:name="page5"/>
    <w:bookmarkEnd w:id="4"/>
    <w:p>
      <w:pPr>
        <w:ind w:right="3259"/>
        <w:spacing w:after="0" w:line="238" w:lineRule="auto"/>
        <w:rPr>
          <w:sz w:val="20"/>
          <w:szCs w:val="20"/>
          <w:color w:val="auto"/>
        </w:rPr>
      </w:pPr>
      <w:r>
        <w:rPr>
          <w:rFonts w:ascii="Courier New" w:cs="Courier New" w:eastAsia="Courier New" w:hAnsi="Courier New"/>
          <w:sz w:val="15"/>
          <w:szCs w:val="15"/>
          <w:color w:val="auto"/>
        </w:rPr>
        <w:t>weight loss were among the prominent adverse events in these patients. (Other adverse events included cough, nausea, and development of neutralizing antibodies.) Later preclinical studies with AXOKINE in animal models of obesity confirmed the ability of AXOKINE to induce substantial weight loss. AXOKINE is effective in all obesity models studied to date, which include diet induced obesity and genetic obesity rodent models (ob/ob and db/db mice), and causes marked weight loss in lean animals.</w:t>
      </w:r>
    </w:p>
    <w:p>
      <w:pPr>
        <w:spacing w:after="0" w:line="17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Regeneron, in collaboration with Procter &amp; Gamble, plans to evaluate AXOKINE in obese patients with non-insulin dependent diabetes mellitus ("NIDDM," also known as adult onset diabetes or Type II diabetes) and in patients with uncomplicated obesity. These evaluations will be designed to test whether AXOKINE treatment is safe and, at the doses given, will cause weight loss and improve control of blood glucose in Type II diabetes patients and cause obese patients to lose weight.</w:t>
      </w:r>
    </w:p>
    <w:p>
      <w:pPr>
        <w:spacing w:after="0" w:line="17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Obesity is a major health problem in all developed countries. The prevalence of obesity in the United States has increased substantially during the past decade; according to the 1997 National Task Force on the Prevention and Treatment of Obesity, one in three American adults is now considered overweight. A 1998 National Institutes of Health report confirmed that obesity significantly increases a number of health risks, including Type II diabetes. Type II diabetes is estimated to affect more than 15 million people in the United States, with 80 to 90 percent of these people having obesity as a contributing factor to their diabetes. Obesity-related conditions such as stroke and myocardial infarct are estimated to contribute to 300,000 deaths yearly, ranking second only to smoking as a cause of preventable death. Expenses and loss of income caused by obesity have been estimated to reach $68 billion annually. Current treatment of obesity consists of diet, exercise and other life-style changes, and a limited number of drugs. The fact that the population overall is rapidly becoming more obese testifies to the fact that treatment of obesity is difficult and characterized by very high recidivism.</w:t>
      </w:r>
    </w:p>
    <w:p>
      <w:pPr>
        <w:spacing w:after="0" w:line="18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AXOKINE has similarities to and important differences from leptin, a protein that is secreted by fat cells which several companies are currently evaluating in clinical trials in obese people. AXOKINE and leptin use identical intracellular signaling pathways but signal through different receptors; they interact with the CNTF and the leptin receptor, respectively. AXOKINE causes weight loss comparable to leptin in ob/ob mice; ob/ob mice are genetically obese mice which lack leptin but have the intact leptin receptor. Leptin in pharmacological doses does not induce weight loss in mice made obese with high fat/high calorie diet. In contrast, AXOKINE in this model produces a 30 percent weight loss in three weeks without causing obvious signs of toxicity.</w:t>
      </w:r>
    </w:p>
    <w:p>
      <w:pPr>
        <w:spacing w:after="0" w:line="16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The majority of obese subjects have intact leptin receptors and most have increased serum leptin levels. Hence, obesity does not appear to be a leptin deficient state but, rather, a condition of leptin resistance. Based on the animal studies, AXOKINE is anticipated to be pharmacologically active in patients with obesity, despite their elevated leptin levels.</w:t>
      </w:r>
    </w:p>
    <w:p>
      <w:pPr>
        <w:spacing w:after="0" w:line="178" w:lineRule="exact"/>
        <w:rPr>
          <w:sz w:val="20"/>
          <w:szCs w:val="20"/>
          <w:color w:val="auto"/>
        </w:rPr>
      </w:pPr>
    </w:p>
    <w:p>
      <w:pPr>
        <w:ind w:right="3539" w:firstLine="793"/>
        <w:spacing w:after="0" w:line="238" w:lineRule="auto"/>
        <w:rPr>
          <w:sz w:val="20"/>
          <w:szCs w:val="20"/>
          <w:color w:val="auto"/>
        </w:rPr>
      </w:pPr>
      <w:r>
        <w:rPr>
          <w:rFonts w:ascii="Courier New" w:cs="Courier New" w:eastAsia="Courier New" w:hAnsi="Courier New"/>
          <w:sz w:val="15"/>
          <w:szCs w:val="15"/>
          <w:color w:val="auto"/>
        </w:rPr>
        <w:t>The Company is also independently developing AXOKINE for use in treating retinitis pigmentosa. In July 1998, the Company and Medtronic, Inc. ("Medtronic") terminated their 1996 collaborative development agreement to conduct an exploratory research program using Medtronic delivery systems to deliver AXOKINE to the central nervous system, initially as a potential treatment for Huntington's disease, due to obstacles in formulation and delivery.</w:t>
      </w:r>
    </w:p>
    <w:p>
      <w:pPr>
        <w:spacing w:after="0" w:line="177"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BDNF. Brain-derived neurotrophic factor is a naturally occurring human protein. During 1995 and 1996, Amgen conducted, on behalf of Amgen-Regeneron Partners, a</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7" w:right="1440" w:bottom="1440" w:gutter="0" w:footer="0" w:header="0"/>
        </w:sectPr>
      </w:pPr>
    </w:p>
    <w:bookmarkStart w:id="5" w:name="page6"/>
    <w:bookmarkEnd w:id="5"/>
    <w:p>
      <w:pPr>
        <w:ind w:right="3179"/>
        <w:spacing w:after="0" w:line="257" w:lineRule="auto"/>
        <w:rPr>
          <w:sz w:val="20"/>
          <w:szCs w:val="20"/>
          <w:color w:val="auto"/>
        </w:rPr>
      </w:pPr>
      <w:r>
        <w:rPr>
          <w:rFonts w:ascii="Courier New" w:cs="Courier New" w:eastAsia="Courier New" w:hAnsi="Courier New"/>
          <w:sz w:val="14"/>
          <w:szCs w:val="14"/>
          <w:color w:val="auto"/>
        </w:rPr>
        <w:t>Phase III BDNF clinical trial to treat ALS. This study involved 1,135 patients, with each patient scheduled to receive subcutaneous treatment for nine months. ALS is a disease that attacks motor neurons, those nerve cells that cause muscles to contract. Degeneration of these neurons causes muscle weakness, leading to death due to respiratory insufficiency. ALS afflicts adults primarily between the ages of 40 and 70 years old; average survival is three to five years following diagnosis. It is estimated that approximately 25,000 people in the United States have ALS. In January 1997, the Company and Amgen announced that the Phase III study failed to demonstrate clinical efficacy. As described earlier, additional clinical development of BDNF for ALS was suggested based on, among other things, retrospective analyses of the data from that study.</w:t>
      </w:r>
    </w:p>
    <w:p>
      <w:pPr>
        <w:spacing w:after="0" w:line="16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BDNF is being tested in humans by Amgen-Regeneron Partners for potential use in treating ALS through two routes of administration: intrathecal (infusion into the spinal fluid through an implanted pump) and subcutaneous (injection under the skin).</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NT-3. Neurotrophin-3 is a naturally occurring human protein. Amgen-Regeneron Partners' clinical development of NT-3 is currently focused on constipating conditions. This program is described earlier. Amgen and Regeneron are developing NT-3 in the United States under a license from Takeda Chemical Industries, Ltd. ("Takeda").</w:t>
      </w:r>
    </w:p>
    <w:p>
      <w:pPr>
        <w:spacing w:after="0" w:line="178" w:lineRule="exact"/>
        <w:rPr>
          <w:sz w:val="20"/>
          <w:szCs w:val="20"/>
          <w:color w:val="auto"/>
        </w:rPr>
      </w:pPr>
    </w:p>
    <w:p>
      <w:pPr>
        <w:ind w:right="3179" w:firstLine="793"/>
        <w:spacing w:after="0" w:line="239" w:lineRule="auto"/>
        <w:rPr>
          <w:sz w:val="20"/>
          <w:szCs w:val="20"/>
          <w:color w:val="auto"/>
        </w:rPr>
      </w:pPr>
      <w:r>
        <w:rPr>
          <w:rFonts w:ascii="Courier New" w:cs="Courier New" w:eastAsia="Courier New" w:hAnsi="Courier New"/>
          <w:sz w:val="15"/>
          <w:szCs w:val="15"/>
          <w:color w:val="auto"/>
        </w:rPr>
        <w:t>Angiogenesis. A plentiful blood supply is required to nourish every tissue and organ of the body. Diseases such as diabetes and atherosclerosis wreak their havoc, in part, by damaging the blood vessels (arteries, veins, and capillaries). The decreased blood flow that results from such diseases can result in non-healing skin ulcers and gangrene, painful limbs that cannot tolerate exercise, loss of vision, and heart attacks. Building new blood vessels is a process known as angiogenesis. Angiogenesis is required for normal growth and development and may be limiting in tissue repair or ischemic states. Thus, new blood vessels are required for tissue repair, and enhancement of blood vessel growth may aid in improving circulation to ischemic limbs and heart tissue suffering from atherosclerotic disease, in healing of skin ulcers or other chronic wounds, and in establishing tissue grafts. Angiogenesis is also aberrantly involved in many disease processes. Abnormal blood vessel growth is required for the growth and metastasis of tumors, can lead to blindness when it occurs in and obscures the retina, and seems to accompany an assortment of inflammatory processes. Depending on the clinical situation, positively or negatively regulating blood vessel growth could have important therapeutic benefits.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Regeneron and others have identified a new family of receptors in the tyrosine kinase class that appear critical for normal blood vessel formation and perhaps abnormal vascularization as well. Through its ligand discovery program, Regeneron has cloned and received patents for a new family of naturally occurring protein ligands, collectively termed the "Angiopoietins," specific to these blood vessel receptors. The Angiopoietins include naturally occurring positive and negative regulators of angiogenesis, as described in significant scientific manuscripts published by the Company's scientists. The Angiopoietin program is progressing toward defining potential clinical applications of this family of receptors and their ligands and their applicability to either enhance or block blood vessel growth by developing a variety of in vitro and in vivo models and assays. As part of its collaboration with Procter &amp; Gamble, the Company is developing animal models and high-throughput screens and conducting the medicinal chemistry efforts to develop small molecule regulators of angiogenesis.</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7" w:right="1440" w:bottom="1440" w:gutter="0" w:footer="0" w:header="0"/>
        </w:sectPr>
      </w:pPr>
    </w:p>
    <w:bookmarkStart w:id="6" w:name="page7"/>
    <w:bookmarkEnd w:id="6"/>
    <w:p>
      <w:pPr>
        <w:ind w:right="3179" w:firstLine="793"/>
        <w:spacing w:after="0" w:line="256" w:lineRule="auto"/>
        <w:rPr>
          <w:sz w:val="20"/>
          <w:szCs w:val="20"/>
          <w:color w:val="auto"/>
        </w:rPr>
      </w:pPr>
      <w:r>
        <w:rPr>
          <w:rFonts w:ascii="Courier New" w:cs="Courier New" w:eastAsia="Courier New" w:hAnsi="Courier New"/>
          <w:sz w:val="14"/>
          <w:szCs w:val="14"/>
          <w:color w:val="auto"/>
        </w:rPr>
        <w:t>Cytokine Agonists and Antagonists. Regeneron's widely-cited research on the CNTF class of neurotrophic factors led to the discovery that CNTF, although it is a neurotrophic factor, belongs to the "superfamily" of factors referred to as cytokines. This superfamily includes factors such as erythropoietin, thrombopoietin, granulocyte-colony stimulating factor, and the interleukins ("ILs"). Research at Regeneron has led to proprietary insights into the receptors and signal transduction mechanisms used by the entire cytokine superfamily and to novel approaches to develop both agonists and antagonists for a variety of cytokines. Regeneron's scientists have created protein-based antagonists for IL-1, IL-4, and IL-6 that are more potent than previously described antagonists, allowing lower levels of these antagonists to be used; moreover, these antagonists are comprised entirely of natural human-derived sequences, and thus would not be expected to induce an immune reaction in humans (although no assurance can be given since none have yet been tested in humans). These cytokine antagonists are termed ligand traps. Because pathological levels of IL-1, IL-4, and IL-6 seem to contribute to a variety of disease states, these ligand traps have the potential to be important therapeutic agents. Antagonists for IL-4 may be therapeutically useful in an assortment of allergy and asthma-related disease situations in which IL-4 is thought to play a contributory role and in a variety of vaccination settings in which blocking IL-4 may help elicit more of the desired type of immune response to the vaccine. Both IL-1 and IL-6 are referred to as pro-inflammatory cytokines and have been implicated in the pathophysiology of a wide variety of human disease conditions ranging from inflammatory disorders, such as rheumatoid arthritis and sepsis, to cachexia (wasting). IL-6, in particular, is also implicated in the pathology and progression of multiple myeloma, certain solid tumors, AIDS, lymphomas (both AIDS-related and non-AIDS-related), osteoporosis, and other conditions.</w:t>
      </w:r>
    </w:p>
    <w:p>
      <w:pPr>
        <w:spacing w:after="0" w:line="179"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The Company's research regarding protein-based cytokine antagonists currently includes molecular and cellular research to improve or modify the Company's ligand trap technology, process development efforts to produce experimental and clinical research quantities of the ligand traps, and in vivo and in vitro studies to further understand and demonstrate the efficacy of the ligand traps. The Company plans to commence a clinical study of one of its cytokine traps within the next year.</w:t>
      </w:r>
    </w:p>
    <w:p>
      <w:pPr>
        <w:spacing w:after="0" w:line="17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Company has also entered into a substantial collaborative effort with Pharmacopeia, Inc. ("Pharmacopeia") to use the Company's proprietary technology and insights concerning cytokine receptors and their signaling, together with the proprietary combinatorial-chemistry based small molecule libraries and high-throughput screening technology provided by Pharmacopeia, for the discovery of small molecule agonists and antagonists of a variety of members of the cytokine superfamily.</w:t>
      </w:r>
    </w:p>
    <w:p>
      <w:pPr>
        <w:spacing w:after="0" w:line="17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Muscle Atrophy and Related Disorders. Muscle atrophy occurs in many neuromuscular diseases and also when muscle is unused, as often occurs during prolonged hospital stays and during convalescence. Currently, physicians have few options to prescribe for patients with muscle atrophy or other muscle conditions which afflict millions of patients globally. Thus, a factor that might have beneficial effects on skeletal muscle could have significant clinical benefit. The muscle program is currently focused on conducting in vivo and in vitro experiments with the objective of demonstrating and further understanding the molecular mechanisms involved in muscle atrophy. This work is being conducted in collaboration with scientists at Procter &amp; Gamble as part of the P&amp;G Agreement.</w:t>
      </w:r>
    </w:p>
    <w:p>
      <w:pPr>
        <w:spacing w:after="0" w:line="34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7" w:right="1440" w:bottom="1440" w:gutter="0" w:footer="0" w:header="0"/>
        </w:sectPr>
      </w:pPr>
    </w:p>
    <w:bookmarkStart w:id="7" w:name="page8"/>
    <w:bookmarkEnd w:id="7"/>
    <w:p>
      <w:pPr>
        <w:ind w:right="3179" w:firstLine="793"/>
        <w:spacing w:after="0" w:line="256" w:lineRule="auto"/>
        <w:rPr>
          <w:sz w:val="20"/>
          <w:szCs w:val="20"/>
          <w:color w:val="auto"/>
        </w:rPr>
      </w:pPr>
      <w:r>
        <w:rPr>
          <w:rFonts w:ascii="Courier New" w:cs="Courier New" w:eastAsia="Courier New" w:hAnsi="Courier New"/>
          <w:sz w:val="14"/>
          <w:szCs w:val="14"/>
          <w:color w:val="auto"/>
        </w:rPr>
        <w:t>Orphan Receptor and Growth Factor Research; Other Research Programs. The therapeutic utility of many growth factors depends, in part, on the exquisite specificity of their actions. This specificity is determined largely by the limited distribution of receptors for these factors on the target cells of interest. Using proprietary technology initially developed for the discovery and characterization of neurotrophic factors and their receptors, the Company has discovered new receptors and their associated factors that act on particular cell populations of potentially important clinical interest. These cell populations include not only additional subsets of neurons but non-neuronal cells, such as the endothelial cells that constitute blood vessels, and skeletal muscle cells. The Company's technology involves molecular biological as well as "bioinformatics" approaches to identify and clone protein molecules that appear to be receptors expressed on clinically relevant target cells for unknown protein factors (hence their designation "orphan receptors"). The Company has also obtained licenses and established collaborations for additional orphan receptors, including licenses from the Salk Institute for Biological Studies. The Company's technology includes approaches that allow for the identification and molecular cloning of protein factors that bind to the orphan receptors. Furthermore, the Company's technology allows for the development of derivatives of the receptors and their factors, which can allow for modified agonistic or antagonistic properties that may prove to be therapeutically useful. The Company is also conducting research as part of the P&amp;G Agreement on novel tyrosine kinase systems for potential use in treating abnormal bone formation and related diseases and conditions, cartilage damage or loss, or fibrosis.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Collaboration and Licensing Agreements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To augment its research programs, Regeneron has entered into a variety of collaborative research agreements and sponsored research agreements with researchers and universities. Under these agreements, the Company typically receives certain proprietary rights to inventions or discoveries that arise as a result of the research. In addition, the Company has entered into significant collaborative agreements with Amgen to develop, manufacture, and market BDNF and NT-3, with Sumitomo Pharmaceuticals to develop BDNF for commercialization in Japan, with Procter &amp; Gamble to discover, develop, and market protein- and small molecule-based pharmaceuticals (including AXOKINE for, among other indications, obesity), and with Pharmacopeia to discover, develop, and market small molecule-based pharmaceuticals.</w:t>
      </w:r>
    </w:p>
    <w:p>
      <w:pPr>
        <w:spacing w:after="0" w:line="181"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Agreement With Amgen Inc. In August 1990, Regeneron and Amgen entered into a collaboration agreement (the "Amgen Agreement") and Amgen agreed to provide $25.0 million of product development funding for BDNF and NT-3 payable in five annual installments. The final such payment was made by Amgen in the second quarter of 1995. In conjunction with entering into the Amgen Agreement, Amgen made a $15.0 million equity investment in the Company. From inception of the Amgen Agreement through December 31, 1998, the Company has recognized contract research and development revenue totaling $43.0 million directly from Amgen or from Amgen-Regeneron Partners. Amgen has also agreed to pay to the Company a total of $13.0 million of research progress payments, $1.0 million of which was paid on the signing of the Amgen Agreement, $1.0 million of which was paid in July 1993 on the filing by Amgen of the IND application for BDNF, and $1.0 million of which was paid in September 1994 on the filing by Amgen of the IND application for NT-3. The remaining $10.0 million, which is divided equally between BDNF and NT-3, will be paid upon the achievement of certain further milestones in respect of each compound. There can be no assurance that any additional research progress payments will be made.</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7" w:right="1440" w:bottom="1440" w:gutter="0" w:footer="0" w:header="0"/>
        </w:sectPr>
      </w:pPr>
    </w:p>
    <w:bookmarkStart w:id="8" w:name="page9"/>
    <w:bookmarkEnd w:id="8"/>
    <w:p>
      <w:pPr>
        <w:ind w:right="3179" w:firstLine="793"/>
        <w:spacing w:after="0" w:line="239" w:lineRule="auto"/>
        <w:rPr>
          <w:sz w:val="20"/>
          <w:szCs w:val="20"/>
          <w:color w:val="auto"/>
        </w:rPr>
      </w:pPr>
      <w:r>
        <w:rPr>
          <w:rFonts w:ascii="Courier New" w:cs="Courier New" w:eastAsia="Courier New" w:hAnsi="Courier New"/>
          <w:sz w:val="15"/>
          <w:szCs w:val="15"/>
          <w:color w:val="auto"/>
        </w:rPr>
        <w:t>Under the Amgen Agreement, following preclinical development, Amgen and the Company will attempt to develop and, if such effort is successful, commercialize, market, and distribute BDNF and NT-3 drug products in the United States through Amgen-Regeneron Partners. Amgen-Regeneron Partners is governed by a six member Joint Management Committee composed of three members each from Regeneron and Amgen. The Joint Management Committee determines annually, in advance, the capital requirements for Amgen-Regeneron Partners and approves a budget and product plan for each product under development. To maintain an equal interest in Amgen-Regeneron Partners, Amgen and Regeneron are obligated to make equal capital contributions to the partnership (such capital contributions exclude Amgen's product development funding obligation described above). Such capital contributions may be substantial. Amgen has the duty to direct and conduct clinical trials of BDNF and NT-3 in the United States in accordance with an annual product plan and budget that is approved by the Joint Management Committee; the Joint Management Committee may, however, approve an annual product plan and budget that authorizes Regeneron to direct and conduct clinical trials of BDNF and NT-3. Amgen is also responsible for the preparation of protocols with respect to such trials. Amgen has the primary responsibility to develop manufacturing processes for, and to manufacture, BDNF and NT-3 on behalf of Amgen-Regeneron Partners. Assuming equal capital contributions to Amgen-Regeneron Partners, Regeneron and Amgen share any profits or losses of Amgen-Regeneron Partners equally.</w:t>
      </w:r>
    </w:p>
    <w:p>
      <w:pPr>
        <w:spacing w:after="0" w:line="176"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The development and commercialization of BDNF and NT-3 outside of the United States, Japan, China, and certain other Pacific Rim countries will be conducted solely by Amgen through a license from the Company and, with respect to NT-3, from Takeda (under a license agreement between Amgen/Regeneron, Genentech, Inc. ("Genentech"), and Takeda). In return, the Company will receive royalty payments based on Amgen's net sales of any products in the licensed territory. In the licensed territory, Amgen is solely responsible for funding clinical development and related costs of the licensed products, as well as costs of their commercial exploitation, and will have sole discretion with respect to all such development, manufacturing, and marketing of the products and sole responsibility for filing applications for regulatory approvals.</w:t>
      </w:r>
    </w:p>
    <w:p>
      <w:pPr>
        <w:spacing w:after="0" w:line="16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At the time it entered into the Amgen Agreement, Amgen agreed that until the earlier of August 2010 or termination of the Amgen Agreement, it will not take any steps or assist any third party to take steps to acquire control of the Company, whether by acquisition of capital stock, proxy contest, tender offer, merger, sale of assets, or voting agreements, except under certain circumstances.</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Agreement With Sumitomo Pharmaceuticals Company, Ltd. In June 1994, the Company and Sumitomo Pharmaceuticals entered into an agreement for the research, development, and commercialization of BDNF in Japan. Under the terms of the agreement, Sumitomo Pharmaceuticals agreed to pay up to $40.0 million to Regeneron, including $25.0 million in research payments (all of which Regeneron has received) and up to $15.0 million in progress payments payable upon achievement of certain development milestones, of which $5.0 million was received (reduced by $0.5 million of Japanese withholding tax) in August 1998 in connection with Sumitomo Pharmaceuticals signing a license agreement for development of BDNF in Japan and initiating a Phase I safety study in Japan. In addition, Sumitomo Pharmaceuticals agreed to reimburse Regeneron for its activities in developing manufacturing processes for BDNF and supplying BDNF and other research materials to Sumitomo Pharmaceuticals. Such manufacturing revenue totaled $1.3 million in 1998, $7.6 million in 1997 and $8.5 million in 1996. The agreement may be terminated by Sumitomo Pharmaceuticals at its</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7" w:right="1440" w:bottom="1440" w:gutter="0" w:footer="0" w:header="0"/>
        </w:sectPr>
      </w:pPr>
    </w:p>
    <w:bookmarkStart w:id="9" w:name="page10"/>
    <w:bookmarkEnd w:id="9"/>
    <w:p>
      <w:pPr>
        <w:ind w:right="3359"/>
        <w:spacing w:after="0" w:line="235" w:lineRule="auto"/>
        <w:rPr>
          <w:sz w:val="20"/>
          <w:szCs w:val="20"/>
          <w:color w:val="auto"/>
        </w:rPr>
      </w:pPr>
      <w:r>
        <w:rPr>
          <w:rFonts w:ascii="Courier New" w:cs="Courier New" w:eastAsia="Courier New" w:hAnsi="Courier New"/>
          <w:sz w:val="15"/>
          <w:szCs w:val="15"/>
          <w:color w:val="auto"/>
        </w:rPr>
        <w:t>discretion; such termination would result in the reversion to Regeneron of all rights to BDNF in Japan.</w:t>
      </w:r>
    </w:p>
    <w:p>
      <w:pPr>
        <w:spacing w:after="0" w:line="17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Agreement With Sumitomo Chemical Company, Limited. In connection with a $4.4 million equity investment made by Sumitomo Chemical Company, Limited ("Sumitomo Chemical") in March 1989, the Company granted Sumitomo Chemical a limited right of first negotiation to license up to three of the product candidates the Company decides to commercialize in Japan on financial and commercial terms as may be offered by the Company. The Company's collaborative agreement with Sumitomo Pharmaceuticals, an affiliate of Sumitomo Chemical, to develop BDNF in Japan, described above, is the first of such license agreements. In connection with its equity investment, Sumitomo Chemical paid the Company an additional $5.6 million, representing a deposit for reimbursable costs and expenses in product research and development. All available technology development contract revenue was recognized by the end of 1992. The Company is obligated periodically to inform and, if requested, to meet with Sumitomo Chemical management about its progress in research and development.</w:t>
      </w:r>
    </w:p>
    <w:p>
      <w:pPr>
        <w:spacing w:after="0" w:line="16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Agreement With Pharmacopeia, Inc. In October 1996, Regeneron and Pharmacopeia entered into an agreement (the "Pharmaceopeia Agreement") to collaborate exclusively in a series of research programs the objective of which is to discover novel small molecule, orally active therapeutics that are agonists, antagonists, or mimics of a broad range of cytokines and growth factors. Subject to the ability of either or both parties to opt-out of such efforts, any potential product candidate that may emerge from this joint research will be jointly developed by Regeneron and Pharmacopeia, with each party sharing equally in the costs of such efforts and in any profits that may be derived from such potential products. The Pharmacopeia Agreement provided for no financial payments by either party, subject to the mutual obligation to use reasonable efforts to discover lead compounds for future development. The Pharmacopeia Agreement has an initial research term of three years and will renew automatically for one-year terms unless either party terminates the agreement with ninety days prior notice.</w:t>
      </w:r>
    </w:p>
    <w:p>
      <w:pPr>
        <w:spacing w:after="0" w:line="185"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Agreement With The Procter &amp; Gamble Company. In May 1997, the Company entered into a ten-year collaboration agreement with Procter &amp; Gamble to discover, develop, and commercialize pharmaceutical products, as well as a securities purchase agreement and other related agreements. The P&amp;G Agreement expanded and superseded a collaboration agreement that the Company and Procter &amp; Gamble Pharmaceuticals, Inc. entered into in December 1996 to develop drugs for skeletal muscle injury and atrophy. Procter &amp; Gamble agreed over the first five years of the various agreements to purchase up to $60.0 million in Regeneron equity. Pursuant to these agreements, in June 1997, Procter &amp; Gamble purchased</w:t>
      </w:r>
    </w:p>
    <w:p>
      <w:pPr>
        <w:spacing w:after="0" w:line="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4.35 million shares of Regeneron Common Stock at $9.87 per share for a total of $42.9 million and received five year warrants to purchase an additional 1.45 million shares of Regeneron stock at $9.87 per share. This purchase was in addition to a $10.0 million purchase of 800,000 shares of Regeneron Common Stock at $12.50 per share that was completed in March 1997 pursuant to the December 1996 agreement. Procter &amp; Gamble agreed over the first five years of the various agreements to provide up to $94.7 million in support of Regeneron's research efforts related to the collaboration, of which the Company had received $6.7 million as of December 31, 1998.</w:t>
      </w:r>
    </w:p>
    <w:p>
      <w:pPr>
        <w:spacing w:after="0" w:line="179"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In September 1997, the Company and Procter &amp; Gamble expanded the P&amp;G Agreement to include AXOKINE and related molecules (delivered systemically), and agreed to develop AXOKINE initially to treat obesity associated with Type II diabetes. Procter &amp; Gamble agreed to pay the Company as much as $15.0 million in additional funding, partly subject to achieving certain milestones related to AXOKINE. Of the</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7" w:right="1440" w:bottom="1440" w:gutter="0" w:footer="0" w:header="0"/>
        </w:sectPr>
      </w:pPr>
    </w:p>
    <w:bookmarkStart w:id="10" w:name="page11"/>
    <w:bookmarkEnd w:id="10"/>
    <w:p>
      <w:pPr>
        <w:ind w:right="3259"/>
        <w:spacing w:after="0" w:line="237" w:lineRule="auto"/>
        <w:rPr>
          <w:sz w:val="20"/>
          <w:szCs w:val="20"/>
          <w:color w:val="auto"/>
        </w:rPr>
      </w:pPr>
      <w:r>
        <w:rPr>
          <w:rFonts w:ascii="Courier New" w:cs="Courier New" w:eastAsia="Courier New" w:hAnsi="Courier New"/>
          <w:sz w:val="15"/>
          <w:szCs w:val="15"/>
          <w:color w:val="auto"/>
        </w:rPr>
        <w:t>$15.0 million, $5.0 million was paid in 1997 and $5.0 million was paid in 1998. The 1998 payment was made in connection with the companies' execution of a development agreement for AXOKINE and other potential drug candidates.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Any drugs that may result from the collaboration will be jointly developed and marketed, with the parties equally sharing development costs and profits. In addition, during the second five years of the P&amp;G Agreement, the companies will share all collaboration costs equally. Either party may terminate collaborative research after five years, subject to reversion of certain rights to Regeneron. Regeneron contributed its technologies and intellectual property relating to a broad set of its programs and activities, as well as future research programs and activities, to the collaboration. Subject to the September 1998 agreement to include AXOKINE and related molecules (delivered systemically) in the P&amp;G Agreement, excluded from the collaboration were the Company's neurotrophic factor and cytokine research programs, which will continue to be developed independent of the P&amp;G collaboration, including Regeneron's collaborative activities with Amgen, Pharmacopeia, Sumitomo Pharmaceuticals, and Sumitomo Chemicals. In addition to the potential development of protein-based therapeutics, the collaboration will seek to discover and develop small molecule, orally active therapeutics useful in the treatment of muscle diseases and conditions.</w:t>
      </w:r>
    </w:p>
    <w:p>
      <w:pPr>
        <w:spacing w:after="0" w:line="18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Procter &amp; Gamble also obtained certain piggyback registration rights (exercisable after the collaboration terminates) and agreed that until the earlier of December 2001 or the termination of the collaboration agreement it will not take any steps or assist any third party to take steps to acquire control of the Company, whether by acquisition of capital stock, proxy contest, tender offer, merger, sale of assets, or voting agreements, except under certain circumstances.</w:t>
      </w:r>
    </w:p>
    <w:p>
      <w:pPr>
        <w:spacing w:after="0" w:line="17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Other Agreements. The Company has agreements with individual researchers and universities to conduct sponsored research and development programs. The goal of these agreements is to extend the Company's capabilities and to acquire proprietary rights to the results of sponsored research. The Company is a party to a number of sponsored research agreements which include grants to the Company of exclusive licenses to certain discoveries and technologies developed at, among other places, the Max Planck Institute (covering the field of neurotrophic factors, including work done at the Max Planck Institute on BDNF, NT-3, and other substances), and the University of California at San Francisco (covering the use of neurotrophic factors and other recombinant proteins to treat degenerative conditions of the eye). The Company has also collaborated with Glaxo Wellcome plc to discover and develop small molecule-based treatments for neurodegenerative diseases. The research term of the Glaxo collaboration has expired but was extended in 1998 by mutual agreement to allow the parties to continue to pursue early stage research in a limited area, the duration and outcome of which are uncertain.</w:t>
      </w:r>
    </w:p>
    <w:p>
      <w:pPr>
        <w:spacing w:after="0" w:line="186"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In addition to these sponsored research agreements, the Company (individually or in partnership with Amgen pursuant to the Amgen Agreement or Procter &amp; Gamble pursuant to the P&amp;G Agreement) provides resource material and information that relate to its product candidates and research programs to over 400 investigators at private and public institutions throughout the world. Regeneron supplies materials and know-how to these investigators on a confidential basis in exchange for access to additional research and ownership of certain proprietary rights resulting from the work of the investigators.</w:t>
      </w:r>
    </w:p>
    <w:p>
      <w:pPr>
        <w:spacing w:after="0" w:line="167"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There can be no assurance that any of these agreements will result in work that will have commercial potential or other useful benefit to the Company, or that, if any such work has useful benefit to the Company, the Company will be able to protect its proprietary position adequately to realize any possible commercial benefit.</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2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Manufacturing</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Company completed construction of a manufacturing facility in 1992 in Tarrytown, New York. This facility, which was designed to comply with FDA current good manufacturing practices ("GMP"), is intended to produce preclinical and clinical supplies of compounds. Depending on the dosage of its drugs, the facility could also produce either bulk compounds or the final dosage form of certain product candidates.</w:t>
      </w:r>
    </w:p>
    <w:p>
      <w:pPr>
        <w:spacing w:after="0" w:line="176" w:lineRule="exact"/>
        <w:rPr>
          <w:sz w:val="20"/>
          <w:szCs w:val="20"/>
          <w:color w:val="auto"/>
        </w:rPr>
      </w:pPr>
    </w:p>
    <w:p>
      <w:pPr>
        <w:ind w:right="3359" w:firstLine="793"/>
        <w:spacing w:after="0" w:line="259" w:lineRule="auto"/>
        <w:rPr>
          <w:sz w:val="20"/>
          <w:szCs w:val="20"/>
          <w:color w:val="auto"/>
        </w:rPr>
      </w:pPr>
      <w:r>
        <w:rPr>
          <w:rFonts w:ascii="Courier New" w:cs="Courier New" w:eastAsia="Courier New" w:hAnsi="Courier New"/>
          <w:sz w:val="14"/>
          <w:szCs w:val="14"/>
          <w:color w:val="auto"/>
        </w:rPr>
        <w:t>In 1993, the Company purchased its Rensselaer, New York manufacturing facility, which is being used to produce BDNF for use by Sumitomo Pharmaceuticals and a vaccine intermediate for Merck. The Company may use the facility to produce other product candidates and materials in the future.</w:t>
      </w:r>
    </w:p>
    <w:p>
      <w:pPr>
        <w:spacing w:after="0" w:line="163"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In 1995, the Company entered into a long-term manufacturing agreement with Merck (the "Merck Agreement") to produce an intermediate for a Merck pediatric vaccine at the Company's Rensselaer facility. The Company agreed to modify portions of the facility for manufacture of the Merck intermediate and to assist Merck in securing regulatory approval for such manufacture in the Rensselaer facility. When the facility is able to produce the Merck intermediate, the Merck Agreement calls for the Company to manufacture intermediate for Merck for six years, with certain minimum order quantities each year. The Merck Agreement is expected to extend into 2005 and may be terminated at any time by Merck upon the payment by Merck of a termination fee. Merck agreed to reimburse the Company for the capital costs to modify the facility and for the cost of Company activities performed on behalf of Merck prior to the start of production. Merck also agreed to pay an annual facility fee of $1.0 million, subject to annual adjustment for inflation. After the start of production, which is expected to occur in 1999, Merck will also reimburse the Company for certain manufacturing costs and pay the Company a variable fee based on the quantity of intermediate supplied to Merck. The Company recognized contract manufacturing revenue related to the Merck Agreement of $9.1 million in 1998, $4.5 million in 1997, and $2.5 million in 1996. There can be no assurance that the start of production will not be delayed, or that Merck or the Company will be able to secure regulatory approval necessary to manufacture the intermediate in the facility, or that the Company will be able to manufacture the Merck intermediate successfully, or that Merck will not terminate the Merck Agreement. Any of these events could have a severe negative impact on the operations and financial condition of the Company.</w:t>
      </w:r>
    </w:p>
    <w:p>
      <w:pPr>
        <w:spacing w:after="0" w:line="347"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Among the conditions for regulatory marketing approval of a drug is the requirement that the prospective manufacturer's quality control and manufacturing procedures conform to the GMP regulations of the health authority. In complying with standards set forth in these regulations, manufacturers must continue to expend time, money, and effort in the area of production and quality control to ensure full technical compliance. Manufacturing establishments, both foreign and domestic, are also subject to inspections by or under the authority of the FDA and by other federal, state, and local agencies.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There is substantial competition in the biotechnology and pharmaceutical industries. Many of the Company's competitors have substantially greater research, preclinical and clinical product development, and manufacturing capabilities and</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2" w:right="1440" w:bottom="1440" w:gutter="0" w:footer="0" w:header="0"/>
        </w:sectPr>
      </w:pPr>
    </w:p>
    <w:bookmarkStart w:id="12" w:name="page13"/>
    <w:bookmarkEnd w:id="12"/>
    <w:p>
      <w:pPr>
        <w:ind w:right="3179"/>
        <w:spacing w:after="0" w:line="238" w:lineRule="auto"/>
        <w:rPr>
          <w:sz w:val="20"/>
          <w:szCs w:val="20"/>
          <w:color w:val="auto"/>
        </w:rPr>
      </w:pPr>
      <w:r>
        <w:rPr>
          <w:rFonts w:ascii="Courier New" w:cs="Courier New" w:eastAsia="Courier New" w:hAnsi="Courier New"/>
          <w:sz w:val="15"/>
          <w:szCs w:val="15"/>
          <w:color w:val="auto"/>
        </w:rPr>
        <w:t>financial, marketing, and human resources than Regeneron. The Company's agreements with larger, better established pharmaceutical companies are intended to secure for the Company the benefits of such a collaboration with more experienced pharmaceutical firms. Smaller companies may also prove to be significant competitors, particularly as a result of acquiring or discovering patentable inventions or as a result of collaborative arrangements with large pharmaceutical companies or their acquisition by large pharmaceutical companies. Technological development and discoveries may require companies to change their research and development efforts. Competitors with greater resources than the Company may have the financial and technological flexibility to respond to such needed changes better than the Company.</w:t>
      </w:r>
    </w:p>
    <w:p>
      <w:pPr>
        <w:spacing w:after="0" w:line="181"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There is substantial competition in the discovery and development of treatments for obesity and obesity-related morbidities, including Type II diabetes, as well as established and cost-effective and emerging prescription and over-the-counter treatments for these conditions. For example, Amgen and a number of other pharmaceutical companies are developing leptin and related molecules; clinical trials of leptin are currently under way. Many firms and entities are engaged in research and development in the areas of cytokines, interleukins, angiogenesis, and muscle conditions. Some of these competitors are currently conducting advanced preclinical and clinical research programs in these areas; these and other competitors may have established substantial intellectual property and other competitive advantages. The treatment of constipating conditions is highly competitive, with a number of companies providing over-the-counter remedies and other competitors attempting to discover and develop improved over-the-counter or prescription treatments. Every pharmaceutical company and many biotechnology companies are engaged in attempting to discover and develop small-molecule based therapeutics, similar in at least certain respects to Regeneron's programs with Glaxo, Pharmacopeia, and Procter &amp; Gamble. In these and related areas, intellectual property rights have been sought and certain rights have been granted to competitors and potential competitors of the Company, and the Company may be at a substantial competitive disadvantage in such areas as a result of, among other things, the Company's lack of experience, trained personnel, and expertise. A number of corporate and academic competitors are involved in the discovery and development of novel therapeutics using tyrosine kinase receptors, orphan receptors, and compounds that are the focus of other research or development programs now being conducted by the Company. These competitors include Amgen, Genentech, and many others.</w:t>
      </w:r>
    </w:p>
    <w:p>
      <w:pPr>
        <w:spacing w:after="0" w:line="178"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More specifically and as an illustrative example of the foregoing, the Company's efforts to develop treatments for neurological diseases and conditions are being conducted in a highly competitive environment. Even if BDNF or NT-3 is shown to be safe and effective to treat ALS or other conditions, other companies have developed or are developing drugs for the treatment of the same or similar conditions. For example, the FDA has approved the application of Rhone-Poulenc Rorer to market riluzole (under the trade name Rilutek), an orally administered drug, to treat ALS in the United States, and Rhone-Poulenc Rorer has filed applications for approval, and gained approval in other countries. Sanofi Pharmaceuticals, Inc., is conducting advanced clinical testing of its compound, called SR57746A, for ALS. More broadly, Regeneron is engaged in an intensely competitive field. Amgen and the Company are direct competitors in the field of neurotrophic factors and possibly other fields. Other potential competitors include Genentech, which is developing nerve growth factor ("NGF") to treat peripheral neuropathies and pain, and may be developing other neurotrophic factors, and Cephalon, Inc. ("Cephalon"), which is developing, in collaboration with Chiron Corporation, insulin-like growth factor ("IGF-1" trade named Myotrophin(Trademark)) and other compounds for the treatment of ALS, peripheral neuropathies, and other conditions. Amgen, Genentech, Cephalon, and others have filed patent applications and obtained issued patents relating</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7" w:right="1440" w:bottom="1440" w:gutter="0" w:footer="0" w:header="0"/>
        </w:sectPr>
      </w:pPr>
    </w:p>
    <w:bookmarkStart w:id="13" w:name="page14"/>
    <w:bookmarkEnd w:id="13"/>
    <w:p>
      <w:pPr>
        <w:ind w:right="3179"/>
        <w:spacing w:after="0" w:line="238" w:lineRule="auto"/>
        <w:rPr>
          <w:sz w:val="20"/>
          <w:szCs w:val="20"/>
          <w:color w:val="auto"/>
        </w:rPr>
      </w:pPr>
      <w:r>
        <w:rPr>
          <w:rFonts w:ascii="Courier New" w:cs="Courier New" w:eastAsia="Courier New" w:hAnsi="Courier New"/>
          <w:sz w:val="15"/>
          <w:szCs w:val="15"/>
          <w:color w:val="auto"/>
        </w:rPr>
        <w:t>to neurotrophic factors, or have announced that they are actively pursuing preclinical or clinical development programs in the area of neurotrophic factors. Based on the results of its Phase III clinical studies with IGF-1 to treat ALS, Cephalon filed and intends to file applications for approval to market IGF-1 to treat ALS in the United States and other countries. Amgen and Genentech have separately also announced research and development of glial cell-line derived neurotrophic factor ("GDNF") for the treatment of ALS, Parkinson's disease, and other conditions. Other companies have developed or are developing drugs based on technology other than neurotrophic factors for the treatment of diseases and injuries relating to the nervous system (including ALS). The Company is also aware that several pharmaceutical companies are conducting clinical trials in ALS with drugs which, like riluzole, are orally administered. The competitive environment in which the Company is developing treatments for asthma or other inflammatory conditions, obesity, diabetes, and other conditions could be similarly described.</w:t>
      </w:r>
    </w:p>
    <w:p>
      <w:pPr>
        <w:spacing w:after="0" w:line="185" w:lineRule="exact"/>
        <w:rPr>
          <w:sz w:val="20"/>
          <w:szCs w:val="20"/>
          <w:color w:val="auto"/>
        </w:rPr>
      </w:pPr>
    </w:p>
    <w:p>
      <w:pPr>
        <w:ind w:right="3179" w:firstLine="793"/>
        <w:spacing w:after="0" w:line="258" w:lineRule="auto"/>
        <w:rPr>
          <w:sz w:val="20"/>
          <w:szCs w:val="20"/>
          <w:color w:val="auto"/>
        </w:rPr>
      </w:pPr>
      <w:r>
        <w:rPr>
          <w:rFonts w:ascii="Courier New" w:cs="Courier New" w:eastAsia="Courier New" w:hAnsi="Courier New"/>
          <w:sz w:val="14"/>
          <w:szCs w:val="14"/>
          <w:color w:val="auto"/>
        </w:rPr>
        <w:t>If a competitor announces a successful clinical study involving a product that may be competitive with one of the Company's product candidates or an approval by a regulatory agency of the marketing of a competitive product, such announcement may have a material adverse effect on the operations or future prospects of the Company or the price of its Common Stock.</w:t>
      </w:r>
    </w:p>
    <w:p>
      <w:pPr>
        <w:spacing w:after="0" w:line="16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Company also competes with academic institutions, governmental agencies, and other public or private research organizations which continue to conduct research, seek patent protection, and establish collaborative arrangements for the development and marketing of products that would provide royalties for use of their technology. These institutions are becoming more active in seeking patent protection and licensing arrangements to collect royalties for use of the technology that they have developed. Products developed in such a manner may compete directly with any products developed by the Company. The Company also competes with others in acquiring technology from such institutions, agencies, and organizations.</w:t>
      </w:r>
    </w:p>
    <w:p>
      <w:pPr>
        <w:spacing w:after="0" w:line="180"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relative speed with which Regeneron can develop safe and effective product candidates, complete clinical testing and approval processes, and supply commercial quantities of the product to the market will have an important impact on the Company's competitive position. Competition among product candidates approved for sale may be based on efficacy, safety, reliability, availability, price, patent position, and other factors.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Trademarks, and Trade Secrets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Company's success depends, in part, on its ability to obtain patents, maintain trade secret protection, and operate without infringing on the proprietary rights of third parties. The Company's policy is to file patent applications to protect technology, inventions, and improvements that are considered important to the development of its business. The Company has been granted a number of U.S. patents and is the exclusive or nonexclusive licensee of a number of additional U.S. patents and patent applications. The Company also relies upon trade secrets, know-how, and continuing technological innovation to develop and maintain its competitive position. The Company or its licensers or collaborators have filed patent applications on products and processes relating to neurotrophic factors and other technologies and inventions in the United States and in certain foreign countries. The Company intends to file additional patent applications, when appropriate, relating to improvements in its technologies and other specific products and processes. The Company plans to aggressively prosecute, enforce, and defend its patents and other proprietary technology.</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7" w:right="1440" w:bottom="1440" w:gutter="0" w:footer="0" w:header="0"/>
        </w:sectPr>
      </w:pPr>
    </w:p>
    <w:bookmarkStart w:id="14" w:name="page15"/>
    <w:bookmarkEnd w:id="14"/>
    <w:p>
      <w:pPr>
        <w:ind w:right="3179" w:firstLine="793"/>
        <w:spacing w:after="0" w:line="238" w:lineRule="auto"/>
        <w:rPr>
          <w:sz w:val="20"/>
          <w:szCs w:val="20"/>
          <w:color w:val="auto"/>
        </w:rPr>
      </w:pPr>
      <w:r>
        <w:rPr>
          <w:rFonts w:ascii="Courier New" w:cs="Courier New" w:eastAsia="Courier New" w:hAnsi="Courier New"/>
          <w:sz w:val="15"/>
          <w:szCs w:val="15"/>
          <w:color w:val="auto"/>
        </w:rPr>
        <w:t>The patent positions of biotechnology firms, including the Company, are generally uncertain and involve complex legal and factual questions. No predictions can be made regarding the breadth, validity, or enforceability of claims allowed in these types of patents. The Company does not know whether any of its pending applications will result in the issuance of any patents or if any currently issued patents or any patents issued in the future will provide significant proprietary protection or will be circumvented or invalidated or will infringe on the rights of others.</w:t>
      </w:r>
    </w:p>
    <w:p>
      <w:pPr>
        <w:spacing w:after="0" w:line="178"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Competitors have filed applications for, or have been issued, patents and may obtain additional patents and proprietary rights related to products or processes competitive with those of the Company. Accordingly, there can be no assurance that the Company's patent applications will result in patents being issued in addition to those described above or that, if issued, the patents will afford protection against competitors with similar technology; nor can there be any assurance that others will not obtain patents that the Company will need to license or circumvent. The Company is aware that one patent has issued in the United States and patent applications in certain foreign countries were filed by Amgen and others for the production of neurotrophic factor proteins. The Company is further aware that patent applications have been filed in the United States and certain foreign countries by Takeda, Amgen, and, the Company believes, Genentech on products and processes relating to NT-3. The Company has received a co-exclusive license to NT-3 as a result of a worldwide licensing agreement between Amgen/Regeneron and Takeda. Other patent filings by these companies or others may be competitive with the Company's patent claims or may cause, if valid and issued in the United States or a relevant foreign jurisdiction, substantial commercial difficulties or additional expenses or delays to the Company's operations or commercial activities or may require the Company to cease certain development or commercial activities altogether. The Company cannot predict whether its or its competitors' patent applications will result in valid patents being issued.</w:t>
      </w:r>
    </w:p>
    <w:p>
      <w:pPr>
        <w:spacing w:after="0" w:line="34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The Company expects that expenses related to the filing, prosecution, defense, and enforcement of patent and other intellectual property claims will continue to be substantial as a result of patent filings and prosecutions in the United States and foreign countries. The Company is currently involved in interference proceedings in the Patent and Trademark Office between Regeneron's patent applications and patents relating to CNTF issued to Synergen, Inc. ("Synergen"). Amgen acquired all outstanding shares of Synergen in 1994. In March 1998, the Company and Amgen entered into an agreement not to sue each other and to resolve their patent interference and related oppositions and other patent proceedings relating to CNTF and AXOKINE. The Company also granted Amgen a license to use CNTF and second generation CNTFs other than AXOKINE to treat retinal degenerative conditions. Under this agreement, Amgen is free to develop CNTF or second generation CNTFs for obesity, in competition with Regeneron's AXOKINE. Neither party will pay royalties or make other payments to the other party in consideration of this agreement.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Regulation by government authorities in the United States and foreign countries is a significant factor in the research, development, manufacture, and marketing of the Company's product candidates. All of the Company's product candidates will require regulatory approval before they can be commercialized. In particular, human therapeutic products are subject to rigorous preclinical and clinical trials and other premarket approval requirements by the FDA and foreign authorities. Many aspects of the structure and substance of the FDA and foreign pharmaceutical regulatory practices have been</w:t>
      </w:r>
    </w:p>
    <w:p>
      <w:pPr>
        <w:spacing w:after="0" w:line="3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7" w:right="1440" w:bottom="1440" w:gutter="0" w:footer="0" w:header="0"/>
        </w:sectPr>
      </w:pPr>
    </w:p>
    <w:bookmarkStart w:id="15" w:name="page16"/>
    <w:bookmarkEnd w:id="15"/>
    <w:p>
      <w:pPr>
        <w:ind w:right="3259"/>
        <w:spacing w:after="0" w:line="237" w:lineRule="auto"/>
        <w:rPr>
          <w:sz w:val="20"/>
          <w:szCs w:val="20"/>
          <w:color w:val="auto"/>
        </w:rPr>
      </w:pPr>
      <w:r>
        <w:rPr>
          <w:rFonts w:ascii="Courier New" w:cs="Courier New" w:eastAsia="Courier New" w:hAnsi="Courier New"/>
          <w:sz w:val="15"/>
          <w:szCs w:val="15"/>
          <w:color w:val="auto"/>
        </w:rPr>
        <w:t>reformed during recent years, and continued reform is under consideration in a number of forums. The ultimate outcome and impact of such reforms and potential reforms cannot be reasonably predicted.</w:t>
      </w:r>
    </w:p>
    <w:p>
      <w:pPr>
        <w:spacing w:after="0" w:line="175"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Clinical trials are conducted in accordance with certain standards under protocols that detail the objectives of the study, the parameters to be used to monitor safety, and the efficacy criteria to be evaluated. Each protocol must be submitted to the FDA. The phases of clinical studies may overlap. The designation of a clinical trial as being of a particular phase is not necessarily indicative that such a trial will be sufficient to satisfy the parameters of a particular phase, and a clinical trial may contain elements of more than one phase notwithstanding the designation of the trial as being of a particular phase. No assurance can be given that the results of preclinical studies or early stage clinical trials will predict long-term safety or efficacy of the Company's compounds when they are tested or used more broadly in humans. Various federal and state statutes and regulations also govern or influence the research, manufacture, safety, labeling, storage, recordkeeping, marketing, transport, or other aspects of such products. The lengthy process of seeking these approvals and the compliance with applicable statutes and regulations require the expenditure of substantial resources. Any failure by the Company or its collaborators or licensees to obtain, or any delay in obtaining, regulatory approvals could adversely affect the marketing of any products developed by the Company and its ability to receive product or royalty revenue.</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In addition to the foregoing, the Company's present and future business will be subject to regulation under the United States Atomic Energy Act, the Clean Air Act, the Clean Water Act, the Comprehensive Environmental Response, Compensation and Liability Act, the National Environmental Policy Act, the Toxic Substances Control Act, and the Resource Conservation and Recovery Act, national restrictions, and other present and potential future local, state, federal, and foreign regulations.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7"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Employees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As of December 31, 1998, the Company had 371 full-time employees, 60 of whom hold a Ph.D. and/or M.D. degree. The Company believes that it has been highly successful in attracting skilled and experienced personnel; however, competition for such personnel is intense. None of the Company's personnel are covered by collective bargaining agreements and management considers its relations with its employees to be good.</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Regeneron conducts its research, development, manufacturing, and administrative activities at its own facilities. The Company currently leases approximately 138,600 square feet of office, laboratory, and manufacturing space in Tarrytown, New York. The current monthly base rental charge is $236,428 plus additional rental charges for utilities, increases in taxes and operating expenses, as defined. The lease for this facility expires on June 30, 2003, and the Company has a renewal option to extend the lease for an additional five-year period. The Company owns the Rensselaer facility, consisting of two buildings totaling approximately 104,000 square feet of research, manufacturing, office, and warehouse space.</w:t>
      </w:r>
    </w:p>
    <w:p>
      <w:pPr>
        <w:spacing w:after="0" w:line="180"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As the Company's activities expand, additional space may be required. In the future, the Company may locate, lease, operate, or purchase additional facilities in which to conduct expanded research and development activities and manufacturing and commercial operations.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In March 1998, the Company and Amgen entered into an agreement not to sue each other which, among other things, resolved their patent interference and related opposition and other patent proceedings relating to CNTF and AXOKINE. The Company also granted Amgen a license to use CNTF and second generation CNTFs other than AXOKINE to treat retinal degenerative conditions. Neither party will pay royalties or make other payments to the other party in consideration of this agreement. In addition to patent interference proceedings declared by the United States Patent and Trademark Office, the Company from time to time has been subject to legal claims arising in connection with its business. While the ultimate results of the proceedings and claims cannot be predicted with certainty, at December 31, 1998, there were no asserted claims against the Company which, in the opinion of management, if adversely decided, would have a material adverse effect on the Company's financial position and results of operations.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None.</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2"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Listed below are the executive officers of the Company as of March 5, 1999. There are no family relationships between any of the executive officers and there is no arrangement or understanding between any executive officer and any other person pursuant to which the executive officer was selected. At the annual meeting of the Board of Directors, which follows the Annual Meeting of Shareholders, executive officers are elected by the Board to hold office for one year and until their respective successors are elected and qualified, or until their earlier resignation or removal.</w:t>
      </w:r>
    </w:p>
    <w:p>
      <w:pPr>
        <w:spacing w:after="0" w:line="178"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Information with regard to the directors of the Company, including that of the following executive officers who are directors, is incorporated by reference to Regeneron Pharmaceuticals, Inc. Proxy Statement to be filed in connection with solicitation of proxies for its Annual Meeting of Shareholders to be held on June 11, 1999.</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220" w:type="dxa"/>
            <w:vAlign w:val="bottom"/>
          </w:tcPr>
          <w:p>
            <w:pPr>
              <w:ind w:left="1560"/>
              <w:spacing w:after="0"/>
              <w:rPr>
                <w:sz w:val="20"/>
                <w:szCs w:val="20"/>
                <w:color w:val="auto"/>
              </w:rPr>
            </w:pPr>
            <w:r>
              <w:rPr>
                <w:rFonts w:ascii="Courier New" w:cs="Courier New" w:eastAsia="Courier New" w:hAnsi="Courier New"/>
                <w:sz w:val="15"/>
                <w:szCs w:val="15"/>
                <w:color w:val="auto"/>
              </w:rPr>
              <w:t>Age</w:t>
            </w:r>
          </w:p>
        </w:tc>
        <w:tc>
          <w:tcPr>
            <w:tcW w:w="1580" w:type="dxa"/>
            <w:vAlign w:val="bottom"/>
          </w:tcPr>
          <w:p>
            <w:pPr>
              <w:ind w:left="220"/>
              <w:spacing w:after="0"/>
              <w:rPr>
                <w:sz w:val="20"/>
                <w:szCs w:val="20"/>
                <w:color w:val="auto"/>
              </w:rPr>
            </w:pPr>
            <w:r>
              <w:rPr>
                <w:rFonts w:ascii="Courier New" w:cs="Courier New" w:eastAsia="Courier New" w:hAnsi="Courier New"/>
                <w:sz w:val="15"/>
                <w:szCs w:val="15"/>
                <w:color w:val="auto"/>
              </w:rPr>
              <w:t>Position</w:t>
            </w:r>
          </w:p>
        </w:tc>
        <w:tc>
          <w:tcPr>
            <w:tcW w:w="2420" w:type="dxa"/>
            <w:vAlign w:val="bottom"/>
          </w:tcPr>
          <w:p>
            <w:pPr>
              <w:spacing w:after="0"/>
              <w:rPr>
                <w:sz w:val="14"/>
                <w:szCs w:val="14"/>
                <w:color w:val="auto"/>
              </w:rPr>
            </w:pP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20" w:type="dxa"/>
            <w:vAlign w:val="bottom"/>
          </w:tcPr>
          <w:p>
            <w:pPr>
              <w:ind w:left="172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2420" w:type="dxa"/>
            <w:vAlign w:val="bottom"/>
          </w:tcPr>
          <w:p>
            <w:pPr>
              <w:spacing w:after="0"/>
              <w:rPr>
                <w:sz w:val="14"/>
                <w:szCs w:val="14"/>
                <w:color w:val="auto"/>
              </w:rPr>
            </w:pPr>
          </w:p>
        </w:tc>
      </w:tr>
      <w:tr>
        <w:trPr>
          <w:trHeight w:val="509"/>
        </w:trPr>
        <w:tc>
          <w:tcPr>
            <w:tcW w:w="3200" w:type="dxa"/>
            <w:vAlign w:val="bottom"/>
          </w:tcPr>
          <w:p>
            <w:pPr>
              <w:spacing w:after="0"/>
              <w:rPr>
                <w:sz w:val="20"/>
                <w:szCs w:val="20"/>
                <w:color w:val="auto"/>
              </w:rPr>
            </w:pPr>
            <w:r>
              <w:rPr>
                <w:rFonts w:ascii="Courier New" w:cs="Courier New" w:eastAsia="Courier New" w:hAnsi="Courier New"/>
                <w:sz w:val="15"/>
                <w:szCs w:val="15"/>
                <w:color w:val="auto"/>
              </w:rPr>
              <w:t>Leonard S. Schleifer, M.D., Ph.D.</w:t>
            </w:r>
          </w:p>
        </w:tc>
        <w:tc>
          <w:tcPr>
            <w:tcW w:w="2220" w:type="dxa"/>
            <w:vAlign w:val="bottom"/>
          </w:tcPr>
          <w:p>
            <w:pPr>
              <w:ind w:left="1560"/>
              <w:spacing w:after="0"/>
              <w:rPr>
                <w:sz w:val="20"/>
                <w:szCs w:val="20"/>
                <w:color w:val="auto"/>
              </w:rPr>
            </w:pPr>
            <w:r>
              <w:rPr>
                <w:rFonts w:ascii="Courier New" w:cs="Courier New" w:eastAsia="Courier New" w:hAnsi="Courier New"/>
                <w:sz w:val="15"/>
                <w:szCs w:val="15"/>
                <w:color w:val="auto"/>
              </w:rPr>
              <w:t>46</w:t>
            </w:r>
          </w:p>
        </w:tc>
        <w:tc>
          <w:tcPr>
            <w:tcW w:w="1580" w:type="dxa"/>
            <w:vAlign w:val="bottom"/>
          </w:tcPr>
          <w:p>
            <w:pPr>
              <w:ind w:left="220"/>
              <w:spacing w:after="0"/>
              <w:rPr>
                <w:sz w:val="20"/>
                <w:szCs w:val="20"/>
                <w:color w:val="auto"/>
              </w:rPr>
            </w:pPr>
            <w:r>
              <w:rPr>
                <w:rFonts w:ascii="Courier New" w:cs="Courier New" w:eastAsia="Courier New" w:hAnsi="Courier New"/>
                <w:sz w:val="15"/>
                <w:szCs w:val="15"/>
                <w:color w:val="auto"/>
                <w:w w:val="99"/>
              </w:rPr>
              <w:t>Chief Executive</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Officer, President, and</w:t>
            </w:r>
          </w:p>
        </w:tc>
      </w:tr>
      <w:tr>
        <w:trPr>
          <w:trHeight w:val="170"/>
        </w:trPr>
        <w:tc>
          <w:tcPr>
            <w:tcW w:w="3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0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founder of the Company</w:t>
            </w: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George D. Yancopoulos, M.D., Ph.D.</w:t>
            </w:r>
          </w:p>
        </w:tc>
        <w:tc>
          <w:tcPr>
            <w:tcW w:w="2220" w:type="dxa"/>
            <w:vAlign w:val="bottom"/>
          </w:tcPr>
          <w:p>
            <w:pPr>
              <w:ind w:left="1560"/>
              <w:spacing w:after="0"/>
              <w:rPr>
                <w:sz w:val="20"/>
                <w:szCs w:val="20"/>
                <w:color w:val="auto"/>
              </w:rPr>
            </w:pPr>
            <w:r>
              <w:rPr>
                <w:rFonts w:ascii="Courier New" w:cs="Courier New" w:eastAsia="Courier New" w:hAnsi="Courier New"/>
                <w:sz w:val="15"/>
                <w:szCs w:val="15"/>
                <w:color w:val="auto"/>
              </w:rPr>
              <w:t>39</w:t>
            </w:r>
          </w:p>
        </w:tc>
        <w:tc>
          <w:tcPr>
            <w:tcW w:w="400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Senior Vice President, Research, and Chief</w:t>
            </w:r>
          </w:p>
        </w:tc>
      </w:tr>
      <w:tr>
        <w:trPr>
          <w:trHeight w:val="170"/>
        </w:trPr>
        <w:tc>
          <w:tcPr>
            <w:tcW w:w="3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0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Scientific Officer</w:t>
            </w: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Jesse M. Cedarbaum, M.D.</w:t>
            </w:r>
          </w:p>
        </w:tc>
        <w:tc>
          <w:tcPr>
            <w:tcW w:w="2220" w:type="dxa"/>
            <w:vAlign w:val="bottom"/>
          </w:tcPr>
          <w:p>
            <w:pPr>
              <w:ind w:left="1560"/>
              <w:spacing w:after="0"/>
              <w:rPr>
                <w:sz w:val="20"/>
                <w:szCs w:val="20"/>
                <w:color w:val="auto"/>
              </w:rPr>
            </w:pPr>
            <w:r>
              <w:rPr>
                <w:rFonts w:ascii="Courier New" w:cs="Courier New" w:eastAsia="Courier New" w:hAnsi="Courier New"/>
                <w:sz w:val="15"/>
                <w:szCs w:val="15"/>
                <w:color w:val="auto"/>
              </w:rPr>
              <w:t>47</w:t>
            </w:r>
          </w:p>
        </w:tc>
        <w:tc>
          <w:tcPr>
            <w:tcW w:w="1580" w:type="dxa"/>
            <w:vAlign w:val="bottom"/>
          </w:tcPr>
          <w:p>
            <w:pPr>
              <w:ind w:left="220"/>
              <w:spacing w:after="0"/>
              <w:rPr>
                <w:sz w:val="20"/>
                <w:szCs w:val="20"/>
                <w:color w:val="auto"/>
              </w:rPr>
            </w:pPr>
            <w:r>
              <w:rPr>
                <w:rFonts w:ascii="Courier New" w:cs="Courier New" w:eastAsia="Courier New" w:hAnsi="Courier New"/>
                <w:sz w:val="15"/>
                <w:szCs w:val="15"/>
                <w:color w:val="auto"/>
                <w:w w:val="99"/>
              </w:rPr>
              <w:t>Vice President,</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Clinical Affairs</w:t>
            </w: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Murray A. Goldberg</w:t>
            </w:r>
          </w:p>
        </w:tc>
        <w:tc>
          <w:tcPr>
            <w:tcW w:w="2220" w:type="dxa"/>
            <w:vAlign w:val="bottom"/>
          </w:tcPr>
          <w:p>
            <w:pPr>
              <w:ind w:left="1560"/>
              <w:spacing w:after="0"/>
              <w:rPr>
                <w:sz w:val="20"/>
                <w:szCs w:val="20"/>
                <w:color w:val="auto"/>
              </w:rPr>
            </w:pPr>
            <w:r>
              <w:rPr>
                <w:rFonts w:ascii="Courier New" w:cs="Courier New" w:eastAsia="Courier New" w:hAnsi="Courier New"/>
                <w:sz w:val="15"/>
                <w:szCs w:val="15"/>
                <w:color w:val="auto"/>
              </w:rPr>
              <w:t>54</w:t>
            </w:r>
          </w:p>
        </w:tc>
        <w:tc>
          <w:tcPr>
            <w:tcW w:w="1580" w:type="dxa"/>
            <w:vAlign w:val="bottom"/>
          </w:tcPr>
          <w:p>
            <w:pPr>
              <w:ind w:left="220"/>
              <w:spacing w:after="0"/>
              <w:rPr>
                <w:sz w:val="20"/>
                <w:szCs w:val="20"/>
                <w:color w:val="auto"/>
              </w:rPr>
            </w:pPr>
            <w:r>
              <w:rPr>
                <w:rFonts w:ascii="Courier New" w:cs="Courier New" w:eastAsia="Courier New" w:hAnsi="Courier New"/>
                <w:sz w:val="15"/>
                <w:szCs w:val="15"/>
                <w:color w:val="auto"/>
                <w:w w:val="99"/>
              </w:rPr>
              <w:t>Vice President,</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Finance &amp; Administration,</w:t>
            </w:r>
          </w:p>
        </w:tc>
      </w:tr>
      <w:tr>
        <w:trPr>
          <w:trHeight w:val="170"/>
        </w:trPr>
        <w:tc>
          <w:tcPr>
            <w:tcW w:w="3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80" w:type="dxa"/>
            <w:vAlign w:val="bottom"/>
          </w:tcPr>
          <w:p>
            <w:pPr>
              <w:ind w:left="220"/>
              <w:spacing w:after="0"/>
              <w:rPr>
                <w:sz w:val="20"/>
                <w:szCs w:val="20"/>
                <w:color w:val="auto"/>
              </w:rPr>
            </w:pPr>
            <w:r>
              <w:rPr>
                <w:rFonts w:ascii="Courier New" w:cs="Courier New" w:eastAsia="Courier New" w:hAnsi="Courier New"/>
                <w:sz w:val="15"/>
                <w:szCs w:val="15"/>
                <w:color w:val="auto"/>
                <w:w w:val="99"/>
              </w:rPr>
              <w:t>Chief Financial</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Officer, and Treasurer</w:t>
            </w: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Hans-Peter Guler</w:t>
            </w:r>
          </w:p>
        </w:tc>
        <w:tc>
          <w:tcPr>
            <w:tcW w:w="2220" w:type="dxa"/>
            <w:vAlign w:val="bottom"/>
          </w:tcPr>
          <w:p>
            <w:pPr>
              <w:ind w:left="1560"/>
              <w:spacing w:after="0"/>
              <w:rPr>
                <w:sz w:val="20"/>
                <w:szCs w:val="20"/>
                <w:color w:val="auto"/>
              </w:rPr>
            </w:pPr>
            <w:r>
              <w:rPr>
                <w:rFonts w:ascii="Courier New" w:cs="Courier New" w:eastAsia="Courier New" w:hAnsi="Courier New"/>
                <w:sz w:val="15"/>
                <w:szCs w:val="15"/>
                <w:color w:val="auto"/>
              </w:rPr>
              <w:t>50</w:t>
            </w:r>
          </w:p>
        </w:tc>
        <w:tc>
          <w:tcPr>
            <w:tcW w:w="1580" w:type="dxa"/>
            <w:vAlign w:val="bottom"/>
          </w:tcPr>
          <w:p>
            <w:pPr>
              <w:ind w:left="220"/>
              <w:spacing w:after="0"/>
              <w:rPr>
                <w:sz w:val="20"/>
                <w:szCs w:val="20"/>
                <w:color w:val="auto"/>
              </w:rPr>
            </w:pPr>
            <w:r>
              <w:rPr>
                <w:rFonts w:ascii="Courier New" w:cs="Courier New" w:eastAsia="Courier New" w:hAnsi="Courier New"/>
                <w:sz w:val="15"/>
                <w:szCs w:val="15"/>
                <w:color w:val="auto"/>
                <w:w w:val="99"/>
              </w:rPr>
              <w:t>Vice President,</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Clinical Affairs</w:t>
            </w: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Stephen L. Holst</w:t>
            </w:r>
          </w:p>
        </w:tc>
        <w:tc>
          <w:tcPr>
            <w:tcW w:w="2220" w:type="dxa"/>
            <w:vAlign w:val="bottom"/>
          </w:tcPr>
          <w:p>
            <w:pPr>
              <w:ind w:left="1560"/>
              <w:spacing w:after="0"/>
              <w:rPr>
                <w:sz w:val="20"/>
                <w:szCs w:val="20"/>
                <w:color w:val="auto"/>
              </w:rPr>
            </w:pPr>
            <w:r>
              <w:rPr>
                <w:rFonts w:ascii="Courier New" w:cs="Courier New" w:eastAsia="Courier New" w:hAnsi="Courier New"/>
                <w:sz w:val="15"/>
                <w:szCs w:val="15"/>
                <w:color w:val="auto"/>
              </w:rPr>
              <w:t>57</w:t>
            </w:r>
          </w:p>
        </w:tc>
        <w:tc>
          <w:tcPr>
            <w:tcW w:w="1580" w:type="dxa"/>
            <w:vAlign w:val="bottom"/>
          </w:tcPr>
          <w:p>
            <w:pPr>
              <w:ind w:left="220"/>
              <w:spacing w:after="0"/>
              <w:rPr>
                <w:sz w:val="20"/>
                <w:szCs w:val="20"/>
                <w:color w:val="auto"/>
              </w:rPr>
            </w:pPr>
            <w:r>
              <w:rPr>
                <w:rFonts w:ascii="Courier New" w:cs="Courier New" w:eastAsia="Courier New" w:hAnsi="Courier New"/>
                <w:sz w:val="15"/>
                <w:szCs w:val="15"/>
                <w:color w:val="auto"/>
                <w:w w:val="99"/>
              </w:rPr>
              <w:t>Vice President,</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Quality Assurance and</w:t>
            </w:r>
          </w:p>
        </w:tc>
      </w:tr>
      <w:tr>
        <w:trPr>
          <w:trHeight w:val="170"/>
        </w:trPr>
        <w:tc>
          <w:tcPr>
            <w:tcW w:w="3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0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Regulatory Affairs</w:t>
            </w: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Richard X. Horne</w:t>
            </w:r>
          </w:p>
        </w:tc>
        <w:tc>
          <w:tcPr>
            <w:tcW w:w="2220" w:type="dxa"/>
            <w:vAlign w:val="bottom"/>
          </w:tcPr>
          <w:p>
            <w:pPr>
              <w:ind w:left="1560"/>
              <w:spacing w:after="0"/>
              <w:rPr>
                <w:sz w:val="20"/>
                <w:szCs w:val="20"/>
                <w:color w:val="auto"/>
              </w:rPr>
            </w:pPr>
            <w:r>
              <w:rPr>
                <w:rFonts w:ascii="Courier New" w:cs="Courier New" w:eastAsia="Courier New" w:hAnsi="Courier New"/>
                <w:sz w:val="15"/>
                <w:szCs w:val="15"/>
                <w:color w:val="auto"/>
              </w:rPr>
              <w:t>48</w:t>
            </w:r>
          </w:p>
        </w:tc>
        <w:tc>
          <w:tcPr>
            <w:tcW w:w="40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Staff Vice President, Human Resources</w:t>
            </w: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Paul Lubetkin</w:t>
            </w:r>
          </w:p>
        </w:tc>
        <w:tc>
          <w:tcPr>
            <w:tcW w:w="2220" w:type="dxa"/>
            <w:vAlign w:val="bottom"/>
          </w:tcPr>
          <w:p>
            <w:pPr>
              <w:ind w:left="1560"/>
              <w:spacing w:after="0"/>
              <w:rPr>
                <w:sz w:val="20"/>
                <w:szCs w:val="20"/>
                <w:color w:val="auto"/>
              </w:rPr>
            </w:pPr>
            <w:r>
              <w:rPr>
                <w:rFonts w:ascii="Courier New" w:cs="Courier New" w:eastAsia="Courier New" w:hAnsi="Courier New"/>
                <w:sz w:val="15"/>
                <w:szCs w:val="15"/>
                <w:color w:val="auto"/>
              </w:rPr>
              <w:t>48</w:t>
            </w:r>
          </w:p>
        </w:tc>
        <w:tc>
          <w:tcPr>
            <w:tcW w:w="1580" w:type="dxa"/>
            <w:vAlign w:val="bottom"/>
          </w:tcPr>
          <w:p>
            <w:pPr>
              <w:ind w:left="220"/>
              <w:spacing w:after="0"/>
              <w:rPr>
                <w:sz w:val="20"/>
                <w:szCs w:val="20"/>
                <w:color w:val="auto"/>
              </w:rPr>
            </w:pPr>
            <w:r>
              <w:rPr>
                <w:rFonts w:ascii="Courier New" w:cs="Courier New" w:eastAsia="Courier New" w:hAnsi="Courier New"/>
                <w:sz w:val="15"/>
                <w:szCs w:val="15"/>
                <w:color w:val="auto"/>
                <w:w w:val="99"/>
              </w:rPr>
              <w:t>Vice President,</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General Counsel, and</w:t>
            </w:r>
          </w:p>
        </w:tc>
      </w:tr>
      <w:tr>
        <w:trPr>
          <w:trHeight w:val="170"/>
        </w:trPr>
        <w:tc>
          <w:tcPr>
            <w:tcW w:w="3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80" w:type="dxa"/>
            <w:vAlign w:val="bottom"/>
          </w:tcPr>
          <w:p>
            <w:pPr>
              <w:ind w:left="220"/>
              <w:spacing w:after="0"/>
              <w:rPr>
                <w:sz w:val="20"/>
                <w:szCs w:val="20"/>
                <w:color w:val="auto"/>
              </w:rPr>
            </w:pPr>
            <w:r>
              <w:rPr>
                <w:rFonts w:ascii="Courier New" w:cs="Courier New" w:eastAsia="Courier New" w:hAnsi="Courier New"/>
                <w:sz w:val="15"/>
                <w:szCs w:val="15"/>
                <w:color w:val="auto"/>
              </w:rPr>
              <w:t>Secretary</w:t>
            </w:r>
          </w:p>
        </w:tc>
        <w:tc>
          <w:tcPr>
            <w:tcW w:w="2420" w:type="dxa"/>
            <w:vAlign w:val="bottom"/>
          </w:tcPr>
          <w:p>
            <w:pPr>
              <w:spacing w:after="0"/>
              <w:rPr>
                <w:sz w:val="14"/>
                <w:szCs w:val="14"/>
                <w:color w:val="auto"/>
              </w:rPr>
            </w:pP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Randall G. Rupp, Ph.D.</w:t>
            </w:r>
          </w:p>
        </w:tc>
        <w:tc>
          <w:tcPr>
            <w:tcW w:w="2220" w:type="dxa"/>
            <w:vAlign w:val="bottom"/>
          </w:tcPr>
          <w:p>
            <w:pPr>
              <w:ind w:left="1560"/>
              <w:spacing w:after="0"/>
              <w:rPr>
                <w:sz w:val="20"/>
                <w:szCs w:val="20"/>
                <w:color w:val="auto"/>
              </w:rPr>
            </w:pPr>
            <w:r>
              <w:rPr>
                <w:rFonts w:ascii="Courier New" w:cs="Courier New" w:eastAsia="Courier New" w:hAnsi="Courier New"/>
                <w:sz w:val="15"/>
                <w:szCs w:val="15"/>
                <w:color w:val="auto"/>
              </w:rPr>
              <w:t>51</w:t>
            </w:r>
          </w:p>
        </w:tc>
        <w:tc>
          <w:tcPr>
            <w:tcW w:w="1580" w:type="dxa"/>
            <w:vAlign w:val="bottom"/>
          </w:tcPr>
          <w:p>
            <w:pPr>
              <w:ind w:left="220"/>
              <w:spacing w:after="0"/>
              <w:rPr>
                <w:sz w:val="20"/>
                <w:szCs w:val="20"/>
                <w:color w:val="auto"/>
              </w:rPr>
            </w:pPr>
            <w:r>
              <w:rPr>
                <w:rFonts w:ascii="Courier New" w:cs="Courier New" w:eastAsia="Courier New" w:hAnsi="Courier New"/>
                <w:sz w:val="15"/>
                <w:szCs w:val="15"/>
                <w:color w:val="auto"/>
                <w:w w:val="99"/>
              </w:rPr>
              <w:t>Vice President,</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Manufacturing and Process</w:t>
            </w:r>
          </w:p>
        </w:tc>
      </w:tr>
      <w:tr>
        <w:trPr>
          <w:trHeight w:val="170"/>
        </w:trPr>
        <w:tc>
          <w:tcPr>
            <w:tcW w:w="3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80" w:type="dxa"/>
            <w:vAlign w:val="bottom"/>
          </w:tcPr>
          <w:p>
            <w:pPr>
              <w:ind w:left="220"/>
              <w:spacing w:after="0"/>
              <w:rPr>
                <w:sz w:val="20"/>
                <w:szCs w:val="20"/>
                <w:color w:val="auto"/>
              </w:rPr>
            </w:pPr>
            <w:r>
              <w:rPr>
                <w:rFonts w:ascii="Courier New" w:cs="Courier New" w:eastAsia="Courier New" w:hAnsi="Courier New"/>
                <w:sz w:val="15"/>
                <w:szCs w:val="15"/>
                <w:color w:val="auto"/>
              </w:rPr>
              <w:t>Science</w:t>
            </w:r>
          </w:p>
        </w:tc>
        <w:tc>
          <w:tcPr>
            <w:tcW w:w="2420" w:type="dxa"/>
            <w:vAlign w:val="bottom"/>
          </w:tcPr>
          <w:p>
            <w:pPr>
              <w:spacing w:after="0"/>
              <w:rPr>
                <w:sz w:val="14"/>
                <w:szCs w:val="14"/>
                <w:color w:val="auto"/>
              </w:rPr>
            </w:pP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Neil Stahl, Ph.D.</w:t>
            </w:r>
          </w:p>
        </w:tc>
        <w:tc>
          <w:tcPr>
            <w:tcW w:w="2220" w:type="dxa"/>
            <w:vAlign w:val="bottom"/>
          </w:tcPr>
          <w:p>
            <w:pPr>
              <w:ind w:left="1560"/>
              <w:spacing w:after="0"/>
              <w:rPr>
                <w:sz w:val="20"/>
                <w:szCs w:val="20"/>
                <w:color w:val="auto"/>
              </w:rPr>
            </w:pPr>
            <w:r>
              <w:rPr>
                <w:rFonts w:ascii="Courier New" w:cs="Courier New" w:eastAsia="Courier New" w:hAnsi="Courier New"/>
                <w:sz w:val="15"/>
                <w:szCs w:val="15"/>
                <w:color w:val="auto"/>
              </w:rPr>
              <w:t>42</w:t>
            </w:r>
          </w:p>
        </w:tc>
        <w:tc>
          <w:tcPr>
            <w:tcW w:w="1580" w:type="dxa"/>
            <w:vAlign w:val="bottom"/>
          </w:tcPr>
          <w:p>
            <w:pPr>
              <w:ind w:left="220"/>
              <w:spacing w:after="0"/>
              <w:rPr>
                <w:sz w:val="20"/>
                <w:szCs w:val="20"/>
                <w:color w:val="auto"/>
              </w:rPr>
            </w:pPr>
            <w:r>
              <w:rPr>
                <w:rFonts w:ascii="Courier New" w:cs="Courier New" w:eastAsia="Courier New" w:hAnsi="Courier New"/>
                <w:sz w:val="15"/>
                <w:szCs w:val="15"/>
                <w:color w:val="auto"/>
                <w:w w:val="99"/>
              </w:rPr>
              <w:t>Vice President,</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Biomolecular Science</w:t>
            </w: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David M. Valenzuela, Ph.D.</w:t>
            </w:r>
          </w:p>
        </w:tc>
        <w:tc>
          <w:tcPr>
            <w:tcW w:w="2220" w:type="dxa"/>
            <w:vAlign w:val="bottom"/>
          </w:tcPr>
          <w:p>
            <w:pPr>
              <w:ind w:left="1560"/>
              <w:spacing w:after="0"/>
              <w:rPr>
                <w:sz w:val="20"/>
                <w:szCs w:val="20"/>
                <w:color w:val="auto"/>
              </w:rPr>
            </w:pPr>
            <w:r>
              <w:rPr>
                <w:rFonts w:ascii="Courier New" w:cs="Courier New" w:eastAsia="Courier New" w:hAnsi="Courier New"/>
                <w:sz w:val="15"/>
                <w:szCs w:val="15"/>
                <w:color w:val="auto"/>
              </w:rPr>
              <w:t>48</w:t>
            </w:r>
          </w:p>
        </w:tc>
        <w:tc>
          <w:tcPr>
            <w:tcW w:w="1580" w:type="dxa"/>
            <w:vAlign w:val="bottom"/>
          </w:tcPr>
          <w:p>
            <w:pPr>
              <w:ind w:left="220"/>
              <w:spacing w:after="0"/>
              <w:rPr>
                <w:sz w:val="20"/>
                <w:szCs w:val="20"/>
                <w:color w:val="auto"/>
              </w:rPr>
            </w:pPr>
            <w:r>
              <w:rPr>
                <w:rFonts w:ascii="Courier New" w:cs="Courier New" w:eastAsia="Courier New" w:hAnsi="Courier New"/>
                <w:sz w:val="15"/>
                <w:szCs w:val="15"/>
                <w:color w:val="auto"/>
                <w:w w:val="99"/>
              </w:rPr>
              <w:t>Vice President,</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w w:val="97"/>
              </w:rPr>
              <w:t>Genomics and Bioinformatics</w:t>
            </w: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Douglas S. McCorkle</w:t>
            </w:r>
          </w:p>
        </w:tc>
        <w:tc>
          <w:tcPr>
            <w:tcW w:w="2220" w:type="dxa"/>
            <w:vAlign w:val="bottom"/>
          </w:tcPr>
          <w:p>
            <w:pPr>
              <w:ind w:left="1560"/>
              <w:spacing w:after="0"/>
              <w:rPr>
                <w:sz w:val="20"/>
                <w:szCs w:val="20"/>
                <w:color w:val="auto"/>
              </w:rPr>
            </w:pPr>
            <w:r>
              <w:rPr>
                <w:rFonts w:ascii="Courier New" w:cs="Courier New" w:eastAsia="Courier New" w:hAnsi="Courier New"/>
                <w:sz w:val="15"/>
                <w:szCs w:val="15"/>
                <w:color w:val="auto"/>
              </w:rPr>
              <w:t>42</w:t>
            </w:r>
          </w:p>
        </w:tc>
        <w:tc>
          <w:tcPr>
            <w:tcW w:w="40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Controller and Assistant Treasurer</w:t>
            </w: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Beverly C. Dubs</w:t>
            </w:r>
          </w:p>
        </w:tc>
        <w:tc>
          <w:tcPr>
            <w:tcW w:w="2220" w:type="dxa"/>
            <w:vAlign w:val="bottom"/>
          </w:tcPr>
          <w:p>
            <w:pPr>
              <w:ind w:left="1560"/>
              <w:spacing w:after="0"/>
              <w:rPr>
                <w:sz w:val="20"/>
                <w:szCs w:val="20"/>
                <w:color w:val="auto"/>
              </w:rPr>
            </w:pPr>
            <w:r>
              <w:rPr>
                <w:rFonts w:ascii="Courier New" w:cs="Courier New" w:eastAsia="Courier New" w:hAnsi="Courier New"/>
                <w:sz w:val="15"/>
                <w:szCs w:val="15"/>
                <w:color w:val="auto"/>
              </w:rPr>
              <w:t>44</w:t>
            </w:r>
          </w:p>
        </w:tc>
        <w:tc>
          <w:tcPr>
            <w:tcW w:w="40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Administrative Controller and Assistant</w:t>
            </w:r>
          </w:p>
        </w:tc>
      </w:tr>
      <w:tr>
        <w:trPr>
          <w:trHeight w:val="170"/>
        </w:trPr>
        <w:tc>
          <w:tcPr>
            <w:tcW w:w="3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80" w:type="dxa"/>
            <w:vAlign w:val="bottom"/>
          </w:tcPr>
          <w:p>
            <w:pPr>
              <w:ind w:left="220"/>
              <w:spacing w:after="0"/>
              <w:rPr>
                <w:sz w:val="20"/>
                <w:szCs w:val="20"/>
                <w:color w:val="auto"/>
              </w:rPr>
            </w:pPr>
            <w:r>
              <w:rPr>
                <w:rFonts w:ascii="Courier New" w:cs="Courier New" w:eastAsia="Courier New" w:hAnsi="Courier New"/>
                <w:sz w:val="15"/>
                <w:szCs w:val="15"/>
                <w:color w:val="auto"/>
              </w:rPr>
              <w:t>Treasurer</w:t>
            </w:r>
          </w:p>
        </w:tc>
        <w:tc>
          <w:tcPr>
            <w:tcW w:w="2420" w:type="dxa"/>
            <w:vAlign w:val="bottom"/>
          </w:tcPr>
          <w:p>
            <w:pPr>
              <w:spacing w:after="0"/>
              <w:rPr>
                <w:sz w:val="14"/>
                <w:szCs w:val="14"/>
                <w:color w:val="auto"/>
              </w:rPr>
            </w:pPr>
          </w:p>
        </w:tc>
      </w:tr>
      <w:tr>
        <w:trPr>
          <w:trHeight w:val="678"/>
        </w:trPr>
        <w:tc>
          <w:tcPr>
            <w:tcW w:w="3200" w:type="dxa"/>
            <w:vAlign w:val="bottom"/>
          </w:tcPr>
          <w:p>
            <w:pPr>
              <w:spacing w:after="0"/>
              <w:rPr>
                <w:sz w:val="24"/>
                <w:szCs w:val="24"/>
                <w:color w:val="auto"/>
              </w:rPr>
            </w:pPr>
          </w:p>
        </w:tc>
        <w:tc>
          <w:tcPr>
            <w:tcW w:w="2220" w:type="dxa"/>
            <w:vAlign w:val="bottom"/>
          </w:tcPr>
          <w:p>
            <w:pPr>
              <w:ind w:left="220"/>
              <w:spacing w:after="0"/>
              <w:rPr>
                <w:sz w:val="20"/>
                <w:szCs w:val="20"/>
                <w:color w:val="auto"/>
              </w:rPr>
            </w:pPr>
            <w:r>
              <w:rPr>
                <w:rFonts w:ascii="Courier New" w:cs="Courier New" w:eastAsia="Courier New" w:hAnsi="Courier New"/>
                <w:sz w:val="15"/>
                <w:szCs w:val="15"/>
                <w:color w:val="auto"/>
              </w:rPr>
              <w:t>18</w:t>
            </w:r>
          </w:p>
        </w:tc>
        <w:tc>
          <w:tcPr>
            <w:tcW w:w="158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ectPr>
          <w:pgSz w:w="11900" w:h="16838" w:orient="portrait"/>
          <w:cols w:equalWidth="0" w:num="1">
            <w:col w:w="10219"/>
          </w:cols>
          <w:pgMar w:left="240" w:top="622" w:right="1440" w:bottom="1440" w:gutter="0" w:footer="0" w:header="0"/>
        </w:sectPr>
      </w:pPr>
    </w:p>
    <w:bookmarkStart w:id="18" w:name="page19"/>
    <w:bookmarkEnd w:id="18"/>
    <w:p>
      <w:pPr>
        <w:ind w:left="3260"/>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Registrant's Common Equity and Related Stockholder Matters</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The Common Stock of Regeneron is quoted on The Nasdaq Stock Market under the symbol "REGN." The Company's Class A Stock, par value $.001 per share, is not publicly quoted or traded.</w:t>
      </w:r>
    </w:p>
    <w:p>
      <w:pPr>
        <w:spacing w:after="0" w:line="175" w:lineRule="exact"/>
        <w:rPr>
          <w:sz w:val="20"/>
          <w:szCs w:val="20"/>
          <w:color w:val="auto"/>
        </w:rPr>
      </w:pPr>
    </w:p>
    <w:p>
      <w:pPr>
        <w:ind w:right="3179" w:firstLine="793"/>
        <w:spacing w:after="0" w:line="259" w:lineRule="auto"/>
        <w:rPr>
          <w:sz w:val="20"/>
          <w:szCs w:val="20"/>
          <w:color w:val="auto"/>
        </w:rPr>
      </w:pPr>
      <w:r>
        <w:rPr>
          <w:rFonts w:ascii="Courier New" w:cs="Courier New" w:eastAsia="Courier New" w:hAnsi="Courier New"/>
          <w:sz w:val="14"/>
          <w:szCs w:val="14"/>
          <w:color w:val="auto"/>
        </w:rPr>
        <w:t>The following table sets forth, for the periods indicated, the range of high and low bid quotations for the Common Stock as reported by The Nasdaq Stock Market. The bid prices reflect inter-dealer quotations without retail mark-ups, mark-downs, or commissions and do not necessarily represent actual transactions.</w:t>
      </w:r>
    </w:p>
    <w:p>
      <w:pPr>
        <w:spacing w:after="0" w:line="157"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High</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Low</w:t>
            </w:r>
          </w:p>
        </w:tc>
      </w:tr>
      <w:tr>
        <w:trPr>
          <w:trHeight w:val="170"/>
        </w:trPr>
        <w:tc>
          <w:tcPr>
            <w:tcW w:w="362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62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9"/>
        </w:trPr>
        <w:tc>
          <w:tcPr>
            <w:tcW w:w="3620" w:type="dxa"/>
            <w:vAlign w:val="bottom"/>
          </w:tcPr>
          <w:p>
            <w:pPr>
              <w:ind w:left="800"/>
              <w:spacing w:after="0"/>
              <w:rPr>
                <w:sz w:val="20"/>
                <w:szCs w:val="20"/>
                <w:color w:val="auto"/>
              </w:rPr>
            </w:pPr>
            <w:r>
              <w:rPr>
                <w:rFonts w:ascii="Courier New" w:cs="Courier New" w:eastAsia="Courier New" w:hAnsi="Courier New"/>
                <w:sz w:val="15"/>
                <w:szCs w:val="15"/>
                <w:color w:val="auto"/>
              </w:rPr>
              <w:t>First Quarter..................</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$21.000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$7.500</w:t>
            </w:r>
          </w:p>
        </w:tc>
      </w:tr>
      <w:tr>
        <w:trPr>
          <w:trHeight w:val="170"/>
        </w:trPr>
        <w:tc>
          <w:tcPr>
            <w:tcW w:w="3620" w:type="dxa"/>
            <w:vAlign w:val="bottom"/>
          </w:tcPr>
          <w:p>
            <w:pPr>
              <w:ind w:left="800"/>
              <w:spacing w:after="0"/>
              <w:rPr>
                <w:sz w:val="20"/>
                <w:szCs w:val="20"/>
                <w:color w:val="auto"/>
              </w:rPr>
            </w:pPr>
            <w:r>
              <w:rPr>
                <w:rFonts w:ascii="Courier New" w:cs="Courier New" w:eastAsia="Courier New" w:hAnsi="Courier New"/>
                <w:sz w:val="15"/>
                <w:szCs w:val="15"/>
                <w:color w:val="auto"/>
              </w:rPr>
              <w:t>Second Quarter.................</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12.875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6.125</w:t>
            </w:r>
          </w:p>
        </w:tc>
      </w:tr>
      <w:tr>
        <w:trPr>
          <w:trHeight w:val="170"/>
        </w:trPr>
        <w:tc>
          <w:tcPr>
            <w:tcW w:w="3620" w:type="dxa"/>
            <w:vAlign w:val="bottom"/>
          </w:tcPr>
          <w:p>
            <w:pPr>
              <w:ind w:left="800"/>
              <w:spacing w:after="0"/>
              <w:rPr>
                <w:sz w:val="20"/>
                <w:szCs w:val="20"/>
                <w:color w:val="auto"/>
              </w:rPr>
            </w:pPr>
            <w:r>
              <w:rPr>
                <w:rFonts w:ascii="Courier New" w:cs="Courier New" w:eastAsia="Courier New" w:hAnsi="Courier New"/>
                <w:sz w:val="15"/>
                <w:szCs w:val="15"/>
                <w:color w:val="auto"/>
              </w:rPr>
              <w:t>Third Quarter..................</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11.625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8.750</w:t>
            </w:r>
          </w:p>
        </w:tc>
      </w:tr>
      <w:tr>
        <w:trPr>
          <w:trHeight w:val="170"/>
        </w:trPr>
        <w:tc>
          <w:tcPr>
            <w:tcW w:w="3620" w:type="dxa"/>
            <w:vAlign w:val="bottom"/>
          </w:tcPr>
          <w:p>
            <w:pPr>
              <w:ind w:left="800"/>
              <w:spacing w:after="0"/>
              <w:rPr>
                <w:sz w:val="20"/>
                <w:szCs w:val="20"/>
                <w:color w:val="auto"/>
              </w:rPr>
            </w:pPr>
            <w:r>
              <w:rPr>
                <w:rFonts w:ascii="Courier New" w:cs="Courier New" w:eastAsia="Courier New" w:hAnsi="Courier New"/>
                <w:sz w:val="15"/>
                <w:szCs w:val="15"/>
                <w:color w:val="auto"/>
              </w:rPr>
              <w:t>Fourth Quarter.................</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12.938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r>
      <w:tr>
        <w:trPr>
          <w:trHeight w:val="339"/>
        </w:trPr>
        <w:tc>
          <w:tcPr>
            <w:tcW w:w="36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9"/>
        </w:trPr>
        <w:tc>
          <w:tcPr>
            <w:tcW w:w="3620" w:type="dxa"/>
            <w:vAlign w:val="bottom"/>
          </w:tcPr>
          <w:p>
            <w:pPr>
              <w:ind w:left="800"/>
              <w:spacing w:after="0"/>
              <w:rPr>
                <w:sz w:val="20"/>
                <w:szCs w:val="20"/>
                <w:color w:val="auto"/>
              </w:rPr>
            </w:pPr>
            <w:r>
              <w:rPr>
                <w:rFonts w:ascii="Courier New" w:cs="Courier New" w:eastAsia="Courier New" w:hAnsi="Courier New"/>
                <w:sz w:val="15"/>
                <w:szCs w:val="15"/>
                <w:color w:val="auto"/>
              </w:rPr>
              <w:t>First Quarter..................</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$9.375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$7.000</w:t>
            </w:r>
          </w:p>
        </w:tc>
      </w:tr>
      <w:tr>
        <w:trPr>
          <w:trHeight w:val="170"/>
        </w:trPr>
        <w:tc>
          <w:tcPr>
            <w:tcW w:w="3620" w:type="dxa"/>
            <w:vAlign w:val="bottom"/>
          </w:tcPr>
          <w:p>
            <w:pPr>
              <w:ind w:left="800"/>
              <w:spacing w:after="0"/>
              <w:rPr>
                <w:sz w:val="20"/>
                <w:szCs w:val="20"/>
                <w:color w:val="auto"/>
              </w:rPr>
            </w:pPr>
            <w:r>
              <w:rPr>
                <w:rFonts w:ascii="Courier New" w:cs="Courier New" w:eastAsia="Courier New" w:hAnsi="Courier New"/>
                <w:sz w:val="15"/>
                <w:szCs w:val="15"/>
                <w:color w:val="auto"/>
              </w:rPr>
              <w:t>Second Quarter.................</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11.000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7.250</w:t>
            </w:r>
          </w:p>
        </w:tc>
      </w:tr>
      <w:tr>
        <w:trPr>
          <w:trHeight w:val="170"/>
        </w:trPr>
        <w:tc>
          <w:tcPr>
            <w:tcW w:w="3620" w:type="dxa"/>
            <w:vAlign w:val="bottom"/>
          </w:tcPr>
          <w:p>
            <w:pPr>
              <w:ind w:left="800"/>
              <w:spacing w:after="0"/>
              <w:rPr>
                <w:sz w:val="20"/>
                <w:szCs w:val="20"/>
                <w:color w:val="auto"/>
              </w:rPr>
            </w:pPr>
            <w:r>
              <w:rPr>
                <w:rFonts w:ascii="Courier New" w:cs="Courier New" w:eastAsia="Courier New" w:hAnsi="Courier New"/>
                <w:sz w:val="15"/>
                <w:szCs w:val="15"/>
                <w:color w:val="auto"/>
              </w:rPr>
              <w:t>Third Quarter..................</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9.656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5.750</w:t>
            </w:r>
          </w:p>
        </w:tc>
      </w:tr>
      <w:tr>
        <w:trPr>
          <w:trHeight w:val="170"/>
        </w:trPr>
        <w:tc>
          <w:tcPr>
            <w:tcW w:w="3620" w:type="dxa"/>
            <w:vAlign w:val="bottom"/>
          </w:tcPr>
          <w:p>
            <w:pPr>
              <w:ind w:left="800"/>
              <w:spacing w:after="0"/>
              <w:rPr>
                <w:sz w:val="20"/>
                <w:szCs w:val="20"/>
                <w:color w:val="auto"/>
              </w:rPr>
            </w:pPr>
            <w:r>
              <w:rPr>
                <w:rFonts w:ascii="Courier New" w:cs="Courier New" w:eastAsia="Courier New" w:hAnsi="Courier New"/>
                <w:sz w:val="15"/>
                <w:szCs w:val="15"/>
                <w:color w:val="auto"/>
              </w:rPr>
              <w:t>Fourth Quarter.................</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8.625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5.750</w:t>
            </w:r>
          </w:p>
        </w:tc>
      </w:tr>
    </w:tbl>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As of March 5, 1999, there were approximately 852 holders of record of the Company's Common Stock and 84 holders of record of the Company's Class A Stock. The closing bid price for the Common Stock on that date was $7.625.</w:t>
      </w:r>
    </w:p>
    <w:p>
      <w:pPr>
        <w:spacing w:after="0" w:line="175"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The Company has never paid cash dividends and does not anticipate paying any in the foreseeable future. In addition, under the terms of certain debt agreements, the Company is not permitted to declare or pay cash dividends to its shareholders.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22"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selected financial data set forth below for the years ended December 31, 1998, 1997, and 1996 and at December 31, 1998 and 1997 are derived from and should be read in conjunction with the audited financial statements of the Company, including the notes thereto, included elsewhere in this report. The selected financial data for the years ended December 31, 1995 and 1994 and at December 31, 1996, 1995, and 1994 are derived from audited financial statements of the Company not included in this report.</w:t>
      </w:r>
    </w:p>
    <w:p>
      <w:pPr>
        <w:spacing w:after="0" w:line="177"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The Company has never paid cash dividends and does not anticipate paying any in the foreseeable future. In addition, under the terms of certain debt agreements, the Company is not permitted to declare or pay cash dividends to its shareholders.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760" w:type="dxa"/>
            <w:vAlign w:val="bottom"/>
            <w:gridSpan w:val="3"/>
          </w:tcPr>
          <w:p>
            <w:pPr>
              <w:jc w:val="right"/>
              <w:ind w:right="687"/>
              <w:spacing w:after="0"/>
              <w:rPr>
                <w:sz w:val="20"/>
                <w:szCs w:val="20"/>
                <w:color w:val="auto"/>
              </w:rPr>
            </w:pPr>
            <w:r>
              <w:rPr>
                <w:rFonts w:ascii="Courier New" w:cs="Courier New" w:eastAsia="Courier New" w:hAnsi="Courier New"/>
                <w:sz w:val="15"/>
                <w:szCs w:val="15"/>
                <w:color w:val="auto"/>
              </w:rPr>
              <w:t>Year Ended December 31,</w:t>
            </w:r>
          </w:p>
        </w:tc>
        <w:tc>
          <w:tcPr>
            <w:tcW w:w="1000" w:type="dxa"/>
            <w:vAlign w:val="bottom"/>
          </w:tcPr>
          <w:p>
            <w:pPr>
              <w:spacing w:after="0"/>
              <w:rPr>
                <w:sz w:val="14"/>
                <w:szCs w:val="14"/>
                <w:color w:val="auto"/>
              </w:rPr>
            </w:pPr>
          </w:p>
        </w:tc>
      </w:tr>
      <w:tr>
        <w:trPr>
          <w:trHeight w:val="170"/>
        </w:trPr>
        <w:tc>
          <w:tcPr>
            <w:tcW w:w="4040" w:type="dxa"/>
            <w:vAlign w:val="bottom"/>
          </w:tcPr>
          <w:p>
            <w:pPr>
              <w:spacing w:after="0"/>
              <w:rPr>
                <w:sz w:val="14"/>
                <w:szCs w:val="14"/>
                <w:color w:val="auto"/>
              </w:rPr>
            </w:pPr>
          </w:p>
        </w:tc>
        <w:tc>
          <w:tcPr>
            <w:tcW w:w="60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14"/>
                <w:szCs w:val="14"/>
                <w:color w:val="auto"/>
              </w:rPr>
            </w:pP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1997</w:t>
            </w: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1996</w:t>
            </w:r>
          </w:p>
        </w:tc>
        <w:tc>
          <w:tcPr>
            <w:tcW w:w="11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1995</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4040" w:type="dxa"/>
            <w:vAlign w:val="bottom"/>
          </w:tcPr>
          <w:p>
            <w:pPr>
              <w:spacing w:after="0"/>
              <w:rPr>
                <w:sz w:val="14"/>
                <w:szCs w:val="14"/>
                <w:color w:val="auto"/>
              </w:rPr>
            </w:pP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320" w:type="dxa"/>
            <w:vAlign w:val="bottom"/>
          </w:tcPr>
          <w:p>
            <w:pPr>
              <w:spacing w:after="0"/>
              <w:rPr>
                <w:sz w:val="14"/>
                <w:szCs w:val="14"/>
                <w:color w:val="auto"/>
              </w:rPr>
            </w:pPr>
          </w:p>
        </w:tc>
        <w:tc>
          <w:tcPr>
            <w:tcW w:w="37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(in thousands, except per share data)</w:t>
            </w:r>
          </w:p>
        </w:tc>
        <w:tc>
          <w:tcPr>
            <w:tcW w:w="1000" w:type="dxa"/>
            <w:vAlign w:val="bottom"/>
          </w:tcPr>
          <w:p>
            <w:pPr>
              <w:spacing w:after="0"/>
              <w:rPr>
                <w:sz w:val="14"/>
                <w:szCs w:val="14"/>
                <w:color w:val="auto"/>
              </w:rPr>
            </w:pPr>
          </w:p>
        </w:tc>
      </w:tr>
      <w:tr>
        <w:trPr>
          <w:trHeight w:val="509"/>
        </w:trPr>
        <w:tc>
          <w:tcPr>
            <w:tcW w:w="40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4040" w:type="dxa"/>
            <w:vAlign w:val="bottom"/>
          </w:tcPr>
          <w:p>
            <w:pPr>
              <w:ind w:left="440"/>
              <w:spacing w:after="0"/>
              <w:rPr>
                <w:sz w:val="20"/>
                <w:szCs w:val="20"/>
                <w:color w:val="auto"/>
              </w:rPr>
            </w:pPr>
            <w:r>
              <w:rPr>
                <w:rFonts w:ascii="Courier New" w:cs="Courier New" w:eastAsia="Courier New" w:hAnsi="Courier New"/>
                <w:sz w:val="15"/>
                <w:szCs w:val="15"/>
                <w:color w:val="auto"/>
              </w:rPr>
              <w:t>Contract research and development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$19,714</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$17,400</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$17,303</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$23,247</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$19,606</w:t>
            </w:r>
          </w:p>
        </w:tc>
      </w:tr>
      <w:tr>
        <w:trPr>
          <w:trHeight w:val="170"/>
        </w:trPr>
        <w:tc>
          <w:tcPr>
            <w:tcW w:w="4040" w:type="dxa"/>
            <w:vAlign w:val="bottom"/>
          </w:tcPr>
          <w:p>
            <w:pPr>
              <w:ind w:left="440"/>
              <w:spacing w:after="0"/>
              <w:rPr>
                <w:sz w:val="20"/>
                <w:szCs w:val="20"/>
                <w:color w:val="auto"/>
              </w:rPr>
            </w:pPr>
            <w:r>
              <w:rPr>
                <w:rFonts w:ascii="Courier New" w:cs="Courier New" w:eastAsia="Courier New" w:hAnsi="Courier New"/>
                <w:sz w:val="15"/>
                <w:szCs w:val="15"/>
                <w:color w:val="auto"/>
              </w:rPr>
              <w:t>Research progress payments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9,500</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5,000</w:t>
            </w: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4040" w:type="dxa"/>
            <w:vAlign w:val="bottom"/>
          </w:tcPr>
          <w:p>
            <w:pPr>
              <w:ind w:left="440"/>
              <w:spacing w:after="0"/>
              <w:rPr>
                <w:sz w:val="20"/>
                <w:szCs w:val="20"/>
                <w:color w:val="auto"/>
              </w:rPr>
            </w:pPr>
            <w:r>
              <w:rPr>
                <w:rFonts w:ascii="Courier New" w:cs="Courier New" w:eastAsia="Courier New" w:hAnsi="Courier New"/>
                <w:sz w:val="15"/>
                <w:szCs w:val="15"/>
                <w:color w:val="auto"/>
              </w:rPr>
              <w:t>Contract manufacturing</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9,113</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4,458</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2,451</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1,140</w:t>
            </w:r>
          </w:p>
        </w:tc>
        <w:tc>
          <w:tcPr>
            <w:tcW w:w="1000" w:type="dxa"/>
            <w:vAlign w:val="bottom"/>
          </w:tcPr>
          <w:p>
            <w:pPr>
              <w:spacing w:after="0"/>
              <w:rPr>
                <w:sz w:val="14"/>
                <w:szCs w:val="14"/>
                <w:color w:val="auto"/>
              </w:rPr>
            </w:pPr>
          </w:p>
        </w:tc>
      </w:tr>
      <w:tr>
        <w:trPr>
          <w:trHeight w:val="170"/>
        </w:trPr>
        <w:tc>
          <w:tcPr>
            <w:tcW w:w="4040" w:type="dxa"/>
            <w:vAlign w:val="bottom"/>
          </w:tcPr>
          <w:p>
            <w:pPr>
              <w:ind w:left="440"/>
              <w:spacing w:after="0"/>
              <w:rPr>
                <w:sz w:val="20"/>
                <w:szCs w:val="20"/>
                <w:color w:val="auto"/>
              </w:rPr>
            </w:pPr>
            <w:r>
              <w:rPr>
                <w:rFonts w:ascii="Courier New" w:cs="Courier New" w:eastAsia="Courier New" w:hAnsi="Courier New"/>
                <w:sz w:val="15"/>
                <w:szCs w:val="15"/>
                <w:color w:val="auto"/>
              </w:rPr>
              <w:t>Investment income</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6,866</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6,242</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4,360</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2,997</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2,585</w:t>
            </w:r>
          </w:p>
        </w:tc>
      </w:tr>
      <w:tr>
        <w:trPr>
          <w:trHeight w:val="170"/>
        </w:trPr>
        <w:tc>
          <w:tcPr>
            <w:tcW w:w="4040" w:type="dxa"/>
            <w:vAlign w:val="bottom"/>
          </w:tcPr>
          <w:p>
            <w:pPr>
              <w:spacing w:after="0"/>
              <w:rPr>
                <w:sz w:val="14"/>
                <w:szCs w:val="14"/>
                <w:color w:val="auto"/>
              </w:rPr>
            </w:pP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45,193</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33,100</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24,114</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27,384</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23,191</w:t>
            </w:r>
          </w:p>
        </w:tc>
      </w:tr>
      <w:tr>
        <w:trPr>
          <w:trHeight w:val="170"/>
        </w:trPr>
        <w:tc>
          <w:tcPr>
            <w:tcW w:w="4040" w:type="dxa"/>
            <w:vAlign w:val="bottom"/>
          </w:tcPr>
          <w:p>
            <w:pPr>
              <w:spacing w:after="0"/>
              <w:rPr>
                <w:sz w:val="14"/>
                <w:szCs w:val="14"/>
                <w:color w:val="auto"/>
              </w:rPr>
            </w:pP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4040" w:type="dxa"/>
            <w:vAlign w:val="bottom"/>
          </w:tcPr>
          <w:p>
            <w:pPr>
              <w:ind w:left="440"/>
              <w:spacing w:after="0"/>
              <w:rPr>
                <w:sz w:val="20"/>
                <w:szCs w:val="20"/>
                <w:color w:val="auto"/>
              </w:rPr>
            </w:pPr>
            <w:r>
              <w:rPr>
                <w:rFonts w:ascii="Courier New" w:cs="Courier New" w:eastAsia="Courier New" w:hAnsi="Courier New"/>
                <w:sz w:val="15"/>
                <w:szCs w:val="15"/>
                <w:color w:val="auto"/>
              </w:rPr>
              <w:t>Research and development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37,047</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27,770</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28,269</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23,310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30,874</w:t>
            </w:r>
          </w:p>
        </w:tc>
      </w:tr>
      <w:tr>
        <w:trPr>
          <w:trHeight w:val="170"/>
        </w:trPr>
        <w:tc>
          <w:tcPr>
            <w:tcW w:w="4040" w:type="dxa"/>
            <w:vAlign w:val="bottom"/>
          </w:tcPr>
          <w:p>
            <w:pPr>
              <w:ind w:left="440"/>
              <w:spacing w:after="0"/>
              <w:rPr>
                <w:sz w:val="20"/>
                <w:szCs w:val="20"/>
                <w:color w:val="auto"/>
              </w:rPr>
            </w:pPr>
            <w:r>
              <w:rPr>
                <w:rFonts w:ascii="Courier New" w:cs="Courier New" w:eastAsia="Courier New" w:hAnsi="Courier New"/>
                <w:sz w:val="15"/>
                <w:szCs w:val="15"/>
                <w:color w:val="auto"/>
              </w:rPr>
              <w:t>Loss in Amgen-Regeneron Partners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2,484</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3,403</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14,250</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13,805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9,794</w:t>
            </w:r>
          </w:p>
        </w:tc>
      </w:tr>
      <w:tr>
        <w:trPr>
          <w:trHeight w:val="170"/>
        </w:trPr>
        <w:tc>
          <w:tcPr>
            <w:tcW w:w="4040" w:type="dxa"/>
            <w:vAlign w:val="bottom"/>
          </w:tcPr>
          <w:p>
            <w:pPr>
              <w:ind w:left="440"/>
              <w:spacing w:after="0"/>
              <w:rPr>
                <w:sz w:val="20"/>
                <w:szCs w:val="20"/>
                <w:color w:val="auto"/>
              </w:rPr>
            </w:pPr>
            <w:r>
              <w:rPr>
                <w:rFonts w:ascii="Courier New" w:cs="Courier New" w:eastAsia="Courier New" w:hAnsi="Courier New"/>
                <w:sz w:val="15"/>
                <w:szCs w:val="15"/>
                <w:color w:val="auto"/>
              </w:rPr>
              <w:t>General and administrative</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5,838</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5,765</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5,880</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5,764</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7,529</w:t>
            </w:r>
          </w:p>
        </w:tc>
      </w:tr>
      <w:tr>
        <w:trPr>
          <w:trHeight w:val="170"/>
        </w:trPr>
        <w:tc>
          <w:tcPr>
            <w:tcW w:w="404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3,019</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4,389</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6,084</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5,886</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4,246</w:t>
            </w:r>
          </w:p>
        </w:tc>
      </w:tr>
      <w:tr>
        <w:trPr>
          <w:trHeight w:val="170"/>
        </w:trPr>
        <w:tc>
          <w:tcPr>
            <w:tcW w:w="4040" w:type="dxa"/>
            <w:vAlign w:val="bottom"/>
          </w:tcPr>
          <w:p>
            <w:pPr>
              <w:ind w:left="440"/>
              <w:spacing w:after="0"/>
              <w:rPr>
                <w:sz w:val="20"/>
                <w:szCs w:val="20"/>
                <w:color w:val="auto"/>
              </w:rPr>
            </w:pPr>
            <w:r>
              <w:rPr>
                <w:rFonts w:ascii="Courier New" w:cs="Courier New" w:eastAsia="Courier New" w:hAnsi="Courier New"/>
                <w:sz w:val="15"/>
                <w:szCs w:val="15"/>
                <w:color w:val="auto"/>
              </w:rPr>
              <w:t>Contract manufacturing</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5,002</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2,617</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1,115</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72</w:t>
            </w:r>
          </w:p>
        </w:tc>
        <w:tc>
          <w:tcPr>
            <w:tcW w:w="1000" w:type="dxa"/>
            <w:vAlign w:val="bottom"/>
          </w:tcPr>
          <w:p>
            <w:pPr>
              <w:spacing w:after="0"/>
              <w:rPr>
                <w:sz w:val="14"/>
                <w:szCs w:val="14"/>
                <w:color w:val="auto"/>
              </w:rPr>
            </w:pPr>
          </w:p>
        </w:tc>
      </w:tr>
      <w:tr>
        <w:trPr>
          <w:trHeight w:val="170"/>
        </w:trPr>
        <w:tc>
          <w:tcPr>
            <w:tcW w:w="4040" w:type="dxa"/>
            <w:vAlign w:val="bottom"/>
          </w:tcPr>
          <w:p>
            <w:pPr>
              <w:ind w:left="440"/>
              <w:spacing w:after="0"/>
              <w:rPr>
                <w:sz w:val="20"/>
                <w:szCs w:val="20"/>
                <w:color w:val="auto"/>
              </w:rPr>
            </w:pPr>
            <w:r>
              <w:rPr>
                <w:rFonts w:ascii="Courier New" w:cs="Courier New" w:eastAsia="Courier New" w:hAnsi="Courier New"/>
                <w:sz w:val="15"/>
                <w:szCs w:val="15"/>
                <w:color w:val="auto"/>
              </w:rPr>
              <w:t>Interest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428</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735</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940</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1,205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1,403</w:t>
            </w:r>
          </w:p>
        </w:tc>
      </w:tr>
      <w:tr>
        <w:trPr>
          <w:trHeight w:val="170"/>
        </w:trPr>
        <w:tc>
          <w:tcPr>
            <w:tcW w:w="404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850</w:t>
            </w:r>
          </w:p>
        </w:tc>
        <w:tc>
          <w:tcPr>
            <w:tcW w:w="1000" w:type="dxa"/>
            <w:vAlign w:val="bottom"/>
          </w:tcPr>
          <w:p>
            <w:pPr>
              <w:spacing w:after="0"/>
              <w:rPr>
                <w:sz w:val="14"/>
                <w:szCs w:val="14"/>
                <w:color w:val="auto"/>
              </w:rPr>
            </w:pPr>
          </w:p>
        </w:tc>
      </w:tr>
      <w:tr>
        <w:trPr>
          <w:trHeight w:val="170"/>
        </w:trPr>
        <w:tc>
          <w:tcPr>
            <w:tcW w:w="4040" w:type="dxa"/>
            <w:vAlign w:val="bottom"/>
          </w:tcPr>
          <w:p>
            <w:pPr>
              <w:spacing w:after="0"/>
              <w:rPr>
                <w:sz w:val="14"/>
                <w:szCs w:val="14"/>
                <w:color w:val="auto"/>
              </w:rPr>
            </w:pP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53,818</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44,679</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56,538</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50,892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53,846</w:t>
            </w:r>
          </w:p>
        </w:tc>
      </w:tr>
      <w:tr>
        <w:trPr>
          <w:trHeight w:val="170"/>
        </w:trPr>
        <w:tc>
          <w:tcPr>
            <w:tcW w:w="4040" w:type="dxa"/>
            <w:vAlign w:val="bottom"/>
          </w:tcPr>
          <w:p>
            <w:pPr>
              <w:spacing w:after="0"/>
              <w:rPr>
                <w:sz w:val="14"/>
                <w:szCs w:val="14"/>
                <w:color w:val="auto"/>
              </w:rPr>
            </w:pP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($8,625)</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($11,579)</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($32,424)</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($23,508)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($30,655)</w:t>
            </w:r>
          </w:p>
        </w:tc>
      </w:tr>
      <w:tr>
        <w:trPr>
          <w:trHeight w:val="170"/>
        </w:trPr>
        <w:tc>
          <w:tcPr>
            <w:tcW w:w="4040" w:type="dxa"/>
            <w:vAlign w:val="bottom"/>
          </w:tcPr>
          <w:p>
            <w:pPr>
              <w:spacing w:after="0"/>
              <w:rPr>
                <w:sz w:val="14"/>
                <w:szCs w:val="14"/>
                <w:color w:val="auto"/>
              </w:rPr>
            </w:pP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Net loss per share, basic and diluted</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($0.28)</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($0.40)</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($1.33)</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($1.62)</w:t>
            </w:r>
          </w:p>
        </w:tc>
      </w:tr>
      <w:tr>
        <w:trPr>
          <w:trHeight w:val="170"/>
        </w:trPr>
        <w:tc>
          <w:tcPr>
            <w:tcW w:w="4040" w:type="dxa"/>
            <w:vAlign w:val="bottom"/>
          </w:tcPr>
          <w:p>
            <w:pPr>
              <w:spacing w:after="0"/>
              <w:rPr>
                <w:sz w:val="14"/>
                <w:szCs w:val="14"/>
                <w:color w:val="auto"/>
              </w:rPr>
            </w:pP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4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At December 31,</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9"/>
        </w:trPr>
        <w:tc>
          <w:tcPr>
            <w:tcW w:w="4040" w:type="dxa"/>
            <w:vAlign w:val="bottom"/>
          </w:tcPr>
          <w:p>
            <w:pPr>
              <w:spacing w:after="0"/>
              <w:rPr>
                <w:sz w:val="24"/>
                <w:szCs w:val="24"/>
                <w:color w:val="auto"/>
              </w:rPr>
            </w:pPr>
          </w:p>
        </w:tc>
        <w:tc>
          <w:tcPr>
            <w:tcW w:w="60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14"/>
                <w:szCs w:val="14"/>
                <w:color w:val="auto"/>
              </w:rPr>
            </w:pP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1997</w:t>
            </w: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1996</w:t>
            </w:r>
          </w:p>
        </w:tc>
        <w:tc>
          <w:tcPr>
            <w:tcW w:w="11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1995</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4040" w:type="dxa"/>
            <w:vAlign w:val="bottom"/>
          </w:tcPr>
          <w:p>
            <w:pPr>
              <w:spacing w:after="0"/>
              <w:rPr>
                <w:sz w:val="14"/>
                <w:szCs w:val="14"/>
                <w:color w:val="auto"/>
              </w:rPr>
            </w:pP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509"/>
        </w:trPr>
        <w:tc>
          <w:tcPr>
            <w:tcW w:w="4040" w:type="dxa"/>
            <w:vAlign w:val="bottom"/>
          </w:tcPr>
          <w:p>
            <w:pPr>
              <w:spacing w:after="0"/>
              <w:rPr>
                <w:sz w:val="20"/>
                <w:szCs w:val="20"/>
                <w:color w:val="auto"/>
              </w:rPr>
            </w:pPr>
            <w:r>
              <w:rPr>
                <w:rFonts w:ascii="Courier New" w:cs="Courier New" w:eastAsia="Courier New" w:hAnsi="Courier New"/>
                <w:sz w:val="15"/>
                <w:szCs w:val="15"/>
                <w:color w:val="auto"/>
              </w:rPr>
              <w:t>Cash, cash equivalents,</w:t>
            </w: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4040" w:type="dxa"/>
            <w:vAlign w:val="bottom"/>
          </w:tcPr>
          <w:p>
            <w:pPr>
              <w:ind w:left="440"/>
              <w:spacing w:after="0"/>
              <w:rPr>
                <w:sz w:val="20"/>
                <w:szCs w:val="20"/>
                <w:color w:val="auto"/>
              </w:rPr>
            </w:pPr>
            <w:r>
              <w:rPr>
                <w:rFonts w:ascii="Courier New" w:cs="Courier New" w:eastAsia="Courier New" w:hAnsi="Courier New"/>
                <w:sz w:val="15"/>
                <w:szCs w:val="15"/>
                <w:color w:val="auto"/>
              </w:rPr>
              <w:t>and marketable securities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$113,530</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$128,041</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$97,028</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$59,622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$60,215</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83,499</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88,953</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72,960</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36,254</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34,040</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156,915</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168,380</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137,582</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93,811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94,236</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Capital lease obligations and note payable,</w:t>
            </w: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4040" w:type="dxa"/>
            <w:vAlign w:val="bottom"/>
          </w:tcPr>
          <w:p>
            <w:pPr>
              <w:ind w:left="440"/>
              <w:spacing w:after="0"/>
              <w:rPr>
                <w:sz w:val="20"/>
                <w:szCs w:val="20"/>
                <w:color w:val="auto"/>
              </w:rPr>
            </w:pPr>
            <w:r>
              <w:rPr>
                <w:rFonts w:ascii="Courier New" w:cs="Courier New" w:eastAsia="Courier New" w:hAnsi="Courier New"/>
                <w:sz w:val="15"/>
                <w:szCs w:val="15"/>
                <w:color w:val="auto"/>
              </w:rPr>
              <w:t>long-term portion</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3,066</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3,752</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5,148</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5,978</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9,249</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131,227</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138,897</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106,931</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67,856</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67,071</w:t>
            </w:r>
          </w:p>
        </w:tc>
      </w:tr>
      <w:tr>
        <w:trPr>
          <w:trHeight w:val="678"/>
        </w:trPr>
        <w:tc>
          <w:tcPr>
            <w:tcW w:w="4040" w:type="dxa"/>
            <w:vAlign w:val="bottom"/>
          </w:tcPr>
          <w:p>
            <w:pPr>
              <w:ind w:left="3420"/>
              <w:spacing w:after="0"/>
              <w:rPr>
                <w:sz w:val="20"/>
                <w:szCs w:val="20"/>
                <w:color w:val="auto"/>
              </w:rPr>
            </w:pPr>
            <w:r>
              <w:rPr>
                <w:rFonts w:ascii="Courier New" w:cs="Courier New" w:eastAsia="Courier New" w:hAnsi="Courier New"/>
                <w:sz w:val="15"/>
                <w:szCs w:val="15"/>
                <w:color w:val="auto"/>
              </w:rPr>
              <w:t>20</w:t>
            </w: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9"/>
          </w:cols>
          <w:pgMar w:left="240" w:top="622" w:right="1440" w:bottom="1440" w:gutter="0" w:footer="0" w:header="0"/>
        </w:sectPr>
      </w:pPr>
    </w:p>
    <w:bookmarkStart w:id="20" w:name="page21"/>
    <w:bookmarkEnd w:id="20"/>
    <w:p>
      <w:pPr>
        <w:ind w:left="700" w:right="3259" w:hanging="704"/>
        <w:spacing w:after="0" w:line="235"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Overview. The discussion below contains forward-looking statements that involve risks and uncertainties relating to the future financial performance of Regeneron Pharmaceuticals, Inc. ("Regeneron" or the "Company") and actual events or results may differ materially. These statements concern, among other things, the possible therapeutic applications of the Company's product candidates and research programs, the timing and nature of the Company's clinical and research programs now underway or planned, a variety of items described herein and in the footnotes to the Company's financial statements (including the useful life of assets, the anticipated length of agreements, and other matters), and the future uses of capital and financial needs of the Company. These statements are made by the Company based on management's current beliefs and judgment. In evaluating such statements, stockholders and potential investors should specifically consider the various factors identified under the caption "Factors That May Affect Future Operating Results" which could cause actual results to differ materially from those indicated by such forward-looking statements.</w:t>
      </w:r>
    </w:p>
    <w:p>
      <w:pPr>
        <w:spacing w:after="0" w:line="165"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Regeneron is a New York corporation founded in 1988. Regeneron is a leader in the application of molecular and cell biology to discover novel potential therapeutics for human medical conditions and is seeking to develop and commercialize these discoveries. The Company is applying its technological expertise in protein growth factors, their receptors, and their mechanisms of action to the discovery and development of protein-based drugs and orally active, small molecule drugs.</w:t>
      </w:r>
    </w:p>
    <w:p>
      <w:pPr>
        <w:spacing w:after="0" w:line="177" w:lineRule="exact"/>
        <w:rPr>
          <w:sz w:val="20"/>
          <w:szCs w:val="20"/>
          <w:color w:val="auto"/>
        </w:rPr>
      </w:pPr>
    </w:p>
    <w:p>
      <w:pPr>
        <w:ind w:right="3799" w:firstLine="793"/>
        <w:spacing w:after="0" w:line="235" w:lineRule="auto"/>
        <w:rPr>
          <w:sz w:val="20"/>
          <w:szCs w:val="20"/>
          <w:color w:val="auto"/>
        </w:rPr>
      </w:pPr>
      <w:r>
        <w:rPr>
          <w:rFonts w:ascii="Courier New" w:cs="Courier New" w:eastAsia="Courier New" w:hAnsi="Courier New"/>
          <w:sz w:val="15"/>
          <w:szCs w:val="15"/>
          <w:color w:val="auto"/>
        </w:rPr>
        <w:t>The Company is pursuing research and development programs in the following areas:</w:t>
      </w:r>
    </w:p>
    <w:p>
      <w:pPr>
        <w:spacing w:after="0" w:line="176" w:lineRule="exact"/>
        <w:rPr>
          <w:sz w:val="20"/>
          <w:szCs w:val="20"/>
          <w:color w:val="auto"/>
        </w:rPr>
      </w:pPr>
    </w:p>
    <w:p>
      <w:pPr>
        <w:ind w:left="1580" w:right="3439" w:hanging="796"/>
        <w:spacing w:after="0" w:line="237" w:lineRule="auto"/>
        <w:tabs>
          <w:tab w:leader="none" w:pos="15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AXOKINE(Registered) second generation ciliary neurotrophic factor for the treatment of obesity and diseases related to obesity such as Type II diabetes,</w:t>
      </w:r>
    </w:p>
    <w:p>
      <w:pPr>
        <w:spacing w:after="0" w:line="174" w:lineRule="exact"/>
        <w:rPr>
          <w:rFonts w:ascii="Courier New" w:cs="Courier New" w:eastAsia="Courier New" w:hAnsi="Courier New"/>
          <w:sz w:val="15"/>
          <w:szCs w:val="15"/>
          <w:color w:val="auto"/>
        </w:rPr>
      </w:pPr>
    </w:p>
    <w:p>
      <w:pPr>
        <w:ind w:left="1580" w:right="3179" w:hanging="796"/>
        <w:spacing w:after="0" w:line="237" w:lineRule="auto"/>
        <w:tabs>
          <w:tab w:leader="none" w:pos="15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Brain-derived neurotrophic factor ("BDNF") for the treatment of amyotrophic lateral sclerosis ("ALS," commonly known as Lou Gehrig's disease),</w:t>
      </w:r>
    </w:p>
    <w:p>
      <w:pPr>
        <w:spacing w:after="0" w:line="174" w:lineRule="exact"/>
        <w:rPr>
          <w:rFonts w:ascii="Courier New" w:cs="Courier New" w:eastAsia="Courier New" w:hAnsi="Courier New"/>
          <w:sz w:val="15"/>
          <w:szCs w:val="15"/>
          <w:color w:val="auto"/>
        </w:rPr>
      </w:pPr>
    </w:p>
    <w:p>
      <w:pPr>
        <w:ind w:left="1580" w:right="3619" w:hanging="796"/>
        <w:spacing w:after="0" w:line="235" w:lineRule="auto"/>
        <w:tabs>
          <w:tab w:leader="none" w:pos="15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Neurotrophin-3 ("NT-3") for the treatment of constipating conditions,</w:t>
      </w:r>
    </w:p>
    <w:p>
      <w:pPr>
        <w:spacing w:after="0" w:line="175" w:lineRule="exact"/>
        <w:rPr>
          <w:rFonts w:ascii="Courier New" w:cs="Courier New" w:eastAsia="Courier New" w:hAnsi="Courier New"/>
          <w:sz w:val="15"/>
          <w:szCs w:val="15"/>
          <w:color w:val="auto"/>
        </w:rPr>
      </w:pPr>
    </w:p>
    <w:p>
      <w:pPr>
        <w:ind w:left="1580" w:right="3359" w:hanging="796"/>
        <w:spacing w:after="0" w:line="238" w:lineRule="auto"/>
        <w:tabs>
          <w:tab w:leader="none" w:pos="15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Angiogenesis, including stimulating blood vessel growth in settings where more blood flow is desired and blocking blood vessel growth in abnormal conditions such as cancer. The angiogenesis program is based on Regeneron's discovery of Angiopoietins, a new family of ligands (and their receptors, called the TIE family of receptors) that appears to regulate blood vessel formation,</w:t>
      </w:r>
    </w:p>
    <w:p>
      <w:pPr>
        <w:spacing w:after="0" w:line="176" w:lineRule="exact"/>
        <w:rPr>
          <w:rFonts w:ascii="Courier New" w:cs="Courier New" w:eastAsia="Courier New" w:hAnsi="Courier New"/>
          <w:sz w:val="15"/>
          <w:szCs w:val="15"/>
          <w:color w:val="auto"/>
        </w:rPr>
      </w:pPr>
    </w:p>
    <w:p>
      <w:pPr>
        <w:ind w:left="1580" w:right="3179" w:hanging="796"/>
        <w:spacing w:after="0" w:line="237" w:lineRule="auto"/>
        <w:tabs>
          <w:tab w:leader="none" w:pos="15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Protein antagonists for cytokines such as interleukin-1 ("IL-1"), interleukin-4 ("IL-4") and interleukin-6 ("IL-6") as potential treatment of inflammatory diseases, allergic disorders, and cancer,</w:t>
      </w:r>
    </w:p>
    <w:p>
      <w:pPr>
        <w:spacing w:after="0" w:line="176" w:lineRule="exact"/>
        <w:rPr>
          <w:rFonts w:ascii="Courier New" w:cs="Courier New" w:eastAsia="Courier New" w:hAnsi="Courier New"/>
          <w:sz w:val="15"/>
          <w:szCs w:val="15"/>
          <w:color w:val="auto"/>
        </w:rPr>
      </w:pPr>
    </w:p>
    <w:p>
      <w:pPr>
        <w:ind w:left="1580" w:right="3979" w:hanging="796"/>
        <w:spacing w:after="0" w:line="235" w:lineRule="auto"/>
        <w:tabs>
          <w:tab w:leader="none" w:pos="15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AXOKINE for the treatment of retinal diseases such as retinitis pigmentosa,</w:t>
      </w:r>
    </w:p>
    <w:p>
      <w:pPr>
        <w:spacing w:after="0" w:line="175" w:lineRule="exact"/>
        <w:rPr>
          <w:rFonts w:ascii="Courier New" w:cs="Courier New" w:eastAsia="Courier New" w:hAnsi="Courier New"/>
          <w:sz w:val="15"/>
          <w:szCs w:val="15"/>
          <w:color w:val="auto"/>
        </w:rPr>
      </w:pPr>
    </w:p>
    <w:p>
      <w:pPr>
        <w:ind w:left="1580" w:right="3259" w:hanging="796"/>
        <w:spacing w:after="0" w:line="235" w:lineRule="auto"/>
        <w:tabs>
          <w:tab w:leader="none" w:pos="15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Muscle atrophy, using a variety of approaches to identify and validate drug targets, and</w:t>
      </w:r>
    </w:p>
    <w:p>
      <w:pPr>
        <w:spacing w:after="0" w:line="175" w:lineRule="exact"/>
        <w:rPr>
          <w:rFonts w:ascii="Courier New" w:cs="Courier New" w:eastAsia="Courier New" w:hAnsi="Courier New"/>
          <w:sz w:val="15"/>
          <w:szCs w:val="15"/>
          <w:color w:val="auto"/>
        </w:rPr>
      </w:pPr>
    </w:p>
    <w:p>
      <w:pPr>
        <w:ind w:left="1580" w:right="3179" w:hanging="796"/>
        <w:spacing w:after="0" w:line="237" w:lineRule="auto"/>
        <w:tabs>
          <w:tab w:leader="none" w:pos="15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programs to discover orally active, small molecule-based drugs, some of which may mimic or antagonize protein- or receptor-based drug candidates that the Company is developing.</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27" w:right="1440" w:bottom="1440" w:gutter="0" w:footer="0" w:header="0"/>
        </w:sectPr>
      </w:pPr>
    </w:p>
    <w:bookmarkStart w:id="21" w:name="page22"/>
    <w:bookmarkEnd w:id="21"/>
    <w:p>
      <w:pPr>
        <w:ind w:right="3179" w:firstLine="793"/>
        <w:spacing w:after="0" w:line="239" w:lineRule="auto"/>
        <w:rPr>
          <w:sz w:val="20"/>
          <w:szCs w:val="20"/>
          <w:color w:val="auto"/>
        </w:rPr>
      </w:pPr>
      <w:r>
        <w:rPr>
          <w:rFonts w:ascii="Courier New" w:cs="Courier New" w:eastAsia="Courier New" w:hAnsi="Courier New"/>
          <w:sz w:val="15"/>
          <w:szCs w:val="15"/>
          <w:color w:val="auto"/>
        </w:rPr>
        <w:t>In 1998, the Company continued to develop AXOKINE under the Company's collaboration agreement ("the P&amp;G Agreement") with The Procter &amp; Gamble Company ("Procter &amp; Gamble"). The Company and Procter &amp; Gamble filed an Investigational New Drug application ("IND") with the United States Food and Drug Administration ("FDA") in the first quarter of 1999 and plan to commence a Phase I clinical study during the first half of 1999 to determine the safety of AXOKINE administered subcutaneously for a short duration to mildly to moderately obese healthy volunteers. AXOKINE is being developed for the treatment of obesity associated with Type II diabetes and possibly for uncomplicated obesity. No assurance can be made regarding the timing or result of this or any further clinical trial of AXOKINE. AXOKINE has never been administered to people. Its safety and efficacy in the treatment of any human condition have not been established and can not be predicted. Previous clinical studies of ciliary neurotrophic factor ("CNTF"), the parent molecule of AXOKINE, resulted in the creation of antibodies and adverse events (side effects) in patients, including weight loss, cough, nausea, and malaise. While certain aspects of the development of AXOKINE by the Company and Procter &amp; Gamble have focused on attempting to avoid or minimize antibody production or adverse events, no assurance may be given that these problems will be avoided or minimized or that they will not lead to the failure, delay, or additional difficulty in conducting AXOKINE clinical trials.</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The Company and Procter &amp; Gamble also continued to collaborate in research and development in the fields of angiogenesis, bone growth and related areas, muscle injury and atrophy, and small molecule (orally active) drugs. The majority of the Company's scientific resources are devoted to its collaborative activities with Procter &amp; Gamble.</w:t>
      </w:r>
    </w:p>
    <w:p>
      <w:pPr>
        <w:spacing w:after="0" w:line="178" w:lineRule="exact"/>
        <w:rPr>
          <w:sz w:val="20"/>
          <w:szCs w:val="20"/>
          <w:color w:val="auto"/>
        </w:rPr>
      </w:pPr>
    </w:p>
    <w:p>
      <w:pPr>
        <w:ind w:right="3539" w:firstLine="793"/>
        <w:spacing w:after="0" w:line="238" w:lineRule="auto"/>
        <w:rPr>
          <w:sz w:val="20"/>
          <w:szCs w:val="20"/>
          <w:color w:val="auto"/>
        </w:rPr>
      </w:pPr>
      <w:r>
        <w:rPr>
          <w:rFonts w:ascii="Courier New" w:cs="Courier New" w:eastAsia="Courier New" w:hAnsi="Courier New"/>
          <w:sz w:val="15"/>
          <w:szCs w:val="15"/>
          <w:color w:val="auto"/>
        </w:rPr>
        <w:t>The Company continued independently to develop AXOKINE for use in treating retinitis pigmentosa. In July 1998, the Company and Medtronic, Inc. ("Medtronic") terminated their 1996 collaborative development agreement to conduct an exploratory research program using Medtronic delivery systems to deliver AXOKINE to the central nervous system, initially as a potential treatment for Huntington's disease, due to obstacles in formulation and delivery.</w:t>
      </w:r>
    </w:p>
    <w:p>
      <w:pPr>
        <w:spacing w:after="0" w:line="177" w:lineRule="exact"/>
        <w:rPr>
          <w:sz w:val="20"/>
          <w:szCs w:val="20"/>
          <w:color w:val="auto"/>
        </w:rPr>
      </w:pPr>
    </w:p>
    <w:p>
      <w:pPr>
        <w:ind w:right="3259" w:firstLine="793"/>
        <w:spacing w:after="0" w:line="258" w:lineRule="auto"/>
        <w:rPr>
          <w:sz w:val="20"/>
          <w:szCs w:val="20"/>
          <w:color w:val="auto"/>
        </w:rPr>
      </w:pPr>
      <w:r>
        <w:rPr>
          <w:rFonts w:ascii="Courier New" w:cs="Courier New" w:eastAsia="Courier New" w:hAnsi="Courier New"/>
          <w:sz w:val="14"/>
          <w:szCs w:val="14"/>
          <w:color w:val="auto"/>
        </w:rPr>
        <w:t>During 1998, the Company continued to develop independent of any corporate collaboration its proprietary cytokine traps for the potential treatment of asthma, inflammatory disease, cancer, and rheumatoid arthritis. In addition, the Company continued to conduct research with Pharmacopeia, Inc. and Glaxo Wellcome plc in the area of small molecule (orally active) drugs.</w:t>
      </w:r>
    </w:p>
    <w:p>
      <w:pPr>
        <w:spacing w:after="0" w:line="16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During 1998, Amgen-Regeneron Partners, the partnership equally owned by Regeneron and Amgen Inc. ("Amgen"), continued to develop BDNF and NT-3. BDNF is currently being developed by Amgen-Regeneron Partners for potential use in treating ALS through two routes of administration: intrathecal (infusion into the spinal fluid through an implanted pump) and subcutaneous (injection under the skin). In the fourth quarter of 1998, Amgen, on behalf of the partnership, began an intrathecal study in more than 200 patients with ALS. Subcutaneous studies conducted by Regeneron on behalf of the partnership began in the first quarter of 1998. The subcutaneous studies are based on an analysis of the Amgen-Regeneron Partners Phase III trial of BDNF for ALS that was completed in 1996. That trial failed to achieve its predetermined end points, but subsequent analyses indicated that a retrospectively-defined subset of ALS patients in the trial may have received a survival benefit from BDNF treatment. A multi-center study of more than 200 ALS patients who will receive BDNF subcutaneously is expected to begin in 1999.</w:t>
      </w:r>
    </w:p>
    <w:p>
      <w:pPr>
        <w:spacing w:after="0" w:line="200" w:lineRule="exact"/>
        <w:rPr>
          <w:sz w:val="20"/>
          <w:szCs w:val="20"/>
          <w:color w:val="auto"/>
        </w:rPr>
      </w:pPr>
    </w:p>
    <w:p>
      <w:pPr>
        <w:spacing w:after="0" w:line="31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27" w:right="1440" w:bottom="1440" w:gutter="0" w:footer="0" w:header="0"/>
        </w:sectPr>
      </w:pPr>
    </w:p>
    <w:bookmarkStart w:id="22" w:name="page23"/>
    <w:bookmarkEnd w:id="22"/>
    <w:p>
      <w:pPr>
        <w:ind w:right="3179" w:firstLine="793"/>
        <w:spacing w:after="0" w:line="257" w:lineRule="auto"/>
        <w:rPr>
          <w:sz w:val="20"/>
          <w:szCs w:val="20"/>
          <w:color w:val="auto"/>
        </w:rPr>
      </w:pPr>
      <w:r>
        <w:rPr>
          <w:rFonts w:ascii="Courier New" w:cs="Courier New" w:eastAsia="Courier New" w:hAnsi="Courier New"/>
          <w:sz w:val="14"/>
          <w:szCs w:val="14"/>
          <w:color w:val="auto"/>
        </w:rPr>
        <w:t>The Company and Sumitomo Pharmaceuticals Co., Ltd. ("Sumitomo Pharmaceuticals") are collaborating in the development of BDNF in Japan, initially for the treatment of ALS. In March 1998, Sumitomo Pharmaceuticals commenced a Phase I safety assessment of BDNF delivered subcutaneously to normal volunteers. In August 1998, Sumitomo Pharmaceuticals signed a license agreement for the development of BDNF in Japan. Pursuant to the license agreement, Sumitomo Pharmaceuticals made a $5.0 million research progress payment (reduced by $0.5 million of Japanese withholding tax) to Regeneron in August 1998 and will make additional payments upon the achievement of specified milestones. Sumitomo Pharmaceuticals will also pay a royalty on sales of BDNF in Japan.</w:t>
      </w:r>
    </w:p>
    <w:p>
      <w:pPr>
        <w:spacing w:after="0" w:line="16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Amgen-Regeneron Partners' clinical development of NT-3 is currently focused on constipating conditions. In 1998, Regeneron, on behalf of Amgen-Regeneron Partners, completed a small clinical study that included healthy volunteers and patients suffering from severe idiopathic constipation and began additional small studies in patients who suffer from constipation associated with conditions such as spinal cord injury and Parkinson's disease.</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No assurance can be given that extended administration of BDNF or NT-3 will be safe or effective. The treatment of ALS has been shown, in a number of clinical settings using a variety of treatment modalities (including Amgen-Regeneron Partners' earlier clinical studies), to present significant difficulties. The design of an ALS clinical study presents special difficulties and risks, as do the facts that ALS is a progressive disease that afflicts individual patients differently and other ALS treatments are approved or have been or are currently being tested, creating the possibility that patients in any BDNF study may also receive other therapeutics during all or part of the BDNF trial. The treatment of various constipating conditions may present additional clinical trial risks in light of the complex and not wholly understood mechanisms of action that lead to the conditions, the concurrent use of other drugs to treat the underlying illnesses as well as the gastrointestinal condition, the potential difficulty of designing and achieving significant clinical end points, and other factors. No assurance can be given that these or any other studies of BDNF or NT-3 will be successful or that BDNF or NT-3 will be commercialized.</w:t>
      </w:r>
    </w:p>
    <w:p>
      <w:pPr>
        <w:spacing w:after="0" w:line="18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Substantial risk is inherent in the research, development, and commercialization of drugs. In addition, in each of the areas of the Company's independent and collaborative activities, other companies and entities are actively pursuing competitive paths toward similar objectives. The results of the Company's and its collaborators' past activities in connection with the research and development of AXOKINE, cytokine traps, angiopoietins, abnormal bone growth, muscle atrophy, small molecules, BDNF, NT-3, and other programs or areas of research or development do not necessarily predict the results or success of current or future activities including, but not limited to, any additional preclinical or clinical studies. The Company cannot predict whether, when, or under what conditions any of its research or product candidates, including without limitation AXOKINE, BDNF, or NT-3, will be shown to be safe or effective to treat any human condition or be approved for marketing by any regulatory agency. The delay or failure of current or future studies to demonstrate the safety or efficacy of the Company's product candidates to treat human conditions or to be approved for marketing could have a material adverse impact on the Company.</w:t>
      </w:r>
    </w:p>
    <w:p>
      <w:pPr>
        <w:spacing w:after="0" w:line="187"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To date, Regeneron has not received any revenues from the commercial sale of products and may never receive such revenues. Before such revenues can be realized, the Company (or its collaborators) must overcome a number of hurdles which include successfully completing its research and development efforts and obtaining regulatory</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27" w:right="1440" w:bottom="1440" w:gutter="0" w:footer="0" w:header="0"/>
        </w:sectPr>
      </w:pPr>
    </w:p>
    <w:bookmarkStart w:id="23" w:name="page24"/>
    <w:bookmarkEnd w:id="23"/>
    <w:p>
      <w:pPr>
        <w:ind w:left="10" w:right="3179"/>
        <w:spacing w:after="0" w:line="237" w:lineRule="auto"/>
        <w:rPr>
          <w:sz w:val="20"/>
          <w:szCs w:val="20"/>
          <w:color w:val="auto"/>
        </w:rPr>
      </w:pPr>
      <w:r>
        <w:rPr>
          <w:rFonts w:ascii="Courier New" w:cs="Courier New" w:eastAsia="Courier New" w:hAnsi="Courier New"/>
          <w:sz w:val="15"/>
          <w:szCs w:val="15"/>
          <w:color w:val="auto"/>
        </w:rPr>
        <w:t>approval from the FDA or regulatory authorities in other countries. In addition, the biotechnology and pharmaceutical industries are rapidly evolving and highly competitive, and new developments may render the Company's products and technologies noncompetitive and obsolete.</w:t>
      </w:r>
    </w:p>
    <w:p>
      <w:pPr>
        <w:spacing w:after="0" w:line="176"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From inception on January 8, 1988 through December 31, 1998, Regeneron had a cumulative loss of $177.2 million. In the absence of revenues from commercial product sales or other sources (the amount, timing, nature, or source of which cannot be predicted), the Company's losses will continue as the Company conducts its research and development activities. The Company's activities may expand over time and may require additional resources, and the Company's operating losses may be substantial over at least the next several years. The Company's losses may fluctuate from quarter to quarter and will depend, among other factors, on the timing of certain expenses and on the progress of the Company's research and development efforts.</w:t>
      </w: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ind w:left="10" w:right="3179" w:firstLine="793"/>
        <w:spacing w:after="0" w:line="256" w:lineRule="auto"/>
        <w:rPr>
          <w:sz w:val="20"/>
          <w:szCs w:val="20"/>
          <w:color w:val="auto"/>
        </w:rPr>
      </w:pPr>
      <w:r>
        <w:rPr>
          <w:rFonts w:ascii="Courier New" w:cs="Courier New" w:eastAsia="Courier New" w:hAnsi="Courier New"/>
          <w:sz w:val="14"/>
          <w:szCs w:val="14"/>
          <w:color w:val="auto"/>
        </w:rPr>
        <w:t>Years Ended December 31, 1998 and 1997. The Company's total revenue increased to $45.2 million in 1998 from $33.1 million in 1997. Contract research and development revenue increased to $19.7 million in 1998 from $17.4 million in 1997, as higher revenue related to the P&amp;G Agreement more than offset a decrease in revenue from the Company's ongoing collaboration with Sumitomo Pharmaceuticals. In 1998, research progress payments of $9.5 million consisted of a payment of $5.0 million from Sumitomo Pharmaceuticals related to the development of the Company's BDNF in Japan (reduced by $0.5 million of Japanese withholding tax) and a payment of $5.0 million from Procter &amp; Gamble in connection with a collaboration to develop AXOKINE for obesity associated with Type II diabetes. In 1997, research progress payments of $5.0 million were received from Procter &amp; Gamble in connection with the September 1997 amendment to the P&amp;G Agreement related to AXOKINE. Contract manufacturing revenue related to the Company's 1995 manufacturing agreement (the "Merck Agreement") with Merck</w:t>
      </w:r>
    </w:p>
    <w:p>
      <w:pPr>
        <w:spacing w:after="0" w:line="5" w:lineRule="exact"/>
        <w:rPr>
          <w:sz w:val="20"/>
          <w:szCs w:val="20"/>
          <w:color w:val="auto"/>
        </w:rPr>
      </w:pPr>
    </w:p>
    <w:p>
      <w:pPr>
        <w:ind w:left="10" w:right="3179" w:hanging="10"/>
        <w:spacing w:after="0" w:line="256" w:lineRule="auto"/>
        <w:tabs>
          <w:tab w:leader="none" w:pos="186"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 Inc. ("Merck") increased to $9.1 million in 1998 compared to $4.5 million in 1997 as a result of increased activity in preparation for manufacturing a product for Merck at the Company's Rensselaer facility. Investment income in</w:t>
      </w:r>
    </w:p>
    <w:p>
      <w:pPr>
        <w:ind w:left="10" w:right="325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1998 increased to $6.9 million from $6.2 million in 1997, due mainly to higher levels of interest-bearing investments resulting primarily from the proceeds of a private placement of equity securities with Procter &amp; Gamble in June 1997.</w:t>
      </w:r>
    </w:p>
    <w:p>
      <w:pPr>
        <w:spacing w:after="0" w:line="163" w:lineRule="exact"/>
        <w:rPr>
          <w:sz w:val="20"/>
          <w:szCs w:val="20"/>
          <w:color w:val="auto"/>
        </w:rPr>
      </w:pPr>
    </w:p>
    <w:p>
      <w:pPr>
        <w:ind w:left="10" w:right="3259" w:firstLine="793"/>
        <w:spacing w:after="0" w:line="257" w:lineRule="auto"/>
        <w:rPr>
          <w:sz w:val="20"/>
          <w:szCs w:val="20"/>
          <w:color w:val="auto"/>
        </w:rPr>
      </w:pPr>
      <w:r>
        <w:rPr>
          <w:rFonts w:ascii="Courier New" w:cs="Courier New" w:eastAsia="Courier New" w:hAnsi="Courier New"/>
          <w:sz w:val="14"/>
          <w:szCs w:val="14"/>
          <w:color w:val="auto"/>
        </w:rPr>
        <w:t>The Company's total operating expenses increased to $53.8 million in 1998 from $44.7 million in 1997. Research and development expenses increased to $37.0 million in 1998 from $27.8 million in 1997, primarily as a result of additional employees and increased activity in the Company's preclinical and clinical research programs. The Company's share of the loss in Amgen-Regeneron Partners decreased to $2.5 million in 1998 from $3.4 million in 1997, due to lower research and development expenses by the Partnership. Research and development expenses (including loss in Amgen-Regeneron Partners) were approximately 73% of total operating expenses in 1998, compared to 70% in 1997.</w:t>
      </w:r>
    </w:p>
    <w:p>
      <w:pPr>
        <w:spacing w:after="0" w:line="167" w:lineRule="exact"/>
        <w:rPr>
          <w:sz w:val="20"/>
          <w:szCs w:val="20"/>
          <w:color w:val="auto"/>
        </w:rPr>
      </w:pP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General and administrative expenses were $5.8 million in both 1998 and 1997. Depreciation and amortization expense decreased to $3.0 million in 1998 from $4.4 million in 1997, as certain laboratory equipment and leasehold improvements became fully depreciated. Contract manufacturing expenses, which are expenses directly related to the Merck Agreement and are reimbursed by Merck, increased to $5.0 million in 1998 from $2.6 million in 1997, primarily due to increased activity in preparation for</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9"/>
          </w:cols>
          <w:pgMar w:left="230" w:top="627" w:right="1440" w:bottom="1440" w:gutter="0" w:footer="0" w:header="0"/>
        </w:sectPr>
      </w:pPr>
    </w:p>
    <w:bookmarkStart w:id="24" w:name="page25"/>
    <w:bookmarkEnd w:id="24"/>
    <w:p>
      <w:pPr>
        <w:ind w:right="3179"/>
        <w:spacing w:after="0" w:line="237" w:lineRule="auto"/>
        <w:rPr>
          <w:sz w:val="20"/>
          <w:szCs w:val="20"/>
          <w:color w:val="auto"/>
        </w:rPr>
      </w:pPr>
      <w:r>
        <w:rPr>
          <w:rFonts w:ascii="Courier New" w:cs="Courier New" w:eastAsia="Courier New" w:hAnsi="Courier New"/>
          <w:sz w:val="15"/>
          <w:szCs w:val="15"/>
          <w:color w:val="auto"/>
        </w:rPr>
        <w:t>manufacturing a product for Merck. Interest expense decreased to $0.4 million in 1998 from $0.7 million in 1997 as the amount of outstanding obligations in connection with capital leases declined.</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The Company's net loss in 1998 was $8.6 million, or $0.28 per share (basic and diluted), compared to a net loss of $11.6 million, or $0.40 per share (basic and diluted), in 1997.</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Years Ended December 31, 1997 and 1996. The Company's total revenue increased to $33.1 million in 1997 from $24.1 million in 1996. Contract research and development revenue was $17.4 million in 1997 and $17.3 million in 1996, as revenue received from Procter &amp; Gamble in connection with the P&amp;G Agreement offset lower revenue from Amgen-Regeneron Partners and Sumitomo Pharmaceuticals. Research progress payments in 1997 of $5.0 million were received from Procter &amp; Gamble in connection with the September 1997 amendment to the P&amp;G Agreement related to AXOKINE. Contract manufacturing revenue related to the Merck Agreement increased to $4.5 million in 1997 from $2.5 million in 1996 as a result of increased activity in preparation for manufacturing a product for Merck at the Company's Rensselaer facility. Investment income in 1997 increased to $6.2 million from $4.4 million in 1996, due primarily to higher levels of interest-bearing investments resulting from the proceeds from the private placements of equity securities with Amgen, Medtronic, and Procter &amp; Gamble in 1996 and 1997.</w:t>
      </w:r>
    </w:p>
    <w:p>
      <w:pPr>
        <w:spacing w:after="0" w:line="185"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The Company's total operating expenses decreased to $44.7 million in 1997 from $56.5 million in 1996. Research and development expenses declined to $27.8 million in 1997 from $28.3 million in 1996 as less BDNF was produced for clinical use by Sumitomo Pharmaceuticals in 1997. The Company's share of the loss in Amgen-Regeneron Partners in 1997 decreased to $3.4 million from $14.3 million in 1996, reflecting lower expenses after completion of the Phase III BDNF subcutaneous clinical trial in 1996.</w:t>
      </w:r>
    </w:p>
    <w:p>
      <w:pPr>
        <w:spacing w:after="0" w:line="177"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General and administrative expenses were $5.8 million in 1997 and $5.9 million in 1996. Depreciation and amortization expense decreased to $4.4 million in 1997 from $6.1 million in 1996, as certain laboratory equipment became fully depreciated and capitalized patent costs were fully amortized in 1996. Contract manufacturing expenses, which are direct expenses related to the Merck Agreement and are reimbursed by Merck, increased to $2.6 million in 1997 from $1.1 million in 1996, primarily from increased services performed by the Company. Interest expense was $0.7 million in 1997 and $0.9 million in 1996.</w:t>
      </w:r>
    </w:p>
    <w:p>
      <w:pPr>
        <w:spacing w:after="0" w:line="167"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The Company's net loss in 1997 was $11.6 million, or $0.40 per share (basic and diluted), compared to a net loss of $32.4 million, or $1.33 per share (basic and diluted), in 1996.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Since its inception in 1988, the Company has financed its operations primarily through private placements and public offerings of its equity securities, revenue earned under the several agreements between the Company and each of Amgen, Sumitomo Chemical Company, Ltd., Sumitomo Pharmaceuticals, Merck, and Procter &amp; Gamble and investment income.</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27" w:right="1440" w:bottom="1440" w:gutter="0" w:footer="0" w:header="0"/>
        </w:sectPr>
      </w:pPr>
    </w:p>
    <w:bookmarkStart w:id="25" w:name="page26"/>
    <w:bookmarkEnd w:id="25"/>
    <w:p>
      <w:pPr>
        <w:ind w:right="3179" w:firstLine="793"/>
        <w:spacing w:after="0" w:line="256" w:lineRule="auto"/>
        <w:rPr>
          <w:sz w:val="20"/>
          <w:szCs w:val="20"/>
          <w:color w:val="auto"/>
        </w:rPr>
      </w:pPr>
      <w:r>
        <w:rPr>
          <w:rFonts w:ascii="Courier New" w:cs="Courier New" w:eastAsia="Courier New" w:hAnsi="Courier New"/>
          <w:sz w:val="14"/>
          <w:szCs w:val="14"/>
          <w:color w:val="auto"/>
        </w:rPr>
        <w:t>In May 1997, the Company and Procter &amp; Gamble entered into the P&amp;G Agreement. Procter &amp; Gamble agreed over the first five years of the P&amp;G Agreement to purchase up to $60.0 million in Regeneron equity (of which $42.9 million was purchased in June 1997) and provide up to $94.7 million in support of Regeneron's research efforts related to the collaboration (of which $6.7 million was received through December 31, 1998). During the second five years of the P&amp;G Agreement, the companies will share all research costs equally. Clinical testing and commercialization expenses for jointly developed products will be shared equally throughout the ten years of the collaboration. The companies expect jointly to develop and market worldwide any products resulting from the collaboration and share equally in profits. Either company may terminate the P&amp;G Agreement at the end of five years with at least one year prior notice or earlier in the event of a default (as defined in the P&amp;G Agreement). In September 1997, the Company and Procter &amp; Gamble expanded the P&amp;G Agreement to include AXOKINE and related molecules (delivered systemically), and agreed to develop AXOKINE initially to treat obesity associated with Type II diabetes. Procter &amp; Gamble agreed to reimburse the Company for certain research and development costs and pay as much as $15.0 million in additional funding, partly subject to achieving certain milestones related to AXOKINE. Of the $15.0 million, $5.0 million was paid in 1997 and $5.0 million was paid in 1998.</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In connection with the Company's agreement to collaborate with Sumitomo Pharmaceuticals in the research and development of BDNF in Japan, Sumitomo Pharmaceuticals paid the Company $25.0 million through December 1997. The Company also received a $5.0 million research progress payment from Sumitomo Pharmaceuticals (reduced by $0.5 million of Japanese withholding tax) in August 1998.</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Company's activities relating to BDNF and NT-3, as agreed upon by Amgen and Regeneron, are being reimbursed by Amgen-Regeneron Partners, and the Company recognizes such reimbursement as revenue. The funding of Amgen-Regeneron Partners is through capital contributions from Amgen and Regeneron, who must make equal payments in order to maintain equal ownership and equal sharing of any profits or losses from the partnership. The Company has made capital contributions totaling $50.4 million to Amgen-Regeneron Partners from the partnership's inception in June 1993 through December 31, 1998. The Company expects that its capital contributions in 1999 will total at least $2.0 million for the full year. These contributions could increase or decrease, depending upon (among other things) the nature and cost of ongoing and additional BDNF and NT-3 studies that Amgen-Regeneron Partners may conduct and the outcomes of those studies.</w:t>
      </w:r>
    </w:p>
    <w:p>
      <w:pPr>
        <w:spacing w:after="0" w:line="183"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From its inception in January 1988 through December 31, 1998, the Company invested $59.6 million in property, plant, and equipment. This includes $16.8 million to acquire and renovate the Rensselaer facility and an additional $14.1 million to complete construction at the facility pursuant to the Merck Agreement. In connection with the purchase and renovation of the Rensselaer facility, the Company obtained financing of $2.0 million from the New York State Urban Development Corporation, of which $1.7 million is outstanding. Under the terms of such financing, the Company is not permitted to declare or pay dividends on its equity securities.</w:t>
      </w:r>
    </w:p>
    <w:p>
      <w:pPr>
        <w:spacing w:after="0" w:line="179"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Company expects that expenses related to the filing, prosecution, defense, and enforcement of patent and other intellectual property claims will continue to be substantial as a result of patent filings and prosecutions in the United States and foreign countries. The Company is currently involved in interference proceedings in the Patent and Trademark Office between Regeneron's patent applications and patents relating to CNTF issued to Synergen, Inc. ("Synergen"). Amgen acquired all outstanding shares of</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27" w:right="1440" w:bottom="1440" w:gutter="0" w:footer="0" w:header="0"/>
        </w:sectPr>
      </w:pPr>
    </w:p>
    <w:bookmarkStart w:id="26" w:name="page27"/>
    <w:bookmarkEnd w:id="26"/>
    <w:p>
      <w:pPr>
        <w:ind w:right="3179"/>
        <w:spacing w:after="0" w:line="238" w:lineRule="auto"/>
        <w:rPr>
          <w:sz w:val="20"/>
          <w:szCs w:val="20"/>
          <w:color w:val="auto"/>
        </w:rPr>
      </w:pPr>
      <w:r>
        <w:rPr>
          <w:rFonts w:ascii="Courier New" w:cs="Courier New" w:eastAsia="Courier New" w:hAnsi="Courier New"/>
          <w:sz w:val="15"/>
          <w:szCs w:val="15"/>
          <w:color w:val="auto"/>
        </w:rPr>
        <w:t>Synergen in 1994. In March 1998, the Company and Amgen entered into a covenant not to sue each other which, among other things, resolved their patent interference and related patent proceedings relating to CNTF and AXOKINE. The Company also granted Amgen a license to use CNTF and second generation CNTFs other than AXOKINE to treat retinal degenerative conditions. Neither party will pay royalties or make other payments to the other party in consideration of this agreement.</w:t>
      </w:r>
    </w:p>
    <w:p>
      <w:pPr>
        <w:spacing w:after="0" w:line="17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As of December 31, 1998, the Company had no established banking arrangements through which it could obtain short-term financing or a line of credit. Additional funds may be raised through, among other things, the issuance of additional securities, other financing arrangements, and future collaboration agreements. No assurance can be given that additional financing will be available or, if available, that it will be available on acceptable terms. In addition, the Company estimates that through mid-2002 it could receive additional payments from Procter &amp; Gamble in the form of research funding, milestones, and equity purchases of as much as $100 million or more.</w:t>
      </w:r>
    </w:p>
    <w:p>
      <w:pPr>
        <w:spacing w:after="0" w:line="179"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At December 31, 1998, the Company had $113.5 million in cash, cash equivalents, and marketable securities. The Company expects to incur substantial funding requirements for, among other things, research and development activities (including preclinical and clinical testing), validation of manufacturing facilities, and the acquisition of equipment. The Company expects to incur ongoing funding requirements for capital contributions to Amgen-Regeneron Partners to support the continued development and clinical trials of BDNF and NT-3. The amount needed to fund operations will also depend on other factors, including the status of competitive products, the success of the Company's research and development programs, the status of patents and other intellectual property rights developments, and the continuation, extent, and success of any collaborative research programs (including those with Amgen and Procter &amp; Gamble). The Company believes that its existing capital resources will enable it to meet operating needs for at least several years. No assurance can be given that there will be no change in projected revenues or expenses that would lead to the Company's capital being consumed significantly before such time.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That May Affect Future Operating Results</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Regeneron cautions stockholders and potential investors that the following important factors, among others, in some cases have affected, and in the future could affect, Regeneron's actual results and could cause Regeneron's actual results to differ materially from those expressed in any forward-looking statements made by, or on behalf of, Regeneron. The statements under this caption are intended to serve as cautionary statements within the meaning of the Private Securities Litigation Reform Act of 1995. The following information is not intended to limit in any way the characterization of other statements or information under other captions as cautionary statements for such purpose:</w:t>
      </w:r>
    </w:p>
    <w:p>
      <w:pPr>
        <w:spacing w:after="0" w:line="167" w:lineRule="exact"/>
        <w:rPr>
          <w:sz w:val="20"/>
          <w:szCs w:val="20"/>
          <w:color w:val="auto"/>
        </w:rPr>
      </w:pPr>
    </w:p>
    <w:p>
      <w:pPr>
        <w:ind w:left="1580" w:right="3439" w:hanging="796"/>
        <w:spacing w:after="0" w:line="237" w:lineRule="auto"/>
        <w:tabs>
          <w:tab w:leader="none" w:pos="15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of the Company's research and development programs to produce product candidates that are scientifically or commercially appropriate for further development by the Company or others.</w:t>
      </w:r>
    </w:p>
    <w:p>
      <w:pPr>
        <w:spacing w:after="0" w:line="176" w:lineRule="exact"/>
        <w:rPr>
          <w:rFonts w:ascii="Courier New" w:cs="Courier New" w:eastAsia="Courier New" w:hAnsi="Courier New"/>
          <w:sz w:val="15"/>
          <w:szCs w:val="15"/>
          <w:color w:val="auto"/>
        </w:rPr>
      </w:pPr>
    </w:p>
    <w:p>
      <w:pPr>
        <w:ind w:left="1580" w:right="3179" w:hanging="796"/>
        <w:spacing w:after="0" w:line="238" w:lineRule="auto"/>
        <w:tabs>
          <w:tab w:leader="none" w:pos="15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or termination of material collaborative or licensing agreements (including in particular, but not limited to, those with Procter &amp; Gamble and Amgen) and the resulting loss of research or other funding could have a material adverse effect on the Company and its operations. A change of control of one or</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27" w:right="1440" w:bottom="1440" w:gutter="0" w:footer="0" w:header="0"/>
        </w:sectPr>
      </w:pPr>
    </w:p>
    <w:bookmarkStart w:id="27" w:name="page28"/>
    <w:bookmarkEnd w:id="27"/>
    <w:p>
      <w:pPr>
        <w:jc w:val="both"/>
        <w:ind w:left="796" w:right="3619"/>
        <w:spacing w:after="0" w:line="265" w:lineRule="auto"/>
        <w:rPr>
          <w:sz w:val="20"/>
          <w:szCs w:val="20"/>
          <w:color w:val="auto"/>
        </w:rPr>
      </w:pPr>
      <w:r>
        <w:rPr>
          <w:rFonts w:ascii="Courier New" w:cs="Courier New" w:eastAsia="Courier New" w:hAnsi="Courier New"/>
          <w:sz w:val="14"/>
          <w:szCs w:val="14"/>
          <w:color w:val="auto"/>
        </w:rPr>
        <w:t>more of the Company's material collaborators or licensees could also have a material adverse effect on the Company.</w:t>
      </w:r>
    </w:p>
    <w:p>
      <w:pPr>
        <w:spacing w:after="0" w:line="158" w:lineRule="exact"/>
        <w:rPr>
          <w:sz w:val="20"/>
          <w:szCs w:val="20"/>
          <w:color w:val="auto"/>
        </w:rPr>
      </w:pPr>
    </w:p>
    <w:p>
      <w:pPr>
        <w:ind w:left="796" w:right="3179" w:hanging="796"/>
        <w:spacing w:after="0" w:line="257" w:lineRule="auto"/>
        <w:tabs>
          <w:tab w:leader="none" w:pos="796"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 difficulty, or failure of a clinical trial of any of the Company's product candidates. A clinical trial can fail or be delayed as a result of many causes, including, among others, failure of the product candidate to demonstrate safety or efficacy, the development of serious or life-threatening adverse events (side effects) caused by or connected with exposure to the product candidate, the creation of antibodies (in the case of protein-based therapeutics) that weaken or neutralize the effect of the product candidate (and possibly could have other adverse effects on patients), the failure of clinical investigators, trial monitors and other consultants, or trial subjects to comply with the trial plan or protocol.</w:t>
      </w:r>
    </w:p>
    <w:p>
      <w:pPr>
        <w:spacing w:after="0" w:line="165" w:lineRule="exact"/>
        <w:rPr>
          <w:rFonts w:ascii="Courier New" w:cs="Courier New" w:eastAsia="Courier New" w:hAnsi="Courier New"/>
          <w:sz w:val="14"/>
          <w:szCs w:val="14"/>
          <w:color w:val="auto"/>
        </w:rPr>
      </w:pPr>
    </w:p>
    <w:p>
      <w:pPr>
        <w:ind w:left="796" w:right="3179" w:hanging="796"/>
        <w:spacing w:after="0" w:line="258" w:lineRule="auto"/>
        <w:tabs>
          <w:tab w:leader="none" w:pos="796"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 difficulty, or failure in obtaining regulatory approval (including approval of its facilities for production) for the Company's products (including vaccine intermediate for Merck), including delays or difficulties in development because of insufficient proof of safety or efficacy.</w:t>
      </w:r>
    </w:p>
    <w:p>
      <w:pPr>
        <w:spacing w:after="0" w:line="164" w:lineRule="exact"/>
        <w:rPr>
          <w:rFonts w:ascii="Courier New" w:cs="Courier New" w:eastAsia="Courier New" w:hAnsi="Courier New"/>
          <w:sz w:val="14"/>
          <w:szCs w:val="14"/>
          <w:color w:val="auto"/>
        </w:rPr>
      </w:pPr>
    </w:p>
    <w:p>
      <w:pPr>
        <w:ind w:left="796" w:right="3259" w:hanging="796"/>
        <w:spacing w:after="0" w:line="260" w:lineRule="auto"/>
        <w:tabs>
          <w:tab w:leader="none" w:pos="796"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and irregular costs of development, manufacture, regulatory approval, sales, and marketing associated with the introduction of products in the late stage of development.</w:t>
      </w:r>
    </w:p>
    <w:p>
      <w:pPr>
        <w:spacing w:after="0" w:line="162" w:lineRule="exact"/>
        <w:rPr>
          <w:rFonts w:ascii="Courier New" w:cs="Courier New" w:eastAsia="Courier New" w:hAnsi="Courier New"/>
          <w:sz w:val="14"/>
          <w:szCs w:val="14"/>
          <w:color w:val="auto"/>
        </w:rPr>
      </w:pPr>
    </w:p>
    <w:p>
      <w:pPr>
        <w:ind w:left="796" w:right="3259" w:hanging="796"/>
        <w:spacing w:after="0" w:line="237" w:lineRule="auto"/>
        <w:tabs>
          <w:tab w:leader="none" w:pos="79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 or market factors that may cause use of the Company's products to be limited or otherwise fail to achieve broad acceptance.</w:t>
      </w:r>
    </w:p>
    <w:p>
      <w:pPr>
        <w:spacing w:after="0" w:line="174" w:lineRule="exact"/>
        <w:rPr>
          <w:rFonts w:ascii="Courier New" w:cs="Courier New" w:eastAsia="Courier New" w:hAnsi="Courier New"/>
          <w:sz w:val="15"/>
          <w:szCs w:val="15"/>
          <w:color w:val="auto"/>
        </w:rPr>
      </w:pPr>
    </w:p>
    <w:p>
      <w:pPr>
        <w:ind w:left="796" w:right="3359" w:hanging="796"/>
        <w:spacing w:after="0" w:line="259" w:lineRule="auto"/>
        <w:tabs>
          <w:tab w:leader="none" w:pos="796"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to obtain, maintain, and prosecute intellectual property rights, and the cost of acquiring in-process technology and other intellectual property rights, either by license, collaboration, or purchase of another entity.</w:t>
      </w:r>
    </w:p>
    <w:p>
      <w:pPr>
        <w:spacing w:after="0" w:line="162" w:lineRule="exact"/>
        <w:rPr>
          <w:rFonts w:ascii="Courier New" w:cs="Courier New" w:eastAsia="Courier New" w:hAnsi="Courier New"/>
          <w:sz w:val="14"/>
          <w:szCs w:val="14"/>
          <w:color w:val="auto"/>
        </w:rPr>
      </w:pPr>
    </w:p>
    <w:p>
      <w:pPr>
        <w:ind w:left="796" w:right="3179" w:hanging="796"/>
        <w:spacing w:after="0" w:line="237" w:lineRule="auto"/>
        <w:tabs>
          <w:tab w:leader="none" w:pos="79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or high costs of obtaining adequate financing to meet the Company's obligations under its collaboration and licensing agreements or to fund 50 percent of the cost of developing product candidates in order to retain 50 percent of the commercialization rights.</w:t>
      </w:r>
    </w:p>
    <w:p>
      <w:pPr>
        <w:spacing w:after="0" w:line="178" w:lineRule="exact"/>
        <w:rPr>
          <w:rFonts w:ascii="Courier New" w:cs="Courier New" w:eastAsia="Courier New" w:hAnsi="Courier New"/>
          <w:sz w:val="15"/>
          <w:szCs w:val="15"/>
          <w:color w:val="auto"/>
        </w:rPr>
      </w:pPr>
    </w:p>
    <w:p>
      <w:pPr>
        <w:ind w:left="796" w:right="3259" w:hanging="796"/>
        <w:spacing w:after="0" w:line="237" w:lineRule="auto"/>
        <w:tabs>
          <w:tab w:leader="none" w:pos="79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and rate of growth of Regeneron's general and administrative expenses, and the impact of unusual charges resulting from Regeneron's ongoing evaluation of its business strategies and organizational structure.</w:t>
      </w:r>
    </w:p>
    <w:p>
      <w:pPr>
        <w:spacing w:after="0" w:line="176" w:lineRule="exact"/>
        <w:rPr>
          <w:rFonts w:ascii="Courier New" w:cs="Courier New" w:eastAsia="Courier New" w:hAnsi="Courier New"/>
          <w:sz w:val="15"/>
          <w:szCs w:val="15"/>
          <w:color w:val="auto"/>
        </w:rPr>
      </w:pPr>
    </w:p>
    <w:p>
      <w:pPr>
        <w:ind w:left="796" w:right="3179" w:hanging="796"/>
        <w:spacing w:after="0" w:line="258" w:lineRule="auto"/>
        <w:tabs>
          <w:tab w:leader="none" w:pos="796"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of corporate partners to develop or commercialize successfully the Company's products or to retain and expand the markets served by the commercial collaborations; conflicts of interest, priorities, and commercial strategies which may arise between the Company and such corporate partners.</w:t>
      </w:r>
    </w:p>
    <w:p>
      <w:pPr>
        <w:spacing w:after="0" w:line="164" w:lineRule="exact"/>
        <w:rPr>
          <w:rFonts w:ascii="Courier New" w:cs="Courier New" w:eastAsia="Courier New" w:hAnsi="Courier New"/>
          <w:sz w:val="14"/>
          <w:szCs w:val="14"/>
          <w:color w:val="auto"/>
        </w:rPr>
      </w:pPr>
    </w:p>
    <w:p>
      <w:pPr>
        <w:ind w:left="796" w:right="3179" w:hanging="796"/>
        <w:spacing w:after="0" w:line="238" w:lineRule="auto"/>
        <w:tabs>
          <w:tab w:leader="none" w:pos="79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Delays or difficulties in developing and acquiring production technology and technical and managerial personnel to manufacture novel biotechnology products in commercial quantities at reasonable costs and in compliance with applicable quality assurance and environmental regulations and governmental permitting requirements.</w:t>
      </w:r>
    </w:p>
    <w:p>
      <w:pPr>
        <w:spacing w:after="0" w:line="339" w:lineRule="exact"/>
        <w:rPr>
          <w:sz w:val="20"/>
          <w:szCs w:val="20"/>
          <w:color w:val="auto"/>
        </w:rPr>
      </w:pPr>
    </w:p>
    <w:p>
      <w:pPr>
        <w:ind w:left="2636"/>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436"/>
          </w:cols>
          <w:pgMar w:left="1024" w:top="627" w:right="1440" w:bottom="1440" w:gutter="0" w:footer="0" w:header="0"/>
        </w:sectPr>
      </w:pPr>
    </w:p>
    <w:bookmarkStart w:id="28" w:name="page29"/>
    <w:bookmarkEnd w:id="28"/>
    <w:p>
      <w:pPr>
        <w:ind w:left="1580" w:right="3359" w:hanging="796"/>
        <w:spacing w:after="0" w:line="235" w:lineRule="auto"/>
        <w:tabs>
          <w:tab w:leader="none" w:pos="15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obtaining key raw materials and supplies for the manufacture of the Company's product candidates.</w:t>
      </w:r>
    </w:p>
    <w:p>
      <w:pPr>
        <w:spacing w:after="0" w:line="175" w:lineRule="exact"/>
        <w:rPr>
          <w:rFonts w:ascii="Courier New" w:cs="Courier New" w:eastAsia="Courier New" w:hAnsi="Courier New"/>
          <w:sz w:val="15"/>
          <w:szCs w:val="15"/>
          <w:color w:val="auto"/>
        </w:rPr>
      </w:pPr>
    </w:p>
    <w:p>
      <w:pPr>
        <w:ind w:left="1580" w:right="3259" w:hanging="796"/>
        <w:spacing w:after="0" w:line="238" w:lineRule="auto"/>
        <w:tabs>
          <w:tab w:leader="none" w:pos="15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and other effects of legal and administrative cases and proceedings (whether civil, such as product- or employment-related, or environmental, or criminal); settlements and investigations; developments or assertions by or against Regeneron relating to intellectual property rights and licenses; the issuance and use of patents and proprietary technology by Regeneron and its competitors, including the possible negative effect on the Company's ability to develop, manufacture, and sell its products in circumstances where it is unable to obtain licenses to patents which may be required for such products.</w:t>
      </w:r>
    </w:p>
    <w:p>
      <w:pPr>
        <w:spacing w:after="0" w:line="180" w:lineRule="exact"/>
        <w:rPr>
          <w:rFonts w:ascii="Courier New" w:cs="Courier New" w:eastAsia="Courier New" w:hAnsi="Courier New"/>
          <w:sz w:val="15"/>
          <w:szCs w:val="15"/>
          <w:color w:val="auto"/>
        </w:rPr>
      </w:pPr>
    </w:p>
    <w:p>
      <w:pPr>
        <w:ind w:left="1580" w:right="3259" w:hanging="796"/>
        <w:spacing w:after="0" w:line="238" w:lineRule="auto"/>
        <w:tabs>
          <w:tab w:leader="none" w:pos="15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Underutilization of the Company's existing or new manufacturing facilities or of any facility expansions, resulting in inefficiencies and higher costs; start-up costs, inefficiencies, delays, and increased depreciation costs in connection with the start of production in new plants and expansions.</w:t>
      </w:r>
    </w:p>
    <w:p>
      <w:pPr>
        <w:spacing w:after="0" w:line="175" w:lineRule="exact"/>
        <w:rPr>
          <w:rFonts w:ascii="Courier New" w:cs="Courier New" w:eastAsia="Courier New" w:hAnsi="Courier New"/>
          <w:sz w:val="15"/>
          <w:szCs w:val="15"/>
          <w:color w:val="auto"/>
        </w:rPr>
      </w:pPr>
    </w:p>
    <w:p>
      <w:pPr>
        <w:ind w:left="1580" w:right="3259" w:hanging="796"/>
        <w:spacing w:after="0" w:line="237" w:lineRule="auto"/>
        <w:tabs>
          <w:tab w:leader="none" w:pos="15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Health care reform, including reductions or changes in reimbursement available for prescription medications or other reforms.</w:t>
      </w:r>
    </w:p>
    <w:p>
      <w:pPr>
        <w:spacing w:after="0" w:line="169" w:lineRule="exact"/>
        <w:rPr>
          <w:rFonts w:ascii="Courier New" w:cs="Courier New" w:eastAsia="Courier New" w:hAnsi="Courier New"/>
          <w:sz w:val="15"/>
          <w:szCs w:val="15"/>
          <w:color w:val="auto"/>
        </w:rPr>
      </w:pPr>
    </w:p>
    <w:p>
      <w:pPr>
        <w:ind w:left="1580" w:hanging="796"/>
        <w:spacing w:after="0"/>
        <w:tabs>
          <w:tab w:leader="none" w:pos="15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attract and retain key personnel.</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As Regeneron's scientific efforts lead to potentially promising new directions, both outside of recombinant protein therapies (into orally active, small molecule pharmaceuticals) and outside of treatments for neurological and neurodegenerative conditions (into, for example, potential programs in obesity, diabetes, cancer, inflammation, muscle disease, bone growth disorders, and angiogenesis), the Company will require additional internal expertise or external collaborations in areas in which it currently does not have substantial resources and personnel.</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Company is evaluating its operations to determine the impact, if any, that Year 2000 problems may have. The Year 2000 problem results from computer programs and devices that do not differentiate between the year 1900 and the year 2000 because they were written using two digits rather than four to define the applicable year. Accordingly, computer systems that have time-sensitive calculations may not properly recognize the year 2000. Like many corporations, Regeneron does not have any previous experience with an issue like the Year 2000 problem.</w:t>
      </w:r>
    </w:p>
    <w:p>
      <w:pPr>
        <w:spacing w:after="0" w:line="178"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The Year 2000 problem could affect Regeneron's ability to conduct its normal operations that are date sensitive or depend on computers or equipment that contain embedded chips that are date sensitive. It could adversely affect Regeneron's ability to maintain or operate its facilities in a safe and effective manner or undertake other activities necessary and customary to carrying out its business. In addition, the Year 2000 problem could have material adverse effects on the operations or financial condition of the Company's licensees, licensors, collaborators, suppliers, vendors, and others, and, in particular, utility companies that provide energy to the Company's facilities and equipment, which could, in turn, have a material direct or indirect effect on Regeneron.</w:t>
      </w:r>
    </w:p>
    <w:p>
      <w:pPr>
        <w:spacing w:after="0" w:line="181"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The Company's Year 2000 review includes its computer systems and software, embedded systems in non-computer equipment, and vendor operations. The Company has appointed a Year 2000 task force with representatives from each segment of the Company and has retained independent consultants to facilitate its review. To date, the</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27" w:right="1440" w:bottom="1440" w:gutter="0" w:footer="0" w:header="0"/>
        </w:sectPr>
      </w:pPr>
    </w:p>
    <w:bookmarkStart w:id="29" w:name="page30"/>
    <w:bookmarkEnd w:id="29"/>
    <w:p>
      <w:pPr>
        <w:ind w:right="3179"/>
        <w:spacing w:after="0" w:line="238" w:lineRule="auto"/>
        <w:rPr>
          <w:sz w:val="20"/>
          <w:szCs w:val="20"/>
          <w:color w:val="auto"/>
        </w:rPr>
      </w:pPr>
      <w:r>
        <w:rPr>
          <w:rFonts w:ascii="Courier New" w:cs="Courier New" w:eastAsia="Courier New" w:hAnsi="Courier New"/>
          <w:sz w:val="15"/>
          <w:szCs w:val="15"/>
          <w:color w:val="auto"/>
        </w:rPr>
        <w:t>Company has not learned of any material Year 2000 issue with respect to its computer systems and software. The Company is in the process of analyzing its laboratory and manufacturing equipment with embedded systems. This analysis is incomplete. The Company is also in the process of surveying its vendors who support critical business processes to determine their level of readiness with respect to Year 2000 issues. While many vendors indicate that they believe they are or will be Year 2000 compliant, many others state that they can not represent that they have achieved compliance or guarantee the efficacy of their remediation efforts. Many vendors state that the problem is too complex for such a claim to have legitimacy; that efforts to solve Year 2000 problems are merely in the nature of risk mitigation; and that success in such efforts will be measured, with hindsight, by the minimization of the level of technical failures and by the prompt identification and repair of failures.</w:t>
      </w:r>
    </w:p>
    <w:p>
      <w:pPr>
        <w:spacing w:after="0" w:line="183"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The analysis of the Company's embedded systems and the information collected regarding vendor readiness will be used to formulate a contingency plan with respect to reasonably identifiable items of equipment and supply of materials that are critical to the Company's operations. These analyses and plans are not complete. No assurance can be made that the Company's computer systems and software, embedded systems in non-computer equipment, and vendors will be Year 2000 compliant in a timely or cost-effective manner. The failure of certain third parties (such as Procter &amp; Gamble, Amgen, Sumitomo Pharmaceuticals, Merck, and utility and communications companies) to operate in a normal and customary manner and to maintain Year 2000 compliance (or to assure that their vendors and suppliers are Year 2000 compliant) could have a material adverse effect on the operations and financial condition of Regeneron. It is possible that Regeneron could be adversely affected by the failure of other third parties to be year 2000 compliant even though these third parties do not directly conduct business with Regeneron. It is not possible to guarantee that the Company's Year 2000 contingency plan will succeed or be timely.</w:t>
      </w:r>
    </w:p>
    <w:p>
      <w:pPr>
        <w:spacing w:after="0" w:line="164"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The costs of addressing Year 2000 issues have been minor to date, but may increase if substantial consultant or personnel resources are required or if operationally-critical equipment must be remediated or replaced, or if back-up energy sources must be secured (assuming such personnel, equipment, or back-up energy sources are reasonably available). Because the Company's analysis of Year 2000 issues is incomplete, at this time management cannot estimate the total expected costs of the Year 2000 problem. The risks that Year 2000 problems could present to the Company include, without limitation, disruption, delay, or cessation of manufacturing or other operations, including operations that are subject to regulatory compliance, and loss of research and manufacturing material and experiments that are difficult, costly, or impossible to replace. In each case, the correction of the problem could result in substantial expense and disruption or delay of the Company's operations.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the Future Adoption of Recently Issued Accounting Standard</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In June 1998, the Financial Accounting Standards Board issued Statement of Financial Accounting Standards No. 133, Accounting for Derivative and Hedging Activities ("SFAS No. 133"). SFAS No. 133 establishes a comprehensive standard on accounting for derivatives and hedging activities and is effective for periods beginning after June 15, 1999. Management does not believe that the future adoption of SFAS No. 133 will have a material effect on the Company's financial position and results of operations.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27"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75" w:lineRule="exact"/>
        <w:rPr>
          <w:sz w:val="20"/>
          <w:szCs w:val="20"/>
          <w:color w:val="auto"/>
        </w:rPr>
      </w:pPr>
    </w:p>
    <w:p>
      <w:pPr>
        <w:ind w:right="3699" w:firstLine="793"/>
        <w:spacing w:after="0" w:line="235" w:lineRule="auto"/>
        <w:rPr>
          <w:sz w:val="20"/>
          <w:szCs w:val="20"/>
          <w:color w:val="auto"/>
        </w:rPr>
      </w:pPr>
      <w:r>
        <w:rPr>
          <w:rFonts w:ascii="Courier New" w:cs="Courier New" w:eastAsia="Courier New" w:hAnsi="Courier New"/>
          <w:sz w:val="15"/>
          <w:szCs w:val="15"/>
          <w:color w:val="auto"/>
        </w:rPr>
        <w:t>The financial statements of the Company required by this item are included herein as exhibits and listed under Item 14.(A)1.</w:t>
      </w:r>
    </w:p>
    <w:p>
      <w:pPr>
        <w:spacing w:after="0" w:line="176" w:lineRule="exact"/>
        <w:rPr>
          <w:sz w:val="20"/>
          <w:szCs w:val="20"/>
          <w:color w:val="auto"/>
        </w:rPr>
      </w:pPr>
    </w:p>
    <w:p>
      <w:pPr>
        <w:ind w:left="700" w:right="3979" w:hanging="704"/>
        <w:spacing w:after="0" w:line="235"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Not applicable.</w:t>
      </w:r>
    </w:p>
    <w:p>
      <w:pPr>
        <w:spacing w:after="0" w:line="200" w:lineRule="exact"/>
        <w:rPr>
          <w:sz w:val="20"/>
          <w:szCs w:val="20"/>
          <w:color w:val="auto"/>
        </w:rPr>
      </w:pPr>
    </w:p>
    <w:p>
      <w:pPr>
        <w:spacing w:after="0" w:line="30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Officers of the Registrant</w:t>
      </w:r>
    </w:p>
    <w:p>
      <w:pPr>
        <w:spacing w:after="0" w:line="175"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Information with respect to directors and executive officers is incorporated by reference to the material captioned "Election of Directors," "Executive Officers of the Registrant," and "Compliance with Section 16(b) of the Securities Exchange Act of 1934" in the Regeneron Pharmaceuticals, Inc. Proxy Statement to be filed in connection with solicitation of proxies for its Annual Meeting of Shareholders to be held on June 11, 1999.</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The information called for by this item is incorporated by reference to the material captioned "Executive Compensation" and "Election of Directors" in the Regeneron Pharmaceuticals, Inc. Proxy Statement to be filed in connection with solicitation of proxies for its Annual Meeting of Shareholders to be held on June 11,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The information called for by this item is incorporated by reference to the material captioned "Security Ownership of Management" and "Security Ownership of Certain Beneficial Owners" in the Regeneron Pharmaceuticals, Inc. Proxy Statement to be filed in connection with solicitation of proxies for its Annual Meeting of Shareholders to be held on June 11,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The information called for by this item is incorporated by reference to the material captioned "Certain Relationships and Related Transactions" in the Regeneron Pharmaceuticals, Inc. Proxy Statement to be filed in connection with solicitation of proxies for its Annual Meeting of Shareholders to be held on June 11, 1999.</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22"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PART IV</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69" w:lineRule="exact"/>
        <w:rPr>
          <w:sz w:val="20"/>
          <w:szCs w:val="20"/>
          <w:color w:val="auto"/>
        </w:rPr>
      </w:pPr>
    </w:p>
    <w:p>
      <w:pPr>
        <w:spacing w:after="0"/>
        <w:tabs>
          <w:tab w:leader="none" w:pos="760" w:val="left"/>
          <w:tab w:leader="none" w:pos="156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4"/>
          <w:szCs w:val="14"/>
          <w:color w:val="auto"/>
        </w:rPr>
        <w:t>Financial Statements</w:t>
      </w:r>
    </w:p>
    <w:p>
      <w:pPr>
        <w:spacing w:after="0" w:line="175" w:lineRule="exact"/>
        <w:rPr>
          <w:sz w:val="20"/>
          <w:szCs w:val="20"/>
          <w:color w:val="auto"/>
        </w:rPr>
      </w:pPr>
    </w:p>
    <w:p>
      <w:pPr>
        <w:ind w:left="780" w:right="3439"/>
        <w:spacing w:after="0" w:line="235" w:lineRule="auto"/>
        <w:rPr>
          <w:sz w:val="20"/>
          <w:szCs w:val="20"/>
          <w:color w:val="auto"/>
        </w:rPr>
      </w:pPr>
      <w:r>
        <w:rPr>
          <w:rFonts w:ascii="Courier New" w:cs="Courier New" w:eastAsia="Courier New" w:hAnsi="Courier New"/>
          <w:sz w:val="15"/>
          <w:szCs w:val="15"/>
          <w:color w:val="auto"/>
        </w:rPr>
        <w:t>The financials statements filed as part of this report are listed on the Index to Financial Statements on page F-1.</w:t>
      </w:r>
    </w:p>
    <w:p>
      <w:pPr>
        <w:spacing w:after="0" w:line="170" w:lineRule="exact"/>
        <w:rPr>
          <w:sz w:val="20"/>
          <w:szCs w:val="20"/>
          <w:color w:val="auto"/>
        </w:rPr>
      </w:pPr>
    </w:p>
    <w:p>
      <w:pPr>
        <w:ind w:left="1580" w:hanging="796"/>
        <w:spacing w:after="0"/>
        <w:tabs>
          <w:tab w:leader="none" w:pos="15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w:t>
      </w:r>
    </w:p>
    <w:p>
      <w:pPr>
        <w:spacing w:after="0" w:line="175" w:lineRule="exact"/>
        <w:rPr>
          <w:sz w:val="20"/>
          <w:szCs w:val="20"/>
          <w:color w:val="auto"/>
        </w:rPr>
      </w:pPr>
    </w:p>
    <w:p>
      <w:pPr>
        <w:ind w:left="780" w:right="3259"/>
        <w:spacing w:after="0" w:line="237" w:lineRule="auto"/>
        <w:rPr>
          <w:sz w:val="20"/>
          <w:szCs w:val="20"/>
          <w:color w:val="auto"/>
        </w:rPr>
      </w:pPr>
      <w:r>
        <w:rPr>
          <w:rFonts w:ascii="Courier New" w:cs="Courier New" w:eastAsia="Courier New" w:hAnsi="Courier New"/>
          <w:sz w:val="15"/>
          <w:szCs w:val="15"/>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171" w:lineRule="exact"/>
        <w:rPr>
          <w:sz w:val="20"/>
          <w:szCs w:val="20"/>
          <w:color w:val="auto"/>
        </w:rPr>
      </w:pPr>
    </w:p>
    <w:p>
      <w:pPr>
        <w:ind w:left="1580" w:hanging="796"/>
        <w:spacing w:after="0"/>
        <w:tabs>
          <w:tab w:leader="none" w:pos="15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7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00" w:type="dxa"/>
            <w:vAlign w:val="bottom"/>
          </w:tcPr>
          <w:p>
            <w:pPr>
              <w:spacing w:after="0"/>
              <w:rPr>
                <w:sz w:val="14"/>
                <w:szCs w:val="14"/>
                <w:color w:val="auto"/>
              </w:rPr>
            </w:pP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31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Description</w:t>
            </w:r>
          </w:p>
        </w:tc>
        <w:tc>
          <w:tcPr>
            <w:tcW w:w="520" w:type="dxa"/>
            <w:vAlign w:val="bottom"/>
          </w:tcPr>
          <w:p>
            <w:pPr>
              <w:spacing w:after="0"/>
              <w:rPr>
                <w:sz w:val="14"/>
                <w:szCs w:val="14"/>
                <w:color w:val="auto"/>
              </w:rPr>
            </w:pPr>
          </w:p>
        </w:tc>
        <w:tc>
          <w:tcPr>
            <w:tcW w:w="2700" w:type="dxa"/>
            <w:vAlign w:val="bottom"/>
          </w:tcPr>
          <w:p>
            <w:pPr>
              <w:spacing w:after="0"/>
              <w:rPr>
                <w:sz w:val="14"/>
                <w:szCs w:val="14"/>
                <w:color w:val="auto"/>
              </w:rPr>
            </w:pPr>
          </w:p>
        </w:tc>
      </w:tr>
      <w:tr>
        <w:trPr>
          <w:trHeight w:val="170"/>
        </w:trPr>
        <w:tc>
          <w:tcPr>
            <w:tcW w:w="7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w:t>
            </w:r>
          </w:p>
        </w:tc>
        <w:tc>
          <w:tcPr>
            <w:tcW w:w="31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2700" w:type="dxa"/>
            <w:vAlign w:val="bottom"/>
          </w:tcPr>
          <w:p>
            <w:pPr>
              <w:spacing w:after="0"/>
              <w:rPr>
                <w:sz w:val="14"/>
                <w:szCs w:val="14"/>
                <w:color w:val="auto"/>
              </w:rPr>
            </w:pPr>
          </w:p>
        </w:tc>
      </w:tr>
      <w:tr>
        <w:trPr>
          <w:trHeight w:val="339"/>
        </w:trPr>
        <w:tc>
          <w:tcPr>
            <w:tcW w:w="7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3.1</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(a)</w:t>
            </w:r>
          </w:p>
        </w:tc>
        <w:tc>
          <w:tcPr>
            <w:tcW w:w="2440" w:type="dxa"/>
            <w:vAlign w:val="bottom"/>
          </w:tcPr>
          <w:p>
            <w:pPr>
              <w:ind w:left="180"/>
              <w:spacing w:after="0"/>
              <w:rPr>
                <w:sz w:val="20"/>
                <w:szCs w:val="20"/>
                <w:color w:val="auto"/>
              </w:rPr>
            </w:pPr>
            <w:r>
              <w:rPr>
                <w:rFonts w:ascii="Courier New" w:cs="Courier New" w:eastAsia="Courier New" w:hAnsi="Courier New"/>
                <w:sz w:val="15"/>
                <w:szCs w:val="15"/>
                <w:color w:val="auto"/>
                <w:w w:val="99"/>
              </w:rPr>
              <w:t>- Restated Certificate of</w:t>
            </w:r>
          </w:p>
        </w:tc>
        <w:tc>
          <w:tcPr>
            <w:tcW w:w="3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Incorporation of Regeneron</w:t>
            </w:r>
          </w:p>
        </w:tc>
      </w:tr>
      <w:tr>
        <w:trPr>
          <w:trHeight w:val="170"/>
        </w:trPr>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Pharmaceuticals, Inc. as of June 21, 1991.</w:t>
            </w:r>
          </w:p>
        </w:tc>
      </w:tr>
      <w:tr>
        <w:trPr>
          <w:trHeight w:val="339"/>
        </w:trPr>
        <w:tc>
          <w:tcPr>
            <w:tcW w:w="7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3.2</w:t>
            </w:r>
          </w:p>
        </w:tc>
        <w:tc>
          <w:tcPr>
            <w:tcW w:w="700" w:type="dxa"/>
            <w:vAlign w:val="bottom"/>
          </w:tcPr>
          <w:p>
            <w:pPr>
              <w:spacing w:after="0"/>
              <w:rPr>
                <w:sz w:val="24"/>
                <w:szCs w:val="24"/>
                <w:color w:val="auto"/>
              </w:rPr>
            </w:pPr>
          </w:p>
        </w:tc>
        <w:tc>
          <w:tcPr>
            <w:tcW w:w="2440" w:type="dxa"/>
            <w:vAlign w:val="bottom"/>
          </w:tcPr>
          <w:p>
            <w:pPr>
              <w:ind w:left="180"/>
              <w:spacing w:after="0"/>
              <w:rPr>
                <w:sz w:val="20"/>
                <w:szCs w:val="20"/>
                <w:color w:val="auto"/>
              </w:rPr>
            </w:pPr>
            <w:r>
              <w:rPr>
                <w:rFonts w:ascii="Courier New" w:cs="Courier New" w:eastAsia="Courier New" w:hAnsi="Courier New"/>
                <w:sz w:val="15"/>
                <w:szCs w:val="15"/>
                <w:color w:val="auto"/>
                <w:w w:val="99"/>
              </w:rPr>
              <w:t>- By-Laws of the Company,</w:t>
            </w:r>
          </w:p>
        </w:tc>
        <w:tc>
          <w:tcPr>
            <w:tcW w:w="3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currently in effect (amended as of</w:t>
            </w:r>
          </w:p>
        </w:tc>
      </w:tr>
      <w:tr>
        <w:trPr>
          <w:trHeight w:val="170"/>
        </w:trPr>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40" w:type="dxa"/>
            <w:vAlign w:val="bottom"/>
          </w:tcPr>
          <w:p>
            <w:pPr>
              <w:ind w:left="360"/>
              <w:spacing w:after="0"/>
              <w:rPr>
                <w:sz w:val="20"/>
                <w:szCs w:val="20"/>
                <w:color w:val="auto"/>
              </w:rPr>
            </w:pPr>
            <w:r>
              <w:rPr>
                <w:rFonts w:ascii="Courier New" w:cs="Courier New" w:eastAsia="Courier New" w:hAnsi="Courier New"/>
                <w:sz w:val="15"/>
                <w:szCs w:val="15"/>
                <w:color w:val="auto"/>
              </w:rPr>
              <w:t>January 22, 1995).</w:t>
            </w:r>
          </w:p>
        </w:tc>
        <w:tc>
          <w:tcPr>
            <w:tcW w:w="520" w:type="dxa"/>
            <w:vAlign w:val="bottom"/>
          </w:tcPr>
          <w:p>
            <w:pPr>
              <w:spacing w:after="0"/>
              <w:rPr>
                <w:sz w:val="14"/>
                <w:szCs w:val="14"/>
                <w:color w:val="auto"/>
              </w:rPr>
            </w:pPr>
          </w:p>
        </w:tc>
        <w:tc>
          <w:tcPr>
            <w:tcW w:w="2700" w:type="dxa"/>
            <w:vAlign w:val="bottom"/>
          </w:tcPr>
          <w:p>
            <w:pPr>
              <w:spacing w:after="0"/>
              <w:rPr>
                <w:sz w:val="14"/>
                <w:szCs w:val="14"/>
                <w:color w:val="auto"/>
              </w:rPr>
            </w:pPr>
          </w:p>
        </w:tc>
      </w:tr>
      <w:tr>
        <w:trPr>
          <w:trHeight w:val="339"/>
        </w:trPr>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10.1</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(b)</w:t>
            </w:r>
          </w:p>
        </w:tc>
        <w:tc>
          <w:tcPr>
            <w:tcW w:w="56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 Certificate of Amendment of the Restated Certificate of</w:t>
            </w:r>
          </w:p>
        </w:tc>
      </w:tr>
      <w:tr>
        <w:trPr>
          <w:trHeight w:val="170"/>
        </w:trPr>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Incorporation of Regeneron Pharmaceuticals, Inc., as of</w:t>
            </w:r>
          </w:p>
        </w:tc>
      </w:tr>
      <w:tr>
        <w:trPr>
          <w:trHeight w:val="170"/>
        </w:trPr>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40" w:type="dxa"/>
            <w:vAlign w:val="bottom"/>
          </w:tcPr>
          <w:p>
            <w:pPr>
              <w:ind w:left="360"/>
              <w:spacing w:after="0"/>
              <w:rPr>
                <w:sz w:val="20"/>
                <w:szCs w:val="20"/>
                <w:color w:val="auto"/>
              </w:rPr>
            </w:pPr>
            <w:r>
              <w:rPr>
                <w:rFonts w:ascii="Courier New" w:cs="Courier New" w:eastAsia="Courier New" w:hAnsi="Courier New"/>
                <w:sz w:val="15"/>
                <w:szCs w:val="15"/>
                <w:color w:val="auto"/>
              </w:rPr>
              <w:t>October 18, 1996.</w:t>
            </w:r>
          </w:p>
        </w:tc>
        <w:tc>
          <w:tcPr>
            <w:tcW w:w="520" w:type="dxa"/>
            <w:vAlign w:val="bottom"/>
          </w:tcPr>
          <w:p>
            <w:pPr>
              <w:spacing w:after="0"/>
              <w:rPr>
                <w:sz w:val="14"/>
                <w:szCs w:val="14"/>
                <w:color w:val="auto"/>
              </w:rPr>
            </w:pPr>
          </w:p>
        </w:tc>
        <w:tc>
          <w:tcPr>
            <w:tcW w:w="2700" w:type="dxa"/>
            <w:vAlign w:val="bottom"/>
          </w:tcPr>
          <w:p>
            <w:pPr>
              <w:spacing w:after="0"/>
              <w:rPr>
                <w:sz w:val="14"/>
                <w:szCs w:val="14"/>
                <w:color w:val="auto"/>
              </w:rPr>
            </w:pPr>
          </w:p>
        </w:tc>
      </w:tr>
      <w:tr>
        <w:trPr>
          <w:trHeight w:val="339"/>
        </w:trPr>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10.2</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(c)*</w:t>
            </w:r>
          </w:p>
        </w:tc>
        <w:tc>
          <w:tcPr>
            <w:tcW w:w="56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7"/>
              </w:rPr>
              <w:t>- Technology Development Agreement dated as of March 20, 1989,</w:t>
            </w:r>
          </w:p>
        </w:tc>
      </w:tr>
      <w:tr>
        <w:trPr>
          <w:trHeight w:val="170"/>
        </w:trPr>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40" w:type="dxa"/>
            <w:vAlign w:val="bottom"/>
          </w:tcPr>
          <w:p>
            <w:pPr>
              <w:ind w:left="360"/>
              <w:spacing w:after="0"/>
              <w:rPr>
                <w:sz w:val="20"/>
                <w:szCs w:val="20"/>
                <w:color w:val="auto"/>
              </w:rPr>
            </w:pPr>
            <w:r>
              <w:rPr>
                <w:rFonts w:ascii="Courier New" w:cs="Courier New" w:eastAsia="Courier New" w:hAnsi="Courier New"/>
                <w:sz w:val="15"/>
                <w:szCs w:val="15"/>
                <w:color w:val="auto"/>
                <w:w w:val="99"/>
              </w:rPr>
              <w:t>between the Company and</w:t>
            </w:r>
          </w:p>
        </w:tc>
        <w:tc>
          <w:tcPr>
            <w:tcW w:w="3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Sumitomo Chemical Company, Limited.</w:t>
            </w:r>
          </w:p>
        </w:tc>
      </w:tr>
      <w:tr>
        <w:trPr>
          <w:trHeight w:val="339"/>
        </w:trPr>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10.3</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(c)*</w:t>
            </w:r>
          </w:p>
        </w:tc>
        <w:tc>
          <w:tcPr>
            <w:tcW w:w="29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 Neurotrophic Factor Agreement</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w:t>
            </w:r>
          </w:p>
        </w:tc>
      </w:tr>
      <w:tr>
        <w:trPr>
          <w:trHeight w:val="170"/>
        </w:trPr>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of May 10, 1988, between the Company and Max Planck</w:t>
            </w:r>
          </w:p>
        </w:tc>
      </w:tr>
      <w:tr>
        <w:trPr>
          <w:trHeight w:val="170"/>
        </w:trPr>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Institute fur Psychiatrie.</w:t>
            </w:r>
          </w:p>
        </w:tc>
        <w:tc>
          <w:tcPr>
            <w:tcW w:w="2700" w:type="dxa"/>
            <w:vAlign w:val="bottom"/>
          </w:tcPr>
          <w:p>
            <w:pPr>
              <w:spacing w:after="0"/>
              <w:rPr>
                <w:sz w:val="14"/>
                <w:szCs w:val="14"/>
                <w:color w:val="auto"/>
              </w:rPr>
            </w:pPr>
          </w:p>
        </w:tc>
      </w:tr>
      <w:tr>
        <w:trPr>
          <w:trHeight w:val="339"/>
        </w:trPr>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10.4</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(c)*</w:t>
            </w:r>
          </w:p>
        </w:tc>
        <w:tc>
          <w:tcPr>
            <w:tcW w:w="2440" w:type="dxa"/>
            <w:vAlign w:val="bottom"/>
          </w:tcPr>
          <w:p>
            <w:pPr>
              <w:ind w:left="180"/>
              <w:spacing w:after="0"/>
              <w:rPr>
                <w:sz w:val="20"/>
                <w:szCs w:val="20"/>
                <w:color w:val="auto"/>
              </w:rPr>
            </w:pPr>
            <w:r>
              <w:rPr>
                <w:rFonts w:ascii="Courier New" w:cs="Courier New" w:eastAsia="Courier New" w:hAnsi="Courier New"/>
                <w:sz w:val="15"/>
                <w:szCs w:val="15"/>
                <w:color w:val="auto"/>
                <w:w w:val="99"/>
              </w:rPr>
              <w:t>- Collaboration Agreement</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dated</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August 31, 1990, between the</w:t>
            </w:r>
          </w:p>
        </w:tc>
      </w:tr>
      <w:tr>
        <w:trPr>
          <w:trHeight w:val="170"/>
        </w:trPr>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40" w:type="dxa"/>
            <w:vAlign w:val="bottom"/>
          </w:tcPr>
          <w:p>
            <w:pPr>
              <w:ind w:left="360"/>
              <w:spacing w:after="0"/>
              <w:rPr>
                <w:sz w:val="20"/>
                <w:szCs w:val="20"/>
                <w:color w:val="auto"/>
              </w:rPr>
            </w:pPr>
            <w:r>
              <w:rPr>
                <w:rFonts w:ascii="Courier New" w:cs="Courier New" w:eastAsia="Courier New" w:hAnsi="Courier New"/>
                <w:sz w:val="15"/>
                <w:szCs w:val="15"/>
                <w:color w:val="auto"/>
              </w:rPr>
              <w:t>Company and Amgen Inc.</w:t>
            </w:r>
          </w:p>
        </w:tc>
        <w:tc>
          <w:tcPr>
            <w:tcW w:w="520" w:type="dxa"/>
            <w:vAlign w:val="bottom"/>
          </w:tcPr>
          <w:p>
            <w:pPr>
              <w:spacing w:after="0"/>
              <w:rPr>
                <w:sz w:val="14"/>
                <w:szCs w:val="14"/>
                <w:color w:val="auto"/>
              </w:rPr>
            </w:pPr>
          </w:p>
        </w:tc>
        <w:tc>
          <w:tcPr>
            <w:tcW w:w="2700" w:type="dxa"/>
            <w:vAlign w:val="bottom"/>
          </w:tcPr>
          <w:p>
            <w:pPr>
              <w:spacing w:after="0"/>
              <w:rPr>
                <w:sz w:val="14"/>
                <w:szCs w:val="14"/>
                <w:color w:val="auto"/>
              </w:rPr>
            </w:pPr>
          </w:p>
        </w:tc>
      </w:tr>
      <w:tr>
        <w:trPr>
          <w:trHeight w:val="339"/>
        </w:trPr>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10.5</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(c)</w:t>
            </w:r>
          </w:p>
        </w:tc>
        <w:tc>
          <w:tcPr>
            <w:tcW w:w="56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- 1990 Amended and Restated Long-Term Incentive Plan.</w:t>
            </w:r>
          </w:p>
        </w:tc>
      </w:tr>
      <w:tr>
        <w:trPr>
          <w:trHeight w:val="339"/>
        </w:trPr>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10.6</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c>
          <w:tcPr>
            <w:tcW w:w="2440" w:type="dxa"/>
            <w:vAlign w:val="bottom"/>
          </w:tcPr>
          <w:p>
            <w:pPr>
              <w:ind w:left="180"/>
              <w:spacing w:after="0"/>
              <w:rPr>
                <w:sz w:val="20"/>
                <w:szCs w:val="20"/>
                <w:color w:val="auto"/>
              </w:rPr>
            </w:pPr>
            <w:r>
              <w:rPr>
                <w:rFonts w:ascii="Courier New" w:cs="Courier New" w:eastAsia="Courier New" w:hAnsi="Courier New"/>
                <w:sz w:val="15"/>
                <w:szCs w:val="15"/>
                <w:color w:val="auto"/>
                <w:w w:val="99"/>
              </w:rPr>
              <w:t>- License Agreement dated</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as of</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October 7, 1992, between the</w:t>
            </w:r>
          </w:p>
        </w:tc>
      </w:tr>
      <w:tr>
        <w:trPr>
          <w:trHeight w:val="170"/>
        </w:trPr>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40" w:type="dxa"/>
            <w:vAlign w:val="bottom"/>
          </w:tcPr>
          <w:p>
            <w:pPr>
              <w:ind w:left="360"/>
              <w:spacing w:after="0"/>
              <w:rPr>
                <w:sz w:val="20"/>
                <w:szCs w:val="20"/>
                <w:color w:val="auto"/>
              </w:rPr>
            </w:pPr>
            <w:r>
              <w:rPr>
                <w:rFonts w:ascii="Courier New" w:cs="Courier New" w:eastAsia="Courier New" w:hAnsi="Courier New"/>
                <w:sz w:val="15"/>
                <w:szCs w:val="15"/>
                <w:color w:val="auto"/>
                <w:w w:val="99"/>
              </w:rPr>
              <w:t>Company and The Regents</w:t>
            </w:r>
          </w:p>
        </w:tc>
        <w:tc>
          <w:tcPr>
            <w:tcW w:w="3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the University of California.</w:t>
            </w:r>
          </w:p>
        </w:tc>
      </w:tr>
      <w:tr>
        <w:trPr>
          <w:trHeight w:val="339"/>
        </w:trPr>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10.7</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(e)*</w:t>
            </w:r>
          </w:p>
        </w:tc>
        <w:tc>
          <w:tcPr>
            <w:tcW w:w="56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 Research and Development Agreement dated as of June 2,</w:t>
            </w:r>
          </w:p>
        </w:tc>
      </w:tr>
      <w:tr>
        <w:trPr>
          <w:trHeight w:val="170"/>
        </w:trPr>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1994, between the Company and</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Sumitomo Pharmaceuticals</w:t>
            </w:r>
          </w:p>
        </w:tc>
      </w:tr>
      <w:tr>
        <w:trPr>
          <w:trHeight w:val="170"/>
        </w:trPr>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40" w:type="dxa"/>
            <w:vAlign w:val="bottom"/>
          </w:tcPr>
          <w:p>
            <w:pPr>
              <w:ind w:left="360"/>
              <w:spacing w:after="0"/>
              <w:rPr>
                <w:sz w:val="20"/>
                <w:szCs w:val="20"/>
                <w:color w:val="auto"/>
              </w:rPr>
            </w:pPr>
            <w:r>
              <w:rPr>
                <w:rFonts w:ascii="Courier New" w:cs="Courier New" w:eastAsia="Courier New" w:hAnsi="Courier New"/>
                <w:sz w:val="15"/>
                <w:szCs w:val="15"/>
                <w:color w:val="auto"/>
              </w:rPr>
              <w:t>Company, Ltd.</w:t>
            </w:r>
          </w:p>
        </w:tc>
        <w:tc>
          <w:tcPr>
            <w:tcW w:w="520" w:type="dxa"/>
            <w:vAlign w:val="bottom"/>
          </w:tcPr>
          <w:p>
            <w:pPr>
              <w:spacing w:after="0"/>
              <w:rPr>
                <w:sz w:val="14"/>
                <w:szCs w:val="14"/>
                <w:color w:val="auto"/>
              </w:rPr>
            </w:pPr>
          </w:p>
        </w:tc>
        <w:tc>
          <w:tcPr>
            <w:tcW w:w="2700" w:type="dxa"/>
            <w:vAlign w:val="bottom"/>
          </w:tcPr>
          <w:p>
            <w:pPr>
              <w:spacing w:after="0"/>
              <w:rPr>
                <w:sz w:val="14"/>
                <w:szCs w:val="14"/>
                <w:color w:val="auto"/>
              </w:rPr>
            </w:pPr>
          </w:p>
        </w:tc>
      </w:tr>
      <w:tr>
        <w:trPr>
          <w:trHeight w:val="339"/>
        </w:trPr>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10.8</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c>
          <w:tcPr>
            <w:tcW w:w="2440" w:type="dxa"/>
            <w:vAlign w:val="bottom"/>
          </w:tcPr>
          <w:p>
            <w:pPr>
              <w:ind w:left="180"/>
              <w:spacing w:after="0"/>
              <w:rPr>
                <w:sz w:val="20"/>
                <w:szCs w:val="20"/>
                <w:color w:val="auto"/>
              </w:rPr>
            </w:pPr>
            <w:r>
              <w:rPr>
                <w:rFonts w:ascii="Courier New" w:cs="Courier New" w:eastAsia="Courier New" w:hAnsi="Courier New"/>
                <w:sz w:val="15"/>
                <w:szCs w:val="15"/>
                <w:color w:val="auto"/>
                <w:w w:val="99"/>
              </w:rPr>
              <w:t>- Manufacturing Agreement</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dated</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as of September 18, 1995,</w:t>
            </w:r>
          </w:p>
        </w:tc>
      </w:tr>
      <w:tr>
        <w:trPr>
          <w:trHeight w:val="170"/>
        </w:trPr>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40" w:type="dxa"/>
            <w:vAlign w:val="bottom"/>
          </w:tcPr>
          <w:p>
            <w:pPr>
              <w:ind w:left="360"/>
              <w:spacing w:after="0"/>
              <w:rPr>
                <w:sz w:val="20"/>
                <w:szCs w:val="20"/>
                <w:color w:val="auto"/>
              </w:rPr>
            </w:pPr>
            <w:r>
              <w:rPr>
                <w:rFonts w:ascii="Courier New" w:cs="Courier New" w:eastAsia="Courier New" w:hAnsi="Courier New"/>
                <w:sz w:val="15"/>
                <w:szCs w:val="15"/>
                <w:color w:val="auto"/>
                <w:w w:val="99"/>
              </w:rPr>
              <w:t>between the Company and</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Merck</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&amp; Co., Inc.</w:t>
            </w:r>
          </w:p>
        </w:tc>
      </w:tr>
      <w:tr>
        <w:trPr>
          <w:trHeight w:val="339"/>
        </w:trPr>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10.9</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(g)</w:t>
            </w:r>
          </w:p>
        </w:tc>
        <w:tc>
          <w:tcPr>
            <w:tcW w:w="2440" w:type="dxa"/>
            <w:vAlign w:val="bottom"/>
          </w:tcPr>
          <w:p>
            <w:pPr>
              <w:ind w:left="180"/>
              <w:spacing w:after="0"/>
              <w:rPr>
                <w:sz w:val="20"/>
                <w:szCs w:val="20"/>
                <w:color w:val="auto"/>
              </w:rPr>
            </w:pPr>
            <w:r>
              <w:rPr>
                <w:rFonts w:ascii="Courier New" w:cs="Courier New" w:eastAsia="Courier New" w:hAnsi="Courier New"/>
                <w:sz w:val="15"/>
                <w:szCs w:val="15"/>
                <w:color w:val="auto"/>
                <w:w w:val="99"/>
              </w:rPr>
              <w:t>- Warrant Agreement dated</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as of</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April 15, 1996, between the</w:t>
            </w:r>
          </w:p>
        </w:tc>
      </w:tr>
      <w:tr>
        <w:trPr>
          <w:trHeight w:val="170"/>
        </w:trPr>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40" w:type="dxa"/>
            <w:vAlign w:val="bottom"/>
          </w:tcPr>
          <w:p>
            <w:pPr>
              <w:ind w:left="360"/>
              <w:spacing w:after="0"/>
              <w:rPr>
                <w:sz w:val="20"/>
                <w:szCs w:val="20"/>
                <w:color w:val="auto"/>
              </w:rPr>
            </w:pPr>
            <w:r>
              <w:rPr>
                <w:rFonts w:ascii="Courier New" w:cs="Courier New" w:eastAsia="Courier New" w:hAnsi="Courier New"/>
                <w:sz w:val="15"/>
                <w:szCs w:val="15"/>
                <w:color w:val="auto"/>
              </w:rPr>
              <w:t>Company and Amgen Inc.</w:t>
            </w:r>
          </w:p>
        </w:tc>
        <w:tc>
          <w:tcPr>
            <w:tcW w:w="520" w:type="dxa"/>
            <w:vAlign w:val="bottom"/>
          </w:tcPr>
          <w:p>
            <w:pPr>
              <w:spacing w:after="0"/>
              <w:rPr>
                <w:sz w:val="14"/>
                <w:szCs w:val="14"/>
                <w:color w:val="auto"/>
              </w:rPr>
            </w:pPr>
          </w:p>
        </w:tc>
        <w:tc>
          <w:tcPr>
            <w:tcW w:w="2700" w:type="dxa"/>
            <w:vAlign w:val="bottom"/>
          </w:tcPr>
          <w:p>
            <w:pPr>
              <w:spacing w:after="0"/>
              <w:rPr>
                <w:sz w:val="14"/>
                <w:szCs w:val="14"/>
                <w:color w:val="auto"/>
              </w:rPr>
            </w:pPr>
          </w:p>
        </w:tc>
      </w:tr>
      <w:tr>
        <w:trPr>
          <w:trHeight w:val="339"/>
        </w:trPr>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10.10</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(g)</w:t>
            </w:r>
          </w:p>
        </w:tc>
        <w:tc>
          <w:tcPr>
            <w:tcW w:w="29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 Registration Rights Agreement</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dated as of April 15, 1996,</w:t>
            </w:r>
          </w:p>
        </w:tc>
      </w:tr>
      <w:tr>
        <w:trPr>
          <w:trHeight w:val="170"/>
        </w:trPr>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40" w:type="dxa"/>
            <w:vAlign w:val="bottom"/>
          </w:tcPr>
          <w:p>
            <w:pPr>
              <w:ind w:left="360"/>
              <w:spacing w:after="0"/>
              <w:rPr>
                <w:sz w:val="20"/>
                <w:szCs w:val="20"/>
                <w:color w:val="auto"/>
              </w:rPr>
            </w:pPr>
            <w:r>
              <w:rPr>
                <w:rFonts w:ascii="Courier New" w:cs="Courier New" w:eastAsia="Courier New" w:hAnsi="Courier New"/>
                <w:sz w:val="15"/>
                <w:szCs w:val="15"/>
                <w:color w:val="auto"/>
                <w:w w:val="99"/>
              </w:rPr>
              <w:t>between the Company and</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Amgen</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r>
      <w:tr>
        <w:trPr>
          <w:trHeight w:val="339"/>
        </w:trPr>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10.11</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(g)</w:t>
            </w:r>
          </w:p>
        </w:tc>
        <w:tc>
          <w:tcPr>
            <w:tcW w:w="2440" w:type="dxa"/>
            <w:vAlign w:val="bottom"/>
          </w:tcPr>
          <w:p>
            <w:pPr>
              <w:ind w:left="180"/>
              <w:spacing w:after="0"/>
              <w:rPr>
                <w:sz w:val="20"/>
                <w:szCs w:val="20"/>
                <w:color w:val="auto"/>
              </w:rPr>
            </w:pPr>
            <w:r>
              <w:rPr>
                <w:rFonts w:ascii="Courier New" w:cs="Courier New" w:eastAsia="Courier New" w:hAnsi="Courier New"/>
                <w:sz w:val="15"/>
                <w:szCs w:val="15"/>
                <w:color w:val="auto"/>
                <w:w w:val="99"/>
              </w:rPr>
              <w:t>- Warrant Agreement dated</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as of</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June 27, 1996, between the</w:t>
            </w:r>
          </w:p>
        </w:tc>
      </w:tr>
      <w:tr>
        <w:trPr>
          <w:trHeight w:val="170"/>
        </w:trPr>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Company and Medtronic, Inc.</w:t>
            </w:r>
          </w:p>
        </w:tc>
        <w:tc>
          <w:tcPr>
            <w:tcW w:w="2700" w:type="dxa"/>
            <w:vAlign w:val="bottom"/>
          </w:tcPr>
          <w:p>
            <w:pPr>
              <w:spacing w:after="0"/>
              <w:rPr>
                <w:sz w:val="14"/>
                <w:szCs w:val="14"/>
                <w:color w:val="auto"/>
              </w:rPr>
            </w:pPr>
          </w:p>
        </w:tc>
      </w:tr>
      <w:tr>
        <w:trPr>
          <w:trHeight w:val="339"/>
        </w:trPr>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10.12</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(g)</w:t>
            </w:r>
          </w:p>
        </w:tc>
        <w:tc>
          <w:tcPr>
            <w:tcW w:w="29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 Registration Rights Agreement</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dated as of June 27, 1996,</w:t>
            </w:r>
          </w:p>
        </w:tc>
      </w:tr>
      <w:tr>
        <w:trPr>
          <w:trHeight w:val="170"/>
        </w:trPr>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40" w:type="dxa"/>
            <w:vAlign w:val="bottom"/>
          </w:tcPr>
          <w:p>
            <w:pPr>
              <w:ind w:left="360"/>
              <w:spacing w:after="0"/>
              <w:rPr>
                <w:sz w:val="20"/>
                <w:szCs w:val="20"/>
                <w:color w:val="auto"/>
              </w:rPr>
            </w:pPr>
            <w:r>
              <w:rPr>
                <w:rFonts w:ascii="Courier New" w:cs="Courier New" w:eastAsia="Courier New" w:hAnsi="Courier New"/>
                <w:sz w:val="15"/>
                <w:szCs w:val="15"/>
                <w:color w:val="auto"/>
                <w:w w:val="99"/>
              </w:rPr>
              <w:t>between the Company and</w:t>
            </w:r>
          </w:p>
        </w:tc>
        <w:tc>
          <w:tcPr>
            <w:tcW w:w="3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Medtronic, Inc.</w:t>
            </w:r>
          </w:p>
        </w:tc>
      </w:tr>
      <w:tr>
        <w:trPr>
          <w:trHeight w:val="339"/>
        </w:trPr>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10.13</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(h)</w:t>
            </w:r>
          </w:p>
        </w:tc>
        <w:tc>
          <w:tcPr>
            <w:tcW w:w="2440" w:type="dxa"/>
            <w:vAlign w:val="bottom"/>
          </w:tcPr>
          <w:p>
            <w:pPr>
              <w:ind w:left="180"/>
              <w:spacing w:after="0"/>
              <w:rPr>
                <w:sz w:val="20"/>
                <w:szCs w:val="20"/>
                <w:color w:val="auto"/>
              </w:rPr>
            </w:pPr>
            <w:r>
              <w:rPr>
                <w:rFonts w:ascii="Courier New" w:cs="Courier New" w:eastAsia="Courier New" w:hAnsi="Courier New"/>
                <w:sz w:val="15"/>
                <w:szCs w:val="15"/>
                <w:color w:val="auto"/>
                <w:w w:val="99"/>
              </w:rPr>
              <w:t>- Rights Agreement, dated</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as of</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September 20, 1996, between</w:t>
            </w:r>
          </w:p>
        </w:tc>
      </w:tr>
      <w:tr>
        <w:trPr>
          <w:trHeight w:val="170"/>
        </w:trPr>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60" w:type="dxa"/>
            <w:vAlign w:val="bottom"/>
            <w:gridSpan w:val="3"/>
          </w:tcPr>
          <w:p>
            <w:pPr>
              <w:ind w:left="360"/>
              <w:spacing w:after="0"/>
              <w:rPr>
                <w:sz w:val="20"/>
                <w:szCs w:val="20"/>
                <w:color w:val="auto"/>
              </w:rPr>
            </w:pPr>
            <w:r>
              <w:rPr>
                <w:rFonts w:ascii="Courier New" w:cs="Courier New" w:eastAsia="Courier New" w:hAnsi="Courier New"/>
                <w:sz w:val="15"/>
                <w:szCs w:val="15"/>
                <w:color w:val="auto"/>
                <w:w w:val="99"/>
              </w:rPr>
              <w:t>Regeneron Pharmaceuticals, Inc. and ChaseMellon Shareholder</w:t>
            </w:r>
          </w:p>
        </w:tc>
      </w:tr>
      <w:tr>
        <w:trPr>
          <w:trHeight w:val="170"/>
        </w:trPr>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Services L.L.C., as Rights Agent, including the form of</w:t>
            </w:r>
          </w:p>
        </w:tc>
      </w:tr>
      <w:tr>
        <w:trPr>
          <w:trHeight w:val="170"/>
        </w:trPr>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Rights Certificate as Exhibit</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B thereto.</w:t>
            </w:r>
          </w:p>
        </w:tc>
      </w:tr>
      <w:tr>
        <w:trPr>
          <w:trHeight w:val="339"/>
        </w:trPr>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10.14</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(i)</w:t>
            </w:r>
          </w:p>
        </w:tc>
        <w:tc>
          <w:tcPr>
            <w:tcW w:w="56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 Stock Purchase Agreement dated as of December 11, 1996,</w:t>
            </w:r>
          </w:p>
        </w:tc>
      </w:tr>
      <w:tr>
        <w:trPr>
          <w:trHeight w:val="170"/>
        </w:trPr>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40" w:type="dxa"/>
            <w:vAlign w:val="bottom"/>
          </w:tcPr>
          <w:p>
            <w:pPr>
              <w:ind w:left="360"/>
              <w:spacing w:after="0"/>
              <w:rPr>
                <w:sz w:val="20"/>
                <w:szCs w:val="20"/>
                <w:color w:val="auto"/>
              </w:rPr>
            </w:pPr>
            <w:r>
              <w:rPr>
                <w:rFonts w:ascii="Courier New" w:cs="Courier New" w:eastAsia="Courier New" w:hAnsi="Courier New"/>
                <w:sz w:val="15"/>
                <w:szCs w:val="15"/>
                <w:color w:val="auto"/>
                <w:w w:val="99"/>
              </w:rPr>
              <w:t>between the Company and</w:t>
            </w:r>
          </w:p>
        </w:tc>
        <w:tc>
          <w:tcPr>
            <w:tcW w:w="3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Procter &amp; Gamble Pharmaceuticals,</w:t>
            </w:r>
          </w:p>
        </w:tc>
      </w:tr>
      <w:tr>
        <w:trPr>
          <w:trHeight w:val="170"/>
        </w:trPr>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40" w:type="dxa"/>
            <w:vAlign w:val="bottom"/>
          </w:tcPr>
          <w:p>
            <w:pPr>
              <w:ind w:left="360"/>
              <w:spacing w:after="0"/>
              <w:rPr>
                <w:sz w:val="20"/>
                <w:szCs w:val="20"/>
                <w:color w:val="auto"/>
              </w:rPr>
            </w:pPr>
            <w:r>
              <w:rPr>
                <w:rFonts w:ascii="Courier New" w:cs="Courier New" w:eastAsia="Courier New" w:hAnsi="Courier New"/>
                <w:sz w:val="15"/>
                <w:szCs w:val="15"/>
                <w:color w:val="auto"/>
              </w:rPr>
              <w:t>Inc.</w:t>
            </w:r>
          </w:p>
        </w:tc>
        <w:tc>
          <w:tcPr>
            <w:tcW w:w="520" w:type="dxa"/>
            <w:vAlign w:val="bottom"/>
          </w:tcPr>
          <w:p>
            <w:pPr>
              <w:spacing w:after="0"/>
              <w:rPr>
                <w:sz w:val="14"/>
                <w:szCs w:val="14"/>
                <w:color w:val="auto"/>
              </w:rPr>
            </w:pPr>
          </w:p>
        </w:tc>
        <w:tc>
          <w:tcPr>
            <w:tcW w:w="2700" w:type="dxa"/>
            <w:vAlign w:val="bottom"/>
          </w:tcPr>
          <w:p>
            <w:pPr>
              <w:spacing w:after="0"/>
              <w:rPr>
                <w:sz w:val="14"/>
                <w:szCs w:val="14"/>
                <w:color w:val="auto"/>
              </w:rPr>
            </w:pPr>
          </w:p>
        </w:tc>
      </w:tr>
      <w:tr>
        <w:trPr>
          <w:trHeight w:val="339"/>
        </w:trPr>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10.15</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(i)</w:t>
            </w:r>
          </w:p>
        </w:tc>
        <w:tc>
          <w:tcPr>
            <w:tcW w:w="29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 Registration Rights Agreement</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w w:val="97"/>
              </w:rPr>
              <w:t>dated as of December 11, 1996,</w:t>
            </w:r>
          </w:p>
        </w:tc>
      </w:tr>
      <w:tr>
        <w:trPr>
          <w:trHeight w:val="170"/>
        </w:trPr>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40" w:type="dxa"/>
            <w:vAlign w:val="bottom"/>
          </w:tcPr>
          <w:p>
            <w:pPr>
              <w:ind w:left="360"/>
              <w:spacing w:after="0"/>
              <w:rPr>
                <w:sz w:val="20"/>
                <w:szCs w:val="20"/>
                <w:color w:val="auto"/>
              </w:rPr>
            </w:pPr>
            <w:r>
              <w:rPr>
                <w:rFonts w:ascii="Courier New" w:cs="Courier New" w:eastAsia="Courier New" w:hAnsi="Courier New"/>
                <w:sz w:val="15"/>
                <w:szCs w:val="15"/>
                <w:color w:val="auto"/>
                <w:w w:val="99"/>
              </w:rPr>
              <w:t>between the Company and</w:t>
            </w:r>
          </w:p>
        </w:tc>
        <w:tc>
          <w:tcPr>
            <w:tcW w:w="3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Procter &amp; Gamble Pharmaceuticals,</w:t>
            </w:r>
          </w:p>
        </w:tc>
      </w:tr>
      <w:tr>
        <w:trPr>
          <w:trHeight w:val="170"/>
        </w:trPr>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40" w:type="dxa"/>
            <w:vAlign w:val="bottom"/>
          </w:tcPr>
          <w:p>
            <w:pPr>
              <w:ind w:left="360"/>
              <w:spacing w:after="0"/>
              <w:rPr>
                <w:sz w:val="20"/>
                <w:szCs w:val="20"/>
                <w:color w:val="auto"/>
              </w:rPr>
            </w:pPr>
            <w:r>
              <w:rPr>
                <w:rFonts w:ascii="Courier New" w:cs="Courier New" w:eastAsia="Courier New" w:hAnsi="Courier New"/>
                <w:sz w:val="15"/>
                <w:szCs w:val="15"/>
                <w:color w:val="auto"/>
              </w:rPr>
              <w:t>Inc.</w:t>
            </w:r>
          </w:p>
        </w:tc>
        <w:tc>
          <w:tcPr>
            <w:tcW w:w="520" w:type="dxa"/>
            <w:vAlign w:val="bottom"/>
          </w:tcPr>
          <w:p>
            <w:pPr>
              <w:spacing w:after="0"/>
              <w:rPr>
                <w:sz w:val="14"/>
                <w:szCs w:val="14"/>
                <w:color w:val="auto"/>
              </w:rPr>
            </w:pPr>
          </w:p>
        </w:tc>
        <w:tc>
          <w:tcPr>
            <w:tcW w:w="2700" w:type="dxa"/>
            <w:vAlign w:val="bottom"/>
          </w:tcPr>
          <w:p>
            <w:pPr>
              <w:spacing w:after="0"/>
              <w:rPr>
                <w:sz w:val="14"/>
                <w:szCs w:val="14"/>
                <w:color w:val="auto"/>
              </w:rPr>
            </w:pPr>
          </w:p>
        </w:tc>
      </w:tr>
      <w:tr>
        <w:trPr>
          <w:trHeight w:val="339"/>
        </w:trPr>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10.16</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(j)</w:t>
            </w:r>
          </w:p>
        </w:tc>
        <w:tc>
          <w:tcPr>
            <w:tcW w:w="29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 Securities Purchase Agreement</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dated as of May 13, 1997,</w:t>
            </w:r>
          </w:p>
        </w:tc>
      </w:tr>
      <w:tr>
        <w:trPr>
          <w:trHeight w:val="170"/>
        </w:trPr>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40" w:type="dxa"/>
            <w:vAlign w:val="bottom"/>
          </w:tcPr>
          <w:p>
            <w:pPr>
              <w:ind w:left="360"/>
              <w:spacing w:after="0"/>
              <w:rPr>
                <w:sz w:val="20"/>
                <w:szCs w:val="20"/>
                <w:color w:val="auto"/>
              </w:rPr>
            </w:pPr>
            <w:r>
              <w:rPr>
                <w:rFonts w:ascii="Courier New" w:cs="Courier New" w:eastAsia="Courier New" w:hAnsi="Courier New"/>
                <w:sz w:val="15"/>
                <w:szCs w:val="15"/>
                <w:color w:val="auto"/>
                <w:w w:val="99"/>
              </w:rPr>
              <w:t>between the Company and</w:t>
            </w:r>
          </w:p>
        </w:tc>
        <w:tc>
          <w:tcPr>
            <w:tcW w:w="3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Procter &amp; Gamble Company.</w:t>
            </w:r>
          </w:p>
        </w:tc>
      </w:tr>
      <w:tr>
        <w:trPr>
          <w:trHeight w:val="339"/>
        </w:trPr>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10.17</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(j)</w:t>
            </w:r>
          </w:p>
        </w:tc>
        <w:tc>
          <w:tcPr>
            <w:tcW w:w="2440" w:type="dxa"/>
            <w:vAlign w:val="bottom"/>
          </w:tcPr>
          <w:p>
            <w:pPr>
              <w:ind w:left="180"/>
              <w:spacing w:after="0"/>
              <w:rPr>
                <w:sz w:val="20"/>
                <w:szCs w:val="20"/>
                <w:color w:val="auto"/>
              </w:rPr>
            </w:pPr>
            <w:r>
              <w:rPr>
                <w:rFonts w:ascii="Courier New" w:cs="Courier New" w:eastAsia="Courier New" w:hAnsi="Courier New"/>
                <w:sz w:val="15"/>
                <w:szCs w:val="15"/>
                <w:color w:val="auto"/>
                <w:w w:val="99"/>
              </w:rPr>
              <w:t>- Warrant Agreement dated</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as of</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May 13, 1997, between the</w:t>
            </w:r>
          </w:p>
        </w:tc>
      </w:tr>
      <w:tr>
        <w:trPr>
          <w:trHeight w:val="170"/>
        </w:trPr>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40" w:type="dxa"/>
            <w:vAlign w:val="bottom"/>
          </w:tcPr>
          <w:p>
            <w:pPr>
              <w:ind w:left="360"/>
              <w:spacing w:after="0"/>
              <w:rPr>
                <w:sz w:val="20"/>
                <w:szCs w:val="20"/>
                <w:color w:val="auto"/>
              </w:rPr>
            </w:pPr>
            <w:r>
              <w:rPr>
                <w:rFonts w:ascii="Courier New" w:cs="Courier New" w:eastAsia="Courier New" w:hAnsi="Courier New"/>
                <w:sz w:val="15"/>
                <w:szCs w:val="15"/>
                <w:color w:val="auto"/>
                <w:w w:val="99"/>
              </w:rPr>
              <w:t>Company and The Procter</w:t>
            </w:r>
          </w:p>
        </w:tc>
        <w:tc>
          <w:tcPr>
            <w:tcW w:w="3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&amp; Gamble Company.</w:t>
            </w:r>
          </w:p>
        </w:tc>
      </w:tr>
      <w:tr>
        <w:trPr>
          <w:trHeight w:val="339"/>
        </w:trPr>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10.18</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(j)</w:t>
            </w:r>
          </w:p>
        </w:tc>
        <w:tc>
          <w:tcPr>
            <w:tcW w:w="29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 Registration Rights Agreement</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dated as of May 13, 1997,</w:t>
            </w:r>
          </w:p>
        </w:tc>
      </w:tr>
      <w:tr>
        <w:trPr>
          <w:trHeight w:val="170"/>
        </w:trPr>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40" w:type="dxa"/>
            <w:vAlign w:val="bottom"/>
          </w:tcPr>
          <w:p>
            <w:pPr>
              <w:ind w:left="360"/>
              <w:spacing w:after="0"/>
              <w:rPr>
                <w:sz w:val="20"/>
                <w:szCs w:val="20"/>
                <w:color w:val="auto"/>
              </w:rPr>
            </w:pPr>
            <w:r>
              <w:rPr>
                <w:rFonts w:ascii="Courier New" w:cs="Courier New" w:eastAsia="Courier New" w:hAnsi="Courier New"/>
                <w:sz w:val="15"/>
                <w:szCs w:val="15"/>
                <w:color w:val="auto"/>
                <w:w w:val="99"/>
              </w:rPr>
              <w:t>between the Company and</w:t>
            </w:r>
          </w:p>
        </w:tc>
        <w:tc>
          <w:tcPr>
            <w:tcW w:w="3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Procter &amp; Gamble Company.</w:t>
            </w:r>
          </w:p>
        </w:tc>
      </w:tr>
      <w:tr>
        <w:trPr>
          <w:trHeight w:val="339"/>
        </w:trPr>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10.19</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(j)*</w:t>
            </w:r>
          </w:p>
        </w:tc>
        <w:tc>
          <w:tcPr>
            <w:tcW w:w="56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 Multi-Project Collaboration Agreement dated as of May 13,</w:t>
            </w:r>
          </w:p>
        </w:tc>
      </w:tr>
      <w:tr>
        <w:trPr>
          <w:trHeight w:val="170"/>
        </w:trPr>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1997, between the Company and</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The Procter &amp; Gamble Company.</w:t>
            </w:r>
          </w:p>
        </w:tc>
      </w:tr>
    </w:tbl>
    <w:p>
      <w:pPr>
        <w:sectPr>
          <w:pgSz w:w="11900" w:h="16838" w:orient="portrait"/>
          <w:cols w:equalWidth="0" w:num="1">
            <w:col w:w="10219"/>
          </w:cols>
          <w:pgMar w:left="240" w:top="622" w:right="1440" w:bottom="0" w:gutter="0" w:footer="0" w:header="0"/>
        </w:sectPr>
      </w:pPr>
    </w:p>
    <w:bookmarkStart w:id="32" w:name="page33"/>
    <w:bookmarkEnd w:id="32"/>
    <w:p>
      <w:pPr>
        <w:ind w:left="22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9019"/>
          </w:cols>
          <w:pgMar w:left="1440" w:top="305" w:right="1440" w:bottom="1440" w:gutter="0" w:footer="0" w:header="0"/>
        </w:sectPr>
      </w:pPr>
    </w:p>
    <w:bookmarkStart w:id="33" w:name="page34"/>
    <w:bookmarkEnd w:id="33"/>
    <w:tbl>
      <w:tblPr>
        <w:tblLayout w:type="fixed"/>
        <w:tblInd w:w="610" w:type="dxa"/>
        <w:tblCellMar>
          <w:top w:w="0" w:type="dxa"/>
          <w:left w:w="0" w:type="dxa"/>
          <w:bottom w:w="0" w:type="dxa"/>
          <w:right w:w="0" w:type="dxa"/>
        </w:tblCellMar>
      </w:tblPr>
      <w:tr>
        <w:trPr>
          <w:trHeight w:val="170"/>
        </w:trPr>
        <w:tc>
          <w:tcPr>
            <w:tcW w:w="620" w:type="dxa"/>
            <w:vAlign w:val="bottom"/>
          </w:tcPr>
          <w:p>
            <w:pPr>
              <w:spacing w:after="0"/>
              <w:rPr>
                <w:sz w:val="20"/>
                <w:szCs w:val="20"/>
                <w:color w:val="auto"/>
              </w:rPr>
            </w:pPr>
            <w:r>
              <w:rPr>
                <w:rFonts w:ascii="Courier New" w:cs="Courier New" w:eastAsia="Courier New" w:hAnsi="Courier New"/>
                <w:sz w:val="15"/>
                <w:szCs w:val="15"/>
                <w:color w:val="auto"/>
              </w:rPr>
              <w:t>10.20</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(k)*</w:t>
            </w:r>
          </w:p>
        </w:tc>
        <w:tc>
          <w:tcPr>
            <w:tcW w:w="5660" w:type="dxa"/>
            <w:vAlign w:val="bottom"/>
          </w:tcPr>
          <w:p>
            <w:pPr>
              <w:ind w:left="180"/>
              <w:spacing w:after="0"/>
              <w:rPr>
                <w:sz w:val="20"/>
                <w:szCs w:val="20"/>
                <w:color w:val="auto"/>
              </w:rPr>
            </w:pPr>
            <w:r>
              <w:rPr>
                <w:rFonts w:ascii="Courier New" w:cs="Courier New" w:eastAsia="Courier New" w:hAnsi="Courier New"/>
                <w:sz w:val="15"/>
                <w:szCs w:val="15"/>
                <w:color w:val="auto"/>
                <w:w w:val="97"/>
              </w:rPr>
              <w:t>- First Amendment to the Multi-Project Collaboration Agreement</w:t>
            </w:r>
          </w:p>
        </w:tc>
      </w:tr>
      <w:tr>
        <w:trPr>
          <w:trHeight w:val="170"/>
        </w:trPr>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60" w:type="dxa"/>
            <w:vAlign w:val="bottom"/>
          </w:tcPr>
          <w:p>
            <w:pPr>
              <w:ind w:left="360"/>
              <w:spacing w:after="0"/>
              <w:rPr>
                <w:sz w:val="20"/>
                <w:szCs w:val="20"/>
                <w:color w:val="auto"/>
              </w:rPr>
            </w:pPr>
            <w:r>
              <w:rPr>
                <w:rFonts w:ascii="Courier New" w:cs="Courier New" w:eastAsia="Courier New" w:hAnsi="Courier New"/>
                <w:sz w:val="15"/>
                <w:szCs w:val="15"/>
                <w:color w:val="auto"/>
              </w:rPr>
              <w:t>dated May 13, 1997, between the Company and The Procter &amp;</w:t>
            </w:r>
          </w:p>
        </w:tc>
      </w:tr>
      <w:tr>
        <w:trPr>
          <w:trHeight w:val="170"/>
        </w:trPr>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60" w:type="dxa"/>
            <w:vAlign w:val="bottom"/>
          </w:tcPr>
          <w:p>
            <w:pPr>
              <w:ind w:left="360"/>
              <w:spacing w:after="0"/>
              <w:rPr>
                <w:sz w:val="20"/>
                <w:szCs w:val="20"/>
                <w:color w:val="auto"/>
              </w:rPr>
            </w:pPr>
            <w:r>
              <w:rPr>
                <w:rFonts w:ascii="Courier New" w:cs="Courier New" w:eastAsia="Courier New" w:hAnsi="Courier New"/>
                <w:sz w:val="15"/>
                <w:szCs w:val="15"/>
                <w:color w:val="auto"/>
              </w:rPr>
              <w:t>Gamble Company, dated as of September 29, 1997.</w:t>
            </w:r>
          </w:p>
        </w:tc>
      </w:tr>
      <w:tr>
        <w:trPr>
          <w:trHeight w:val="339"/>
        </w:trPr>
        <w:tc>
          <w:tcPr>
            <w:tcW w:w="620" w:type="dxa"/>
            <w:vAlign w:val="bottom"/>
          </w:tcPr>
          <w:p>
            <w:pPr>
              <w:spacing w:after="0"/>
              <w:rPr>
                <w:sz w:val="20"/>
                <w:szCs w:val="20"/>
                <w:color w:val="auto"/>
              </w:rPr>
            </w:pPr>
            <w:r>
              <w:rPr>
                <w:rFonts w:ascii="Courier New" w:cs="Courier New" w:eastAsia="Courier New" w:hAnsi="Courier New"/>
                <w:sz w:val="15"/>
                <w:szCs w:val="15"/>
                <w:color w:val="auto"/>
              </w:rPr>
              <w:t>10.21</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(l)</w:t>
            </w:r>
          </w:p>
        </w:tc>
        <w:tc>
          <w:tcPr>
            <w:tcW w:w="5660" w:type="dxa"/>
            <w:vAlign w:val="bottom"/>
          </w:tcPr>
          <w:p>
            <w:pPr>
              <w:ind w:left="180"/>
              <w:spacing w:after="0"/>
              <w:rPr>
                <w:sz w:val="20"/>
                <w:szCs w:val="20"/>
                <w:color w:val="auto"/>
              </w:rPr>
            </w:pPr>
            <w:r>
              <w:rPr>
                <w:rFonts w:ascii="Courier New" w:cs="Courier New" w:eastAsia="Courier New" w:hAnsi="Courier New"/>
                <w:sz w:val="15"/>
                <w:szCs w:val="15"/>
                <w:color w:val="auto"/>
                <w:w w:val="99"/>
              </w:rPr>
              <w:t>- Employment Agreement, dated as of February 12, 1998 between</w:t>
            </w:r>
          </w:p>
        </w:tc>
      </w:tr>
      <w:tr>
        <w:trPr>
          <w:trHeight w:val="170"/>
        </w:trPr>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60" w:type="dxa"/>
            <w:vAlign w:val="bottom"/>
          </w:tcPr>
          <w:p>
            <w:pPr>
              <w:ind w:left="360"/>
              <w:spacing w:after="0"/>
              <w:rPr>
                <w:sz w:val="20"/>
                <w:szCs w:val="20"/>
                <w:color w:val="auto"/>
              </w:rPr>
            </w:pPr>
            <w:r>
              <w:rPr>
                <w:rFonts w:ascii="Courier New" w:cs="Courier New" w:eastAsia="Courier New" w:hAnsi="Courier New"/>
                <w:sz w:val="15"/>
                <w:szCs w:val="15"/>
                <w:color w:val="auto"/>
              </w:rPr>
              <w:t>the Company and Leonard S. Schleifer, M.D., Ph.D.</w:t>
            </w:r>
          </w:p>
        </w:tc>
      </w:tr>
      <w:tr>
        <w:trPr>
          <w:trHeight w:val="339"/>
        </w:trPr>
        <w:tc>
          <w:tcPr>
            <w:tcW w:w="62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700" w:type="dxa"/>
            <w:vAlign w:val="bottom"/>
          </w:tcPr>
          <w:p>
            <w:pPr>
              <w:spacing w:after="0"/>
              <w:rPr>
                <w:sz w:val="24"/>
                <w:szCs w:val="24"/>
                <w:color w:val="auto"/>
              </w:rPr>
            </w:pPr>
          </w:p>
        </w:tc>
        <w:tc>
          <w:tcPr>
            <w:tcW w:w="5660" w:type="dxa"/>
            <w:vAlign w:val="bottom"/>
          </w:tcPr>
          <w:p>
            <w:pPr>
              <w:ind w:left="180"/>
              <w:spacing w:after="0"/>
              <w:rPr>
                <w:sz w:val="20"/>
                <w:szCs w:val="20"/>
                <w:color w:val="auto"/>
              </w:rPr>
            </w:pPr>
            <w:r>
              <w:rPr>
                <w:rFonts w:ascii="Courier New" w:cs="Courier New" w:eastAsia="Courier New" w:hAnsi="Courier New"/>
                <w:sz w:val="15"/>
                <w:szCs w:val="15"/>
                <w:color w:val="auto"/>
              </w:rPr>
              <w:t>- Consent of PricewaterhouseCoopers LLP</w:t>
            </w:r>
          </w:p>
        </w:tc>
      </w:tr>
      <w:tr>
        <w:trPr>
          <w:trHeight w:val="339"/>
        </w:trPr>
        <w:tc>
          <w:tcPr>
            <w:tcW w:w="62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700" w:type="dxa"/>
            <w:vAlign w:val="bottom"/>
          </w:tcPr>
          <w:p>
            <w:pPr>
              <w:spacing w:after="0"/>
              <w:rPr>
                <w:sz w:val="24"/>
                <w:szCs w:val="24"/>
                <w:color w:val="auto"/>
              </w:rPr>
            </w:pPr>
          </w:p>
        </w:tc>
        <w:tc>
          <w:tcPr>
            <w:tcW w:w="5660" w:type="dxa"/>
            <w:vAlign w:val="bottom"/>
          </w:tcPr>
          <w:p>
            <w:pPr>
              <w:ind w:left="180"/>
              <w:spacing w:after="0"/>
              <w:rPr>
                <w:sz w:val="20"/>
                <w:szCs w:val="20"/>
                <w:color w:val="auto"/>
              </w:rPr>
            </w:pPr>
            <w:r>
              <w:rPr>
                <w:rFonts w:ascii="Courier New" w:cs="Courier New" w:eastAsia="Courier New" w:hAnsi="Courier New"/>
                <w:sz w:val="15"/>
                <w:szCs w:val="15"/>
                <w:color w:val="auto"/>
              </w:rPr>
              <w:t>- Consent of Ernst &amp; Young LLP, Independent Auditors.</w:t>
            </w:r>
          </w:p>
        </w:tc>
      </w:tr>
      <w:tr>
        <w:trPr>
          <w:trHeight w:val="339"/>
        </w:trPr>
        <w:tc>
          <w:tcPr>
            <w:tcW w:w="62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700" w:type="dxa"/>
            <w:vAlign w:val="bottom"/>
          </w:tcPr>
          <w:p>
            <w:pPr>
              <w:spacing w:after="0"/>
              <w:rPr>
                <w:sz w:val="24"/>
                <w:szCs w:val="24"/>
                <w:color w:val="auto"/>
              </w:rPr>
            </w:pPr>
          </w:p>
        </w:tc>
        <w:tc>
          <w:tcPr>
            <w:tcW w:w="5660" w:type="dxa"/>
            <w:vAlign w:val="bottom"/>
          </w:tcPr>
          <w:p>
            <w:pPr>
              <w:ind w:left="180"/>
              <w:spacing w:after="0"/>
              <w:rPr>
                <w:sz w:val="20"/>
                <w:szCs w:val="20"/>
                <w:color w:val="auto"/>
              </w:rPr>
            </w:pPr>
            <w:r>
              <w:rPr>
                <w:rFonts w:ascii="Courier New" w:cs="Courier New" w:eastAsia="Courier New" w:hAnsi="Courier New"/>
                <w:sz w:val="15"/>
                <w:szCs w:val="15"/>
                <w:color w:val="auto"/>
              </w:rPr>
              <w:t>- Power of Attorney.</w:t>
            </w:r>
          </w:p>
        </w:tc>
      </w:tr>
      <w:tr>
        <w:trPr>
          <w:trHeight w:val="339"/>
        </w:trPr>
        <w:tc>
          <w:tcPr>
            <w:tcW w:w="620" w:type="dxa"/>
            <w:vAlign w:val="bottom"/>
          </w:tcPr>
          <w:p>
            <w:pPr>
              <w:spacing w:after="0"/>
              <w:rPr>
                <w:sz w:val="20"/>
                <w:szCs w:val="20"/>
                <w:color w:val="auto"/>
              </w:rPr>
            </w:pPr>
            <w:r>
              <w:rPr>
                <w:rFonts w:ascii="Courier New" w:cs="Courier New" w:eastAsia="Courier New" w:hAnsi="Courier New"/>
                <w:sz w:val="15"/>
                <w:szCs w:val="15"/>
                <w:color w:val="auto"/>
              </w:rPr>
              <w:t>27</w:t>
            </w:r>
          </w:p>
        </w:tc>
        <w:tc>
          <w:tcPr>
            <w:tcW w:w="700" w:type="dxa"/>
            <w:vAlign w:val="bottom"/>
          </w:tcPr>
          <w:p>
            <w:pPr>
              <w:spacing w:after="0"/>
              <w:rPr>
                <w:sz w:val="24"/>
                <w:szCs w:val="24"/>
                <w:color w:val="auto"/>
              </w:rPr>
            </w:pPr>
          </w:p>
        </w:tc>
        <w:tc>
          <w:tcPr>
            <w:tcW w:w="5660" w:type="dxa"/>
            <w:vAlign w:val="bottom"/>
          </w:tcPr>
          <w:p>
            <w:pPr>
              <w:ind w:left="180"/>
              <w:spacing w:after="0"/>
              <w:rPr>
                <w:sz w:val="20"/>
                <w:szCs w:val="20"/>
                <w:color w:val="auto"/>
              </w:rPr>
            </w:pPr>
            <w:r>
              <w:rPr>
                <w:rFonts w:ascii="Courier New" w:cs="Courier New" w:eastAsia="Courier New" w:hAnsi="Courier New"/>
                <w:sz w:val="15"/>
                <w:szCs w:val="15"/>
                <w:color w:val="auto"/>
                <w:w w:val="99"/>
              </w:rPr>
              <w:t>- Financial Statement Data for year ending December 31, 1998.</w:t>
            </w:r>
          </w:p>
        </w:tc>
      </w:tr>
    </w:tbl>
    <w:p>
      <w:pPr>
        <w:spacing w:after="0" w:line="339"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Description:</w:t>
      </w:r>
    </w:p>
    <w:p>
      <w:pPr>
        <w:ind w:left="53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2470" w:right="2639" w:hanging="795"/>
        <w:spacing w:after="0" w:line="237" w:lineRule="auto"/>
        <w:tabs>
          <w:tab w:leader="none" w:pos="247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10-Q for Regeneron Pharmaceuticals, Inc. for the quarter ended June 30, 1991, filed August 13, 1991.</w:t>
      </w:r>
    </w:p>
    <w:p>
      <w:pPr>
        <w:spacing w:after="0" w:line="174" w:lineRule="exact"/>
        <w:rPr>
          <w:rFonts w:ascii="Courier New" w:cs="Courier New" w:eastAsia="Courier New" w:hAnsi="Courier New"/>
          <w:sz w:val="15"/>
          <w:szCs w:val="15"/>
          <w:color w:val="auto"/>
        </w:rPr>
      </w:pPr>
    </w:p>
    <w:p>
      <w:pPr>
        <w:ind w:left="2470" w:right="2639" w:hanging="795"/>
        <w:spacing w:after="0" w:line="237" w:lineRule="auto"/>
        <w:tabs>
          <w:tab w:leader="none" w:pos="247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10-Q for Regeneron Pharmaceuticals, Inc. for the quarter ended September 30, 1996, filed November 5, 1996.</w:t>
      </w:r>
    </w:p>
    <w:p>
      <w:pPr>
        <w:spacing w:after="0" w:line="174" w:lineRule="exact"/>
        <w:rPr>
          <w:rFonts w:ascii="Courier New" w:cs="Courier New" w:eastAsia="Courier New" w:hAnsi="Courier New"/>
          <w:sz w:val="15"/>
          <w:szCs w:val="15"/>
          <w:color w:val="auto"/>
        </w:rPr>
      </w:pPr>
    </w:p>
    <w:p>
      <w:pPr>
        <w:ind w:left="2470" w:right="2739" w:hanging="795"/>
        <w:spacing w:after="0" w:line="265" w:lineRule="auto"/>
        <w:tabs>
          <w:tab w:leader="none" w:pos="247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Company's registration statement on Form S-1 (file number 33-39043).</w:t>
      </w:r>
    </w:p>
    <w:p>
      <w:pPr>
        <w:spacing w:after="0" w:line="158" w:lineRule="exact"/>
        <w:rPr>
          <w:rFonts w:ascii="Courier New" w:cs="Courier New" w:eastAsia="Courier New" w:hAnsi="Courier New"/>
          <w:sz w:val="14"/>
          <w:szCs w:val="14"/>
          <w:color w:val="auto"/>
        </w:rPr>
      </w:pPr>
    </w:p>
    <w:p>
      <w:pPr>
        <w:ind w:left="2470" w:right="2479" w:hanging="795"/>
        <w:spacing w:after="0" w:line="237" w:lineRule="auto"/>
        <w:tabs>
          <w:tab w:leader="none" w:pos="247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10-K for Regeneron Pharmaceuticals, Inc. for the fiscal year ended December 31, 1992, filed March 30, 1993.</w:t>
      </w:r>
    </w:p>
    <w:p>
      <w:pPr>
        <w:spacing w:after="0" w:line="174" w:lineRule="exact"/>
        <w:rPr>
          <w:rFonts w:ascii="Courier New" w:cs="Courier New" w:eastAsia="Courier New" w:hAnsi="Courier New"/>
          <w:sz w:val="15"/>
          <w:szCs w:val="15"/>
          <w:color w:val="auto"/>
        </w:rPr>
      </w:pPr>
    </w:p>
    <w:p>
      <w:pPr>
        <w:ind w:left="2470" w:right="2639" w:hanging="795"/>
        <w:spacing w:after="0" w:line="237" w:lineRule="auto"/>
        <w:tabs>
          <w:tab w:leader="none" w:pos="247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10-Q for Regeneron Pharmaceuticals, Inc. for the quarter ended September 30, 1994, filed November 14, 1994.</w:t>
      </w:r>
    </w:p>
    <w:p>
      <w:pPr>
        <w:spacing w:after="0" w:line="174" w:lineRule="exact"/>
        <w:rPr>
          <w:rFonts w:ascii="Courier New" w:cs="Courier New" w:eastAsia="Courier New" w:hAnsi="Courier New"/>
          <w:sz w:val="15"/>
          <w:szCs w:val="15"/>
          <w:color w:val="auto"/>
        </w:rPr>
      </w:pPr>
    </w:p>
    <w:p>
      <w:pPr>
        <w:ind w:left="2470" w:right="2639" w:hanging="795"/>
        <w:spacing w:after="0" w:line="237" w:lineRule="auto"/>
        <w:tabs>
          <w:tab w:leader="none" w:pos="247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10-Q for Regeneron Pharmaceuticals, Inc. for the quarter ended September 30, 1995, filed November 14, 1995.</w:t>
      </w:r>
    </w:p>
    <w:p>
      <w:pPr>
        <w:spacing w:after="0" w:line="174" w:lineRule="exact"/>
        <w:rPr>
          <w:rFonts w:ascii="Courier New" w:cs="Courier New" w:eastAsia="Courier New" w:hAnsi="Courier New"/>
          <w:sz w:val="15"/>
          <w:szCs w:val="15"/>
          <w:color w:val="auto"/>
        </w:rPr>
      </w:pPr>
    </w:p>
    <w:p>
      <w:pPr>
        <w:jc w:val="both"/>
        <w:ind w:left="2470" w:right="2639" w:hanging="795"/>
        <w:spacing w:after="0" w:line="237" w:lineRule="auto"/>
        <w:tabs>
          <w:tab w:leader="none" w:pos="247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10-Q for Regeneron Pharmaceuticals, Inc. for the quarter ended June 30, 1996, filed August 14, 1996.</w:t>
      </w:r>
    </w:p>
    <w:p>
      <w:pPr>
        <w:spacing w:after="0" w:line="174" w:lineRule="exact"/>
        <w:rPr>
          <w:rFonts w:ascii="Courier New" w:cs="Courier New" w:eastAsia="Courier New" w:hAnsi="Courier New"/>
          <w:sz w:val="15"/>
          <w:szCs w:val="15"/>
          <w:color w:val="auto"/>
        </w:rPr>
      </w:pPr>
    </w:p>
    <w:p>
      <w:pPr>
        <w:ind w:left="2470" w:right="2739" w:hanging="795"/>
        <w:spacing w:after="0" w:line="235" w:lineRule="auto"/>
        <w:tabs>
          <w:tab w:leader="none" w:pos="247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8-A for Regeneron Pharmaceuticals, Inc. filed October 15, 1996.</w:t>
      </w:r>
    </w:p>
    <w:p>
      <w:pPr>
        <w:spacing w:after="0" w:line="175" w:lineRule="exact"/>
        <w:rPr>
          <w:rFonts w:ascii="Courier New" w:cs="Courier New" w:eastAsia="Courier New" w:hAnsi="Courier New"/>
          <w:sz w:val="15"/>
          <w:szCs w:val="15"/>
          <w:color w:val="auto"/>
        </w:rPr>
      </w:pPr>
    </w:p>
    <w:p>
      <w:pPr>
        <w:ind w:left="2470" w:right="2479" w:hanging="795"/>
        <w:spacing w:after="0" w:line="237" w:lineRule="auto"/>
        <w:tabs>
          <w:tab w:leader="none" w:pos="247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10-K for Regeneron Pharmaceuticals, Inc. for the fiscal year ended December 31, 1996, filed March 26, 1997.</w:t>
      </w:r>
    </w:p>
    <w:p>
      <w:pPr>
        <w:spacing w:after="0" w:line="174" w:lineRule="exact"/>
        <w:rPr>
          <w:rFonts w:ascii="Courier New" w:cs="Courier New" w:eastAsia="Courier New" w:hAnsi="Courier New"/>
          <w:sz w:val="15"/>
          <w:szCs w:val="15"/>
          <w:color w:val="auto"/>
        </w:rPr>
      </w:pPr>
    </w:p>
    <w:p>
      <w:pPr>
        <w:jc w:val="both"/>
        <w:ind w:left="2470" w:right="2639" w:hanging="795"/>
        <w:spacing w:after="0" w:line="237" w:lineRule="auto"/>
        <w:tabs>
          <w:tab w:leader="none" w:pos="247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10-Q for Regeneron Pharmaceuticals, Inc. for the quarter ended June 30, 1997, filed August 12, 1997.</w:t>
      </w:r>
    </w:p>
    <w:p>
      <w:pPr>
        <w:spacing w:after="0" w:line="174" w:lineRule="exact"/>
        <w:rPr>
          <w:rFonts w:ascii="Courier New" w:cs="Courier New" w:eastAsia="Courier New" w:hAnsi="Courier New"/>
          <w:sz w:val="15"/>
          <w:szCs w:val="15"/>
          <w:color w:val="auto"/>
        </w:rPr>
      </w:pPr>
    </w:p>
    <w:p>
      <w:pPr>
        <w:ind w:left="2470" w:right="2639" w:hanging="795"/>
        <w:spacing w:after="0" w:line="237" w:lineRule="auto"/>
        <w:tabs>
          <w:tab w:leader="none" w:pos="247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10-Q for Regeneron Pharmaceuticals, Inc. for the quarter ended September 30, 1997, filed November 10, 1997.</w:t>
      </w:r>
    </w:p>
    <w:p>
      <w:pPr>
        <w:spacing w:after="0" w:line="174" w:lineRule="exact"/>
        <w:rPr>
          <w:rFonts w:ascii="Courier New" w:cs="Courier New" w:eastAsia="Courier New" w:hAnsi="Courier New"/>
          <w:sz w:val="15"/>
          <w:szCs w:val="15"/>
          <w:color w:val="auto"/>
        </w:rPr>
      </w:pPr>
    </w:p>
    <w:p>
      <w:pPr>
        <w:ind w:left="2470" w:right="2479" w:hanging="795"/>
        <w:spacing w:after="0" w:line="237" w:lineRule="auto"/>
        <w:tabs>
          <w:tab w:leader="none" w:pos="247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10-K for Regeneron Pharmaceuticals, Inc. for the fiscal year ended December 31, 1997, filed March 26, 1998.</w:t>
      </w:r>
    </w:p>
    <w:p>
      <w:pPr>
        <w:spacing w:after="0" w:line="175" w:lineRule="exact"/>
        <w:rPr>
          <w:sz w:val="20"/>
          <w:szCs w:val="20"/>
          <w:color w:val="auto"/>
        </w:rPr>
      </w:pPr>
    </w:p>
    <w:p>
      <w:pPr>
        <w:ind w:left="2470" w:right="2919" w:hanging="795"/>
        <w:spacing w:after="0" w:line="237" w:lineRule="auto"/>
        <w:tabs>
          <w:tab w:leader="none" w:pos="247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this document have been omitted and filed separately with the Commission pursuant to requests for confidential treatment pursuant to Rule 24b-2.</w:t>
      </w:r>
    </w:p>
    <w:p>
      <w:pPr>
        <w:spacing w:after="0" w:line="344" w:lineRule="exact"/>
        <w:rPr>
          <w:rFonts w:ascii="Courier New" w:cs="Courier New" w:eastAsia="Courier New" w:hAnsi="Courier New"/>
          <w:sz w:val="15"/>
          <w:szCs w:val="15"/>
          <w:color w:val="auto"/>
        </w:rPr>
      </w:pPr>
    </w:p>
    <w:p>
      <w:pPr>
        <w:ind w:left="790" w:right="7759" w:hanging="790"/>
        <w:spacing w:after="0" w:line="471" w:lineRule="auto"/>
        <w:tabs>
          <w:tab w:leader="none" w:pos="79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 None.</w:t>
      </w:r>
    </w:p>
    <w:p>
      <w:pPr>
        <w:spacing w:after="0" w:line="175"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29"/>
          </w:cols>
          <w:pgMar w:left="230" w:top="1130" w:right="1440" w:bottom="1440" w:gutter="0" w:footer="0" w:header="0"/>
        </w:sectPr>
      </w:pPr>
    </w:p>
    <w:bookmarkStart w:id="34" w:name="page35"/>
    <w:bookmarkEnd w:id="34"/>
    <w:p>
      <w:pPr>
        <w:ind w:left="3170"/>
        <w:spacing w:after="0"/>
        <w:rPr>
          <w:sz w:val="20"/>
          <w:szCs w:val="20"/>
          <w:color w:val="auto"/>
        </w:rPr>
      </w:pPr>
      <w:r>
        <w:rPr>
          <w:rFonts w:ascii="Courier New" w:cs="Courier New" w:eastAsia="Courier New" w:hAnsi="Courier New"/>
          <w:sz w:val="15"/>
          <w:szCs w:val="15"/>
          <w:color w:val="auto"/>
        </w:rPr>
        <w:t>SIGNATURE</w:t>
      </w:r>
    </w:p>
    <w:p>
      <w:pPr>
        <w:spacing w:after="0" w:line="175" w:lineRule="exact"/>
        <w:rPr>
          <w:sz w:val="20"/>
          <w:szCs w:val="20"/>
          <w:color w:val="auto"/>
        </w:rPr>
      </w:pPr>
    </w:p>
    <w:p>
      <w:pPr>
        <w:ind w:left="10" w:right="3259" w:firstLine="793"/>
        <w:spacing w:after="0" w:line="237"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caused this report to be signed on its behalf by the undersigned, thereunto duly authorized.</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Dated:</w:t>
        <w:tab/>
        <w:t>New York, New York</w:t>
      </w:r>
    </w:p>
    <w:p>
      <w:pPr>
        <w:ind w:left="790"/>
        <w:spacing w:after="0"/>
        <w:rPr>
          <w:sz w:val="20"/>
          <w:szCs w:val="20"/>
          <w:color w:val="auto"/>
        </w:rPr>
      </w:pPr>
      <w:r>
        <w:rPr>
          <w:rFonts w:ascii="Courier New" w:cs="Courier New" w:eastAsia="Courier New" w:hAnsi="Courier New"/>
          <w:sz w:val="15"/>
          <w:szCs w:val="15"/>
          <w:color w:val="auto"/>
        </w:rPr>
        <w:t>March 25, 1999</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REGENERON PHARMACEUTICALS, INC.</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By: /s/ LEONARD S. SCHLEIFER</w:t>
      </w:r>
    </w:p>
    <w:p>
      <w:pPr>
        <w:spacing w:after="0" w:line="5" w:lineRule="exact"/>
        <w:rPr>
          <w:sz w:val="20"/>
          <w:szCs w:val="20"/>
          <w:color w:val="auto"/>
        </w:rPr>
      </w:pPr>
    </w:p>
    <w:p>
      <w:pPr>
        <w:ind w:left="379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790"/>
        <w:spacing w:after="0"/>
        <w:rPr>
          <w:sz w:val="20"/>
          <w:szCs w:val="20"/>
          <w:color w:val="auto"/>
        </w:rPr>
      </w:pPr>
      <w:r>
        <w:rPr>
          <w:rFonts w:ascii="Courier New" w:cs="Courier New" w:eastAsia="Courier New" w:hAnsi="Courier New"/>
          <w:sz w:val="15"/>
          <w:szCs w:val="15"/>
          <w:color w:val="auto"/>
        </w:rPr>
        <w:t>Leonard S. Schleifer, M.D., Ph.D.</w:t>
      </w:r>
    </w:p>
    <w:p>
      <w:pPr>
        <w:spacing w:after="0" w:line="5" w:lineRule="exact"/>
        <w:rPr>
          <w:sz w:val="20"/>
          <w:szCs w:val="20"/>
          <w:color w:val="auto"/>
        </w:rPr>
      </w:pPr>
    </w:p>
    <w:p>
      <w:pPr>
        <w:ind w:left="379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80" w:lineRule="exact"/>
        <w:rPr>
          <w:sz w:val="20"/>
          <w:szCs w:val="20"/>
          <w:color w:val="auto"/>
        </w:rPr>
      </w:pPr>
    </w:p>
    <w:p>
      <w:pPr>
        <w:ind w:left="10" w:right="3439" w:firstLine="793"/>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 on behalf of the registrant in the capacities indicated on March 25, 1999.</w:t>
      </w:r>
    </w:p>
    <w:p>
      <w:pPr>
        <w:sectPr>
          <w:pgSz w:w="11900" w:h="16838" w:orient="portrait"/>
          <w:cols w:equalWidth="0" w:num="1">
            <w:col w:w="10229"/>
          </w:cols>
          <w:pgMar w:left="230" w:top="622" w:right="1440" w:bottom="1440" w:gutter="0" w:footer="0" w:header="0"/>
        </w:sectPr>
      </w:pPr>
    </w:p>
    <w:p>
      <w:pPr>
        <w:spacing w:after="0" w:line="175" w:lineRule="exact"/>
        <w:rPr>
          <w:sz w:val="20"/>
          <w:szCs w:val="20"/>
          <w:color w:val="auto"/>
        </w:rPr>
      </w:pPr>
    </w:p>
    <w:p>
      <w:pPr>
        <w:ind w:left="1230"/>
        <w:spacing w:after="0"/>
        <w:rPr>
          <w:sz w:val="20"/>
          <w:szCs w:val="20"/>
          <w:color w:val="auto"/>
        </w:rPr>
      </w:pPr>
      <w:r>
        <w:rPr>
          <w:rFonts w:ascii="Courier New" w:cs="Courier New" w:eastAsia="Courier New" w:hAnsi="Courier New"/>
          <w:sz w:val="14"/>
          <w:szCs w:val="14"/>
          <w:color w:val="auto"/>
        </w:rPr>
        <w:t>Signature</w:t>
      </w:r>
    </w:p>
    <w:p>
      <w:pPr>
        <w:spacing w:after="0" w:line="11" w:lineRule="exact"/>
        <w:rPr>
          <w:sz w:val="20"/>
          <w:szCs w:val="20"/>
          <w:color w:val="auto"/>
        </w:rPr>
      </w:pPr>
    </w:p>
    <w:p>
      <w:pPr>
        <w:ind w:left="123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650" w:space="720"/>
            <w:col w:w="4859"/>
          </w:cols>
          <w:pgMar w:left="230" w:top="622" w:right="1440" w:bottom="1440" w:gutter="0" w:footer="0" w:header="0"/>
          <w:type w:val="continuous"/>
        </w:sectPr>
      </w:pPr>
    </w:p>
    <w:p>
      <w:pPr>
        <w:ind w:left="170"/>
        <w:spacing w:after="0"/>
        <w:rPr>
          <w:sz w:val="20"/>
          <w:szCs w:val="20"/>
          <w:color w:val="auto"/>
        </w:rPr>
      </w:pPr>
      <w:r>
        <w:rPr>
          <w:rFonts w:ascii="Courier New" w:cs="Courier New" w:eastAsia="Courier New" w:hAnsi="Courier New"/>
          <w:sz w:val="15"/>
          <w:szCs w:val="15"/>
          <w:color w:val="auto"/>
        </w:rPr>
        <w:t>/s/ LEONARD S. SCHLEIFER,</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Leonard S. Schleifer, M.D., Ph.D.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President, Chief Executive</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Officer, and Director</w:t>
      </w:r>
    </w:p>
    <w:p>
      <w:pPr>
        <w:spacing w:after="0" w:line="338" w:lineRule="exact"/>
        <w:rPr>
          <w:sz w:val="20"/>
          <w:szCs w:val="20"/>
          <w:color w:val="auto"/>
        </w:rPr>
      </w:pPr>
    </w:p>
    <w:p>
      <w:pPr>
        <w:sectPr>
          <w:pgSz w:w="11900" w:h="16838" w:orient="portrait"/>
          <w:cols w:equalWidth="0" w:num="2">
            <w:col w:w="3530" w:space="620"/>
            <w:col w:w="6079"/>
          </w:cols>
          <w:pgMar w:left="230" w:top="622" w:right="1440" w:bottom="1440" w:gutter="0" w:footer="0" w:header="0"/>
          <w:type w:val="continuous"/>
        </w:sectPr>
      </w:pPr>
    </w:p>
    <w:p>
      <w:pPr>
        <w:ind w:left="170"/>
        <w:spacing w:after="0"/>
        <w:rPr>
          <w:sz w:val="20"/>
          <w:szCs w:val="20"/>
          <w:color w:val="auto"/>
        </w:rPr>
      </w:pPr>
      <w:r>
        <w:rPr>
          <w:rFonts w:ascii="Courier New" w:cs="Courier New" w:eastAsia="Courier New" w:hAnsi="Courier New"/>
          <w:sz w:val="15"/>
          <w:szCs w:val="15"/>
          <w:color w:val="auto"/>
        </w:rPr>
        <w:t>/s/ MURRAY A. GOLDBERG</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Murray A. Goldberg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Vice President, Finance &amp;</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Administration, Chief Financial</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and Treasurer (Principal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Officer)</w:t>
      </w:r>
    </w:p>
    <w:p>
      <w:pPr>
        <w:spacing w:after="0" w:line="169" w:lineRule="exact"/>
        <w:rPr>
          <w:sz w:val="20"/>
          <w:szCs w:val="20"/>
          <w:color w:val="auto"/>
        </w:rPr>
      </w:pPr>
    </w:p>
    <w:p>
      <w:pPr>
        <w:sectPr>
          <w:pgSz w:w="11900" w:h="16838" w:orient="portrait"/>
          <w:cols w:equalWidth="0" w:num="2">
            <w:col w:w="3530" w:space="620"/>
            <w:col w:w="6079"/>
          </w:cols>
          <w:pgMar w:left="230" w:top="622" w:right="1440" w:bottom="1440" w:gutter="0" w:footer="0" w:header="0"/>
          <w:type w:val="continuous"/>
        </w:sectPr>
      </w:pPr>
    </w:p>
    <w:p>
      <w:pPr>
        <w:ind w:left="170"/>
        <w:spacing w:after="0"/>
        <w:rPr>
          <w:sz w:val="20"/>
          <w:szCs w:val="20"/>
          <w:color w:val="auto"/>
        </w:rPr>
      </w:pPr>
      <w:r>
        <w:rPr>
          <w:rFonts w:ascii="Courier New" w:cs="Courier New" w:eastAsia="Courier New" w:hAnsi="Courier New"/>
          <w:sz w:val="15"/>
          <w:szCs w:val="15"/>
          <w:color w:val="auto"/>
        </w:rPr>
        <w:t>/s/ DOUGLAS S. MCCORKLE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Douglas S. McCorkle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Controller and Assistant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Treasurer (Chief Accounting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w:t>
      </w:r>
    </w:p>
    <w:p>
      <w:pPr>
        <w:spacing w:after="0" w:line="175" w:lineRule="exact"/>
        <w:rPr>
          <w:sz w:val="20"/>
          <w:szCs w:val="20"/>
          <w:color w:val="auto"/>
        </w:rPr>
      </w:pPr>
    </w:p>
    <w:p>
      <w:pPr>
        <w:sectPr>
          <w:pgSz w:w="11900" w:h="16838" w:orient="portrait"/>
          <w:cols w:equalWidth="0" w:num="2">
            <w:col w:w="3530" w:space="620"/>
            <w:col w:w="6079"/>
          </w:cols>
          <w:pgMar w:left="230" w:top="622" w:right="1440" w:bottom="1440" w:gutter="0" w:footer="0" w:header="0"/>
          <w:type w:val="continuous"/>
        </w:sectPr>
      </w:pPr>
    </w:p>
    <w:p>
      <w:pPr>
        <w:ind w:left="133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5" w:lineRule="exact"/>
        <w:rPr>
          <w:sz w:val="20"/>
          <w:szCs w:val="20"/>
          <w:color w:val="auto"/>
        </w:rPr>
      </w:pPr>
    </w:p>
    <w:p>
      <w:pPr>
        <w:sectPr>
          <w:pgSz w:w="11900" w:h="16838" w:orient="portrait"/>
          <w:cols w:equalWidth="0" w:num="2">
            <w:col w:w="3430" w:space="720"/>
            <w:col w:w="6079"/>
          </w:cols>
          <w:pgMar w:left="230" w:top="622" w:right="1440" w:bottom="1440" w:gutter="0" w:footer="0" w:header="0"/>
          <w:type w:val="continuous"/>
        </w:sectPr>
      </w:pPr>
    </w:p>
    <w:p>
      <w:pPr>
        <w:ind w:left="170" w:hanging="170"/>
        <w:spacing w:after="0"/>
        <w:tabs>
          <w:tab w:leader="none" w:pos="17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 Roy Vagelos, M.D.</w:t>
      </w:r>
    </w:p>
    <w:p>
      <w:pPr>
        <w:spacing w:after="0" w:line="174" w:lineRule="exact"/>
        <w:rPr>
          <w:sz w:val="20"/>
          <w:szCs w:val="20"/>
          <w:color w:val="auto"/>
        </w:rPr>
      </w:pPr>
    </w:p>
    <w:p>
      <w:pPr>
        <w:ind w:left="1330"/>
        <w:spacing w:after="0"/>
        <w:tabs>
          <w:tab w:leader="none" w:pos="412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5" w:lineRule="exact"/>
        <w:rPr>
          <w:sz w:val="20"/>
          <w:szCs w:val="20"/>
          <w:color w:val="auto"/>
        </w:rPr>
      </w:pPr>
    </w:p>
    <w:p>
      <w:pPr>
        <w:ind w:left="170" w:hanging="170"/>
        <w:spacing w:after="0"/>
        <w:tabs>
          <w:tab w:leader="none" w:pos="17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Charles A. Baker</w:t>
      </w:r>
    </w:p>
    <w:p>
      <w:pPr>
        <w:spacing w:after="0" w:line="174" w:lineRule="exact"/>
        <w:rPr>
          <w:sz w:val="20"/>
          <w:szCs w:val="20"/>
          <w:color w:val="auto"/>
        </w:rPr>
      </w:pPr>
    </w:p>
    <w:p>
      <w:pPr>
        <w:ind w:left="1330"/>
        <w:spacing w:after="0"/>
        <w:tabs>
          <w:tab w:leader="none" w:pos="412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5" w:lineRule="exact"/>
        <w:rPr>
          <w:sz w:val="20"/>
          <w:szCs w:val="20"/>
          <w:color w:val="auto"/>
        </w:rPr>
      </w:pPr>
    </w:p>
    <w:p>
      <w:pPr>
        <w:ind w:left="170" w:hanging="170"/>
        <w:spacing w:after="0"/>
        <w:tabs>
          <w:tab w:leader="none" w:pos="17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Michael S. Brown, M.D.</w:t>
      </w:r>
    </w:p>
    <w:p>
      <w:pPr>
        <w:spacing w:after="0" w:line="174" w:lineRule="exact"/>
        <w:rPr>
          <w:sz w:val="20"/>
          <w:szCs w:val="20"/>
          <w:color w:val="auto"/>
        </w:rPr>
      </w:pPr>
    </w:p>
    <w:p>
      <w:pPr>
        <w:ind w:left="1330"/>
        <w:spacing w:after="0"/>
        <w:tabs>
          <w:tab w:leader="none" w:pos="412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5" w:lineRule="exact"/>
        <w:rPr>
          <w:sz w:val="20"/>
          <w:szCs w:val="20"/>
          <w:color w:val="auto"/>
        </w:rPr>
      </w:pPr>
    </w:p>
    <w:p>
      <w:pPr>
        <w:ind w:left="170" w:hanging="170"/>
        <w:spacing w:after="0"/>
        <w:tabs>
          <w:tab w:leader="none" w:pos="17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Alfred G. Gilman, M.D., Ph.D.</w:t>
      </w:r>
    </w:p>
    <w:p>
      <w:pPr>
        <w:spacing w:after="0" w:line="174" w:lineRule="exact"/>
        <w:rPr>
          <w:sz w:val="20"/>
          <w:szCs w:val="20"/>
          <w:color w:val="auto"/>
        </w:rPr>
      </w:pPr>
    </w:p>
    <w:p>
      <w:pPr>
        <w:ind w:left="1330"/>
        <w:spacing w:after="0"/>
        <w:tabs>
          <w:tab w:leader="none" w:pos="412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5" w:lineRule="exact"/>
        <w:rPr>
          <w:sz w:val="20"/>
          <w:szCs w:val="20"/>
          <w:color w:val="auto"/>
        </w:rPr>
      </w:pPr>
    </w:p>
    <w:p>
      <w:pPr>
        <w:ind w:left="170" w:hanging="170"/>
        <w:spacing w:after="0"/>
        <w:tabs>
          <w:tab w:leader="none" w:pos="17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Joseph L. Goldstein, M.D.</w:t>
      </w:r>
    </w:p>
    <w:p>
      <w:pPr>
        <w:spacing w:after="0" w:line="174" w:lineRule="exact"/>
        <w:rPr>
          <w:sz w:val="20"/>
          <w:szCs w:val="20"/>
          <w:color w:val="auto"/>
        </w:rPr>
      </w:pPr>
    </w:p>
    <w:p>
      <w:pPr>
        <w:ind w:left="1330"/>
        <w:spacing w:after="0"/>
        <w:tabs>
          <w:tab w:leader="none" w:pos="412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5" w:lineRule="exact"/>
        <w:rPr>
          <w:sz w:val="20"/>
          <w:szCs w:val="20"/>
          <w:color w:val="auto"/>
        </w:rPr>
      </w:pPr>
    </w:p>
    <w:p>
      <w:pPr>
        <w:ind w:left="170" w:hanging="170"/>
        <w:spacing w:after="0"/>
        <w:tabs>
          <w:tab w:leader="none" w:pos="17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Fred A. Middleton</w:t>
      </w:r>
    </w:p>
    <w:p>
      <w:pPr>
        <w:spacing w:after="0" w:line="174" w:lineRule="exact"/>
        <w:rPr>
          <w:sz w:val="20"/>
          <w:szCs w:val="20"/>
          <w:color w:val="auto"/>
        </w:rPr>
      </w:pPr>
    </w:p>
    <w:p>
      <w:pPr>
        <w:ind w:left="1330"/>
        <w:spacing w:after="0"/>
        <w:tabs>
          <w:tab w:leader="none" w:pos="412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5" w:lineRule="exact"/>
        <w:rPr>
          <w:sz w:val="20"/>
          <w:szCs w:val="20"/>
          <w:color w:val="auto"/>
        </w:rPr>
      </w:pPr>
    </w:p>
    <w:p>
      <w:pPr>
        <w:ind w:left="170" w:hanging="170"/>
        <w:spacing w:after="0"/>
        <w:tabs>
          <w:tab w:leader="none" w:pos="17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Eric M. Shooter, Ph.D.</w:t>
      </w:r>
    </w:p>
    <w:p>
      <w:pPr>
        <w:spacing w:after="0" w:line="174" w:lineRule="exact"/>
        <w:rPr>
          <w:sz w:val="20"/>
          <w:szCs w:val="20"/>
          <w:color w:val="auto"/>
        </w:rPr>
      </w:pPr>
    </w:p>
    <w:p>
      <w:pPr>
        <w:ind w:left="4150"/>
        <w:spacing w:after="0"/>
        <w:rPr>
          <w:sz w:val="20"/>
          <w:szCs w:val="20"/>
          <w:color w:val="auto"/>
        </w:rPr>
      </w:pPr>
      <w:r>
        <w:rPr>
          <w:rFonts w:ascii="Courier New" w:cs="Courier New" w:eastAsia="Courier New" w:hAnsi="Courier New"/>
          <w:sz w:val="14"/>
          <w:szCs w:val="14"/>
          <w:color w:val="auto"/>
        </w:rPr>
        <w:t>Director</w:t>
      </w:r>
    </w:p>
    <w:p>
      <w:pPr>
        <w:spacing w:after="0" w:line="5" w:lineRule="exact"/>
        <w:rPr>
          <w:sz w:val="20"/>
          <w:szCs w:val="20"/>
          <w:color w:val="auto"/>
        </w:rPr>
      </w:pPr>
    </w:p>
    <w:p>
      <w:pPr>
        <w:ind w:left="170" w:hanging="170"/>
        <w:spacing w:after="0"/>
        <w:tabs>
          <w:tab w:leader="none" w:pos="17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George L. Sing</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*By /s/ PAUL LUBETKIN</w:t>
      </w:r>
    </w:p>
    <w:p>
      <w:pPr>
        <w:ind w:left="350"/>
        <w:spacing w:after="0"/>
        <w:rPr>
          <w:sz w:val="20"/>
          <w:szCs w:val="20"/>
          <w:color w:val="auto"/>
        </w:rPr>
      </w:pPr>
      <w:r>
        <w:rPr>
          <w:rFonts w:ascii="Courier New" w:cs="Courier New" w:eastAsia="Courier New" w:hAnsi="Courier New"/>
          <w:sz w:val="15"/>
          <w:szCs w:val="15"/>
          <w:color w:val="auto"/>
        </w:rPr>
        <w:t>----------------------------------</w:t>
      </w:r>
    </w:p>
    <w:p>
      <w:pPr>
        <w:ind w:left="710"/>
        <w:spacing w:after="0"/>
        <w:rPr>
          <w:sz w:val="20"/>
          <w:szCs w:val="20"/>
          <w:color w:val="auto"/>
        </w:rPr>
      </w:pPr>
      <w:r>
        <w:rPr>
          <w:rFonts w:ascii="Courier New" w:cs="Courier New" w:eastAsia="Courier New" w:hAnsi="Courier New"/>
          <w:sz w:val="15"/>
          <w:szCs w:val="15"/>
          <w:color w:val="auto"/>
        </w:rPr>
        <w:t>Paul Lubetkin</w:t>
      </w:r>
    </w:p>
    <w:p>
      <w:pPr>
        <w:ind w:left="710"/>
        <w:spacing w:after="0" w:line="238" w:lineRule="auto"/>
        <w:rPr>
          <w:sz w:val="20"/>
          <w:szCs w:val="20"/>
          <w:color w:val="auto"/>
        </w:rPr>
      </w:pPr>
      <w:r>
        <w:rPr>
          <w:rFonts w:ascii="Courier New" w:cs="Courier New" w:eastAsia="Courier New" w:hAnsi="Courier New"/>
          <w:sz w:val="15"/>
          <w:szCs w:val="15"/>
          <w:color w:val="auto"/>
        </w:rPr>
        <w:t>(Attorney-in-Fact)</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9"/>
          </w:cols>
          <w:pgMar w:left="230" w:top="622" w:right="1440"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170"/>
        </w:trPr>
        <w:tc>
          <w:tcPr>
            <w:tcW w:w="5720" w:type="dxa"/>
            <w:vAlign w:val="bottom"/>
          </w:tcPr>
          <w:p>
            <w:pPr>
              <w:ind w:left="2200"/>
              <w:spacing w:after="0"/>
              <w:rPr>
                <w:sz w:val="20"/>
                <w:szCs w:val="20"/>
                <w:color w:val="auto"/>
              </w:rPr>
            </w:pPr>
            <w:r>
              <w:rPr>
                <w:rFonts w:ascii="Courier New" w:cs="Courier New" w:eastAsia="Courier New" w:hAnsi="Courier New"/>
                <w:sz w:val="15"/>
                <w:szCs w:val="15"/>
                <w:color w:val="auto"/>
              </w:rPr>
              <w:t>REGENERON PHARMACEUTICALS, INC.</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9"/>
        </w:trPr>
        <w:tc>
          <w:tcPr>
            <w:tcW w:w="5720" w:type="dxa"/>
            <w:vAlign w:val="bottom"/>
          </w:tcPr>
          <w:p>
            <w:pPr>
              <w:ind w:left="2280"/>
              <w:spacing w:after="0"/>
              <w:rPr>
                <w:sz w:val="20"/>
                <w:szCs w:val="20"/>
                <w:color w:val="auto"/>
              </w:rPr>
            </w:pPr>
            <w:r>
              <w:rPr>
                <w:rFonts w:ascii="Courier New" w:cs="Courier New" w:eastAsia="Courier New" w:hAnsi="Courier New"/>
                <w:sz w:val="15"/>
                <w:szCs w:val="15"/>
                <w:color w:val="auto"/>
              </w:rPr>
              <w:t>INDEX TO FINANCIAL STATEMENTS</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9"/>
        </w:trPr>
        <w:tc>
          <w:tcPr>
            <w:tcW w:w="5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Page</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rPr>
              <w:t>Regeneron Pharmaceuticals, Inc.</w:t>
            </w:r>
          </w:p>
        </w:tc>
        <w:tc>
          <w:tcPr>
            <w:tcW w:w="66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Numbers</w:t>
            </w:r>
          </w:p>
        </w:tc>
      </w:tr>
      <w:tr>
        <w:trPr>
          <w:trHeight w:val="170"/>
        </w:trPr>
        <w:tc>
          <w:tcPr>
            <w:tcW w:w="5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Report of Independent Accountants</w:t>
            </w:r>
          </w:p>
        </w:tc>
        <w:tc>
          <w:tcPr>
            <w:tcW w:w="660" w:type="dxa"/>
            <w:vAlign w:val="bottom"/>
          </w:tcPr>
          <w:p>
            <w:pPr>
              <w:spacing w:after="0"/>
              <w:rPr>
                <w:sz w:val="24"/>
                <w:szCs w:val="24"/>
                <w:color w:val="auto"/>
              </w:rPr>
            </w:pP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F-2</w:t>
            </w:r>
          </w:p>
        </w:tc>
      </w:tr>
      <w:tr>
        <w:trPr>
          <w:trHeight w:val="339"/>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Balance Sheets at December 31, 1998 and 1997</w:t>
            </w:r>
          </w:p>
        </w:tc>
        <w:tc>
          <w:tcPr>
            <w:tcW w:w="660" w:type="dxa"/>
            <w:vAlign w:val="bottom"/>
          </w:tcPr>
          <w:p>
            <w:pPr>
              <w:spacing w:after="0"/>
              <w:rPr>
                <w:sz w:val="24"/>
                <w:szCs w:val="24"/>
                <w:color w:val="auto"/>
              </w:rPr>
            </w:pP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F-3</w:t>
            </w:r>
          </w:p>
        </w:tc>
      </w:tr>
      <w:tr>
        <w:trPr>
          <w:trHeight w:val="339"/>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Statements of Operations for the years ended December 31,</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1998, 1997, and 1996</w:t>
            </w:r>
          </w:p>
        </w:tc>
        <w:tc>
          <w:tcPr>
            <w:tcW w:w="66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F-4</w:t>
            </w:r>
          </w:p>
        </w:tc>
      </w:tr>
      <w:tr>
        <w:trPr>
          <w:trHeight w:val="339"/>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Statements of Stockholders' Equity for the years ended</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December 31, 1998, 1997, and 1996</w:t>
            </w:r>
          </w:p>
        </w:tc>
        <w:tc>
          <w:tcPr>
            <w:tcW w:w="66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F-5</w:t>
            </w:r>
          </w:p>
        </w:tc>
      </w:tr>
      <w:tr>
        <w:trPr>
          <w:trHeight w:val="339"/>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Statements of Cash Flows for the years ended December 31,</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1998, 1997, and 1996</w:t>
            </w:r>
          </w:p>
        </w:tc>
        <w:tc>
          <w:tcPr>
            <w:tcW w:w="66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F-6</w:t>
            </w:r>
          </w:p>
        </w:tc>
      </w:tr>
      <w:tr>
        <w:trPr>
          <w:trHeight w:val="339"/>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Notes to Financial Statements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F-7</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to F-20</w:t>
            </w:r>
          </w:p>
        </w:tc>
      </w:tr>
      <w:tr>
        <w:trPr>
          <w:trHeight w:val="339"/>
        </w:trPr>
        <w:tc>
          <w:tcPr>
            <w:tcW w:w="5720" w:type="dxa"/>
            <w:vAlign w:val="bottom"/>
          </w:tcPr>
          <w:p>
            <w:pPr>
              <w:spacing w:after="0"/>
              <w:rPr>
                <w:sz w:val="20"/>
                <w:szCs w:val="20"/>
                <w:color w:val="auto"/>
              </w:rPr>
            </w:pPr>
            <w:r>
              <w:rPr>
                <w:rFonts w:ascii="Courier New" w:cs="Courier New" w:eastAsia="Courier New" w:hAnsi="Courier New"/>
                <w:sz w:val="15"/>
                <w:szCs w:val="15"/>
                <w:color w:val="auto"/>
              </w:rPr>
              <w:t>Amgen-Regeneron Partners</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9"/>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Report of Ernst &amp; Young LLP, Independent Auditors</w:t>
            </w:r>
          </w:p>
        </w:tc>
        <w:tc>
          <w:tcPr>
            <w:tcW w:w="660" w:type="dxa"/>
            <w:vAlign w:val="bottom"/>
          </w:tcPr>
          <w:p>
            <w:pPr>
              <w:spacing w:after="0"/>
              <w:rPr>
                <w:sz w:val="24"/>
                <w:szCs w:val="24"/>
                <w:color w:val="auto"/>
              </w:rPr>
            </w:pP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F-22</w:t>
            </w:r>
          </w:p>
        </w:tc>
      </w:tr>
      <w:tr>
        <w:trPr>
          <w:trHeight w:val="339"/>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Balance Sheets at December 31, 1998 and 1997</w:t>
            </w:r>
          </w:p>
        </w:tc>
        <w:tc>
          <w:tcPr>
            <w:tcW w:w="660" w:type="dxa"/>
            <w:vAlign w:val="bottom"/>
          </w:tcPr>
          <w:p>
            <w:pPr>
              <w:spacing w:after="0"/>
              <w:rPr>
                <w:sz w:val="24"/>
                <w:szCs w:val="24"/>
                <w:color w:val="auto"/>
              </w:rPr>
            </w:pP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F-23</w:t>
            </w:r>
          </w:p>
        </w:tc>
      </w:tr>
      <w:tr>
        <w:trPr>
          <w:trHeight w:val="339"/>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Statements of Operations for the years ended December 31,</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1998, 1997, and 1996</w:t>
            </w:r>
          </w:p>
        </w:tc>
        <w:tc>
          <w:tcPr>
            <w:tcW w:w="66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F-24</w:t>
            </w:r>
          </w:p>
        </w:tc>
      </w:tr>
      <w:tr>
        <w:trPr>
          <w:trHeight w:val="339"/>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Statements of Changes in Partners' Capital for the years</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ended December 31, 1998, 1997, and 1996</w:t>
            </w:r>
          </w:p>
        </w:tc>
        <w:tc>
          <w:tcPr>
            <w:tcW w:w="66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F-25</w:t>
            </w:r>
          </w:p>
        </w:tc>
      </w:tr>
      <w:tr>
        <w:trPr>
          <w:trHeight w:val="339"/>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Statements of Cash Flows for the years ended December 31,</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1998, 1997, and 1996</w:t>
            </w:r>
          </w:p>
        </w:tc>
        <w:tc>
          <w:tcPr>
            <w:tcW w:w="66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F-26</w:t>
            </w:r>
          </w:p>
        </w:tc>
      </w:tr>
      <w:tr>
        <w:trPr>
          <w:trHeight w:val="339"/>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Notes to Financial Statements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F-27</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to F-31</w:t>
            </w:r>
          </w:p>
        </w:tc>
      </w:tr>
    </w:tbl>
    <w:p>
      <w:pPr>
        <w:spacing w:after="0" w:line="34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622" w:right="1440" w:bottom="1440" w:gutter="0" w:footer="0" w:header="0"/>
        </w:sectPr>
      </w:pPr>
    </w:p>
    <w:bookmarkStart w:id="36" w:name="page37"/>
    <w:bookmarkEnd w:id="36"/>
    <w:p>
      <w:pPr>
        <w:ind w:left="210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174" w:lineRule="exact"/>
        <w:rPr>
          <w:sz w:val="20"/>
          <w:szCs w:val="20"/>
          <w:color w:val="auto"/>
        </w:rPr>
      </w:pPr>
    </w:p>
    <w:p>
      <w:pPr>
        <w:ind w:right="3179" w:firstLine="793"/>
        <w:spacing w:after="0" w:line="239" w:lineRule="auto"/>
        <w:rPr>
          <w:sz w:val="20"/>
          <w:szCs w:val="20"/>
          <w:color w:val="auto"/>
        </w:rPr>
      </w:pPr>
      <w:r>
        <w:rPr>
          <w:rFonts w:ascii="Courier New" w:cs="Courier New" w:eastAsia="Courier New" w:hAnsi="Courier New"/>
          <w:sz w:val="15"/>
          <w:szCs w:val="15"/>
          <w:color w:val="auto"/>
        </w:rPr>
        <w:t>In our opinion, based upon our audits and the report of other auditors, the accompanying balance sheets and the related statements of operations, stockholders' equity and cash flows present fairly, in all material respects, the financial position of Regeneron Pharmaceuticals, Inc. (the "Company") at December 31, 1998 and 1997, and the results of its operations and its cash flows for each of the three years in the period ended December 31, 1998, in conformity with generally accepted accounting principles. These financial statements are the responsibility of the Company's management; our responsibility is to express an opinion on these financial statements based on our audits. We did not audit the financial statements of Amgen-Regeneron Partners (the "Partnership"), an entity which is fifty percent owned by the Company, as of December 31, 1998 and 1997 and for each of the three years in the period ended December 31, 1998. The Company's investment in the Partnership is accounted for in accordance with the equity method of accounting and constitutes less than two percent of the Company's total assets at December 31, 1998 and 1997. For the years ended December 31, 1998, 1997 and 1996, the Company recorded its pro rata share of the Partnership's net loss of approximately $2.4 million, $3.4 million and $14.3 million, respectively. The Partnership's financial statements were audited by other auditors whose report thereon has been furnished to us, and our opinion expressed herein, insofar as it relates to the amounts included for the Partnership, is based solely on the report of the other auditors.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and the report of other auditors provide a reasonable basis for the opinion expressed above.</w:t>
      </w:r>
    </w:p>
    <w:p>
      <w:pPr>
        <w:spacing w:after="0" w:line="17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PricewaterhouseCoopers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tabs>
          <w:tab w:leader="none" w:pos="860" w:val="left"/>
        </w:tabs>
        <w:rPr>
          <w:sz w:val="20"/>
          <w:szCs w:val="20"/>
          <w:color w:val="auto"/>
        </w:rPr>
      </w:pPr>
      <w:r>
        <w:rPr>
          <w:rFonts w:ascii="Courier New" w:cs="Courier New" w:eastAsia="Courier New" w:hAnsi="Courier New"/>
          <w:sz w:val="15"/>
          <w:szCs w:val="15"/>
          <w:color w:val="auto"/>
        </w:rPr>
        <w:t>February</w:t>
      </w:r>
      <w:r>
        <w:rPr>
          <w:sz w:val="20"/>
          <w:szCs w:val="20"/>
          <w:color w:val="auto"/>
        </w:rPr>
        <w:tab/>
      </w:r>
      <w:r>
        <w:rPr>
          <w:rFonts w:ascii="Courier New" w:cs="Courier New" w:eastAsia="Courier New" w:hAnsi="Courier New"/>
          <w:sz w:val="14"/>
          <w:szCs w:val="14"/>
          <w:color w:val="auto"/>
        </w:rPr>
        <w:t>5, 1999</w:t>
      </w:r>
    </w:p>
    <w:p>
      <w:pPr>
        <w:spacing w:after="0" w:line="34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622" w:right="1440" w:bottom="1440" w:gutter="0" w:footer="0" w:header="0"/>
        </w:sectPr>
      </w:pPr>
    </w:p>
    <w:bookmarkStart w:id="37" w:name="page38"/>
    <w:bookmarkEnd w:id="37"/>
    <w:p>
      <w:pPr>
        <w:jc w:val="center"/>
        <w:ind w:right="3079"/>
        <w:spacing w:after="0"/>
        <w:rPr>
          <w:sz w:val="20"/>
          <w:szCs w:val="20"/>
          <w:color w:val="auto"/>
        </w:rPr>
      </w:pPr>
      <w:r>
        <w:rPr>
          <w:rFonts w:ascii="Courier New" w:cs="Courier New" w:eastAsia="Courier New" w:hAnsi="Courier New"/>
          <w:sz w:val="15"/>
          <w:szCs w:val="15"/>
          <w:color w:val="auto"/>
        </w:rPr>
        <w:t>REGENERON PHARMACEUTICALS, INC.</w:t>
      </w:r>
    </w:p>
    <w:p>
      <w:pPr>
        <w:jc w:val="center"/>
        <w:ind w:right="3179"/>
        <w:spacing w:after="0"/>
        <w:rPr>
          <w:sz w:val="20"/>
          <w:szCs w:val="20"/>
          <w:color w:val="auto"/>
        </w:rPr>
      </w:pPr>
      <w:r>
        <w:rPr>
          <w:rFonts w:ascii="Courier New" w:cs="Courier New" w:eastAsia="Courier New" w:hAnsi="Courier New"/>
          <w:sz w:val="15"/>
          <w:szCs w:val="15"/>
          <w:color w:val="auto"/>
        </w:rPr>
        <w:t>BALANCE SHEETS</w:t>
      </w:r>
    </w:p>
    <w:p>
      <w:pPr>
        <w:jc w:val="center"/>
        <w:ind w:right="3179"/>
        <w:spacing w:after="0"/>
        <w:rPr>
          <w:sz w:val="20"/>
          <w:szCs w:val="20"/>
          <w:color w:val="auto"/>
        </w:rPr>
      </w:pPr>
      <w:r>
        <w:rPr>
          <w:rFonts w:ascii="Courier New" w:cs="Courier New" w:eastAsia="Courier New" w:hAnsi="Courier New"/>
          <w:sz w:val="15"/>
          <w:szCs w:val="15"/>
          <w:color w:val="auto"/>
        </w:rPr>
        <w:t>December 31, 1998 and 1997</w:t>
      </w:r>
    </w:p>
    <w:tbl>
      <w:tblPr>
        <w:tblLayout w:type="fixed"/>
        <w:tblInd w:w="0" w:type="dxa"/>
        <w:tblCellMar>
          <w:top w:w="0" w:type="dxa"/>
          <w:left w:w="0" w:type="dxa"/>
          <w:bottom w:w="0" w:type="dxa"/>
          <w:right w:w="0" w:type="dxa"/>
        </w:tblCellMar>
      </w:tblPr>
      <w:tr>
        <w:trPr>
          <w:trHeight w:val="169"/>
        </w:trPr>
        <w:tc>
          <w:tcPr>
            <w:tcW w:w="6780" w:type="dxa"/>
            <w:vAlign w:val="bottom"/>
          </w:tcPr>
          <w:p>
            <w:pPr>
              <w:ind w:left="2100"/>
              <w:spacing w:after="0" w:line="169" w:lineRule="exact"/>
              <w:rPr>
                <w:sz w:val="20"/>
                <w:szCs w:val="20"/>
                <w:color w:val="auto"/>
              </w:rPr>
            </w:pPr>
            <w:r>
              <w:rPr>
                <w:rFonts w:ascii="Courier New" w:cs="Courier New" w:eastAsia="Courier New" w:hAnsi="Courier New"/>
                <w:sz w:val="15"/>
                <w:szCs w:val="15"/>
                <w:color w:val="auto"/>
              </w:rPr>
              <w:t>(In thousands, except share data)</w:t>
            </w: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678"/>
        </w:trPr>
        <w:tc>
          <w:tcPr>
            <w:tcW w:w="6780" w:type="dxa"/>
            <w:vAlign w:val="bottom"/>
          </w:tcPr>
          <w:p>
            <w:pPr>
              <w:ind w:left="4760"/>
              <w:spacing w:after="0"/>
              <w:rPr>
                <w:sz w:val="20"/>
                <w:szCs w:val="20"/>
                <w:color w:val="auto"/>
              </w:rPr>
            </w:pPr>
            <w:r>
              <w:rPr>
                <w:rFonts w:ascii="Courier New" w:cs="Courier New" w:eastAsia="Courier New" w:hAnsi="Courier New"/>
                <w:sz w:val="15"/>
                <w:szCs w:val="15"/>
                <w:color w:val="auto"/>
              </w:rPr>
              <w:t>ASSETS</w:t>
            </w:r>
          </w:p>
        </w:tc>
        <w:tc>
          <w:tcPr>
            <w:tcW w:w="15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1998</w:t>
            </w:r>
          </w:p>
        </w:tc>
        <w:tc>
          <w:tcPr>
            <w:tcW w:w="14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4"/>
              </w:rPr>
              <w:t>1997</w:t>
            </w:r>
          </w:p>
        </w:tc>
      </w:tr>
      <w:tr>
        <w:trPr>
          <w:trHeight w:val="170"/>
        </w:trPr>
        <w:tc>
          <w:tcPr>
            <w:tcW w:w="6780" w:type="dxa"/>
            <w:vAlign w:val="bottom"/>
          </w:tcPr>
          <w:p>
            <w:pPr>
              <w:spacing w:after="0"/>
              <w:rPr>
                <w:sz w:val="14"/>
                <w:szCs w:val="14"/>
                <w:color w:val="auto"/>
              </w:rPr>
            </w:pPr>
          </w:p>
        </w:tc>
        <w:tc>
          <w:tcPr>
            <w:tcW w:w="15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w:t>
            </w:r>
          </w:p>
        </w:tc>
        <w:tc>
          <w:tcPr>
            <w:tcW w:w="14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w:t>
            </w:r>
          </w:p>
        </w:tc>
      </w:tr>
      <w:tr>
        <w:trPr>
          <w:trHeight w:val="509"/>
        </w:trPr>
        <w:tc>
          <w:tcPr>
            <w:tcW w:w="67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6780" w:type="dxa"/>
            <w:vAlign w:val="bottom"/>
          </w:tcPr>
          <w:p>
            <w:pPr>
              <w:ind w:left="340"/>
              <w:spacing w:after="0"/>
              <w:rPr>
                <w:sz w:val="20"/>
                <w:szCs w:val="20"/>
                <w:color w:val="auto"/>
              </w:rPr>
            </w:pPr>
            <w:r>
              <w:rPr>
                <w:rFonts w:ascii="Courier New" w:cs="Courier New" w:eastAsia="Courier New" w:hAnsi="Courier New"/>
                <w:sz w:val="15"/>
                <w:szCs w:val="15"/>
                <w:color w:val="auto"/>
              </w:rPr>
              <w:t>Cash and cash equivalents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$19,757</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$28,921</w:t>
            </w:r>
          </w:p>
        </w:tc>
      </w:tr>
      <w:tr>
        <w:trPr>
          <w:trHeight w:val="170"/>
        </w:trPr>
        <w:tc>
          <w:tcPr>
            <w:tcW w:w="6780" w:type="dxa"/>
            <w:vAlign w:val="bottom"/>
          </w:tcPr>
          <w:p>
            <w:pPr>
              <w:ind w:left="340"/>
              <w:spacing w:after="0"/>
              <w:rPr>
                <w:sz w:val="20"/>
                <w:szCs w:val="20"/>
                <w:color w:val="auto"/>
              </w:rPr>
            </w:pPr>
            <w:r>
              <w:rPr>
                <w:rFonts w:ascii="Courier New" w:cs="Courier New" w:eastAsia="Courier New" w:hAnsi="Courier New"/>
                <w:sz w:val="15"/>
                <w:szCs w:val="15"/>
                <w:color w:val="auto"/>
              </w:rPr>
              <w:t>Marketable securities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66,022</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63,602</w:t>
            </w:r>
          </w:p>
        </w:tc>
      </w:tr>
      <w:tr>
        <w:trPr>
          <w:trHeight w:val="170"/>
        </w:trPr>
        <w:tc>
          <w:tcPr>
            <w:tcW w:w="6780" w:type="dxa"/>
            <w:vAlign w:val="bottom"/>
          </w:tcPr>
          <w:p>
            <w:pPr>
              <w:ind w:left="340"/>
              <w:spacing w:after="0"/>
              <w:rPr>
                <w:sz w:val="20"/>
                <w:szCs w:val="20"/>
                <w:color w:val="auto"/>
              </w:rPr>
            </w:pPr>
            <w:r>
              <w:rPr>
                <w:rFonts w:ascii="Courier New" w:cs="Courier New" w:eastAsia="Courier New" w:hAnsi="Courier New"/>
                <w:sz w:val="15"/>
                <w:szCs w:val="15"/>
                <w:color w:val="auto"/>
              </w:rPr>
              <w:t>Receivable due from The Procter &amp; Gamble Company</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3,169</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2,403</w:t>
            </w:r>
          </w:p>
        </w:tc>
      </w:tr>
      <w:tr>
        <w:trPr>
          <w:trHeight w:val="170"/>
        </w:trPr>
        <w:tc>
          <w:tcPr>
            <w:tcW w:w="6780" w:type="dxa"/>
            <w:vAlign w:val="bottom"/>
          </w:tcPr>
          <w:p>
            <w:pPr>
              <w:ind w:left="340"/>
              <w:spacing w:after="0"/>
              <w:rPr>
                <w:sz w:val="20"/>
                <w:szCs w:val="20"/>
                <w:color w:val="auto"/>
              </w:rPr>
            </w:pPr>
            <w:r>
              <w:rPr>
                <w:rFonts w:ascii="Courier New" w:cs="Courier New" w:eastAsia="Courier New" w:hAnsi="Courier New"/>
                <w:sz w:val="15"/>
                <w:szCs w:val="15"/>
                <w:color w:val="auto"/>
              </w:rPr>
              <w:t>Receivable due from Merck &amp; Co., Inc.</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1,665</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1,707</w:t>
            </w:r>
          </w:p>
        </w:tc>
      </w:tr>
      <w:tr>
        <w:trPr>
          <w:trHeight w:val="170"/>
        </w:trPr>
        <w:tc>
          <w:tcPr>
            <w:tcW w:w="6780" w:type="dxa"/>
            <w:vAlign w:val="bottom"/>
          </w:tcPr>
          <w:p>
            <w:pPr>
              <w:ind w:left="340"/>
              <w:spacing w:after="0"/>
              <w:rPr>
                <w:sz w:val="20"/>
                <w:szCs w:val="20"/>
                <w:color w:val="auto"/>
              </w:rPr>
            </w:pPr>
            <w:r>
              <w:rPr>
                <w:rFonts w:ascii="Courier New" w:cs="Courier New" w:eastAsia="Courier New" w:hAnsi="Courier New"/>
                <w:sz w:val="15"/>
                <w:szCs w:val="15"/>
                <w:color w:val="auto"/>
              </w:rPr>
              <w:t>Receivable due from Amgen-Regeneron Partners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709</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356</w:t>
            </w:r>
          </w:p>
        </w:tc>
      </w:tr>
      <w:tr>
        <w:trPr>
          <w:trHeight w:val="170"/>
        </w:trPr>
        <w:tc>
          <w:tcPr>
            <w:tcW w:w="6780" w:type="dxa"/>
            <w:vAlign w:val="bottom"/>
          </w:tcPr>
          <w:p>
            <w:pPr>
              <w:ind w:left="340"/>
              <w:spacing w:after="0"/>
              <w:rPr>
                <w:sz w:val="20"/>
                <w:szCs w:val="20"/>
                <w:color w:val="auto"/>
              </w:rPr>
            </w:pPr>
            <w:r>
              <w:rPr>
                <w:rFonts w:ascii="Courier New" w:cs="Courier New" w:eastAsia="Courier New" w:hAnsi="Courier New"/>
                <w:sz w:val="15"/>
                <w:szCs w:val="15"/>
                <w:color w:val="auto"/>
              </w:rPr>
              <w:t>Receivable due from Sumitomo Pharmaceuticals Company, Ltd.</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167</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2,115</w:t>
            </w:r>
          </w:p>
        </w:tc>
      </w:tr>
      <w:tr>
        <w:trPr>
          <w:trHeight w:val="170"/>
        </w:trPr>
        <w:tc>
          <w:tcPr>
            <w:tcW w:w="6780" w:type="dxa"/>
            <w:vAlign w:val="bottom"/>
          </w:tcPr>
          <w:p>
            <w:pPr>
              <w:ind w:left="34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1,412</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536</w:t>
            </w:r>
          </w:p>
        </w:tc>
      </w:tr>
      <w:tr>
        <w:trPr>
          <w:trHeight w:val="170"/>
        </w:trPr>
        <w:tc>
          <w:tcPr>
            <w:tcW w:w="6780" w:type="dxa"/>
            <w:vAlign w:val="bottom"/>
          </w:tcPr>
          <w:p>
            <w:pPr>
              <w:spacing w:after="0"/>
              <w:rPr>
                <w:sz w:val="14"/>
                <w:szCs w:val="14"/>
                <w:color w:val="auto"/>
              </w:rPr>
            </w:pPr>
          </w:p>
        </w:tc>
        <w:tc>
          <w:tcPr>
            <w:tcW w:w="15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w:t>
            </w:r>
          </w:p>
        </w:tc>
        <w:tc>
          <w:tcPr>
            <w:tcW w:w="14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6780" w:type="dxa"/>
            <w:vAlign w:val="bottom"/>
          </w:tcPr>
          <w:p>
            <w:pPr>
              <w:ind w:left="600"/>
              <w:spacing w:after="0"/>
              <w:rPr>
                <w:sz w:val="20"/>
                <w:szCs w:val="20"/>
                <w:color w:val="auto"/>
              </w:rPr>
            </w:pPr>
            <w:r>
              <w:rPr>
                <w:rFonts w:ascii="Courier New" w:cs="Courier New" w:eastAsia="Courier New" w:hAnsi="Courier New"/>
                <w:sz w:val="15"/>
                <w:szCs w:val="15"/>
                <w:color w:val="auto"/>
              </w:rPr>
              <w:t>Total current assets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92,901</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99,640</w:t>
            </w:r>
          </w:p>
        </w:tc>
      </w:tr>
      <w:tr>
        <w:trPr>
          <w:trHeight w:val="339"/>
        </w:trPr>
        <w:tc>
          <w:tcPr>
            <w:tcW w:w="6780" w:type="dxa"/>
            <w:vAlign w:val="bottom"/>
          </w:tcPr>
          <w:p>
            <w:pPr>
              <w:spacing w:after="0"/>
              <w:rPr>
                <w:sz w:val="20"/>
                <w:szCs w:val="20"/>
                <w:color w:val="auto"/>
              </w:rPr>
            </w:pPr>
            <w:r>
              <w:rPr>
                <w:rFonts w:ascii="Courier New" w:cs="Courier New" w:eastAsia="Courier New" w:hAnsi="Courier New"/>
                <w:sz w:val="15"/>
                <w:szCs w:val="15"/>
                <w:color w:val="auto"/>
              </w:rPr>
              <w:t>Marketable securities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27,751</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35,518</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Investment in Amgen-Regeneron Partners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3,091</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364</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at cost, net of accumulated depreciation</w:t>
            </w: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6780" w:type="dxa"/>
            <w:vAlign w:val="bottom"/>
          </w:tcPr>
          <w:p>
            <w:pPr>
              <w:ind w:left="340"/>
              <w:spacing w:after="0"/>
              <w:rPr>
                <w:sz w:val="20"/>
                <w:szCs w:val="20"/>
                <w:color w:val="auto"/>
              </w:rPr>
            </w:pPr>
            <w:r>
              <w:rPr>
                <w:rFonts w:ascii="Courier New" w:cs="Courier New" w:eastAsia="Courier New" w:hAnsi="Courier New"/>
                <w:sz w:val="15"/>
                <w:szCs w:val="15"/>
                <w:color w:val="auto"/>
              </w:rPr>
              <w:t>and amortization</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33,019</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32,713</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145</w:t>
            </w:r>
          </w:p>
        </w:tc>
      </w:tr>
      <w:tr>
        <w:trPr>
          <w:trHeight w:val="170"/>
        </w:trPr>
        <w:tc>
          <w:tcPr>
            <w:tcW w:w="6780" w:type="dxa"/>
            <w:vAlign w:val="bottom"/>
          </w:tcPr>
          <w:p>
            <w:pPr>
              <w:spacing w:after="0"/>
              <w:rPr>
                <w:sz w:val="14"/>
                <w:szCs w:val="14"/>
                <w:color w:val="auto"/>
              </w:rPr>
            </w:pPr>
          </w:p>
        </w:tc>
        <w:tc>
          <w:tcPr>
            <w:tcW w:w="15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w:t>
            </w:r>
          </w:p>
        </w:tc>
        <w:tc>
          <w:tcPr>
            <w:tcW w:w="14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6780" w:type="dxa"/>
            <w:vAlign w:val="bottom"/>
          </w:tcPr>
          <w:p>
            <w:pPr>
              <w:ind w:left="600"/>
              <w:spacing w:after="0"/>
              <w:rPr>
                <w:sz w:val="20"/>
                <w:szCs w:val="20"/>
                <w:color w:val="auto"/>
              </w:rPr>
            </w:pPr>
            <w:r>
              <w:rPr>
                <w:rFonts w:ascii="Courier New" w:cs="Courier New" w:eastAsia="Courier New" w:hAnsi="Courier New"/>
                <w:sz w:val="15"/>
                <w:szCs w:val="15"/>
                <w:color w:val="auto"/>
              </w:rPr>
              <w:t>Total assets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$156,915</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$168,380</w:t>
            </w:r>
          </w:p>
        </w:tc>
      </w:tr>
      <w:tr>
        <w:trPr>
          <w:trHeight w:val="170"/>
        </w:trPr>
        <w:tc>
          <w:tcPr>
            <w:tcW w:w="6780" w:type="dxa"/>
            <w:vAlign w:val="bottom"/>
          </w:tcPr>
          <w:p>
            <w:pPr>
              <w:spacing w:after="0"/>
              <w:rPr>
                <w:sz w:val="14"/>
                <w:szCs w:val="14"/>
                <w:color w:val="auto"/>
              </w:rPr>
            </w:pPr>
          </w:p>
        </w:tc>
        <w:tc>
          <w:tcPr>
            <w:tcW w:w="15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w:t>
            </w:r>
          </w:p>
        </w:tc>
        <w:tc>
          <w:tcPr>
            <w:tcW w:w="14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6780" w:type="dxa"/>
            <w:vAlign w:val="bottom"/>
          </w:tcPr>
          <w:p>
            <w:pPr>
              <w:ind w:left="3520"/>
              <w:spacing w:after="0"/>
              <w:rPr>
                <w:sz w:val="20"/>
                <w:szCs w:val="20"/>
                <w:color w:val="auto"/>
              </w:rPr>
            </w:pPr>
            <w:r>
              <w:rPr>
                <w:rFonts w:ascii="Courier New" w:cs="Courier New" w:eastAsia="Courier New" w:hAnsi="Courier New"/>
                <w:sz w:val="15"/>
                <w:szCs w:val="15"/>
                <w:color w:val="auto"/>
                <w:w w:val="99"/>
              </w:rPr>
              <w:t>LIABILITIES and STOCKHOLDERS' EQUITY</w:t>
            </w: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9"/>
        </w:trPr>
        <w:tc>
          <w:tcPr>
            <w:tcW w:w="67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6780" w:type="dxa"/>
            <w:vAlign w:val="bottom"/>
          </w:tcPr>
          <w:p>
            <w:pPr>
              <w:ind w:left="340"/>
              <w:spacing w:after="0"/>
              <w:rPr>
                <w:sz w:val="20"/>
                <w:szCs w:val="20"/>
                <w:color w:val="auto"/>
              </w:rPr>
            </w:pPr>
            <w:r>
              <w:rPr>
                <w:rFonts w:ascii="Courier New" w:cs="Courier New" w:eastAsia="Courier New" w:hAnsi="Courier New"/>
                <w:sz w:val="15"/>
                <w:szCs w:val="15"/>
                <w:color w:val="auto"/>
              </w:rPr>
              <w:t>Accounts payable and accrued expenses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$5,551</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$4,663</w:t>
            </w:r>
          </w:p>
        </w:tc>
      </w:tr>
      <w:tr>
        <w:trPr>
          <w:trHeight w:val="170"/>
        </w:trPr>
        <w:tc>
          <w:tcPr>
            <w:tcW w:w="6780" w:type="dxa"/>
            <w:vAlign w:val="bottom"/>
          </w:tcPr>
          <w:p>
            <w:pPr>
              <w:ind w:left="340"/>
              <w:spacing w:after="0"/>
              <w:rPr>
                <w:sz w:val="20"/>
                <w:szCs w:val="20"/>
                <w:color w:val="auto"/>
              </w:rPr>
            </w:pPr>
            <w:r>
              <w:rPr>
                <w:rFonts w:ascii="Courier New" w:cs="Courier New" w:eastAsia="Courier New" w:hAnsi="Courier New"/>
                <w:sz w:val="15"/>
                <w:szCs w:val="15"/>
                <w:color w:val="auto"/>
              </w:rPr>
              <w:t>Deferred revenue, current portion</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2,735</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4,182</w:t>
            </w:r>
          </w:p>
        </w:tc>
      </w:tr>
      <w:tr>
        <w:trPr>
          <w:trHeight w:val="170"/>
        </w:trPr>
        <w:tc>
          <w:tcPr>
            <w:tcW w:w="6780" w:type="dxa"/>
            <w:vAlign w:val="bottom"/>
          </w:tcPr>
          <w:p>
            <w:pPr>
              <w:ind w:left="340"/>
              <w:spacing w:after="0"/>
              <w:rPr>
                <w:sz w:val="20"/>
                <w:szCs w:val="20"/>
                <w:color w:val="auto"/>
              </w:rPr>
            </w:pPr>
            <w:r>
              <w:rPr>
                <w:rFonts w:ascii="Courier New" w:cs="Courier New" w:eastAsia="Courier New" w:hAnsi="Courier New"/>
                <w:sz w:val="15"/>
                <w:szCs w:val="15"/>
                <w:color w:val="auto"/>
              </w:rPr>
              <w:t>Capital lease obligations, current portion</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1,051</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1,770</w:t>
            </w:r>
          </w:p>
        </w:tc>
      </w:tr>
      <w:tr>
        <w:trPr>
          <w:trHeight w:val="170"/>
        </w:trPr>
        <w:tc>
          <w:tcPr>
            <w:tcW w:w="6780" w:type="dxa"/>
            <w:vAlign w:val="bottom"/>
          </w:tcPr>
          <w:p>
            <w:pPr>
              <w:ind w:left="340"/>
              <w:spacing w:after="0"/>
              <w:rPr>
                <w:sz w:val="20"/>
                <w:szCs w:val="20"/>
                <w:color w:val="auto"/>
              </w:rPr>
            </w:pPr>
            <w:r>
              <w:rPr>
                <w:rFonts w:ascii="Courier New" w:cs="Courier New" w:eastAsia="Courier New" w:hAnsi="Courier New"/>
                <w:sz w:val="15"/>
                <w:szCs w:val="15"/>
                <w:color w:val="auto"/>
              </w:rPr>
              <w:t>Note payable, current portion</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w:t>
            </w:r>
          </w:p>
        </w:tc>
      </w:tr>
      <w:tr>
        <w:trPr>
          <w:trHeight w:val="170"/>
        </w:trPr>
        <w:tc>
          <w:tcPr>
            <w:tcW w:w="6780" w:type="dxa"/>
            <w:vAlign w:val="bottom"/>
          </w:tcPr>
          <w:p>
            <w:pPr>
              <w:spacing w:after="0"/>
              <w:rPr>
                <w:sz w:val="14"/>
                <w:szCs w:val="14"/>
                <w:color w:val="auto"/>
              </w:rPr>
            </w:pPr>
          </w:p>
        </w:tc>
        <w:tc>
          <w:tcPr>
            <w:tcW w:w="15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w:t>
            </w:r>
          </w:p>
        </w:tc>
        <w:tc>
          <w:tcPr>
            <w:tcW w:w="14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6780" w:type="dxa"/>
            <w:vAlign w:val="bottom"/>
          </w:tcPr>
          <w:p>
            <w:pPr>
              <w:ind w:left="600"/>
              <w:spacing w:after="0"/>
              <w:rPr>
                <w:sz w:val="20"/>
                <w:szCs w:val="20"/>
                <w:color w:val="auto"/>
              </w:rPr>
            </w:pPr>
            <w:r>
              <w:rPr>
                <w:rFonts w:ascii="Courier New" w:cs="Courier New" w:eastAsia="Courier New" w:hAnsi="Courier New"/>
                <w:sz w:val="15"/>
                <w:szCs w:val="15"/>
                <w:color w:val="auto"/>
              </w:rPr>
              <w:t>Total current liabilities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9,402</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10,688</w:t>
            </w:r>
          </w:p>
        </w:tc>
      </w:tr>
      <w:tr>
        <w:trPr>
          <w:trHeight w:val="339"/>
        </w:trPr>
        <w:tc>
          <w:tcPr>
            <w:tcW w:w="6780" w:type="dxa"/>
            <w:vAlign w:val="bottom"/>
          </w:tcPr>
          <w:p>
            <w:pPr>
              <w:spacing w:after="0"/>
              <w:rPr>
                <w:sz w:val="20"/>
                <w:szCs w:val="20"/>
                <w:color w:val="auto"/>
              </w:rPr>
            </w:pPr>
            <w:r>
              <w:rPr>
                <w:rFonts w:ascii="Courier New" w:cs="Courier New" w:eastAsia="Courier New" w:hAnsi="Courier New"/>
                <w:sz w:val="15"/>
                <w:szCs w:val="15"/>
                <w:color w:val="auto"/>
              </w:rPr>
              <w:t>Deferred revenue</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12,938</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14,801</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Capital lease obligations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1,457</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2,077</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Note payable</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1,609</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1,675</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282</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242</w:t>
            </w:r>
          </w:p>
        </w:tc>
      </w:tr>
      <w:tr>
        <w:trPr>
          <w:trHeight w:val="339"/>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9"/>
        </w:trPr>
        <w:tc>
          <w:tcPr>
            <w:tcW w:w="67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6780" w:type="dxa"/>
            <w:vAlign w:val="bottom"/>
          </w:tcPr>
          <w:p>
            <w:pPr>
              <w:ind w:left="340"/>
              <w:spacing w:after="0"/>
              <w:rPr>
                <w:sz w:val="20"/>
                <w:szCs w:val="20"/>
                <w:color w:val="auto"/>
              </w:rPr>
            </w:pPr>
            <w:r>
              <w:rPr>
                <w:rFonts w:ascii="Courier New" w:cs="Courier New" w:eastAsia="Courier New" w:hAnsi="Courier New"/>
                <w:sz w:val="15"/>
                <w:szCs w:val="15"/>
                <w:color w:val="auto"/>
              </w:rPr>
              <w:t>Preferred stock, $.01 par value; 30,000,000 shares authorized;</w:t>
            </w: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6780" w:type="dxa"/>
            <w:vAlign w:val="bottom"/>
          </w:tcPr>
          <w:p>
            <w:pPr>
              <w:ind w:left="600"/>
              <w:spacing w:after="0"/>
              <w:rPr>
                <w:sz w:val="20"/>
                <w:szCs w:val="20"/>
                <w:color w:val="auto"/>
              </w:rPr>
            </w:pPr>
            <w:r>
              <w:rPr>
                <w:rFonts w:ascii="Courier New" w:cs="Courier New" w:eastAsia="Courier New" w:hAnsi="Courier New"/>
                <w:sz w:val="15"/>
                <w:szCs w:val="15"/>
                <w:color w:val="auto"/>
              </w:rPr>
              <w:t>issued and outstanding - none</w:t>
            </w: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6780" w:type="dxa"/>
            <w:vAlign w:val="bottom"/>
          </w:tcPr>
          <w:p>
            <w:pPr>
              <w:ind w:left="340"/>
              <w:spacing w:after="0"/>
              <w:rPr>
                <w:sz w:val="20"/>
                <w:szCs w:val="20"/>
                <w:color w:val="auto"/>
              </w:rPr>
            </w:pPr>
            <w:r>
              <w:rPr>
                <w:rFonts w:ascii="Courier New" w:cs="Courier New" w:eastAsia="Courier New" w:hAnsi="Courier New"/>
                <w:sz w:val="15"/>
                <w:szCs w:val="15"/>
                <w:color w:val="auto"/>
              </w:rPr>
              <w:t>Class A Stock, convertible, $.001 par value; 40,000,000 shares</w:t>
            </w: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6780" w:type="dxa"/>
            <w:vAlign w:val="bottom"/>
          </w:tcPr>
          <w:p>
            <w:pPr>
              <w:ind w:left="600"/>
              <w:spacing w:after="0"/>
              <w:rPr>
                <w:sz w:val="20"/>
                <w:szCs w:val="20"/>
                <w:color w:val="auto"/>
              </w:rPr>
            </w:pPr>
            <w:r>
              <w:rPr>
                <w:rFonts w:ascii="Courier New" w:cs="Courier New" w:eastAsia="Courier New" w:hAnsi="Courier New"/>
                <w:sz w:val="15"/>
                <w:szCs w:val="15"/>
                <w:color w:val="auto"/>
              </w:rPr>
              <w:t>authorized;</w:t>
            </w: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6780" w:type="dxa"/>
            <w:vAlign w:val="bottom"/>
          </w:tcPr>
          <w:p>
            <w:pPr>
              <w:jc w:val="right"/>
              <w:ind w:right="1787"/>
              <w:spacing w:after="0"/>
              <w:rPr>
                <w:sz w:val="20"/>
                <w:szCs w:val="20"/>
                <w:color w:val="auto"/>
              </w:rPr>
            </w:pPr>
            <w:r>
              <w:rPr>
                <w:rFonts w:ascii="Courier New" w:cs="Courier New" w:eastAsia="Courier New" w:hAnsi="Courier New"/>
                <w:sz w:val="15"/>
                <w:szCs w:val="15"/>
                <w:color w:val="auto"/>
              </w:rPr>
              <w:t>3,630,786 shares issued and outstanding in 1998</w:t>
            </w: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6780" w:type="dxa"/>
            <w:vAlign w:val="bottom"/>
          </w:tcPr>
          <w:p>
            <w:pPr>
              <w:jc w:val="right"/>
              <w:ind w:right="1787"/>
              <w:spacing w:after="0"/>
              <w:rPr>
                <w:sz w:val="20"/>
                <w:szCs w:val="20"/>
                <w:color w:val="auto"/>
              </w:rPr>
            </w:pPr>
            <w:r>
              <w:rPr>
                <w:rFonts w:ascii="Courier New" w:cs="Courier New" w:eastAsia="Courier New" w:hAnsi="Courier New"/>
                <w:sz w:val="15"/>
                <w:szCs w:val="15"/>
                <w:color w:val="auto"/>
              </w:rPr>
              <w:t>4,117,540 shares issued and outstanding in 1997</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r>
      <w:tr>
        <w:trPr>
          <w:trHeight w:val="170"/>
        </w:trPr>
        <w:tc>
          <w:tcPr>
            <w:tcW w:w="6780" w:type="dxa"/>
            <w:vAlign w:val="bottom"/>
          </w:tcPr>
          <w:p>
            <w:pPr>
              <w:ind w:left="340"/>
              <w:spacing w:after="0"/>
              <w:rPr>
                <w:sz w:val="20"/>
                <w:szCs w:val="20"/>
                <w:color w:val="auto"/>
              </w:rPr>
            </w:pPr>
            <w:r>
              <w:rPr>
                <w:rFonts w:ascii="Courier New" w:cs="Courier New" w:eastAsia="Courier New" w:hAnsi="Courier New"/>
                <w:sz w:val="15"/>
                <w:szCs w:val="15"/>
                <w:color w:val="auto"/>
              </w:rPr>
              <w:t>Common Stock, $.001 par value; 60,000,000 shares authorized;</w:t>
            </w: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6780" w:type="dxa"/>
            <w:vAlign w:val="bottom"/>
          </w:tcPr>
          <w:p>
            <w:pPr>
              <w:jc w:val="right"/>
              <w:ind w:right="1787"/>
              <w:spacing w:after="0"/>
              <w:rPr>
                <w:sz w:val="20"/>
                <w:szCs w:val="20"/>
                <w:color w:val="auto"/>
              </w:rPr>
            </w:pPr>
            <w:r>
              <w:rPr>
                <w:rFonts w:ascii="Courier New" w:cs="Courier New" w:eastAsia="Courier New" w:hAnsi="Courier New"/>
                <w:sz w:val="15"/>
                <w:szCs w:val="15"/>
                <w:color w:val="auto"/>
              </w:rPr>
              <w:t>27,386,858 shares issued and outstanding in 1998</w:t>
            </w: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6780" w:type="dxa"/>
            <w:vAlign w:val="bottom"/>
          </w:tcPr>
          <w:p>
            <w:pPr>
              <w:jc w:val="right"/>
              <w:ind w:right="1787"/>
              <w:spacing w:after="0"/>
              <w:rPr>
                <w:sz w:val="20"/>
                <w:szCs w:val="20"/>
                <w:color w:val="auto"/>
              </w:rPr>
            </w:pPr>
            <w:r>
              <w:rPr>
                <w:rFonts w:ascii="Courier New" w:cs="Courier New" w:eastAsia="Courier New" w:hAnsi="Courier New"/>
                <w:sz w:val="15"/>
                <w:szCs w:val="15"/>
                <w:color w:val="auto"/>
              </w:rPr>
              <w:t>26,804,941 shares issued and outstanding in 1997</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w:t>
            </w:r>
          </w:p>
        </w:tc>
      </w:tr>
      <w:tr>
        <w:trPr>
          <w:trHeight w:val="170"/>
        </w:trPr>
        <w:tc>
          <w:tcPr>
            <w:tcW w:w="6780" w:type="dxa"/>
            <w:vAlign w:val="bottom"/>
          </w:tcPr>
          <w:p>
            <w:pPr>
              <w:ind w:left="340"/>
              <w:spacing w:after="0"/>
              <w:rPr>
                <w:sz w:val="20"/>
                <w:szCs w:val="20"/>
                <w:color w:val="auto"/>
              </w:rPr>
            </w:pPr>
            <w:r>
              <w:rPr>
                <w:rFonts w:ascii="Courier New" w:cs="Courier New" w:eastAsia="Courier New" w:hAnsi="Courier New"/>
                <w:sz w:val="15"/>
                <w:szCs w:val="15"/>
                <w:color w:val="auto"/>
              </w:rPr>
              <w:t>Additional paid-in capital</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308,561</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308,109</w:t>
            </w:r>
          </w:p>
        </w:tc>
      </w:tr>
      <w:tr>
        <w:trPr>
          <w:trHeight w:val="170"/>
        </w:trPr>
        <w:tc>
          <w:tcPr>
            <w:tcW w:w="6780" w:type="dxa"/>
            <w:vAlign w:val="bottom"/>
          </w:tcPr>
          <w:p>
            <w:pPr>
              <w:ind w:left="340"/>
              <w:spacing w:after="0"/>
              <w:rPr>
                <w:sz w:val="20"/>
                <w:szCs w:val="20"/>
                <w:color w:val="auto"/>
              </w:rPr>
            </w:pPr>
            <w:r>
              <w:rPr>
                <w:rFonts w:ascii="Courier New" w:cs="Courier New" w:eastAsia="Courier New" w:hAnsi="Courier New"/>
                <w:sz w:val="15"/>
                <w:szCs w:val="15"/>
                <w:color w:val="auto"/>
              </w:rPr>
              <w:t>Unearned compensation</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0"/>
        </w:trPr>
        <w:tc>
          <w:tcPr>
            <w:tcW w:w="6780" w:type="dxa"/>
            <w:vAlign w:val="bottom"/>
          </w:tcPr>
          <w:p>
            <w:pPr>
              <w:ind w:left="340"/>
              <w:spacing w:after="0"/>
              <w:rPr>
                <w:sz w:val="20"/>
                <w:szCs w:val="20"/>
                <w:color w:val="auto"/>
              </w:rPr>
            </w:pPr>
            <w:r>
              <w:rPr>
                <w:rFonts w:ascii="Courier New" w:cs="Courier New" w:eastAsia="Courier New" w:hAnsi="Courier New"/>
                <w:sz w:val="15"/>
                <w:szCs w:val="15"/>
                <w:color w:val="auto"/>
              </w:rPr>
              <w:t>Accumulated deficit</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(177,233)</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(168,608)</w:t>
            </w:r>
          </w:p>
        </w:tc>
      </w:tr>
      <w:tr>
        <w:trPr>
          <w:trHeight w:val="170"/>
        </w:trPr>
        <w:tc>
          <w:tcPr>
            <w:tcW w:w="6780" w:type="dxa"/>
            <w:vAlign w:val="bottom"/>
          </w:tcPr>
          <w:p>
            <w:pPr>
              <w:ind w:left="340"/>
              <w:spacing w:after="0"/>
              <w:rPr>
                <w:sz w:val="20"/>
                <w:szCs w:val="20"/>
                <w:color w:val="auto"/>
              </w:rPr>
            </w:pPr>
            <w:r>
              <w:rPr>
                <w:rFonts w:ascii="Courier New" w:cs="Courier New" w:eastAsia="Courier New" w:hAnsi="Courier New"/>
                <w:sz w:val="15"/>
                <w:szCs w:val="15"/>
                <w:color w:val="auto"/>
              </w:rPr>
              <w:t>Accumulated other comprehensive income</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228</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w:t>
            </w:r>
          </w:p>
        </w:tc>
      </w:tr>
      <w:tr>
        <w:trPr>
          <w:trHeight w:val="170"/>
        </w:trPr>
        <w:tc>
          <w:tcPr>
            <w:tcW w:w="6780" w:type="dxa"/>
            <w:vAlign w:val="bottom"/>
          </w:tcPr>
          <w:p>
            <w:pPr>
              <w:spacing w:after="0"/>
              <w:rPr>
                <w:sz w:val="14"/>
                <w:szCs w:val="14"/>
                <w:color w:val="auto"/>
              </w:rPr>
            </w:pPr>
          </w:p>
        </w:tc>
        <w:tc>
          <w:tcPr>
            <w:tcW w:w="15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w:t>
            </w:r>
          </w:p>
        </w:tc>
        <w:tc>
          <w:tcPr>
            <w:tcW w:w="14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6780" w:type="dxa"/>
            <w:vAlign w:val="bottom"/>
          </w:tcPr>
          <w:p>
            <w:pPr>
              <w:ind w:left="600"/>
              <w:spacing w:after="0"/>
              <w:rPr>
                <w:sz w:val="20"/>
                <w:szCs w:val="20"/>
                <w:color w:val="auto"/>
              </w:rPr>
            </w:pPr>
            <w:r>
              <w:rPr>
                <w:rFonts w:ascii="Courier New" w:cs="Courier New" w:eastAsia="Courier New" w:hAnsi="Courier New"/>
                <w:sz w:val="15"/>
                <w:szCs w:val="15"/>
                <w:color w:val="auto"/>
              </w:rPr>
              <w:t>Total stockholders' equity</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131,227</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138,897</w:t>
            </w:r>
          </w:p>
        </w:tc>
      </w:tr>
      <w:tr>
        <w:trPr>
          <w:trHeight w:val="170"/>
        </w:trPr>
        <w:tc>
          <w:tcPr>
            <w:tcW w:w="6780" w:type="dxa"/>
            <w:vAlign w:val="bottom"/>
          </w:tcPr>
          <w:p>
            <w:pPr>
              <w:spacing w:after="0"/>
              <w:rPr>
                <w:sz w:val="14"/>
                <w:szCs w:val="14"/>
                <w:color w:val="auto"/>
              </w:rPr>
            </w:pPr>
          </w:p>
        </w:tc>
        <w:tc>
          <w:tcPr>
            <w:tcW w:w="15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w:t>
            </w:r>
          </w:p>
        </w:tc>
        <w:tc>
          <w:tcPr>
            <w:tcW w:w="14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6780" w:type="dxa"/>
            <w:vAlign w:val="bottom"/>
          </w:tcPr>
          <w:p>
            <w:pPr>
              <w:ind w:left="60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$156,915</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$168,380</w:t>
            </w:r>
          </w:p>
        </w:tc>
      </w:tr>
      <w:tr>
        <w:trPr>
          <w:trHeight w:val="170"/>
        </w:trPr>
        <w:tc>
          <w:tcPr>
            <w:tcW w:w="6780" w:type="dxa"/>
            <w:vAlign w:val="bottom"/>
          </w:tcPr>
          <w:p>
            <w:pPr>
              <w:spacing w:after="0"/>
              <w:rPr>
                <w:sz w:val="14"/>
                <w:szCs w:val="14"/>
                <w:color w:val="auto"/>
              </w:rPr>
            </w:pPr>
          </w:p>
        </w:tc>
        <w:tc>
          <w:tcPr>
            <w:tcW w:w="15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w:t>
            </w:r>
          </w:p>
        </w:tc>
        <w:tc>
          <w:tcPr>
            <w:tcW w:w="14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w:t>
            </w:r>
          </w:p>
        </w:tc>
      </w:tr>
    </w:tbl>
    <w:p>
      <w:pPr>
        <w:spacing w:after="0" w:line="33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34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622" w:right="1440" w:bottom="1440" w:gutter="0" w:footer="0" w:header="0"/>
        </w:sectPr>
      </w:pPr>
    </w:p>
    <w:bookmarkStart w:id="38" w:name="page39"/>
    <w:bookmarkEnd w:id="38"/>
    <w:p>
      <w:pPr>
        <w:jc w:val="center"/>
        <w:ind w:right="3700"/>
        <w:spacing w:after="0"/>
        <w:rPr>
          <w:sz w:val="20"/>
          <w:szCs w:val="20"/>
          <w:color w:val="auto"/>
        </w:rPr>
      </w:pPr>
      <w:r>
        <w:rPr>
          <w:rFonts w:ascii="Courier New" w:cs="Courier New" w:eastAsia="Courier New" w:hAnsi="Courier New"/>
          <w:sz w:val="15"/>
          <w:szCs w:val="15"/>
          <w:color w:val="auto"/>
        </w:rPr>
        <w:t>REGENERON PHARMACEUTICALS, INC.</w:t>
      </w:r>
    </w:p>
    <w:p>
      <w:pPr>
        <w:jc w:val="center"/>
        <w:ind w:right="3800"/>
        <w:spacing w:after="0"/>
        <w:rPr>
          <w:sz w:val="20"/>
          <w:szCs w:val="20"/>
          <w:color w:val="auto"/>
        </w:rPr>
      </w:pPr>
      <w:r>
        <w:rPr>
          <w:rFonts w:ascii="Courier New" w:cs="Courier New" w:eastAsia="Courier New" w:hAnsi="Courier New"/>
          <w:sz w:val="15"/>
          <w:szCs w:val="15"/>
          <w:color w:val="auto"/>
        </w:rPr>
        <w:t>STATEMENTS OF OPERATIONS</w:t>
      </w:r>
    </w:p>
    <w:p>
      <w:pPr>
        <w:jc w:val="center"/>
        <w:ind w:right="3700"/>
        <w:spacing w:after="0"/>
        <w:rPr>
          <w:sz w:val="20"/>
          <w:szCs w:val="20"/>
          <w:color w:val="auto"/>
        </w:rPr>
      </w:pPr>
      <w:r>
        <w:rPr>
          <w:rFonts w:ascii="Courier New" w:cs="Courier New" w:eastAsia="Courier New" w:hAnsi="Courier New"/>
          <w:sz w:val="15"/>
          <w:szCs w:val="15"/>
          <w:color w:val="auto"/>
        </w:rPr>
        <w:t>for the years ended December 31, 1998, 1997, and 1996</w:t>
      </w:r>
    </w:p>
    <w:p>
      <w:pPr>
        <w:jc w:val="center"/>
        <w:ind w:right="3700"/>
        <w:spacing w:after="0" w:line="238" w:lineRule="auto"/>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27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1998</w:t>
            </w:r>
          </w:p>
        </w:tc>
        <w:tc>
          <w:tcPr>
            <w:tcW w:w="19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1997</w:t>
            </w:r>
          </w:p>
        </w:tc>
        <w:tc>
          <w:tcPr>
            <w:tcW w:w="19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4260" w:type="dxa"/>
            <w:vAlign w:val="bottom"/>
          </w:tcPr>
          <w:p>
            <w:pPr>
              <w:spacing w:after="0"/>
              <w:rPr>
                <w:sz w:val="14"/>
                <w:szCs w:val="14"/>
                <w:color w:val="auto"/>
              </w:rPr>
            </w:pPr>
          </w:p>
        </w:tc>
        <w:tc>
          <w:tcPr>
            <w:tcW w:w="2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78"/>
        </w:trPr>
        <w:tc>
          <w:tcPr>
            <w:tcW w:w="42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7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70"/>
        </w:trPr>
        <w:tc>
          <w:tcPr>
            <w:tcW w:w="4260" w:type="dxa"/>
            <w:vAlign w:val="bottom"/>
          </w:tcPr>
          <w:p>
            <w:pPr>
              <w:ind w:left="520"/>
              <w:spacing w:after="0"/>
              <w:rPr>
                <w:sz w:val="20"/>
                <w:szCs w:val="20"/>
                <w:color w:val="auto"/>
              </w:rPr>
            </w:pPr>
            <w:r>
              <w:rPr>
                <w:rFonts w:ascii="Courier New" w:cs="Courier New" w:eastAsia="Courier New" w:hAnsi="Courier New"/>
                <w:sz w:val="15"/>
                <w:szCs w:val="15"/>
                <w:color w:val="auto"/>
              </w:rPr>
              <w:t>Contract research and development</w:t>
            </w:r>
          </w:p>
        </w:tc>
        <w:tc>
          <w:tcPr>
            <w:tcW w:w="27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$19,714</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$17,400</w:t>
            </w:r>
          </w:p>
        </w:tc>
        <w:tc>
          <w:tcPr>
            <w:tcW w:w="1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$17,303</w:t>
            </w:r>
          </w:p>
        </w:tc>
      </w:tr>
      <w:tr>
        <w:trPr>
          <w:trHeight w:val="170"/>
        </w:trPr>
        <w:tc>
          <w:tcPr>
            <w:tcW w:w="4260" w:type="dxa"/>
            <w:vAlign w:val="bottom"/>
          </w:tcPr>
          <w:p>
            <w:pPr>
              <w:ind w:left="520"/>
              <w:spacing w:after="0"/>
              <w:rPr>
                <w:sz w:val="20"/>
                <w:szCs w:val="20"/>
                <w:color w:val="auto"/>
              </w:rPr>
            </w:pPr>
            <w:r>
              <w:rPr>
                <w:rFonts w:ascii="Courier New" w:cs="Courier New" w:eastAsia="Courier New" w:hAnsi="Courier New"/>
                <w:sz w:val="15"/>
                <w:szCs w:val="15"/>
                <w:color w:val="auto"/>
              </w:rPr>
              <w:t>Research progress payments</w:t>
            </w:r>
          </w:p>
        </w:tc>
        <w:tc>
          <w:tcPr>
            <w:tcW w:w="27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9,500</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5,000</w:t>
            </w:r>
          </w:p>
        </w:tc>
        <w:tc>
          <w:tcPr>
            <w:tcW w:w="1900" w:type="dxa"/>
            <w:vAlign w:val="bottom"/>
          </w:tcPr>
          <w:p>
            <w:pPr>
              <w:spacing w:after="0"/>
              <w:rPr>
                <w:sz w:val="14"/>
                <w:szCs w:val="14"/>
                <w:color w:val="auto"/>
              </w:rPr>
            </w:pPr>
          </w:p>
        </w:tc>
      </w:tr>
      <w:tr>
        <w:trPr>
          <w:trHeight w:val="170"/>
        </w:trPr>
        <w:tc>
          <w:tcPr>
            <w:tcW w:w="4260" w:type="dxa"/>
            <w:vAlign w:val="bottom"/>
          </w:tcPr>
          <w:p>
            <w:pPr>
              <w:ind w:left="520"/>
              <w:spacing w:after="0"/>
              <w:rPr>
                <w:sz w:val="20"/>
                <w:szCs w:val="20"/>
                <w:color w:val="auto"/>
              </w:rPr>
            </w:pPr>
            <w:r>
              <w:rPr>
                <w:rFonts w:ascii="Courier New" w:cs="Courier New" w:eastAsia="Courier New" w:hAnsi="Courier New"/>
                <w:sz w:val="15"/>
                <w:szCs w:val="15"/>
                <w:color w:val="auto"/>
              </w:rPr>
              <w:t>Contract manufacturing</w:t>
            </w:r>
          </w:p>
        </w:tc>
        <w:tc>
          <w:tcPr>
            <w:tcW w:w="27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9,113</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4,458</w:t>
            </w:r>
          </w:p>
        </w:tc>
        <w:tc>
          <w:tcPr>
            <w:tcW w:w="1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2,451</w:t>
            </w:r>
          </w:p>
        </w:tc>
      </w:tr>
      <w:tr>
        <w:trPr>
          <w:trHeight w:val="170"/>
        </w:trPr>
        <w:tc>
          <w:tcPr>
            <w:tcW w:w="4260" w:type="dxa"/>
            <w:vAlign w:val="bottom"/>
          </w:tcPr>
          <w:p>
            <w:pPr>
              <w:ind w:left="520"/>
              <w:spacing w:after="0"/>
              <w:rPr>
                <w:sz w:val="20"/>
                <w:szCs w:val="20"/>
                <w:color w:val="auto"/>
              </w:rPr>
            </w:pPr>
            <w:r>
              <w:rPr>
                <w:rFonts w:ascii="Courier New" w:cs="Courier New" w:eastAsia="Courier New" w:hAnsi="Courier New"/>
                <w:sz w:val="15"/>
                <w:szCs w:val="15"/>
                <w:color w:val="auto"/>
              </w:rPr>
              <w:t>Investment income</w:t>
            </w:r>
          </w:p>
        </w:tc>
        <w:tc>
          <w:tcPr>
            <w:tcW w:w="27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6,866</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6,242</w:t>
            </w:r>
          </w:p>
        </w:tc>
        <w:tc>
          <w:tcPr>
            <w:tcW w:w="1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4,360</w:t>
            </w:r>
          </w:p>
        </w:tc>
      </w:tr>
      <w:tr>
        <w:trPr>
          <w:trHeight w:val="170"/>
        </w:trPr>
        <w:tc>
          <w:tcPr>
            <w:tcW w:w="4260" w:type="dxa"/>
            <w:vAlign w:val="bottom"/>
          </w:tcPr>
          <w:p>
            <w:pPr>
              <w:spacing w:after="0"/>
              <w:rPr>
                <w:sz w:val="14"/>
                <w:szCs w:val="14"/>
                <w:color w:val="auto"/>
              </w:rPr>
            </w:pPr>
          </w:p>
        </w:tc>
        <w:tc>
          <w:tcPr>
            <w:tcW w:w="2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14"/>
                <w:szCs w:val="14"/>
                <w:color w:val="auto"/>
              </w:rPr>
            </w:pPr>
          </w:p>
        </w:tc>
        <w:tc>
          <w:tcPr>
            <w:tcW w:w="27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45,193</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33,100</w:t>
            </w:r>
          </w:p>
        </w:tc>
        <w:tc>
          <w:tcPr>
            <w:tcW w:w="1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24,114</w:t>
            </w:r>
          </w:p>
        </w:tc>
      </w:tr>
      <w:tr>
        <w:trPr>
          <w:trHeight w:val="170"/>
        </w:trPr>
        <w:tc>
          <w:tcPr>
            <w:tcW w:w="4260" w:type="dxa"/>
            <w:vAlign w:val="bottom"/>
          </w:tcPr>
          <w:p>
            <w:pPr>
              <w:spacing w:after="0"/>
              <w:rPr>
                <w:sz w:val="14"/>
                <w:szCs w:val="14"/>
                <w:color w:val="auto"/>
              </w:rPr>
            </w:pPr>
          </w:p>
        </w:tc>
        <w:tc>
          <w:tcPr>
            <w:tcW w:w="2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42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27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70"/>
        </w:trPr>
        <w:tc>
          <w:tcPr>
            <w:tcW w:w="4260" w:type="dxa"/>
            <w:vAlign w:val="bottom"/>
          </w:tcPr>
          <w:p>
            <w:pPr>
              <w:ind w:left="520"/>
              <w:spacing w:after="0"/>
              <w:rPr>
                <w:sz w:val="20"/>
                <w:szCs w:val="20"/>
                <w:color w:val="auto"/>
              </w:rPr>
            </w:pPr>
            <w:r>
              <w:rPr>
                <w:rFonts w:ascii="Courier New" w:cs="Courier New" w:eastAsia="Courier New" w:hAnsi="Courier New"/>
                <w:sz w:val="15"/>
                <w:szCs w:val="15"/>
                <w:color w:val="auto"/>
              </w:rPr>
              <w:t>Research and development</w:t>
            </w:r>
          </w:p>
        </w:tc>
        <w:tc>
          <w:tcPr>
            <w:tcW w:w="27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37,047</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27,770</w:t>
            </w:r>
          </w:p>
        </w:tc>
        <w:tc>
          <w:tcPr>
            <w:tcW w:w="1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28,269</w:t>
            </w:r>
          </w:p>
        </w:tc>
      </w:tr>
      <w:tr>
        <w:trPr>
          <w:trHeight w:val="170"/>
        </w:trPr>
        <w:tc>
          <w:tcPr>
            <w:tcW w:w="4260" w:type="dxa"/>
            <w:vAlign w:val="bottom"/>
          </w:tcPr>
          <w:p>
            <w:pPr>
              <w:ind w:left="520"/>
              <w:spacing w:after="0"/>
              <w:rPr>
                <w:sz w:val="20"/>
                <w:szCs w:val="20"/>
                <w:color w:val="auto"/>
              </w:rPr>
            </w:pPr>
            <w:r>
              <w:rPr>
                <w:rFonts w:ascii="Courier New" w:cs="Courier New" w:eastAsia="Courier New" w:hAnsi="Courier New"/>
                <w:sz w:val="15"/>
                <w:szCs w:val="15"/>
                <w:color w:val="auto"/>
              </w:rPr>
              <w:t>Loss in Amgen-Regeneron Partners</w:t>
            </w:r>
          </w:p>
        </w:tc>
        <w:tc>
          <w:tcPr>
            <w:tcW w:w="27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2,484</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3,403</w:t>
            </w:r>
          </w:p>
        </w:tc>
        <w:tc>
          <w:tcPr>
            <w:tcW w:w="1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14,250</w:t>
            </w:r>
          </w:p>
        </w:tc>
      </w:tr>
      <w:tr>
        <w:trPr>
          <w:trHeight w:val="170"/>
        </w:trPr>
        <w:tc>
          <w:tcPr>
            <w:tcW w:w="4260" w:type="dxa"/>
            <w:vAlign w:val="bottom"/>
          </w:tcPr>
          <w:p>
            <w:pPr>
              <w:ind w:left="520"/>
              <w:spacing w:after="0"/>
              <w:rPr>
                <w:sz w:val="20"/>
                <w:szCs w:val="20"/>
                <w:color w:val="auto"/>
              </w:rPr>
            </w:pPr>
            <w:r>
              <w:rPr>
                <w:rFonts w:ascii="Courier New" w:cs="Courier New" w:eastAsia="Courier New" w:hAnsi="Courier New"/>
                <w:sz w:val="15"/>
                <w:szCs w:val="15"/>
                <w:color w:val="auto"/>
              </w:rPr>
              <w:t>General and administrative</w:t>
            </w:r>
          </w:p>
        </w:tc>
        <w:tc>
          <w:tcPr>
            <w:tcW w:w="27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5,838</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5,765</w:t>
            </w:r>
          </w:p>
        </w:tc>
        <w:tc>
          <w:tcPr>
            <w:tcW w:w="1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5,880</w:t>
            </w:r>
          </w:p>
        </w:tc>
      </w:tr>
      <w:tr>
        <w:trPr>
          <w:trHeight w:val="170"/>
        </w:trPr>
        <w:tc>
          <w:tcPr>
            <w:tcW w:w="4260" w:type="dxa"/>
            <w:vAlign w:val="bottom"/>
          </w:tcPr>
          <w:p>
            <w:pPr>
              <w:ind w:left="520"/>
              <w:spacing w:after="0"/>
              <w:rPr>
                <w:sz w:val="20"/>
                <w:szCs w:val="20"/>
                <w:color w:val="auto"/>
              </w:rPr>
            </w:pPr>
            <w:r>
              <w:rPr>
                <w:rFonts w:ascii="Courier New" w:cs="Courier New" w:eastAsia="Courier New" w:hAnsi="Courier New"/>
                <w:sz w:val="15"/>
                <w:szCs w:val="15"/>
                <w:color w:val="auto"/>
              </w:rPr>
              <w:t>Depreciation and amortization</w:t>
            </w:r>
          </w:p>
        </w:tc>
        <w:tc>
          <w:tcPr>
            <w:tcW w:w="27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3,019</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4,389</w:t>
            </w:r>
          </w:p>
        </w:tc>
        <w:tc>
          <w:tcPr>
            <w:tcW w:w="1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6,084</w:t>
            </w:r>
          </w:p>
        </w:tc>
      </w:tr>
      <w:tr>
        <w:trPr>
          <w:trHeight w:val="170"/>
        </w:trPr>
        <w:tc>
          <w:tcPr>
            <w:tcW w:w="4260" w:type="dxa"/>
            <w:vAlign w:val="bottom"/>
          </w:tcPr>
          <w:p>
            <w:pPr>
              <w:ind w:left="520"/>
              <w:spacing w:after="0"/>
              <w:rPr>
                <w:sz w:val="20"/>
                <w:szCs w:val="20"/>
                <w:color w:val="auto"/>
              </w:rPr>
            </w:pPr>
            <w:r>
              <w:rPr>
                <w:rFonts w:ascii="Courier New" w:cs="Courier New" w:eastAsia="Courier New" w:hAnsi="Courier New"/>
                <w:sz w:val="15"/>
                <w:szCs w:val="15"/>
                <w:color w:val="auto"/>
              </w:rPr>
              <w:t>Contract manufacturing</w:t>
            </w:r>
          </w:p>
        </w:tc>
        <w:tc>
          <w:tcPr>
            <w:tcW w:w="27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5,002</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2,617</w:t>
            </w:r>
          </w:p>
        </w:tc>
        <w:tc>
          <w:tcPr>
            <w:tcW w:w="1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1,115</w:t>
            </w:r>
          </w:p>
        </w:tc>
      </w:tr>
      <w:tr>
        <w:trPr>
          <w:trHeight w:val="170"/>
        </w:trPr>
        <w:tc>
          <w:tcPr>
            <w:tcW w:w="4260" w:type="dxa"/>
            <w:vAlign w:val="bottom"/>
          </w:tcPr>
          <w:p>
            <w:pPr>
              <w:ind w:left="520"/>
              <w:spacing w:after="0"/>
              <w:rPr>
                <w:sz w:val="20"/>
                <w:szCs w:val="20"/>
                <w:color w:val="auto"/>
              </w:rPr>
            </w:pPr>
            <w:r>
              <w:rPr>
                <w:rFonts w:ascii="Courier New" w:cs="Courier New" w:eastAsia="Courier New" w:hAnsi="Courier New"/>
                <w:sz w:val="15"/>
                <w:szCs w:val="15"/>
                <w:color w:val="auto"/>
              </w:rPr>
              <w:t>Interest</w:t>
            </w:r>
          </w:p>
        </w:tc>
        <w:tc>
          <w:tcPr>
            <w:tcW w:w="27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428</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735</w:t>
            </w:r>
          </w:p>
        </w:tc>
        <w:tc>
          <w:tcPr>
            <w:tcW w:w="1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940</w:t>
            </w:r>
          </w:p>
        </w:tc>
      </w:tr>
      <w:tr>
        <w:trPr>
          <w:trHeight w:val="170"/>
        </w:trPr>
        <w:tc>
          <w:tcPr>
            <w:tcW w:w="4260" w:type="dxa"/>
            <w:vAlign w:val="bottom"/>
          </w:tcPr>
          <w:p>
            <w:pPr>
              <w:spacing w:after="0"/>
              <w:rPr>
                <w:sz w:val="14"/>
                <w:szCs w:val="14"/>
                <w:color w:val="auto"/>
              </w:rPr>
            </w:pPr>
          </w:p>
        </w:tc>
        <w:tc>
          <w:tcPr>
            <w:tcW w:w="2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14"/>
                <w:szCs w:val="14"/>
                <w:color w:val="auto"/>
              </w:rPr>
            </w:pPr>
          </w:p>
        </w:tc>
        <w:tc>
          <w:tcPr>
            <w:tcW w:w="27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53,818</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44,679</w:t>
            </w:r>
          </w:p>
        </w:tc>
        <w:tc>
          <w:tcPr>
            <w:tcW w:w="1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56,538</w:t>
            </w:r>
          </w:p>
        </w:tc>
      </w:tr>
      <w:tr>
        <w:trPr>
          <w:trHeight w:val="170"/>
        </w:trPr>
        <w:tc>
          <w:tcPr>
            <w:tcW w:w="4260" w:type="dxa"/>
            <w:vAlign w:val="bottom"/>
          </w:tcPr>
          <w:p>
            <w:pPr>
              <w:spacing w:after="0"/>
              <w:rPr>
                <w:sz w:val="14"/>
                <w:szCs w:val="14"/>
                <w:color w:val="auto"/>
              </w:rPr>
            </w:pPr>
          </w:p>
        </w:tc>
        <w:tc>
          <w:tcPr>
            <w:tcW w:w="2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2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($8,625)</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($11,579)</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($32,424)</w:t>
            </w:r>
          </w:p>
        </w:tc>
      </w:tr>
      <w:tr>
        <w:trPr>
          <w:trHeight w:val="170"/>
        </w:trPr>
        <w:tc>
          <w:tcPr>
            <w:tcW w:w="4260" w:type="dxa"/>
            <w:vAlign w:val="bottom"/>
          </w:tcPr>
          <w:p>
            <w:pPr>
              <w:spacing w:after="0"/>
              <w:rPr>
                <w:sz w:val="14"/>
                <w:szCs w:val="14"/>
                <w:color w:val="auto"/>
              </w:rPr>
            </w:pPr>
          </w:p>
        </w:tc>
        <w:tc>
          <w:tcPr>
            <w:tcW w:w="2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60" w:type="dxa"/>
            <w:vAlign w:val="bottom"/>
          </w:tcPr>
          <w:p>
            <w:pPr>
              <w:spacing w:after="0"/>
              <w:rPr>
                <w:sz w:val="20"/>
                <w:szCs w:val="20"/>
                <w:color w:val="auto"/>
              </w:rPr>
            </w:pPr>
            <w:r>
              <w:rPr>
                <w:rFonts w:ascii="Courier New" w:cs="Courier New" w:eastAsia="Courier New" w:hAnsi="Courier New"/>
                <w:sz w:val="15"/>
                <w:szCs w:val="15"/>
                <w:color w:val="auto"/>
              </w:rPr>
              <w:t>Net loss per share, basic and diluted</w:t>
            </w:r>
          </w:p>
        </w:tc>
        <w:tc>
          <w:tcPr>
            <w:tcW w:w="2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($0.28)</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($0.40)</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r>
      <w:tr>
        <w:trPr>
          <w:trHeight w:val="170"/>
        </w:trPr>
        <w:tc>
          <w:tcPr>
            <w:tcW w:w="4260" w:type="dxa"/>
            <w:vAlign w:val="bottom"/>
          </w:tcPr>
          <w:p>
            <w:pPr>
              <w:spacing w:after="0"/>
              <w:rPr>
                <w:sz w:val="14"/>
                <w:szCs w:val="14"/>
                <w:color w:val="auto"/>
              </w:rPr>
            </w:pPr>
          </w:p>
        </w:tc>
        <w:tc>
          <w:tcPr>
            <w:tcW w:w="2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344"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840"/>
          </w:cols>
          <w:pgMar w:left="240" w:top="622" w:right="819" w:bottom="1440" w:gutter="0" w:footer="0" w:header="0"/>
        </w:sectPr>
      </w:pPr>
    </w:p>
    <w:bookmarkStart w:id="39" w:name="page40"/>
    <w:bookmarkEnd w:id="39"/>
    <w:p>
      <w:pPr>
        <w:ind w:left="2200"/>
        <w:spacing w:after="0"/>
        <w:rPr>
          <w:sz w:val="20"/>
          <w:szCs w:val="20"/>
          <w:color w:val="auto"/>
        </w:rPr>
      </w:pPr>
      <w:r>
        <w:rPr>
          <w:rFonts w:ascii="Courier New" w:cs="Courier New" w:eastAsia="Courier New" w:hAnsi="Courier New"/>
          <w:sz w:val="15"/>
          <w:szCs w:val="15"/>
          <w:color w:val="auto"/>
        </w:rPr>
        <w:t>REGENERON PHARMACEUTICALS, INC.</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STATEMENTS OF STOCKHOLDERS' EQUITY</w:t>
      </w:r>
    </w:p>
    <w:p>
      <w:pPr>
        <w:spacing w:after="0" w:line="169"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for the years ended December 31, 1998, 1997, and 1996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60" w:type="dxa"/>
            <w:vAlign w:val="bottom"/>
            <w:gridSpan w:val="2"/>
          </w:tcPr>
          <w:p>
            <w:pPr>
              <w:ind w:left="2900"/>
              <w:spacing w:after="0"/>
              <w:rPr>
                <w:sz w:val="20"/>
                <w:szCs w:val="20"/>
                <w:color w:val="auto"/>
              </w:rPr>
            </w:pPr>
            <w:r>
              <w:rPr>
                <w:rFonts w:ascii="Courier New" w:cs="Courier New" w:eastAsia="Courier New" w:hAnsi="Courier New"/>
                <w:sz w:val="15"/>
                <w:szCs w:val="15"/>
                <w:color w:val="auto"/>
              </w:rPr>
              <w:t>(In thousands)</w:t>
            </w: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678"/>
        </w:trPr>
        <w:tc>
          <w:tcPr>
            <w:tcW w:w="3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Additional</w:t>
            </w:r>
          </w:p>
        </w:tc>
        <w:tc>
          <w:tcPr>
            <w:tcW w:w="1420" w:type="dxa"/>
            <w:vAlign w:val="bottom"/>
          </w:tcPr>
          <w:p>
            <w:pPr>
              <w:spacing w:after="0"/>
              <w:rPr>
                <w:sz w:val="24"/>
                <w:szCs w:val="24"/>
                <w:color w:val="auto"/>
              </w:rPr>
            </w:pPr>
          </w:p>
        </w:tc>
      </w:tr>
      <w:tr>
        <w:trPr>
          <w:trHeight w:val="170"/>
        </w:trPr>
        <w:tc>
          <w:tcPr>
            <w:tcW w:w="3480" w:type="dxa"/>
            <w:vAlign w:val="bottom"/>
          </w:tcPr>
          <w:p>
            <w:pPr>
              <w:spacing w:after="0"/>
              <w:rPr>
                <w:sz w:val="14"/>
                <w:szCs w:val="14"/>
                <w:color w:val="auto"/>
              </w:rPr>
            </w:pPr>
          </w:p>
        </w:tc>
        <w:tc>
          <w:tcPr>
            <w:tcW w:w="21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Class A Stock</w:t>
            </w:r>
          </w:p>
        </w:tc>
        <w:tc>
          <w:tcPr>
            <w:tcW w:w="210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Common Stock</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Paid-in</w:t>
            </w:r>
          </w:p>
        </w:tc>
        <w:tc>
          <w:tcPr>
            <w:tcW w:w="14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Unearned</w:t>
            </w:r>
          </w:p>
        </w:tc>
      </w:tr>
      <w:tr>
        <w:trPr>
          <w:trHeight w:val="170"/>
        </w:trPr>
        <w:tc>
          <w:tcPr>
            <w:tcW w:w="3480" w:type="dxa"/>
            <w:vAlign w:val="bottom"/>
          </w:tcPr>
          <w:p>
            <w:pPr>
              <w:spacing w:after="0"/>
              <w:rPr>
                <w:sz w:val="14"/>
                <w:szCs w:val="14"/>
                <w:color w:val="auto"/>
              </w:rPr>
            </w:pPr>
          </w:p>
        </w:tc>
        <w:tc>
          <w:tcPr>
            <w:tcW w:w="21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480" w:type="dxa"/>
            <w:vAlign w:val="bottom"/>
          </w:tcPr>
          <w:p>
            <w:pPr>
              <w:spacing w:after="0"/>
              <w:rPr>
                <w:sz w:val="14"/>
                <w:szCs w:val="14"/>
                <w:color w:val="auto"/>
              </w:rPr>
            </w:pPr>
          </w:p>
        </w:tc>
        <w:tc>
          <w:tcPr>
            <w:tcW w:w="128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Shares</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Amount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Shares</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Amount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Capital</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Compensation</w:t>
            </w:r>
          </w:p>
        </w:tc>
      </w:tr>
      <w:tr>
        <w:trPr>
          <w:trHeight w:val="170"/>
        </w:trPr>
        <w:tc>
          <w:tcPr>
            <w:tcW w:w="348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572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7"/>
              </w:rPr>
              <w:t>---------  ----------  ----------  -------------  ---------------</w:t>
            </w:r>
          </w:p>
        </w:tc>
      </w:tr>
      <w:tr>
        <w:trPr>
          <w:trHeight w:val="509"/>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December 31, 1995</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5,404</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16,465</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$193,594</w:t>
            </w:r>
          </w:p>
        </w:tc>
        <w:tc>
          <w:tcPr>
            <w:tcW w:w="1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($1,440)</w:t>
            </w:r>
          </w:p>
        </w:tc>
      </w:tr>
      <w:tr>
        <w:trPr>
          <w:trHeight w:val="339"/>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Common Stock for</w:t>
            </w: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settlement of an obligation</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w:t>
            </w:r>
          </w:p>
        </w:tc>
        <w:tc>
          <w:tcPr>
            <w:tcW w:w="960" w:type="dxa"/>
            <w:vAlign w:val="bottom"/>
          </w:tcPr>
          <w:p>
            <w:pPr>
              <w:spacing w:after="0"/>
              <w:rPr>
                <w:sz w:val="14"/>
                <w:szCs w:val="14"/>
                <w:color w:val="auto"/>
              </w:rPr>
            </w:pP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2,000</w:t>
            </w:r>
          </w:p>
        </w:tc>
        <w:tc>
          <w:tcPr>
            <w:tcW w:w="142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Amortization of unearned compensation</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360</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equity securities to</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Amgen Inc.</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3,000</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47,997</w:t>
            </w:r>
          </w:p>
        </w:tc>
        <w:tc>
          <w:tcPr>
            <w:tcW w:w="142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equity securities to</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Medtronic, Inc.</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461</w:t>
            </w:r>
          </w:p>
        </w:tc>
        <w:tc>
          <w:tcPr>
            <w:tcW w:w="960" w:type="dxa"/>
            <w:vAlign w:val="bottom"/>
          </w:tcPr>
          <w:p>
            <w:pPr>
              <w:spacing w:after="0"/>
              <w:rPr>
                <w:sz w:val="14"/>
                <w:szCs w:val="14"/>
                <w:color w:val="auto"/>
              </w:rPr>
            </w:pP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10,000</w:t>
            </w:r>
          </w:p>
        </w:tc>
        <w:tc>
          <w:tcPr>
            <w:tcW w:w="142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Amounts received in connection with</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the Stock Purchase Agreement with</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Procter &amp; Gamble Pharmaceuticals,</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Inc.</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10,000</w:t>
            </w:r>
          </w:p>
        </w:tc>
        <w:tc>
          <w:tcPr>
            <w:tcW w:w="142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Cost associated with issuance of</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equity securities</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(205)</w:t>
            </w:r>
          </w:p>
        </w:tc>
        <w:tc>
          <w:tcPr>
            <w:tcW w:w="142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Common Stock in connection</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with exercise of stock options</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210</w:t>
            </w:r>
          </w:p>
        </w:tc>
        <w:tc>
          <w:tcPr>
            <w:tcW w:w="960" w:type="dxa"/>
            <w:vAlign w:val="bottom"/>
          </w:tcPr>
          <w:p>
            <w:pPr>
              <w:spacing w:after="0"/>
              <w:rPr>
                <w:sz w:val="14"/>
                <w:szCs w:val="14"/>
                <w:color w:val="auto"/>
              </w:rPr>
            </w:pP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1,357</w:t>
            </w:r>
          </w:p>
        </w:tc>
        <w:tc>
          <w:tcPr>
            <w:tcW w:w="142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Conversion of Class A Stock to</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(1,031)</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1,031</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Retirement of treasury stock</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w:t>
            </w: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loss, 1996</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Change in net unrealized gain</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on marketable securities</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480" w:type="dxa"/>
            <w:vAlign w:val="bottom"/>
          </w:tcPr>
          <w:p>
            <w:pPr>
              <w:spacing w:after="0"/>
              <w:rPr>
                <w:sz w:val="14"/>
                <w:szCs w:val="14"/>
                <w:color w:val="auto"/>
              </w:rPr>
            </w:pPr>
          </w:p>
        </w:tc>
        <w:tc>
          <w:tcPr>
            <w:tcW w:w="7000" w:type="dxa"/>
            <w:vAlign w:val="bottom"/>
            <w:gridSpan w:val="6"/>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480" w:type="dxa"/>
            <w:vAlign w:val="bottom"/>
          </w:tcPr>
          <w:p>
            <w:pPr>
              <w:ind w:left="700"/>
              <w:spacing w:after="0"/>
              <w:rPr>
                <w:sz w:val="20"/>
                <w:szCs w:val="20"/>
                <w:color w:val="auto"/>
              </w:rPr>
            </w:pPr>
            <w:r>
              <w:rPr>
                <w:rFonts w:ascii="Courier New" w:cs="Courier New" w:eastAsia="Courier New" w:hAnsi="Courier New"/>
                <w:sz w:val="15"/>
                <w:szCs w:val="15"/>
                <w:color w:val="auto"/>
              </w:rPr>
              <w:t>Balance, December 31, 1996</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4,356</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21,320</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264,743</w:t>
            </w:r>
          </w:p>
        </w:tc>
        <w:tc>
          <w:tcPr>
            <w:tcW w:w="1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(1,080)</w:t>
            </w:r>
          </w:p>
        </w:tc>
      </w:tr>
      <w:tr>
        <w:trPr>
          <w:trHeight w:val="509"/>
        </w:trPr>
        <w:tc>
          <w:tcPr>
            <w:tcW w:w="3480" w:type="dxa"/>
            <w:vAlign w:val="bottom"/>
          </w:tcPr>
          <w:p>
            <w:pPr>
              <w:spacing w:after="0"/>
              <w:rPr>
                <w:sz w:val="20"/>
                <w:szCs w:val="20"/>
                <w:color w:val="auto"/>
              </w:rPr>
            </w:pPr>
            <w:r>
              <w:rPr>
                <w:rFonts w:ascii="Courier New" w:cs="Courier New" w:eastAsia="Courier New" w:hAnsi="Courier New"/>
                <w:sz w:val="15"/>
                <w:szCs w:val="15"/>
                <w:color w:val="auto"/>
              </w:rPr>
              <w:t>Amortization of unearned compensation</w:t>
            </w: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360</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Shares issued to Procter &amp; Gamble</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Pharmaceuticals, Inc. in connection</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with the 1996 Stock Purchase</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Agreement</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800</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c>
          <w:tcPr>
            <w:tcW w:w="142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equity securities to The</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Proctor &amp; Gamble Company</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4,350</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42,930</w:t>
            </w:r>
          </w:p>
        </w:tc>
        <w:tc>
          <w:tcPr>
            <w:tcW w:w="142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Cost associated with issuance of</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equity securities</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w:t>
            </w:r>
          </w:p>
        </w:tc>
        <w:tc>
          <w:tcPr>
            <w:tcW w:w="142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Common Stock in connection</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with exercise of stock options</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97</w:t>
            </w:r>
          </w:p>
        </w:tc>
        <w:tc>
          <w:tcPr>
            <w:tcW w:w="960" w:type="dxa"/>
            <w:vAlign w:val="bottom"/>
          </w:tcPr>
          <w:p>
            <w:pPr>
              <w:spacing w:after="0"/>
              <w:rPr>
                <w:sz w:val="14"/>
                <w:szCs w:val="14"/>
                <w:color w:val="auto"/>
              </w:rPr>
            </w:pP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468</w:t>
            </w:r>
          </w:p>
        </w:tc>
        <w:tc>
          <w:tcPr>
            <w:tcW w:w="142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Conversion of Class A Stock to</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Common Stock</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(238)</w:t>
            </w:r>
          </w:p>
        </w:tc>
        <w:tc>
          <w:tcPr>
            <w:tcW w:w="8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238</w:t>
            </w: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loss, 1997</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Change in net unrealized gain</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on marketable securities</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480" w:type="dxa"/>
            <w:vAlign w:val="bottom"/>
          </w:tcPr>
          <w:p>
            <w:pPr>
              <w:spacing w:after="0"/>
              <w:rPr>
                <w:sz w:val="14"/>
                <w:szCs w:val="14"/>
                <w:color w:val="auto"/>
              </w:rPr>
            </w:pPr>
          </w:p>
        </w:tc>
        <w:tc>
          <w:tcPr>
            <w:tcW w:w="7000" w:type="dxa"/>
            <w:vAlign w:val="bottom"/>
            <w:gridSpan w:val="6"/>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480" w:type="dxa"/>
            <w:vAlign w:val="bottom"/>
          </w:tcPr>
          <w:p>
            <w:pPr>
              <w:ind w:left="700"/>
              <w:spacing w:after="0"/>
              <w:rPr>
                <w:sz w:val="20"/>
                <w:szCs w:val="20"/>
                <w:color w:val="auto"/>
              </w:rPr>
            </w:pPr>
            <w:r>
              <w:rPr>
                <w:rFonts w:ascii="Courier New" w:cs="Courier New" w:eastAsia="Courier New" w:hAnsi="Courier New"/>
                <w:sz w:val="15"/>
                <w:szCs w:val="15"/>
                <w:color w:val="auto"/>
              </w:rPr>
              <w:t>Balance, December 31, 1997</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4,118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26,805</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308,109</w:t>
            </w:r>
          </w:p>
        </w:tc>
        <w:tc>
          <w:tcPr>
            <w:tcW w:w="1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(720)</w:t>
            </w:r>
          </w:p>
        </w:tc>
      </w:tr>
      <w:tr>
        <w:trPr>
          <w:trHeight w:val="509"/>
        </w:trPr>
        <w:tc>
          <w:tcPr>
            <w:tcW w:w="3480" w:type="dxa"/>
            <w:vAlign w:val="bottom"/>
          </w:tcPr>
          <w:p>
            <w:pPr>
              <w:spacing w:after="0"/>
              <w:rPr>
                <w:sz w:val="20"/>
                <w:szCs w:val="20"/>
                <w:color w:val="auto"/>
              </w:rPr>
            </w:pPr>
            <w:r>
              <w:rPr>
                <w:rFonts w:ascii="Courier New" w:cs="Courier New" w:eastAsia="Courier New" w:hAnsi="Courier New"/>
                <w:sz w:val="15"/>
                <w:szCs w:val="15"/>
                <w:color w:val="auto"/>
              </w:rPr>
              <w:t>Amortization of unearned compensation</w:t>
            </w: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360</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Common Stock in connection</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with exercise of stock options</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w:t>
            </w:r>
          </w:p>
        </w:tc>
        <w:tc>
          <w:tcPr>
            <w:tcW w:w="960" w:type="dxa"/>
            <w:vAlign w:val="bottom"/>
          </w:tcPr>
          <w:p>
            <w:pPr>
              <w:spacing w:after="0"/>
              <w:rPr>
                <w:sz w:val="14"/>
                <w:szCs w:val="14"/>
                <w:color w:val="auto"/>
              </w:rPr>
            </w:pP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452</w:t>
            </w:r>
          </w:p>
        </w:tc>
        <w:tc>
          <w:tcPr>
            <w:tcW w:w="142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Conversion of Class A Stock to</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Common Stock</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(487)</w:t>
            </w:r>
          </w:p>
        </w:tc>
        <w:tc>
          <w:tcPr>
            <w:tcW w:w="8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487</w:t>
            </w: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loss, 1998</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Change in net unrealized gain</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on marketable securities</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480" w:type="dxa"/>
            <w:vAlign w:val="bottom"/>
          </w:tcPr>
          <w:p>
            <w:pPr>
              <w:spacing w:after="0"/>
              <w:rPr>
                <w:sz w:val="14"/>
                <w:szCs w:val="14"/>
                <w:color w:val="auto"/>
              </w:rPr>
            </w:pPr>
          </w:p>
        </w:tc>
        <w:tc>
          <w:tcPr>
            <w:tcW w:w="7000" w:type="dxa"/>
            <w:vAlign w:val="bottom"/>
            <w:gridSpan w:val="6"/>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480" w:type="dxa"/>
            <w:vAlign w:val="bottom"/>
          </w:tcPr>
          <w:p>
            <w:pPr>
              <w:ind w:left="700"/>
              <w:spacing w:after="0"/>
              <w:rPr>
                <w:sz w:val="20"/>
                <w:szCs w:val="20"/>
                <w:color w:val="auto"/>
              </w:rPr>
            </w:pPr>
            <w:r>
              <w:rPr>
                <w:rFonts w:ascii="Courier New" w:cs="Courier New" w:eastAsia="Courier New" w:hAnsi="Courier New"/>
                <w:sz w:val="15"/>
                <w:szCs w:val="15"/>
                <w:color w:val="auto"/>
              </w:rPr>
              <w:t>Balance, December 31, 1998</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3,631</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27,387</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$308,561</w:t>
            </w:r>
          </w:p>
        </w:tc>
        <w:tc>
          <w:tcPr>
            <w:tcW w:w="1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($360)</w:t>
            </w:r>
          </w:p>
        </w:tc>
      </w:tr>
      <w:tr>
        <w:trPr>
          <w:trHeight w:val="170"/>
        </w:trPr>
        <w:tc>
          <w:tcPr>
            <w:tcW w:w="3480" w:type="dxa"/>
            <w:vAlign w:val="bottom"/>
          </w:tcPr>
          <w:p>
            <w:pPr>
              <w:spacing w:after="0"/>
              <w:rPr>
                <w:sz w:val="14"/>
                <w:szCs w:val="14"/>
                <w:color w:val="auto"/>
              </w:rPr>
            </w:pPr>
          </w:p>
        </w:tc>
        <w:tc>
          <w:tcPr>
            <w:tcW w:w="7000" w:type="dxa"/>
            <w:vAlign w:val="bottom"/>
            <w:gridSpan w:val="6"/>
          </w:tcPr>
          <w:p>
            <w:pPr>
              <w:ind w:left="120"/>
              <w:spacing w:after="0"/>
              <w:rPr>
                <w:sz w:val="20"/>
                <w:szCs w:val="20"/>
                <w:color w:val="auto"/>
              </w:rPr>
            </w:pPr>
            <w:r>
              <w:rPr>
                <w:rFonts w:ascii="Courier New" w:cs="Courier New" w:eastAsia="Courier New" w:hAnsi="Courier New"/>
                <w:sz w:val="15"/>
                <w:szCs w:val="15"/>
                <w:color w:val="auto"/>
                <w:w w:val="97"/>
              </w:rPr>
              <w:t>==============================================================================</w:t>
            </w:r>
          </w:p>
        </w:tc>
      </w:tr>
    </w:tbl>
    <w:p>
      <w:pPr>
        <w:spacing w:after="0" w:line="200" w:lineRule="exact"/>
        <w:rPr>
          <w:sz w:val="20"/>
          <w:szCs w:val="20"/>
          <w:color w:val="auto"/>
        </w:rPr>
      </w:pPr>
    </w:p>
    <w:p>
      <w:pPr>
        <w:sectPr>
          <w:pgSz w:w="11900" w:h="16838" w:orient="portrait"/>
          <w:cols w:equalWidth="0" w:num="1">
            <w:col w:w="11520"/>
          </w:cols>
          <w:pgMar w:left="240" w:top="452" w:right="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Accumulated</w:t>
      </w:r>
    </w:p>
    <w:p>
      <w:pPr>
        <w:spacing w:after="0" w:line="169"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Deficit</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Accumulated Other</w:t>
      </w:r>
    </w:p>
    <w:p>
      <w:pPr>
        <w:ind w:left="260"/>
        <w:spacing w:after="0"/>
        <w:rPr>
          <w:sz w:val="20"/>
          <w:szCs w:val="20"/>
          <w:color w:val="auto"/>
        </w:rPr>
      </w:pPr>
      <w:r>
        <w:rPr>
          <w:rFonts w:ascii="Courier New" w:cs="Courier New" w:eastAsia="Courier New" w:hAnsi="Courier New"/>
          <w:sz w:val="15"/>
          <w:szCs w:val="15"/>
          <w:color w:val="auto"/>
        </w:rPr>
        <w:t>Comprehensive</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Income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Class A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Held in Treasury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p>
    <w:p>
      <w:pPr>
        <w:spacing w:after="0" w:line="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Equity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Comprehensive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5">
            <w:col w:w="5020" w:space="180"/>
            <w:col w:w="1760" w:space="260"/>
            <w:col w:w="1400" w:space="180"/>
            <w:col w:w="1160" w:space="160"/>
            <w:col w:w="1400"/>
          </w:cols>
          <w:pgMar w:left="240" w:top="452" w:right="139" w:bottom="0" w:gutter="0" w:footer="0" w:header="0"/>
          <w:type w:val="continuous"/>
        </w:sectPr>
      </w:pP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December 31, 1995</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($124,605)</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$286</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1660"/>
        <w:spacing w:after="0"/>
        <w:rPr>
          <w:sz w:val="20"/>
          <w:szCs w:val="20"/>
          <w:color w:val="auto"/>
        </w:rPr>
      </w:pPr>
      <w:r>
        <w:rPr>
          <w:rFonts w:ascii="Courier New" w:cs="Courier New" w:eastAsia="Courier New" w:hAnsi="Courier New"/>
          <w:sz w:val="14"/>
          <w:szCs w:val="14"/>
          <w:color w:val="auto"/>
        </w:rPr>
        <w:t>$67,857</w:t>
      </w:r>
    </w:p>
    <w:p>
      <w:pPr>
        <w:spacing w:after="0" w:line="174" w:lineRule="exact"/>
        <w:rPr>
          <w:sz w:val="20"/>
          <w:szCs w:val="20"/>
          <w:color w:val="auto"/>
        </w:rPr>
      </w:pPr>
    </w:p>
    <w:p>
      <w:pPr>
        <w:sectPr>
          <w:pgSz w:w="11900" w:h="16838" w:orient="portrait"/>
          <w:cols w:equalWidth="0" w:num="5">
            <w:col w:w="3420" w:space="720"/>
            <w:col w:w="1660" w:space="720"/>
            <w:col w:w="340" w:space="620"/>
            <w:col w:w="1040" w:space="720"/>
            <w:col w:w="2280"/>
          </w:cols>
          <w:pgMar w:left="240" w:top="452" w:right="13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Issuance of Common Stock for</w:t>
      </w:r>
    </w:p>
    <w:p>
      <w:pPr>
        <w:ind w:left="160"/>
        <w:spacing w:after="0"/>
        <w:rPr>
          <w:sz w:val="20"/>
          <w:szCs w:val="20"/>
          <w:color w:val="auto"/>
        </w:rPr>
      </w:pPr>
      <w:r>
        <w:rPr>
          <w:rFonts w:ascii="Courier New" w:cs="Courier New" w:eastAsia="Courier New" w:hAnsi="Courier New"/>
          <w:sz w:val="15"/>
          <w:szCs w:val="15"/>
          <w:color w:val="auto"/>
        </w:rPr>
        <w:t>settlement of an obligation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Amortization of unearned compensation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Issuance of equity securities to</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right"/>
        <w:ind w:right="1660"/>
        <w:spacing w:after="0"/>
        <w:rPr>
          <w:sz w:val="20"/>
          <w:szCs w:val="20"/>
          <w:color w:val="auto"/>
        </w:rPr>
      </w:pPr>
      <w:r>
        <w:rPr>
          <w:rFonts w:ascii="Courier New" w:cs="Courier New" w:eastAsia="Courier New" w:hAnsi="Courier New"/>
          <w:sz w:val="14"/>
          <w:szCs w:val="14"/>
          <w:color w:val="auto"/>
        </w:rPr>
        <w:t>2,000</w:t>
      </w:r>
    </w:p>
    <w:p>
      <w:pPr>
        <w:spacing w:after="0" w:line="5" w:lineRule="exact"/>
        <w:rPr>
          <w:sz w:val="20"/>
          <w:szCs w:val="20"/>
          <w:color w:val="auto"/>
        </w:rPr>
      </w:pPr>
    </w:p>
    <w:p>
      <w:pPr>
        <w:jc w:val="right"/>
        <w:ind w:right="1660"/>
        <w:spacing w:after="0"/>
        <w:rPr>
          <w:sz w:val="20"/>
          <w:szCs w:val="20"/>
          <w:color w:val="auto"/>
        </w:rPr>
      </w:pPr>
      <w:r>
        <w:rPr>
          <w:rFonts w:ascii="Courier New" w:cs="Courier New" w:eastAsia="Courier New" w:hAnsi="Courier New"/>
          <w:sz w:val="15"/>
          <w:szCs w:val="15"/>
          <w:color w:val="auto"/>
        </w:rPr>
        <w:t>360</w:t>
      </w:r>
    </w:p>
    <w:p>
      <w:pPr>
        <w:sectPr>
          <w:pgSz w:w="11900" w:h="16838" w:orient="portrait"/>
          <w:cols w:equalWidth="0" w:num="2">
            <w:col w:w="8700" w:space="720"/>
            <w:col w:w="2100"/>
          </w:cols>
          <w:pgMar w:left="240" w:top="452" w:right="139" w:bottom="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Amgen Inc.</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48,000</w:t>
            </w:r>
          </w:p>
        </w:tc>
        <w:tc>
          <w:tcPr>
            <w:tcW w:w="148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equity securities to</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Medtronic, Inc.</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10,000</w:t>
            </w:r>
          </w:p>
        </w:tc>
        <w:tc>
          <w:tcPr>
            <w:tcW w:w="148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Amounts received in connection with</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the Stock Purchase Agreement with</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Procter &amp; Gamble Pharmaceuticals,</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Inc.</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10,000</w:t>
            </w:r>
          </w:p>
        </w:tc>
        <w:tc>
          <w:tcPr>
            <w:tcW w:w="148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Cost associated with issuance of</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equity securities</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(205)</w:t>
            </w:r>
          </w:p>
        </w:tc>
        <w:tc>
          <w:tcPr>
            <w:tcW w:w="148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Common Stock in connection</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with exercise of stock options</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1,357</w:t>
            </w:r>
          </w:p>
        </w:tc>
        <w:tc>
          <w:tcPr>
            <w:tcW w:w="148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Conversion of Class A Stock to</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Retirement of treasury stock</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jc w:val="right"/>
              <w:ind w:right="2227"/>
              <w:spacing w:after="0"/>
              <w:rPr>
                <w:sz w:val="20"/>
                <w:szCs w:val="20"/>
                <w:color w:val="auto"/>
              </w:rPr>
            </w:pPr>
            <w:r>
              <w:rPr>
                <w:rFonts w:ascii="Courier New" w:cs="Courier New" w:eastAsia="Courier New" w:hAnsi="Courier New"/>
                <w:sz w:val="15"/>
                <w:szCs w:val="15"/>
                <w:color w:val="auto"/>
              </w:rPr>
              <w:t>(17)</w:t>
            </w:r>
          </w:p>
        </w:tc>
        <w:tc>
          <w:tcPr>
            <w:tcW w:w="148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loss, 1996</w:t>
            </w:r>
          </w:p>
        </w:tc>
        <w:tc>
          <w:tcPr>
            <w:tcW w:w="22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(32,424)</w:t>
            </w:r>
          </w:p>
        </w:tc>
        <w:tc>
          <w:tcPr>
            <w:tcW w:w="1420" w:type="dxa"/>
            <w:vAlign w:val="bottom"/>
          </w:tcPr>
          <w:p>
            <w:pPr>
              <w:spacing w:after="0"/>
              <w:rPr>
                <w:sz w:val="14"/>
                <w:szCs w:val="14"/>
                <w:color w:val="auto"/>
              </w:rPr>
            </w:pPr>
          </w:p>
        </w:tc>
        <w:tc>
          <w:tcPr>
            <w:tcW w:w="2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(32,424)</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($32,424)</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Change in net unrealized gain</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on marketable securities</w:t>
            </w:r>
          </w:p>
        </w:tc>
        <w:tc>
          <w:tcPr>
            <w:tcW w:w="2280" w:type="dxa"/>
            <w:vAlign w:val="bottom"/>
          </w:tcPr>
          <w:p>
            <w:pPr>
              <w:spacing w:after="0"/>
              <w:rPr>
                <w:sz w:val="14"/>
                <w:szCs w:val="14"/>
                <w:color w:val="auto"/>
              </w:rPr>
            </w:pP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w:t>
            </w:r>
          </w:p>
        </w:tc>
        <w:tc>
          <w:tcPr>
            <w:tcW w:w="2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0"/>
        </w:trPr>
        <w:tc>
          <w:tcPr>
            <w:tcW w:w="3480" w:type="dxa"/>
            <w:vAlign w:val="bottom"/>
          </w:tcPr>
          <w:p>
            <w:pPr>
              <w:spacing w:after="0"/>
              <w:rPr>
                <w:sz w:val="14"/>
                <w:szCs w:val="14"/>
                <w:color w:val="auto"/>
              </w:rPr>
            </w:pPr>
          </w:p>
        </w:tc>
        <w:tc>
          <w:tcPr>
            <w:tcW w:w="80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3480" w:type="dxa"/>
            <w:vAlign w:val="bottom"/>
          </w:tcPr>
          <w:p>
            <w:pPr>
              <w:ind w:left="700"/>
              <w:spacing w:after="0"/>
              <w:rPr>
                <w:sz w:val="20"/>
                <w:szCs w:val="20"/>
                <w:color w:val="auto"/>
              </w:rPr>
            </w:pPr>
            <w:r>
              <w:rPr>
                <w:rFonts w:ascii="Courier New" w:cs="Courier New" w:eastAsia="Courier New" w:hAnsi="Courier New"/>
                <w:sz w:val="15"/>
                <w:szCs w:val="15"/>
                <w:color w:val="auto"/>
              </w:rPr>
              <w:t>Balance, December 31, 1996</w:t>
            </w:r>
          </w:p>
        </w:tc>
        <w:tc>
          <w:tcPr>
            <w:tcW w:w="22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(157,029)</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272</w:t>
            </w:r>
          </w:p>
        </w:tc>
        <w:tc>
          <w:tcPr>
            <w:tcW w:w="2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106,931</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($32,438)</w:t>
            </w:r>
          </w:p>
        </w:tc>
      </w:tr>
      <w:tr>
        <w:trPr>
          <w:trHeight w:val="170"/>
        </w:trPr>
        <w:tc>
          <w:tcPr>
            <w:tcW w:w="34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80" w:type="dxa"/>
            <w:vAlign w:val="bottom"/>
          </w:tcPr>
          <w:p>
            <w:pPr>
              <w:spacing w:after="0"/>
              <w:rPr>
                <w:sz w:val="20"/>
                <w:szCs w:val="20"/>
                <w:color w:val="auto"/>
              </w:rPr>
            </w:pPr>
            <w:r>
              <w:rPr>
                <w:rFonts w:ascii="Courier New" w:cs="Courier New" w:eastAsia="Courier New" w:hAnsi="Courier New"/>
                <w:sz w:val="15"/>
                <w:szCs w:val="15"/>
                <w:color w:val="auto"/>
              </w:rPr>
              <w:t>Amortization of unearned compensation</w:t>
            </w:r>
          </w:p>
        </w:tc>
        <w:tc>
          <w:tcPr>
            <w:tcW w:w="2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360</w:t>
            </w:r>
          </w:p>
        </w:tc>
        <w:tc>
          <w:tcPr>
            <w:tcW w:w="1480" w:type="dxa"/>
            <w:vAlign w:val="bottom"/>
          </w:tcPr>
          <w:p>
            <w:pPr>
              <w:spacing w:after="0"/>
              <w:rPr>
                <w:sz w:val="24"/>
                <w:szCs w:val="2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Shares issued to Procter &amp; Gamble</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Pharmaceuticals, Inc. in connection</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with the 1996 Stock Purchase</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Agreement</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equity securities to The</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Proctor &amp; Gamble Company</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42,935</w:t>
            </w:r>
          </w:p>
        </w:tc>
        <w:tc>
          <w:tcPr>
            <w:tcW w:w="148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Cost associated with issuance of</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equity securities</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w:t>
            </w:r>
          </w:p>
        </w:tc>
        <w:tc>
          <w:tcPr>
            <w:tcW w:w="148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Common Stock in connection</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with exercise of stock options</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468</w:t>
            </w:r>
          </w:p>
        </w:tc>
        <w:tc>
          <w:tcPr>
            <w:tcW w:w="148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Conversion of Class A Stock to</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Common Stock</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loss, 1997</w:t>
            </w:r>
          </w:p>
        </w:tc>
        <w:tc>
          <w:tcPr>
            <w:tcW w:w="22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(11,579)</w:t>
            </w:r>
          </w:p>
        </w:tc>
        <w:tc>
          <w:tcPr>
            <w:tcW w:w="1420" w:type="dxa"/>
            <w:vAlign w:val="bottom"/>
          </w:tcPr>
          <w:p>
            <w:pPr>
              <w:spacing w:after="0"/>
              <w:rPr>
                <w:sz w:val="14"/>
                <w:szCs w:val="14"/>
                <w:color w:val="auto"/>
              </w:rPr>
            </w:pPr>
          </w:p>
        </w:tc>
        <w:tc>
          <w:tcPr>
            <w:tcW w:w="2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(11,579)</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($11,579)</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Change in net unrealized gain</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on marketable securities</w:t>
            </w:r>
          </w:p>
        </w:tc>
        <w:tc>
          <w:tcPr>
            <w:tcW w:w="2280" w:type="dxa"/>
            <w:vAlign w:val="bottom"/>
          </w:tcPr>
          <w:p>
            <w:pPr>
              <w:spacing w:after="0"/>
              <w:rPr>
                <w:sz w:val="14"/>
                <w:szCs w:val="14"/>
                <w:color w:val="auto"/>
              </w:rPr>
            </w:pP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(187)</w:t>
            </w:r>
          </w:p>
        </w:tc>
        <w:tc>
          <w:tcPr>
            <w:tcW w:w="2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(187)</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(187)</w:t>
            </w:r>
          </w:p>
        </w:tc>
      </w:tr>
      <w:tr>
        <w:trPr>
          <w:trHeight w:val="170"/>
        </w:trPr>
        <w:tc>
          <w:tcPr>
            <w:tcW w:w="3480" w:type="dxa"/>
            <w:vAlign w:val="bottom"/>
          </w:tcPr>
          <w:p>
            <w:pPr>
              <w:spacing w:after="0"/>
              <w:rPr>
                <w:sz w:val="14"/>
                <w:szCs w:val="14"/>
                <w:color w:val="auto"/>
              </w:rPr>
            </w:pPr>
          </w:p>
        </w:tc>
        <w:tc>
          <w:tcPr>
            <w:tcW w:w="80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480" w:type="dxa"/>
            <w:vAlign w:val="bottom"/>
          </w:tcPr>
          <w:p>
            <w:pPr>
              <w:ind w:left="700"/>
              <w:spacing w:after="0"/>
              <w:rPr>
                <w:sz w:val="20"/>
                <w:szCs w:val="20"/>
                <w:color w:val="auto"/>
              </w:rPr>
            </w:pPr>
            <w:r>
              <w:rPr>
                <w:rFonts w:ascii="Courier New" w:cs="Courier New" w:eastAsia="Courier New" w:hAnsi="Courier New"/>
                <w:sz w:val="15"/>
                <w:szCs w:val="15"/>
                <w:color w:val="auto"/>
              </w:rPr>
              <w:t>Balance, December 31, 1997</w:t>
            </w:r>
          </w:p>
        </w:tc>
        <w:tc>
          <w:tcPr>
            <w:tcW w:w="22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(168,608)</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85</w:t>
            </w:r>
          </w:p>
        </w:tc>
        <w:tc>
          <w:tcPr>
            <w:tcW w:w="2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138,897</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($11,766)</w:t>
            </w:r>
          </w:p>
        </w:tc>
      </w:tr>
      <w:tr>
        <w:trPr>
          <w:trHeight w:val="170"/>
        </w:trPr>
        <w:tc>
          <w:tcPr>
            <w:tcW w:w="34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80" w:type="dxa"/>
            <w:vAlign w:val="bottom"/>
          </w:tcPr>
          <w:p>
            <w:pPr>
              <w:spacing w:after="0"/>
              <w:rPr>
                <w:sz w:val="20"/>
                <w:szCs w:val="20"/>
                <w:color w:val="auto"/>
              </w:rPr>
            </w:pPr>
            <w:r>
              <w:rPr>
                <w:rFonts w:ascii="Courier New" w:cs="Courier New" w:eastAsia="Courier New" w:hAnsi="Courier New"/>
                <w:sz w:val="15"/>
                <w:szCs w:val="15"/>
                <w:color w:val="auto"/>
              </w:rPr>
              <w:t>Amortization of unearned compensation</w:t>
            </w:r>
          </w:p>
        </w:tc>
        <w:tc>
          <w:tcPr>
            <w:tcW w:w="2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360</w:t>
            </w:r>
          </w:p>
        </w:tc>
        <w:tc>
          <w:tcPr>
            <w:tcW w:w="1480" w:type="dxa"/>
            <w:vAlign w:val="bottom"/>
          </w:tcPr>
          <w:p>
            <w:pPr>
              <w:spacing w:after="0"/>
              <w:rPr>
                <w:sz w:val="24"/>
                <w:szCs w:val="2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Common Stock in connection</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with exercise of stock options</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452</w:t>
            </w:r>
          </w:p>
        </w:tc>
        <w:tc>
          <w:tcPr>
            <w:tcW w:w="148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Conversion of Class A Stock to</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Common Stock</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loss, 1998</w:t>
            </w:r>
          </w:p>
        </w:tc>
        <w:tc>
          <w:tcPr>
            <w:tcW w:w="22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(8,625)</w:t>
            </w:r>
          </w:p>
        </w:tc>
        <w:tc>
          <w:tcPr>
            <w:tcW w:w="1420" w:type="dxa"/>
            <w:vAlign w:val="bottom"/>
          </w:tcPr>
          <w:p>
            <w:pPr>
              <w:spacing w:after="0"/>
              <w:rPr>
                <w:sz w:val="14"/>
                <w:szCs w:val="14"/>
                <w:color w:val="auto"/>
              </w:rPr>
            </w:pPr>
          </w:p>
        </w:tc>
        <w:tc>
          <w:tcPr>
            <w:tcW w:w="2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(8,625)</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($8,625)</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Change in net unrealized gain</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on marketable securities</w:t>
            </w:r>
          </w:p>
        </w:tc>
        <w:tc>
          <w:tcPr>
            <w:tcW w:w="2280" w:type="dxa"/>
            <w:vAlign w:val="bottom"/>
          </w:tcPr>
          <w:p>
            <w:pPr>
              <w:spacing w:after="0"/>
              <w:rPr>
                <w:sz w:val="14"/>
                <w:szCs w:val="14"/>
                <w:color w:val="auto"/>
              </w:rPr>
            </w:pP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143</w:t>
            </w:r>
          </w:p>
        </w:tc>
        <w:tc>
          <w:tcPr>
            <w:tcW w:w="2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143</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143</w:t>
            </w:r>
          </w:p>
        </w:tc>
      </w:tr>
      <w:tr>
        <w:trPr>
          <w:trHeight w:val="170"/>
        </w:trPr>
        <w:tc>
          <w:tcPr>
            <w:tcW w:w="3480" w:type="dxa"/>
            <w:vAlign w:val="bottom"/>
          </w:tcPr>
          <w:p>
            <w:pPr>
              <w:spacing w:after="0"/>
              <w:rPr>
                <w:sz w:val="14"/>
                <w:szCs w:val="14"/>
                <w:color w:val="auto"/>
              </w:rPr>
            </w:pPr>
          </w:p>
        </w:tc>
        <w:tc>
          <w:tcPr>
            <w:tcW w:w="80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480" w:type="dxa"/>
            <w:vAlign w:val="bottom"/>
          </w:tcPr>
          <w:p>
            <w:pPr>
              <w:ind w:left="700"/>
              <w:spacing w:after="0"/>
              <w:rPr>
                <w:sz w:val="20"/>
                <w:szCs w:val="20"/>
                <w:color w:val="auto"/>
              </w:rPr>
            </w:pPr>
            <w:r>
              <w:rPr>
                <w:rFonts w:ascii="Courier New" w:cs="Courier New" w:eastAsia="Courier New" w:hAnsi="Courier New"/>
                <w:sz w:val="15"/>
                <w:szCs w:val="15"/>
                <w:color w:val="auto"/>
              </w:rPr>
              <w:t>Balance, December 31, 1998</w:t>
            </w:r>
          </w:p>
        </w:tc>
        <w:tc>
          <w:tcPr>
            <w:tcW w:w="22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($177,233)</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$228</w:t>
            </w:r>
          </w:p>
        </w:tc>
        <w:tc>
          <w:tcPr>
            <w:tcW w:w="2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$131,227</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($8,482)</w:t>
            </w:r>
          </w:p>
        </w:tc>
      </w:tr>
      <w:tr>
        <w:trPr>
          <w:trHeight w:val="170"/>
        </w:trPr>
        <w:tc>
          <w:tcPr>
            <w:tcW w:w="3480" w:type="dxa"/>
            <w:vAlign w:val="bottom"/>
          </w:tcPr>
          <w:p>
            <w:pPr>
              <w:spacing w:after="0"/>
              <w:rPr>
                <w:sz w:val="14"/>
                <w:szCs w:val="14"/>
                <w:color w:val="auto"/>
              </w:rPr>
            </w:pPr>
          </w:p>
        </w:tc>
        <w:tc>
          <w:tcPr>
            <w:tcW w:w="80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bl>
    <w:p>
      <w:pPr>
        <w:spacing w:after="0" w:line="33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344"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1520"/>
          </w:cols>
          <w:pgMar w:left="240" w:top="136" w:right="139" w:bottom="1440" w:gutter="0" w:footer="0" w:header="0"/>
        </w:sectPr>
      </w:pPr>
    </w:p>
    <w:bookmarkStart w:id="41" w:name="page42"/>
    <w:bookmarkEnd w:id="41"/>
    <w:p>
      <w:pPr>
        <w:ind w:left="2200"/>
        <w:spacing w:after="0"/>
        <w:rPr>
          <w:sz w:val="20"/>
          <w:szCs w:val="20"/>
          <w:color w:val="auto"/>
        </w:rPr>
      </w:pPr>
      <w:r>
        <w:rPr>
          <w:rFonts w:ascii="Courier New" w:cs="Courier New" w:eastAsia="Courier New" w:hAnsi="Courier New"/>
          <w:sz w:val="15"/>
          <w:szCs w:val="15"/>
          <w:color w:val="auto"/>
        </w:rPr>
        <w:t>REGENERON PHARMACEUTICALS, INC.</w:t>
      </w:r>
    </w:p>
    <w:p>
      <w:pPr>
        <w:ind w:left="2460"/>
        <w:spacing w:after="0"/>
        <w:rPr>
          <w:sz w:val="20"/>
          <w:szCs w:val="20"/>
          <w:color w:val="auto"/>
        </w:rPr>
      </w:pPr>
      <w:r>
        <w:rPr>
          <w:rFonts w:ascii="Courier New" w:cs="Courier New" w:eastAsia="Courier New" w:hAnsi="Courier New"/>
          <w:sz w:val="15"/>
          <w:szCs w:val="15"/>
          <w:color w:val="auto"/>
        </w:rPr>
        <w:t>STATEMENTS OF CASH FLOWS</w:t>
      </w:r>
    </w:p>
    <w:p>
      <w:pPr>
        <w:ind w:left="1220"/>
        <w:spacing w:after="0"/>
        <w:rPr>
          <w:sz w:val="20"/>
          <w:szCs w:val="20"/>
          <w:color w:val="auto"/>
        </w:rPr>
      </w:pPr>
      <w:r>
        <w:rPr>
          <w:rFonts w:ascii="Courier New" w:cs="Courier New" w:eastAsia="Courier New" w:hAnsi="Courier New"/>
          <w:sz w:val="15"/>
          <w:szCs w:val="15"/>
          <w:color w:val="auto"/>
        </w:rPr>
        <w:t>for the years ended December 31, 1998, 1997, and 1996</w:t>
      </w:r>
    </w:p>
    <w:p>
      <w:pPr>
        <w:ind w:left="1400"/>
        <w:spacing w:after="0" w:line="238" w:lineRule="auto"/>
        <w:rPr>
          <w:sz w:val="20"/>
          <w:szCs w:val="20"/>
          <w:color w:val="auto"/>
        </w:rPr>
      </w:pPr>
      <w:r>
        <w:rPr>
          <w:rFonts w:ascii="Courier New" w:cs="Courier New" w:eastAsia="Courier New" w:hAnsi="Courier New"/>
          <w:sz w:val="15"/>
          <w:szCs w:val="15"/>
          <w:color w:val="auto"/>
        </w:rPr>
        <w:t>Increase (Decrease) in Cash and Cash Equivalents</w:t>
      </w:r>
    </w:p>
    <w:p>
      <w:pPr>
        <w:ind w:left="290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1998</w:t>
            </w: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1997</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6300" w:type="dxa"/>
            <w:vAlign w:val="bottom"/>
          </w:tcPr>
          <w:p>
            <w:pPr>
              <w:spacing w:after="0"/>
              <w:rPr>
                <w:sz w:val="14"/>
                <w:szCs w:val="14"/>
                <w:color w:val="auto"/>
              </w:rPr>
            </w:pP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63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Net loss</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($8,625)</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($11,579)</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($32,424)</w:t>
            </w:r>
          </w:p>
        </w:tc>
      </w:tr>
      <w:tr>
        <w:trPr>
          <w:trHeight w:val="170"/>
        </w:trPr>
        <w:tc>
          <w:tcPr>
            <w:tcW w:w="6300" w:type="dxa"/>
            <w:vAlign w:val="bottom"/>
          </w:tcPr>
          <w:p>
            <w:pPr>
              <w:spacing w:after="0"/>
              <w:rPr>
                <w:sz w:val="14"/>
                <w:szCs w:val="14"/>
                <w:color w:val="auto"/>
              </w:rPr>
            </w:pP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loss to net cash</w:t>
            </w: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used in operating activities</w:t>
            </w: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Loss in Amgen-Regeneron Partners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2,484</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3,403</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14,250</w:t>
            </w:r>
          </w:p>
        </w:tc>
      </w:tr>
      <w:tr>
        <w:trPr>
          <w:trHeight w:val="170"/>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3,019</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4,389</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6,084</w:t>
            </w:r>
          </w:p>
        </w:tc>
      </w:tr>
      <w:tr>
        <w:trPr>
          <w:trHeight w:val="170"/>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Stock issued in consideration for services rendered</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360</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360</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360</w:t>
            </w:r>
          </w:p>
        </w:tc>
      </w:tr>
      <w:tr>
        <w:trPr>
          <w:trHeight w:val="170"/>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Changes in assets and liabilities</w:t>
            </w: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6300" w:type="dxa"/>
            <w:vAlign w:val="bottom"/>
          </w:tcPr>
          <w:p>
            <w:pPr>
              <w:ind w:left="600"/>
              <w:spacing w:after="0"/>
              <w:rPr>
                <w:sz w:val="20"/>
                <w:szCs w:val="20"/>
                <w:color w:val="auto"/>
              </w:rPr>
            </w:pPr>
            <w:r>
              <w:rPr>
                <w:rFonts w:ascii="Courier New" w:cs="Courier New" w:eastAsia="Courier New" w:hAnsi="Courier New"/>
                <w:sz w:val="15"/>
                <w:szCs w:val="15"/>
                <w:color w:val="auto"/>
              </w:rPr>
              <w:t>Increase in amounts due from The Procter &amp; Gamble Company</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(766)</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(2,403)</w:t>
            </w:r>
          </w:p>
        </w:tc>
        <w:tc>
          <w:tcPr>
            <w:tcW w:w="1360" w:type="dxa"/>
            <w:vAlign w:val="bottom"/>
          </w:tcPr>
          <w:p>
            <w:pPr>
              <w:spacing w:after="0"/>
              <w:rPr>
                <w:sz w:val="14"/>
                <w:szCs w:val="14"/>
                <w:color w:val="auto"/>
              </w:rPr>
            </w:pPr>
          </w:p>
        </w:tc>
      </w:tr>
      <w:tr>
        <w:trPr>
          <w:trHeight w:val="170"/>
        </w:trPr>
        <w:tc>
          <w:tcPr>
            <w:tcW w:w="6300" w:type="dxa"/>
            <w:vAlign w:val="bottom"/>
          </w:tcPr>
          <w:p>
            <w:pPr>
              <w:ind w:left="600"/>
              <w:spacing w:after="0"/>
              <w:rPr>
                <w:sz w:val="20"/>
                <w:szCs w:val="20"/>
                <w:color w:val="auto"/>
              </w:rPr>
            </w:pPr>
            <w:r>
              <w:rPr>
                <w:rFonts w:ascii="Courier New" w:cs="Courier New" w:eastAsia="Courier New" w:hAnsi="Courier New"/>
                <w:sz w:val="15"/>
                <w:szCs w:val="15"/>
                <w:color w:val="auto"/>
              </w:rPr>
              <w:t>Decrease (increase) in amounts due from Merck &amp; Co., Inc.</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(1,544)</w:t>
            </w:r>
          </w:p>
        </w:tc>
      </w:tr>
      <w:tr>
        <w:trPr>
          <w:trHeight w:val="170"/>
        </w:trPr>
        <w:tc>
          <w:tcPr>
            <w:tcW w:w="6300" w:type="dxa"/>
            <w:vAlign w:val="bottom"/>
          </w:tcPr>
          <w:p>
            <w:pPr>
              <w:ind w:left="600"/>
              <w:spacing w:after="0"/>
              <w:rPr>
                <w:sz w:val="20"/>
                <w:szCs w:val="20"/>
                <w:color w:val="auto"/>
              </w:rPr>
            </w:pPr>
            <w:r>
              <w:rPr>
                <w:rFonts w:ascii="Courier New" w:cs="Courier New" w:eastAsia="Courier New" w:hAnsi="Courier New"/>
                <w:sz w:val="15"/>
                <w:szCs w:val="15"/>
                <w:color w:val="auto"/>
                <w:w w:val="98"/>
              </w:rPr>
              <w:t>(Increase) decrease in amounts due from Amgen-Regeneron Partners</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(353)</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223</w:t>
            </w:r>
          </w:p>
        </w:tc>
      </w:tr>
      <w:tr>
        <w:trPr>
          <w:trHeight w:val="170"/>
        </w:trPr>
        <w:tc>
          <w:tcPr>
            <w:tcW w:w="6300" w:type="dxa"/>
            <w:vAlign w:val="bottom"/>
          </w:tcPr>
          <w:p>
            <w:pPr>
              <w:ind w:left="600"/>
              <w:spacing w:after="0"/>
              <w:rPr>
                <w:sz w:val="20"/>
                <w:szCs w:val="20"/>
                <w:color w:val="auto"/>
              </w:rPr>
            </w:pPr>
            <w:r>
              <w:rPr>
                <w:rFonts w:ascii="Courier New" w:cs="Courier New" w:eastAsia="Courier New" w:hAnsi="Courier New"/>
                <w:sz w:val="15"/>
                <w:szCs w:val="15"/>
                <w:color w:val="auto"/>
              </w:rPr>
              <w:t>Decrease (increase) in amounts due from</w:t>
            </w: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Sumitomo Pharmaceuticals Co., Ltd</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1,948</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(43)</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(323)</w:t>
            </w:r>
          </w:p>
        </w:tc>
      </w:tr>
      <w:tr>
        <w:trPr>
          <w:trHeight w:val="170"/>
        </w:trPr>
        <w:tc>
          <w:tcPr>
            <w:tcW w:w="6300" w:type="dxa"/>
            <w:vAlign w:val="bottom"/>
          </w:tcPr>
          <w:p>
            <w:pPr>
              <w:ind w:left="600"/>
              <w:spacing w:after="0"/>
              <w:rPr>
                <w:sz w:val="20"/>
                <w:szCs w:val="20"/>
                <w:color w:val="auto"/>
              </w:rPr>
            </w:pPr>
            <w:r>
              <w:rPr>
                <w:rFonts w:ascii="Courier New" w:cs="Courier New" w:eastAsia="Courier New" w:hAnsi="Courier New"/>
                <w:sz w:val="15"/>
                <w:szCs w:val="15"/>
                <w:color w:val="auto"/>
              </w:rPr>
              <w:t>Increase in investment in Amgen-Regeneron Partners</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(5,211)</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(2,562)</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(14,182)</w:t>
            </w:r>
          </w:p>
        </w:tc>
      </w:tr>
      <w:tr>
        <w:trPr>
          <w:trHeight w:val="170"/>
        </w:trPr>
        <w:tc>
          <w:tcPr>
            <w:tcW w:w="6300" w:type="dxa"/>
            <w:vAlign w:val="bottom"/>
          </w:tcPr>
          <w:p>
            <w:pPr>
              <w:ind w:left="600"/>
              <w:spacing w:after="0"/>
              <w:rPr>
                <w:sz w:val="20"/>
                <w:szCs w:val="20"/>
                <w:color w:val="auto"/>
              </w:rPr>
            </w:pPr>
            <w:r>
              <w:rPr>
                <w:rFonts w:ascii="Courier New" w:cs="Courier New" w:eastAsia="Courier New" w:hAnsi="Courier New"/>
                <w:sz w:val="15"/>
                <w:szCs w:val="15"/>
                <w:color w:val="auto"/>
              </w:rPr>
              <w:t>(Increase) decrease in prepaid expenses and other assets</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(884)</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356</w:t>
            </w:r>
          </w:p>
        </w:tc>
      </w:tr>
      <w:tr>
        <w:trPr>
          <w:trHeight w:val="170"/>
        </w:trPr>
        <w:tc>
          <w:tcPr>
            <w:tcW w:w="6300" w:type="dxa"/>
            <w:vAlign w:val="bottom"/>
          </w:tcPr>
          <w:p>
            <w:pPr>
              <w:ind w:left="600"/>
              <w:spacing w:after="0"/>
              <w:rPr>
                <w:sz w:val="20"/>
                <w:szCs w:val="20"/>
                <w:color w:val="auto"/>
              </w:rPr>
            </w:pPr>
            <w:r>
              <w:rPr>
                <w:rFonts w:ascii="Courier New" w:cs="Courier New" w:eastAsia="Courier New" w:hAnsi="Courier New"/>
                <w:sz w:val="15"/>
                <w:szCs w:val="15"/>
                <w:color w:val="auto"/>
              </w:rPr>
              <w:t>(Decrease) increase in deferred revenue</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(3,310)</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1,604</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7,287</w:t>
            </w:r>
          </w:p>
        </w:tc>
      </w:tr>
      <w:tr>
        <w:trPr>
          <w:trHeight w:val="170"/>
        </w:trPr>
        <w:tc>
          <w:tcPr>
            <w:tcW w:w="6300" w:type="dxa"/>
            <w:vAlign w:val="bottom"/>
          </w:tcPr>
          <w:p>
            <w:pPr>
              <w:ind w:left="600"/>
              <w:spacing w:after="0"/>
              <w:rPr>
                <w:sz w:val="20"/>
                <w:szCs w:val="20"/>
                <w:color w:val="auto"/>
              </w:rPr>
            </w:pPr>
            <w:r>
              <w:rPr>
                <w:rFonts w:ascii="Courier New" w:cs="Courier New" w:eastAsia="Courier New" w:hAnsi="Courier New"/>
                <w:sz w:val="15"/>
                <w:szCs w:val="15"/>
                <w:color w:val="auto"/>
              </w:rPr>
              <w:t>Increase (decrease) in accounts payable, accrued expenses,</w:t>
            </w: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and other liabilities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1,094</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518</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(369)</w:t>
            </w:r>
          </w:p>
        </w:tc>
      </w:tr>
      <w:tr>
        <w:trPr>
          <w:trHeight w:val="170"/>
        </w:trPr>
        <w:tc>
          <w:tcPr>
            <w:tcW w:w="6300" w:type="dxa"/>
            <w:vAlign w:val="bottom"/>
          </w:tcPr>
          <w:p>
            <w:pPr>
              <w:spacing w:after="0"/>
              <w:rPr>
                <w:sz w:val="14"/>
                <w:szCs w:val="14"/>
                <w:color w:val="auto"/>
              </w:rPr>
            </w:pP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ind w:left="1400"/>
              <w:spacing w:after="0"/>
              <w:rPr>
                <w:sz w:val="20"/>
                <w:szCs w:val="20"/>
                <w:color w:val="auto"/>
              </w:rPr>
            </w:pPr>
            <w:r>
              <w:rPr>
                <w:rFonts w:ascii="Courier New" w:cs="Courier New" w:eastAsia="Courier New" w:hAnsi="Courier New"/>
                <w:sz w:val="15"/>
                <w:szCs w:val="15"/>
                <w:color w:val="auto"/>
              </w:rPr>
              <w:t>Total adjustments</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(1,577)</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5,500</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12,142</w:t>
            </w:r>
          </w:p>
        </w:tc>
      </w:tr>
      <w:tr>
        <w:trPr>
          <w:trHeight w:val="170"/>
        </w:trPr>
        <w:tc>
          <w:tcPr>
            <w:tcW w:w="6300" w:type="dxa"/>
            <w:vAlign w:val="bottom"/>
          </w:tcPr>
          <w:p>
            <w:pPr>
              <w:spacing w:after="0"/>
              <w:rPr>
                <w:sz w:val="14"/>
                <w:szCs w:val="14"/>
                <w:color w:val="auto"/>
              </w:rPr>
            </w:pP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Net cash used in operating activities</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(10,202)</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(6,079)</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(20,282)</w:t>
            </w:r>
          </w:p>
        </w:tc>
      </w:tr>
      <w:tr>
        <w:trPr>
          <w:trHeight w:val="170"/>
        </w:trPr>
        <w:tc>
          <w:tcPr>
            <w:tcW w:w="6300" w:type="dxa"/>
            <w:vAlign w:val="bottom"/>
          </w:tcPr>
          <w:p>
            <w:pPr>
              <w:spacing w:after="0"/>
              <w:rPr>
                <w:sz w:val="14"/>
                <w:szCs w:val="14"/>
                <w:color w:val="auto"/>
              </w:rPr>
            </w:pP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3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Purchases of marketable securities</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(87,973)</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(112,611)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(74,607)</w:t>
            </w: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Sales of marketable securities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93,463</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75,858</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38,926</w:t>
            </w: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Capital expenditures</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(3,049)</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(2,146)</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(8,622)</w:t>
            </w:r>
          </w:p>
        </w:tc>
      </w:tr>
      <w:tr>
        <w:trPr>
          <w:trHeight w:val="170"/>
        </w:trPr>
        <w:tc>
          <w:tcPr>
            <w:tcW w:w="6300" w:type="dxa"/>
            <w:vAlign w:val="bottom"/>
          </w:tcPr>
          <w:p>
            <w:pPr>
              <w:spacing w:after="0"/>
              <w:rPr>
                <w:sz w:val="14"/>
                <w:szCs w:val="14"/>
                <w:color w:val="auto"/>
              </w:rPr>
            </w:pP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Net cash provided by (used in) investing activities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2,441</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(38,899)</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(44,303)</w:t>
            </w:r>
          </w:p>
        </w:tc>
      </w:tr>
      <w:tr>
        <w:trPr>
          <w:trHeight w:val="170"/>
        </w:trPr>
        <w:tc>
          <w:tcPr>
            <w:tcW w:w="6300" w:type="dxa"/>
            <w:vAlign w:val="bottom"/>
          </w:tcPr>
          <w:p>
            <w:pPr>
              <w:spacing w:after="0"/>
              <w:rPr>
                <w:sz w:val="14"/>
                <w:szCs w:val="14"/>
                <w:color w:val="auto"/>
              </w:rPr>
            </w:pP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3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Net proceeds from the issuance of stock</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452</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43,372</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69,964</w:t>
            </w: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Principal payments on note payable</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(74)</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(78)</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Capital lease payments</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(1,781)</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(3,870)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(3,557)</w:t>
            </w:r>
          </w:p>
        </w:tc>
      </w:tr>
      <w:tr>
        <w:trPr>
          <w:trHeight w:val="170"/>
        </w:trPr>
        <w:tc>
          <w:tcPr>
            <w:tcW w:w="6300" w:type="dxa"/>
            <w:vAlign w:val="bottom"/>
          </w:tcPr>
          <w:p>
            <w:pPr>
              <w:spacing w:after="0"/>
              <w:rPr>
                <w:sz w:val="14"/>
                <w:szCs w:val="14"/>
                <w:color w:val="auto"/>
              </w:rPr>
            </w:pP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Net cash (used in) provided by financing activities</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(1,403)</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39,424</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66,324</w:t>
            </w:r>
          </w:p>
        </w:tc>
      </w:tr>
      <w:tr>
        <w:trPr>
          <w:trHeight w:val="170"/>
        </w:trPr>
        <w:tc>
          <w:tcPr>
            <w:tcW w:w="6300" w:type="dxa"/>
            <w:vAlign w:val="bottom"/>
          </w:tcPr>
          <w:p>
            <w:pPr>
              <w:spacing w:after="0"/>
              <w:rPr>
                <w:sz w:val="14"/>
                <w:szCs w:val="14"/>
                <w:color w:val="auto"/>
              </w:rPr>
            </w:pP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Net (decrease) increase in cash and cash equivalents</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(9,164)</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(5,554)</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1,739</w:t>
            </w:r>
          </w:p>
        </w:tc>
      </w:tr>
      <w:tr>
        <w:trPr>
          <w:trHeight w:val="339"/>
        </w:trPr>
        <w:tc>
          <w:tcPr>
            <w:tcW w:w="63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28,921</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34,475</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32,736</w:t>
            </w:r>
          </w:p>
        </w:tc>
      </w:tr>
      <w:tr>
        <w:trPr>
          <w:trHeight w:val="170"/>
        </w:trPr>
        <w:tc>
          <w:tcPr>
            <w:tcW w:w="6300" w:type="dxa"/>
            <w:vAlign w:val="bottom"/>
          </w:tcPr>
          <w:p>
            <w:pPr>
              <w:spacing w:after="0"/>
              <w:rPr>
                <w:sz w:val="14"/>
                <w:szCs w:val="14"/>
                <w:color w:val="auto"/>
              </w:rPr>
            </w:pP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$19,757</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$28,921</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$34,475</w:t>
            </w:r>
          </w:p>
        </w:tc>
      </w:tr>
      <w:tr>
        <w:trPr>
          <w:trHeight w:val="170"/>
        </w:trPr>
        <w:tc>
          <w:tcPr>
            <w:tcW w:w="6300" w:type="dxa"/>
            <w:vAlign w:val="bottom"/>
          </w:tcPr>
          <w:p>
            <w:pPr>
              <w:spacing w:after="0"/>
              <w:rPr>
                <w:sz w:val="14"/>
                <w:szCs w:val="14"/>
                <w:color w:val="auto"/>
              </w:rPr>
            </w:pP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630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Cash paid for interest</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$388</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$676</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$860</w:t>
            </w:r>
          </w:p>
        </w:tc>
      </w:tr>
      <w:tr>
        <w:trPr>
          <w:trHeight w:val="170"/>
        </w:trPr>
        <w:tc>
          <w:tcPr>
            <w:tcW w:w="6300" w:type="dxa"/>
            <w:vAlign w:val="bottom"/>
          </w:tcPr>
          <w:p>
            <w:pPr>
              <w:spacing w:after="0"/>
              <w:rPr>
                <w:sz w:val="14"/>
                <w:szCs w:val="14"/>
                <w:color w:val="auto"/>
              </w:rPr>
            </w:pP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344"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480"/>
          </w:cols>
          <w:pgMar w:left="240" w:top="622" w:right="1179" w:bottom="1440" w:gutter="0" w:footer="0" w:header="0"/>
        </w:sectPr>
      </w:pPr>
    </w:p>
    <w:bookmarkStart w:id="42" w:name="page43"/>
    <w:bookmarkEnd w:id="42"/>
    <w:p>
      <w:pPr>
        <w:jc w:val="center"/>
        <w:ind w:right="3270"/>
        <w:spacing w:after="0"/>
        <w:rPr>
          <w:sz w:val="20"/>
          <w:szCs w:val="20"/>
          <w:color w:val="auto"/>
        </w:rPr>
      </w:pPr>
      <w:r>
        <w:rPr>
          <w:rFonts w:ascii="Courier New" w:cs="Courier New" w:eastAsia="Courier New" w:hAnsi="Courier New"/>
          <w:sz w:val="15"/>
          <w:szCs w:val="15"/>
          <w:color w:val="auto"/>
        </w:rPr>
        <w:t>REGENERON PHARMACEUTICALS, INC.</w:t>
      </w:r>
    </w:p>
    <w:p>
      <w:pPr>
        <w:jc w:val="center"/>
        <w:ind w:right="3270"/>
        <w:spacing w:after="0"/>
        <w:rPr>
          <w:sz w:val="20"/>
          <w:szCs w:val="20"/>
          <w:color w:val="auto"/>
        </w:rPr>
      </w:pPr>
      <w:r>
        <w:rPr>
          <w:rFonts w:ascii="Courier New" w:cs="Courier New" w:eastAsia="Courier New" w:hAnsi="Courier New"/>
          <w:sz w:val="15"/>
          <w:szCs w:val="15"/>
          <w:color w:val="auto"/>
        </w:rPr>
        <w:t>NOTES TO FINANCIAL STATEMENTS</w:t>
      </w:r>
    </w:p>
    <w:p>
      <w:pPr>
        <w:jc w:val="center"/>
        <w:ind w:right="3270"/>
        <w:spacing w:after="0"/>
        <w:rPr>
          <w:sz w:val="20"/>
          <w:szCs w:val="20"/>
          <w:color w:val="auto"/>
        </w:rPr>
      </w:pPr>
      <w:r>
        <w:rPr>
          <w:rFonts w:ascii="Courier New" w:cs="Courier New" w:eastAsia="Courier New" w:hAnsi="Courier New"/>
          <w:sz w:val="15"/>
          <w:szCs w:val="15"/>
          <w:color w:val="auto"/>
        </w:rPr>
        <w:t>for the years ended December 31, 1998, 1997, and 1996</w:t>
      </w:r>
    </w:p>
    <w:p>
      <w:pPr>
        <w:jc w:val="center"/>
        <w:ind w:right="3270"/>
        <w:spacing w:after="0" w:line="238" w:lineRule="auto"/>
        <w:rPr>
          <w:sz w:val="20"/>
          <w:szCs w:val="20"/>
          <w:color w:val="auto"/>
        </w:rPr>
      </w:pPr>
      <w:r>
        <w:rPr>
          <w:rFonts w:ascii="Courier New" w:cs="Courier New" w:eastAsia="Courier New" w:hAnsi="Courier New"/>
          <w:sz w:val="15"/>
          <w:szCs w:val="15"/>
          <w:color w:val="auto"/>
        </w:rPr>
        <w:t>(Dollars in thousands, except per share data)</w:t>
      </w:r>
    </w:p>
    <w:p>
      <w:pPr>
        <w:spacing w:after="0" w:line="169" w:lineRule="exact"/>
        <w:rPr>
          <w:sz w:val="20"/>
          <w:szCs w:val="20"/>
          <w:color w:val="auto"/>
        </w:rPr>
      </w:pPr>
    </w:p>
    <w:p>
      <w:pPr>
        <w:ind w:left="350" w:hanging="350"/>
        <w:spacing w:after="0"/>
        <w:tabs>
          <w:tab w:leader="none" w:pos="3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Business</w:t>
      </w:r>
    </w:p>
    <w:p>
      <w:pPr>
        <w:spacing w:after="0" w:line="175" w:lineRule="exact"/>
        <w:rPr>
          <w:sz w:val="20"/>
          <w:szCs w:val="20"/>
          <w:color w:val="auto"/>
        </w:rPr>
      </w:pPr>
    </w:p>
    <w:p>
      <w:pPr>
        <w:ind w:left="10" w:right="3359" w:firstLine="793"/>
        <w:spacing w:after="0" w:line="238" w:lineRule="auto"/>
        <w:rPr>
          <w:sz w:val="20"/>
          <w:szCs w:val="20"/>
          <w:color w:val="auto"/>
        </w:rPr>
      </w:pPr>
      <w:r>
        <w:rPr>
          <w:rFonts w:ascii="Courier New" w:cs="Courier New" w:eastAsia="Courier New" w:hAnsi="Courier New"/>
          <w:sz w:val="15"/>
          <w:szCs w:val="15"/>
          <w:color w:val="auto"/>
        </w:rPr>
        <w:t>Regeneron Pharmaceuticals, Inc. (the "Company" or "Regeneron") was incorporated in January 1988 in the State of New York. The Company is engaged in research and development programs to discover and commercialize therapeutics to treat human disorders and conditions. The Company's operations are all conducted under a single business segment. The Company's facilities are located in New York. The Company's business is subject to certain risks including, but not limited to uncertainties relating to conducting pharmaceutical research, obtaining regulatory approvals, commercializing products, and obtaining and enforcing patents.</w:t>
      </w:r>
    </w:p>
    <w:p>
      <w:pPr>
        <w:spacing w:after="0" w:line="173" w:lineRule="exact"/>
        <w:rPr>
          <w:sz w:val="20"/>
          <w:szCs w:val="20"/>
          <w:color w:val="auto"/>
        </w:rPr>
      </w:pPr>
    </w:p>
    <w:p>
      <w:pPr>
        <w:ind w:left="350" w:hanging="350"/>
        <w:spacing w:after="0"/>
        <w:tabs>
          <w:tab w:leader="none" w:pos="35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Property, Plant, and Equipment</w:t>
      </w:r>
    </w:p>
    <w:p>
      <w:pPr>
        <w:spacing w:after="0" w:line="175" w:lineRule="exact"/>
        <w:rPr>
          <w:sz w:val="20"/>
          <w:szCs w:val="20"/>
          <w:color w:val="auto"/>
        </w:rPr>
      </w:pPr>
    </w:p>
    <w:p>
      <w:pPr>
        <w:ind w:left="10" w:right="3439" w:firstLine="793"/>
        <w:spacing w:after="0" w:line="238" w:lineRule="auto"/>
        <w:rPr>
          <w:sz w:val="20"/>
          <w:szCs w:val="20"/>
          <w:color w:val="auto"/>
        </w:rPr>
      </w:pPr>
      <w:r>
        <w:rPr>
          <w:rFonts w:ascii="Courier New" w:cs="Courier New" w:eastAsia="Courier New" w:hAnsi="Courier New"/>
          <w:sz w:val="15"/>
          <w:szCs w:val="15"/>
          <w:color w:val="auto"/>
        </w:rPr>
        <w:t>Property, plant, and equipment are stated at cost. Depreciation is provided on a straight-line basis over the estimated useful lives of the assets.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operations. The estimated useful lives of property, plant, and equipment are as follows:</w:t>
      </w:r>
    </w:p>
    <w:p>
      <w:pPr>
        <w:sectPr>
          <w:pgSz w:w="11900" w:h="16838" w:orient="portrait"/>
          <w:cols w:equalWidth="0" w:num="1">
            <w:col w:w="10229"/>
          </w:cols>
          <w:pgMar w:left="230" w:top="622" w:right="1440" w:bottom="1440" w:gutter="0" w:footer="0" w:header="0"/>
        </w:sectPr>
      </w:pPr>
    </w:p>
    <w:p>
      <w:pPr>
        <w:spacing w:after="0" w:line="172" w:lineRule="exact"/>
        <w:rPr>
          <w:sz w:val="20"/>
          <w:szCs w:val="20"/>
          <w:color w:val="auto"/>
        </w:rPr>
      </w:pPr>
    </w:p>
    <w:p>
      <w:pPr>
        <w:ind w:left="1590"/>
        <w:spacing w:after="0"/>
        <w:rPr>
          <w:sz w:val="20"/>
          <w:szCs w:val="20"/>
          <w:color w:val="auto"/>
        </w:rPr>
      </w:pPr>
      <w:r>
        <w:rPr>
          <w:rFonts w:ascii="Courier New" w:cs="Courier New" w:eastAsia="Courier New" w:hAnsi="Courier New"/>
          <w:sz w:val="15"/>
          <w:szCs w:val="15"/>
          <w:color w:val="auto"/>
        </w:rPr>
        <w:t>Building and improvements</w:t>
      </w:r>
    </w:p>
    <w:p>
      <w:pPr>
        <w:ind w:left="1590"/>
        <w:spacing w:after="0"/>
        <w:rPr>
          <w:sz w:val="20"/>
          <w:szCs w:val="20"/>
          <w:color w:val="auto"/>
        </w:rPr>
      </w:pPr>
      <w:r>
        <w:rPr>
          <w:rFonts w:ascii="Courier New" w:cs="Courier New" w:eastAsia="Courier New" w:hAnsi="Courier New"/>
          <w:sz w:val="15"/>
          <w:szCs w:val="15"/>
          <w:color w:val="auto"/>
        </w:rPr>
        <w:t>Leasehold improvements</w:t>
      </w:r>
    </w:p>
    <w:p>
      <w:pPr>
        <w:spacing w:after="0" w:line="5" w:lineRule="exact"/>
        <w:rPr>
          <w:sz w:val="20"/>
          <w:szCs w:val="20"/>
          <w:color w:val="auto"/>
        </w:rPr>
      </w:pPr>
    </w:p>
    <w:p>
      <w:pPr>
        <w:ind w:left="1590"/>
        <w:spacing w:after="0"/>
        <w:rPr>
          <w:sz w:val="20"/>
          <w:szCs w:val="20"/>
          <w:color w:val="auto"/>
        </w:rPr>
      </w:pPr>
      <w:r>
        <w:rPr>
          <w:rFonts w:ascii="Courier New" w:cs="Courier New" w:eastAsia="Courier New" w:hAnsi="Courier New"/>
          <w:sz w:val="14"/>
          <w:szCs w:val="14"/>
          <w:color w:val="auto"/>
        </w:rPr>
        <w:t>Laboratory and computer equipment</w:t>
      </w:r>
    </w:p>
    <w:p>
      <w:pPr>
        <w:spacing w:after="0" w:line="5" w:lineRule="exact"/>
        <w:rPr>
          <w:sz w:val="20"/>
          <w:szCs w:val="20"/>
          <w:color w:val="auto"/>
        </w:rPr>
      </w:pPr>
    </w:p>
    <w:p>
      <w:pPr>
        <w:ind w:left="1590"/>
        <w:spacing w:after="0"/>
        <w:rPr>
          <w:sz w:val="20"/>
          <w:szCs w:val="20"/>
          <w:color w:val="auto"/>
        </w:rPr>
      </w:pPr>
      <w:r>
        <w:rPr>
          <w:rFonts w:ascii="Courier New" w:cs="Courier New" w:eastAsia="Courier New" w:hAnsi="Courier New"/>
          <w:sz w:val="15"/>
          <w:szCs w:val="15"/>
          <w:color w:val="auto"/>
        </w:rPr>
        <w:t>Furniture and fixtures</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Cash and Cash Equivalents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5" w:right="3619" w:hanging="5"/>
        <w:spacing w:after="0" w:line="256" w:lineRule="auto"/>
        <w:tabs>
          <w:tab w:leader="none" w:pos="26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Life of lease 3-5 years</w:t>
      </w:r>
    </w:p>
    <w:p>
      <w:pPr>
        <w:ind w:left="5"/>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5 years</w:t>
      </w:r>
    </w:p>
    <w:p>
      <w:pPr>
        <w:spacing w:after="0" w:line="513" w:lineRule="exact"/>
        <w:rPr>
          <w:sz w:val="20"/>
          <w:szCs w:val="20"/>
          <w:color w:val="auto"/>
        </w:rPr>
      </w:pPr>
    </w:p>
    <w:p>
      <w:pPr>
        <w:sectPr>
          <w:pgSz w:w="11900" w:h="16838" w:orient="portrait"/>
          <w:cols w:equalWidth="0" w:num="2">
            <w:col w:w="4745" w:space="720"/>
            <w:col w:w="4764"/>
          </w:cols>
          <w:pgMar w:left="230" w:top="622" w:right="1440" w:bottom="1440" w:gutter="0" w:footer="0" w:header="0"/>
          <w:type w:val="continuous"/>
        </w:sectPr>
      </w:pPr>
    </w:p>
    <w:p>
      <w:pPr>
        <w:ind w:left="10" w:right="3619" w:firstLine="793"/>
        <w:spacing w:after="0" w:line="237" w:lineRule="auto"/>
        <w:rPr>
          <w:sz w:val="20"/>
          <w:szCs w:val="20"/>
          <w:color w:val="auto"/>
        </w:rPr>
      </w:pPr>
      <w:r>
        <w:rPr>
          <w:rFonts w:ascii="Courier New" w:cs="Courier New" w:eastAsia="Courier New" w:hAnsi="Courier New"/>
          <w:sz w:val="15"/>
          <w:szCs w:val="15"/>
          <w:color w:val="auto"/>
        </w:rPr>
        <w:t>For purposes of the statement of cash flows and the balance sheet, the Company considers all highly liquid debt instruments with a maturity of three months or less when purchased to be cash equivalents. The carrying amount reported in the balance sheet for cash and cash equivalents approximates its fair value.</w:t>
      </w:r>
    </w:p>
    <w:p>
      <w:pPr>
        <w:spacing w:after="0" w:line="173"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Revenue Recognition</w:t>
      </w:r>
    </w:p>
    <w:p>
      <w:pPr>
        <w:spacing w:after="0" w:line="175" w:lineRule="exact"/>
        <w:rPr>
          <w:sz w:val="20"/>
          <w:szCs w:val="20"/>
          <w:color w:val="auto"/>
        </w:rPr>
      </w:pPr>
    </w:p>
    <w:p>
      <w:pPr>
        <w:ind w:left="10" w:right="3439" w:firstLine="793"/>
        <w:spacing w:after="0" w:line="238" w:lineRule="auto"/>
        <w:rPr>
          <w:sz w:val="20"/>
          <w:szCs w:val="20"/>
          <w:color w:val="auto"/>
        </w:rPr>
      </w:pPr>
      <w:r>
        <w:rPr>
          <w:rFonts w:ascii="Courier New" w:cs="Courier New" w:eastAsia="Courier New" w:hAnsi="Courier New"/>
          <w:sz w:val="15"/>
          <w:szCs w:val="15"/>
          <w:color w:val="auto"/>
        </w:rPr>
        <w:t>Revenue from contract research and development and contract manufacturing is recognized as the related services are performed by the Company, provided the collection of the resulting receivable is probable. In situations where the Company receives payments in advance of the performance of services, such amounts are deferred and recognized as revenue as the related services are performed. Interest income, which is included in investment income, is recognized as earned. Research progress payments are received from collaborators upon the Company's achievement of defined milestones. Such payments are recognized as revenue when the milestone has been achieved and there are no additional services to be provided or costs to be incurred by the Company.</w:t>
      </w:r>
    </w:p>
    <w:p>
      <w:pPr>
        <w:spacing w:after="0" w:line="175"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Net Loss Per Share</w:t>
      </w:r>
    </w:p>
    <w:p>
      <w:pPr>
        <w:spacing w:after="0" w:line="175" w:lineRule="exact"/>
        <w:rPr>
          <w:sz w:val="20"/>
          <w:szCs w:val="20"/>
          <w:color w:val="auto"/>
        </w:rPr>
      </w:pPr>
    </w:p>
    <w:p>
      <w:pPr>
        <w:ind w:left="10" w:right="3539" w:firstLine="793"/>
        <w:spacing w:after="0" w:line="238" w:lineRule="auto"/>
        <w:rPr>
          <w:sz w:val="20"/>
          <w:szCs w:val="20"/>
          <w:color w:val="auto"/>
        </w:rPr>
      </w:pPr>
      <w:r>
        <w:rPr>
          <w:rFonts w:ascii="Courier New" w:cs="Courier New" w:eastAsia="Courier New" w:hAnsi="Courier New"/>
          <w:sz w:val="15"/>
          <w:szCs w:val="15"/>
          <w:color w:val="auto"/>
        </w:rPr>
        <w:t>Net loss per share, basic and diluted, is computed on the basis of the net loss for the period divided by the weighted average number of shares of Common Stock and Class A Stock outstanding during the period. The diluted net loss per share for all periods presented excludes the number of shares issuable upon exercise of outstanding stock options and warrants since such inclusion would be antidilutive. Disclosures required by SFAS No. 128 have been included in Note 14.</w:t>
      </w:r>
    </w:p>
    <w:p>
      <w:pPr>
        <w:spacing w:after="0" w:line="171"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left="10" w:right="3359" w:firstLine="793"/>
        <w:spacing w:after="0" w:line="238" w:lineRule="auto"/>
        <w:rPr>
          <w:sz w:val="20"/>
          <w:szCs w:val="20"/>
          <w:color w:val="auto"/>
        </w:rPr>
      </w:pPr>
      <w:r>
        <w:rPr>
          <w:rFonts w:ascii="Courier New" w:cs="Courier New" w:eastAsia="Courier New" w:hAnsi="Courier New"/>
          <w:sz w:val="15"/>
          <w:szCs w:val="15"/>
          <w:color w:val="auto"/>
        </w:rPr>
        <w:t>The Company recognizes deferred tax liabilities and assets for the expected future tax consequences of events that have been included in the financial statements or tax returns. Under this method, deferred tax liabilities and assets are determined on the basis of the difference between the tax basis of assets and liabilities and their respective financial reporting amounts ("temporary differences") at enacted tax rates in effect for the years in which the differences are expected to reverse.</w:t>
      </w:r>
    </w:p>
    <w:p>
      <w:pPr>
        <w:spacing w:after="0" w:line="200" w:lineRule="exact"/>
        <w:rPr>
          <w:sz w:val="20"/>
          <w:szCs w:val="20"/>
          <w:color w:val="auto"/>
        </w:rPr>
      </w:pPr>
    </w:p>
    <w:p>
      <w:pPr>
        <w:spacing w:after="0" w:line="310"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29"/>
          </w:cols>
          <w:pgMar w:left="230" w:top="622" w:right="1440" w:bottom="1440" w:gutter="0" w:footer="0" w:header="0"/>
          <w:type w:val="continuous"/>
        </w:sectPr>
      </w:pPr>
    </w:p>
    <w:bookmarkStart w:id="43" w:name="page44"/>
    <w:bookmarkEnd w:id="43"/>
    <w:p>
      <w:pPr>
        <w:jc w:val="center"/>
        <w:ind w:right="3259"/>
        <w:spacing w:after="0"/>
        <w:rPr>
          <w:sz w:val="20"/>
          <w:szCs w:val="20"/>
          <w:color w:val="auto"/>
        </w:rPr>
      </w:pPr>
      <w:r>
        <w:rPr>
          <w:rFonts w:ascii="Courier New" w:cs="Courier New" w:eastAsia="Courier New" w:hAnsi="Courier New"/>
          <w:sz w:val="15"/>
          <w:szCs w:val="15"/>
          <w:color w:val="auto"/>
        </w:rPr>
        <w:t>REGENERON PHARMACEUTICALS, INC.</w:t>
      </w:r>
    </w:p>
    <w:p>
      <w:pPr>
        <w:jc w:val="center"/>
        <w:ind w:right="3259"/>
        <w:spacing w:after="0"/>
        <w:rPr>
          <w:sz w:val="20"/>
          <w:szCs w:val="20"/>
          <w:color w:val="auto"/>
        </w:rPr>
      </w:pPr>
      <w:r>
        <w:rPr>
          <w:rFonts w:ascii="Courier New" w:cs="Courier New" w:eastAsia="Courier New" w:hAnsi="Courier New"/>
          <w:sz w:val="15"/>
          <w:szCs w:val="15"/>
          <w:color w:val="auto"/>
        </w:rPr>
        <w:t>NOTES TO FINANCIAL STATEMENTS (Continued)</w:t>
      </w:r>
    </w:p>
    <w:p>
      <w:pPr>
        <w:jc w:val="center"/>
        <w:ind w:right="3259"/>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338"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Concentrations of Credit Risk</w:t>
      </w:r>
    </w:p>
    <w:p>
      <w:pPr>
        <w:spacing w:after="0" w:line="175"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Financial instruments which potentially subject the Company to concentrations of credit risk consist of cash, cash equivalents, marketable securities, and receivables from The Procter &amp; Gamble Company, Amgen-Regeneron Partners, Sumitomo Pharmaceuticals Company, Ltd., and Merck &amp; Co., Inc. The Company generally invests its excess cash in obligations of the U.S. government and its agencies, bank deposits, and investment grade debt securities issued by corporations, governments, and financial institutions. The Company has established guidelines that relate to credit quality, diversification, and maturity, and that limit exposure to any one issue of securities.</w:t>
      </w: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Risks and Uncertainties</w:t>
      </w:r>
    </w:p>
    <w:p>
      <w:pPr>
        <w:spacing w:after="0" w:line="175" w:lineRule="exact"/>
        <w:rPr>
          <w:sz w:val="20"/>
          <w:szCs w:val="20"/>
          <w:color w:val="auto"/>
        </w:rPr>
      </w:pPr>
    </w:p>
    <w:p>
      <w:pPr>
        <w:ind w:right="3439" w:firstLine="793"/>
        <w:spacing w:after="0" w:line="257" w:lineRule="auto"/>
        <w:rPr>
          <w:sz w:val="20"/>
          <w:szCs w:val="20"/>
          <w:color w:val="auto"/>
        </w:rPr>
      </w:pPr>
      <w:r>
        <w:rPr>
          <w:rFonts w:ascii="Courier New" w:cs="Courier New" w:eastAsia="Courier New" w:hAnsi="Courier New"/>
          <w:sz w:val="14"/>
          <w:szCs w:val="14"/>
          <w:color w:val="auto"/>
        </w:rPr>
        <w:t>The Company has had no product sales and there is no assurance that the Company's research and development efforts will be successful, that the Company will ever have commercially approved products, or that the Company will achieve significant sales of any such products. The Company has incurred net losses and negative cash flows from operations since its inception, and revenues to date have been limited to payments for research from four collaborators and for contract manufacturing from one pharmaceutical company and investment income (see Notes 8 and 9). In addition, the Company operates in an environment of rapid change in technology and is dependent upon the services of its employees, consultants, and collaborators.</w:t>
      </w:r>
    </w:p>
    <w:p>
      <w:pPr>
        <w:spacing w:after="0" w:line="166" w:lineRule="exact"/>
        <w:rPr>
          <w:sz w:val="20"/>
          <w:szCs w:val="20"/>
          <w:color w:val="auto"/>
        </w:rPr>
      </w:pPr>
    </w:p>
    <w:p>
      <w:pPr>
        <w:ind w:right="3439" w:firstLine="793"/>
        <w:spacing w:after="0" w:line="259"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157"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Stock-based Employee Compensation</w:t>
      </w:r>
    </w:p>
    <w:p>
      <w:pPr>
        <w:spacing w:after="0" w:line="175"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The accompanying financial position and results of operations of the Company have been prepared in accordance with APB Opinion No. 25, Accounting for Stock Issued to Employees ("APB No. 25"). Under APB No. 25, generally, no compensation expense is recognized in the accompanying financial statements in connection with the awarding of stock option grants to employees provided that, as of the grant date, all terms associated with the award are fixed and the quoted market price of the Company's stock, as of the grant date, is equal to or less than the amount an employee must pay to acquire the stock, as defined.</w:t>
      </w:r>
    </w:p>
    <w:p>
      <w:pPr>
        <w:spacing w:after="0" w:line="179"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Disclosures required by Statement of Financial Accounting Standards No. 123, Accounting for Stock-Based Compensation ("SFAS No. 123"), including pro forma operating results had the Company prepared its financial statements in accordance with the fair value based method of accounting for stock-based compensation, have been included in Note 10.</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Adoption of Statement of Financial Accounting Standards No. 130</w:t>
      </w:r>
    </w:p>
    <w:p>
      <w:pPr>
        <w:spacing w:after="0" w:line="175" w:lineRule="exact"/>
        <w:rPr>
          <w:sz w:val="20"/>
          <w:szCs w:val="20"/>
          <w:color w:val="auto"/>
        </w:rPr>
      </w:pPr>
    </w:p>
    <w:p>
      <w:pPr>
        <w:jc w:val="both"/>
        <w:ind w:right="3539" w:firstLine="793"/>
        <w:spacing w:after="0" w:line="256" w:lineRule="auto"/>
        <w:rPr>
          <w:sz w:val="20"/>
          <w:szCs w:val="20"/>
          <w:color w:val="auto"/>
        </w:rPr>
      </w:pPr>
      <w:r>
        <w:rPr>
          <w:rFonts w:ascii="Courier New" w:cs="Courier New" w:eastAsia="Courier New" w:hAnsi="Courier New"/>
          <w:sz w:val="14"/>
          <w:szCs w:val="14"/>
          <w:color w:val="auto"/>
        </w:rPr>
        <w:t>The Company has adopted Statement of Financial Accounting Standards No. 130, Reporting Comprehensive Income ("SFAS No. 130"). Comprehensive loss represents the change in net assets of a business enterprise during a period from transactions and other events and circumstances from non-owner sources.</w:t>
      </w:r>
    </w:p>
    <w:p>
      <w:pPr>
        <w:spacing w:after="0" w:line="1"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Comprehensive loss of the Company includes net loss adjusted for the change in net unrealized gain or loss on marketable securities. The net effect of income taxes on comprehensive loss is immaterial. The disclosures required by SFAS No. 130 for the years ended December 31, 1998, 1997, and 1996 have been included in the Statements of Stockholders' Equity.</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Impact of the Future Adoption of Recently Issued Accounting Standards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In June 1998, the Financial Accounting Standards Board issued Statement of Financial Accounting Standards No. 133, Accounting for Derivative and Hedging Activities ("SFAS No. 133"). SFAS No. 133 establishes a comprehensive standard on accounting for derivatives and hedging activities and is effective for periods beginning after June 15, 1999. Management does not believe that the future adoption of SFAS No. 133 will have a material effect on the Company's financial position and results of operations.</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Statement of Cash Flows</w:t>
      </w:r>
    </w:p>
    <w:p>
      <w:pPr>
        <w:spacing w:after="0" w:line="17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Supplemental disclosure of noncash investing and financing activities:</w:t>
      </w:r>
    </w:p>
    <w:p>
      <w:pPr>
        <w:spacing w:after="0" w:line="180" w:lineRule="exact"/>
        <w:rPr>
          <w:sz w:val="20"/>
          <w:szCs w:val="20"/>
          <w:color w:val="auto"/>
        </w:rPr>
      </w:pPr>
    </w:p>
    <w:p>
      <w:pPr>
        <w:jc w:val="both"/>
        <w:ind w:right="3259" w:firstLine="793"/>
        <w:spacing w:after="0" w:line="237" w:lineRule="auto"/>
        <w:rPr>
          <w:sz w:val="20"/>
          <w:szCs w:val="20"/>
          <w:color w:val="auto"/>
        </w:rPr>
      </w:pPr>
      <w:r>
        <w:rPr>
          <w:rFonts w:ascii="Courier New" w:cs="Courier New" w:eastAsia="Courier New" w:hAnsi="Courier New"/>
          <w:sz w:val="15"/>
          <w:szCs w:val="15"/>
          <w:color w:val="auto"/>
        </w:rPr>
        <w:t>Capital lease obligations of approximately $0.4 million, $0.8 million, and $2.9 million were incurred when the Company acquired new equipment in 1998, 1997, and 1996, respectively.</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622" w:right="1440" w:bottom="904" w:gutter="0" w:footer="0" w:header="0"/>
        </w:sectPr>
      </w:pPr>
    </w:p>
    <w:bookmarkStart w:id="44" w:name="page45"/>
    <w:bookmarkEnd w:id="44"/>
    <w:p>
      <w:pPr>
        <w:jc w:val="center"/>
        <w:ind w:right="3590"/>
        <w:spacing w:after="0"/>
        <w:rPr>
          <w:sz w:val="20"/>
          <w:szCs w:val="20"/>
          <w:color w:val="auto"/>
        </w:rPr>
      </w:pPr>
      <w:r>
        <w:rPr>
          <w:rFonts w:ascii="Courier New" w:cs="Courier New" w:eastAsia="Courier New" w:hAnsi="Courier New"/>
          <w:sz w:val="15"/>
          <w:szCs w:val="15"/>
          <w:color w:val="auto"/>
        </w:rPr>
        <w:t>REGENERON PHARMACEUTICALS, INC.</w:t>
      </w:r>
    </w:p>
    <w:p>
      <w:pPr>
        <w:jc w:val="center"/>
        <w:ind w:right="3590"/>
        <w:spacing w:after="0"/>
        <w:rPr>
          <w:sz w:val="20"/>
          <w:szCs w:val="20"/>
          <w:color w:val="auto"/>
        </w:rPr>
      </w:pPr>
      <w:r>
        <w:rPr>
          <w:rFonts w:ascii="Courier New" w:cs="Courier New" w:eastAsia="Courier New" w:hAnsi="Courier New"/>
          <w:sz w:val="15"/>
          <w:szCs w:val="15"/>
          <w:color w:val="auto"/>
        </w:rPr>
        <w:t>NOTES TO FINANCIAL STATEMENTS (Continued)</w:t>
      </w:r>
    </w:p>
    <w:p>
      <w:pPr>
        <w:jc w:val="center"/>
        <w:ind w:right="3590"/>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343" w:lineRule="exact"/>
        <w:rPr>
          <w:sz w:val="20"/>
          <w:szCs w:val="20"/>
          <w:color w:val="auto"/>
        </w:rPr>
      </w:pPr>
    </w:p>
    <w:p>
      <w:pPr>
        <w:ind w:left="10" w:right="3700" w:firstLine="793"/>
        <w:spacing w:after="0" w:line="238" w:lineRule="auto"/>
        <w:rPr>
          <w:sz w:val="20"/>
          <w:szCs w:val="20"/>
          <w:color w:val="auto"/>
        </w:rPr>
      </w:pPr>
      <w:r>
        <w:rPr>
          <w:rFonts w:ascii="Courier New" w:cs="Courier New" w:eastAsia="Courier New" w:hAnsi="Courier New"/>
          <w:sz w:val="15"/>
          <w:szCs w:val="15"/>
          <w:color w:val="auto"/>
        </w:rPr>
        <w:t>During January 1995, the Company issued 600,000 restricted shares of Common Stock ("Restricted Shares"), in consideration for $0.3 million and services to be rendered, in connection with an agreement with the Chairman of the Board of Directors. The difference between the fair market value of the Common Stock on the date the agreement was signed and the purchase price of the Restricted Shares was $1.8 million which the Company is recognizing as compensation expense on a pro rata basis over five years as the restriction on the Restricted Shares lapses.</w:t>
      </w:r>
    </w:p>
    <w:p>
      <w:pPr>
        <w:spacing w:after="0" w:line="178" w:lineRule="exact"/>
        <w:rPr>
          <w:sz w:val="20"/>
          <w:szCs w:val="20"/>
          <w:color w:val="auto"/>
        </w:rPr>
      </w:pPr>
    </w:p>
    <w:p>
      <w:pPr>
        <w:ind w:left="10" w:right="3520" w:firstLine="793"/>
        <w:spacing w:after="0" w:line="237" w:lineRule="auto"/>
        <w:rPr>
          <w:sz w:val="20"/>
          <w:szCs w:val="20"/>
          <w:color w:val="auto"/>
        </w:rPr>
      </w:pPr>
      <w:r>
        <w:rPr>
          <w:rFonts w:ascii="Courier New" w:cs="Courier New" w:eastAsia="Courier New" w:hAnsi="Courier New"/>
          <w:sz w:val="15"/>
          <w:szCs w:val="15"/>
          <w:color w:val="auto"/>
        </w:rPr>
        <w:t>Included in accounts payable and accrued expenses at December 31, 1998, 1997, and 1996 were approximately $0.5 million, $0.6 million, and $0.8 million of capital expenditures, respectively.</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Reclassifications</w:t>
      </w:r>
    </w:p>
    <w:p>
      <w:pPr>
        <w:spacing w:after="0" w:line="175" w:lineRule="exact"/>
        <w:rPr>
          <w:sz w:val="20"/>
          <w:szCs w:val="20"/>
          <w:color w:val="auto"/>
        </w:rPr>
      </w:pPr>
    </w:p>
    <w:p>
      <w:pPr>
        <w:ind w:left="10" w:right="3780" w:firstLine="793"/>
        <w:spacing w:after="0" w:line="235" w:lineRule="auto"/>
        <w:rPr>
          <w:sz w:val="20"/>
          <w:szCs w:val="20"/>
          <w:color w:val="auto"/>
        </w:rPr>
      </w:pPr>
      <w:r>
        <w:rPr>
          <w:rFonts w:ascii="Courier New" w:cs="Courier New" w:eastAsia="Courier New" w:hAnsi="Courier New"/>
          <w:sz w:val="15"/>
          <w:szCs w:val="15"/>
          <w:color w:val="auto"/>
        </w:rPr>
        <w:t>Certain reclassifications have been made to the financial statements for 1996 to conform with the current year's presentation.</w:t>
      </w:r>
    </w:p>
    <w:p>
      <w:pPr>
        <w:spacing w:after="0" w:line="170" w:lineRule="exact"/>
        <w:rPr>
          <w:sz w:val="20"/>
          <w:szCs w:val="20"/>
          <w:color w:val="auto"/>
        </w:rPr>
      </w:pPr>
    </w:p>
    <w:p>
      <w:pPr>
        <w:ind w:left="350" w:hanging="350"/>
        <w:spacing w:after="0"/>
        <w:tabs>
          <w:tab w:leader="none" w:pos="3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Marketable  Securities</w:t>
      </w:r>
    </w:p>
    <w:p>
      <w:pPr>
        <w:spacing w:after="0" w:line="175" w:lineRule="exact"/>
        <w:rPr>
          <w:sz w:val="20"/>
          <w:szCs w:val="20"/>
          <w:color w:val="auto"/>
        </w:rPr>
      </w:pPr>
    </w:p>
    <w:p>
      <w:pPr>
        <w:ind w:left="10" w:right="3700" w:firstLine="793"/>
        <w:spacing w:after="0" w:line="238" w:lineRule="auto"/>
        <w:rPr>
          <w:sz w:val="20"/>
          <w:szCs w:val="20"/>
          <w:color w:val="auto"/>
        </w:rPr>
      </w:pPr>
      <w:r>
        <w:rPr>
          <w:rFonts w:ascii="Courier New" w:cs="Courier New" w:eastAsia="Courier New" w:hAnsi="Courier New"/>
          <w:sz w:val="15"/>
          <w:szCs w:val="15"/>
          <w:color w:val="auto"/>
        </w:rPr>
        <w:t>The Company considers its marketable securities to be "available-for-sale," as defined by Statement of Financial Accounting Standards No. 115, Accounting for Certain Investments in Debt and Equity Securities, and, accordingly, unrealized holding gains and losses are excluded from operations and reported as a net amount in a separate component of stockholders' equity.</w:t>
      </w:r>
    </w:p>
    <w:p>
      <w:pPr>
        <w:spacing w:after="0" w:line="176" w:lineRule="exact"/>
        <w:rPr>
          <w:sz w:val="20"/>
          <w:szCs w:val="20"/>
          <w:color w:val="auto"/>
        </w:rPr>
      </w:pPr>
    </w:p>
    <w:p>
      <w:pPr>
        <w:ind w:left="10" w:right="3700" w:firstLine="793"/>
        <w:spacing w:after="0" w:line="237" w:lineRule="auto"/>
        <w:rPr>
          <w:sz w:val="20"/>
          <w:szCs w:val="20"/>
          <w:color w:val="auto"/>
        </w:rPr>
      </w:pPr>
      <w:r>
        <w:rPr>
          <w:rFonts w:ascii="Courier New" w:cs="Courier New" w:eastAsia="Courier New" w:hAnsi="Courier New"/>
          <w:sz w:val="15"/>
          <w:szCs w:val="15"/>
          <w:color w:val="auto"/>
        </w:rPr>
        <w:t>The following tables summarize the amortized cost basis of marketable securities, the aggregate fair value of marketable securities, and gross unrealized holding gains and losses at December 31, 1998 and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1760" w:type="dxa"/>
            <w:vAlign w:val="bottom"/>
          </w:tcPr>
          <w:p>
            <w:pPr>
              <w:ind w:left="440"/>
              <w:spacing w:after="0"/>
              <w:rPr>
                <w:sz w:val="20"/>
                <w:szCs w:val="20"/>
                <w:color w:val="auto"/>
              </w:rPr>
            </w:pPr>
            <w:r>
              <w:rPr>
                <w:rFonts w:ascii="Courier New" w:cs="Courier New" w:eastAsia="Courier New" w:hAnsi="Courier New"/>
                <w:sz w:val="15"/>
                <w:szCs w:val="15"/>
                <w:color w:val="auto"/>
              </w:rPr>
              <w:t>Amortized</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Fair</w:t>
            </w:r>
          </w:p>
        </w:tc>
        <w:tc>
          <w:tcPr>
            <w:tcW w:w="1100" w:type="dxa"/>
            <w:vAlign w:val="bottom"/>
          </w:tcPr>
          <w:p>
            <w:pPr>
              <w:spacing w:after="0"/>
              <w:rPr>
                <w:sz w:val="14"/>
                <w:szCs w:val="14"/>
                <w:color w:val="auto"/>
              </w:rPr>
            </w:pP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Unrealized Holding</w:t>
            </w:r>
          </w:p>
        </w:tc>
        <w:tc>
          <w:tcPr>
            <w:tcW w:w="740" w:type="dxa"/>
            <w:vAlign w:val="bottom"/>
          </w:tcPr>
          <w:p>
            <w:pPr>
              <w:spacing w:after="0"/>
              <w:rPr>
                <w:sz w:val="14"/>
                <w:szCs w:val="14"/>
                <w:color w:val="auto"/>
              </w:rPr>
            </w:pPr>
          </w:p>
        </w:tc>
      </w:tr>
      <w:tr>
        <w:trPr>
          <w:trHeight w:val="170"/>
        </w:trPr>
        <w:tc>
          <w:tcPr>
            <w:tcW w:w="3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740" w:type="dxa"/>
            <w:vAlign w:val="bottom"/>
          </w:tcPr>
          <w:p>
            <w:pPr>
              <w:spacing w:after="0"/>
              <w:rPr>
                <w:sz w:val="14"/>
                <w:szCs w:val="1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At December 31, 1998</w:t>
            </w:r>
          </w:p>
        </w:tc>
        <w:tc>
          <w:tcPr>
            <w:tcW w:w="1760" w:type="dxa"/>
            <w:vAlign w:val="bottom"/>
          </w:tcPr>
          <w:p>
            <w:pPr>
              <w:ind w:left="440"/>
              <w:spacing w:after="0"/>
              <w:rPr>
                <w:sz w:val="20"/>
                <w:szCs w:val="20"/>
                <w:color w:val="auto"/>
              </w:rPr>
            </w:pPr>
            <w:r>
              <w:rPr>
                <w:rFonts w:ascii="Courier New" w:cs="Courier New" w:eastAsia="Courier New" w:hAnsi="Courier New"/>
                <w:sz w:val="15"/>
                <w:szCs w:val="15"/>
                <w:color w:val="auto"/>
              </w:rPr>
              <w:t>Cost Basis</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Value</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Gains</w:t>
            </w:r>
          </w:p>
        </w:tc>
        <w:tc>
          <w:tcPr>
            <w:tcW w:w="18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(Losses)</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Net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Maturities within one year</w:t>
            </w:r>
          </w:p>
        </w:tc>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rPr>
              <w:t>Corporate debt securities</w:t>
            </w: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$33,155</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$33,169</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w:t>
            </w:r>
          </w:p>
        </w:tc>
        <w:tc>
          <w:tcPr>
            <w:tcW w:w="18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w:t>
            </w:r>
          </w:p>
        </w:tc>
      </w:t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rPr>
              <w:t>U.S. Government securities</w:t>
            </w: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32,703</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32,853</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w:t>
            </w:r>
          </w:p>
        </w:tc>
        <w:tc>
          <w:tcPr>
            <w:tcW w:w="18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150</w:t>
            </w:r>
          </w:p>
        </w:tc>
      </w:tr>
      <w:tr>
        <w:trPr>
          <w:trHeight w:val="170"/>
        </w:trPr>
        <w:tc>
          <w:tcPr>
            <w:tcW w:w="3780" w:type="dxa"/>
            <w:vAlign w:val="bottom"/>
          </w:tcPr>
          <w:p>
            <w:pPr>
              <w:spacing w:after="0"/>
              <w:rPr>
                <w:sz w:val="14"/>
                <w:szCs w:val="14"/>
                <w:color w:val="auto"/>
              </w:rPr>
            </w:pP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14"/>
                <w:szCs w:val="14"/>
                <w:color w:val="auto"/>
              </w:rPr>
            </w:pP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65,858</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66,022</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166</w:t>
            </w:r>
          </w:p>
        </w:tc>
        <w:tc>
          <w:tcPr>
            <w:tcW w:w="18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164</w:t>
            </w:r>
          </w:p>
        </w:tc>
      </w:tr>
      <w:tr>
        <w:trPr>
          <w:trHeight w:val="170"/>
        </w:trPr>
        <w:tc>
          <w:tcPr>
            <w:tcW w:w="3780" w:type="dxa"/>
            <w:vAlign w:val="bottom"/>
          </w:tcPr>
          <w:p>
            <w:pPr>
              <w:spacing w:after="0"/>
              <w:rPr>
                <w:sz w:val="14"/>
                <w:szCs w:val="14"/>
                <w:color w:val="auto"/>
              </w:rPr>
            </w:pP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Maturities between one and three years</w:t>
            </w:r>
          </w:p>
        </w:tc>
        <w:tc>
          <w:tcPr>
            <w:tcW w:w="1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rPr>
              <w:t>Corporate debt securities</w:t>
            </w: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5,069</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5,061</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18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(9)</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w:t>
            </w:r>
          </w:p>
        </w:tc>
      </w:t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rPr>
              <w:t>U.S. Government securities</w:t>
            </w: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22,618</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22,690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w:t>
            </w:r>
          </w:p>
        </w:tc>
        <w:tc>
          <w:tcPr>
            <w:tcW w:w="18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(4)</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72</w:t>
            </w:r>
          </w:p>
        </w:tc>
      </w:tr>
      <w:tr>
        <w:trPr>
          <w:trHeight w:val="170"/>
        </w:trPr>
        <w:tc>
          <w:tcPr>
            <w:tcW w:w="3780" w:type="dxa"/>
            <w:vAlign w:val="bottom"/>
          </w:tcPr>
          <w:p>
            <w:pPr>
              <w:spacing w:after="0"/>
              <w:rPr>
                <w:sz w:val="14"/>
                <w:szCs w:val="14"/>
                <w:color w:val="auto"/>
              </w:rPr>
            </w:pP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14"/>
                <w:szCs w:val="14"/>
                <w:color w:val="auto"/>
              </w:rPr>
            </w:pP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27,687</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27,751</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w:t>
            </w:r>
          </w:p>
        </w:tc>
        <w:tc>
          <w:tcPr>
            <w:tcW w:w="18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(13)</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64</w:t>
            </w:r>
          </w:p>
        </w:tc>
      </w:tr>
      <w:tr>
        <w:trPr>
          <w:trHeight w:val="170"/>
        </w:trPr>
        <w:tc>
          <w:tcPr>
            <w:tcW w:w="3780" w:type="dxa"/>
            <w:vAlign w:val="bottom"/>
          </w:tcPr>
          <w:p>
            <w:pPr>
              <w:spacing w:after="0"/>
              <w:rPr>
                <w:sz w:val="14"/>
                <w:szCs w:val="14"/>
                <w:color w:val="auto"/>
              </w:rPr>
            </w:pP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14"/>
                <w:szCs w:val="14"/>
                <w:color w:val="auto"/>
              </w:rPr>
            </w:pP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$93,545</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$93,773</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w:t>
            </w:r>
          </w:p>
        </w:tc>
        <w:tc>
          <w:tcPr>
            <w:tcW w:w="18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($15)</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$228</w:t>
            </w:r>
          </w:p>
        </w:tc>
      </w:tr>
      <w:tr>
        <w:trPr>
          <w:trHeight w:val="170"/>
        </w:trPr>
        <w:tc>
          <w:tcPr>
            <w:tcW w:w="3780" w:type="dxa"/>
            <w:vAlign w:val="bottom"/>
          </w:tcPr>
          <w:p>
            <w:pPr>
              <w:spacing w:after="0"/>
              <w:rPr>
                <w:sz w:val="14"/>
                <w:szCs w:val="14"/>
                <w:color w:val="auto"/>
              </w:rPr>
            </w:pP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At December 31, 1997</w:t>
            </w:r>
          </w:p>
        </w:tc>
        <w:tc>
          <w:tcPr>
            <w:tcW w:w="1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Maturities within one year</w:t>
            </w: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$52,471</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$52,504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w:t>
            </w:r>
          </w:p>
        </w:tc>
        <w:tc>
          <w:tcPr>
            <w:tcW w:w="18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w:t>
            </w:r>
          </w:p>
        </w:tc>
      </w:t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rPr>
              <w:t>Corporate debt securities</w:t>
            </w: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11,097</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11,098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w:t>
            </w:r>
          </w:p>
        </w:tc>
        <w:tc>
          <w:tcPr>
            <w:tcW w:w="18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(4)</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w:t>
            </w:r>
          </w:p>
        </w:tc>
      </w:tr>
      <w:tr>
        <w:trPr>
          <w:trHeight w:val="170"/>
        </w:trPr>
        <w:tc>
          <w:tcPr>
            <w:tcW w:w="3780" w:type="dxa"/>
            <w:vAlign w:val="bottom"/>
          </w:tcPr>
          <w:p>
            <w:pPr>
              <w:spacing w:after="0"/>
              <w:rPr>
                <w:sz w:val="14"/>
                <w:szCs w:val="14"/>
                <w:color w:val="auto"/>
              </w:rPr>
            </w:pP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rPr>
              <w:t>U.S. Government securities</w:t>
            </w: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63,568</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63,602</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w:t>
            </w:r>
          </w:p>
        </w:tc>
        <w:tc>
          <w:tcPr>
            <w:tcW w:w="18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(6)</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w:t>
            </w:r>
          </w:p>
        </w:tc>
      </w:tr>
      <w:tr>
        <w:trPr>
          <w:trHeight w:val="170"/>
        </w:trPr>
        <w:tc>
          <w:tcPr>
            <w:tcW w:w="3780" w:type="dxa"/>
            <w:vAlign w:val="bottom"/>
          </w:tcPr>
          <w:p>
            <w:pPr>
              <w:spacing w:after="0"/>
              <w:rPr>
                <w:sz w:val="14"/>
                <w:szCs w:val="14"/>
                <w:color w:val="auto"/>
              </w:rPr>
            </w:pP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Maturities between one and three years</w:t>
            </w:r>
          </w:p>
        </w:tc>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rPr>
              <w:t>Corporate debt securities</w:t>
            </w: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5,029</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5,026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18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(4)</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w:t>
            </w:r>
          </w:p>
        </w:tc>
      </w:t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rPr>
              <w:t>U.S. Government securities</w:t>
            </w: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30,438</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30,492</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w:t>
            </w:r>
          </w:p>
        </w:tc>
        <w:tc>
          <w:tcPr>
            <w:tcW w:w="18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(13)</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54</w:t>
            </w:r>
          </w:p>
        </w:tc>
      </w:tr>
      <w:tr>
        <w:trPr>
          <w:trHeight w:val="170"/>
        </w:trPr>
        <w:tc>
          <w:tcPr>
            <w:tcW w:w="3780" w:type="dxa"/>
            <w:vAlign w:val="bottom"/>
          </w:tcPr>
          <w:p>
            <w:pPr>
              <w:spacing w:after="0"/>
              <w:rPr>
                <w:sz w:val="14"/>
                <w:szCs w:val="14"/>
                <w:color w:val="auto"/>
              </w:rPr>
            </w:pP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14"/>
                <w:szCs w:val="14"/>
                <w:color w:val="auto"/>
              </w:rPr>
            </w:pP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35,467</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35,518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w:t>
            </w:r>
          </w:p>
        </w:tc>
        <w:tc>
          <w:tcPr>
            <w:tcW w:w="18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(17)</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51</w:t>
            </w:r>
          </w:p>
        </w:tc>
      </w:tr>
      <w:tr>
        <w:trPr>
          <w:trHeight w:val="170"/>
        </w:trPr>
        <w:tc>
          <w:tcPr>
            <w:tcW w:w="3780" w:type="dxa"/>
            <w:vAlign w:val="bottom"/>
          </w:tcPr>
          <w:p>
            <w:pPr>
              <w:spacing w:after="0"/>
              <w:rPr>
                <w:sz w:val="14"/>
                <w:szCs w:val="14"/>
                <w:color w:val="auto"/>
              </w:rPr>
            </w:pP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14"/>
                <w:szCs w:val="14"/>
                <w:color w:val="auto"/>
              </w:rPr>
            </w:pP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$99,035</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$99,120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$108</w:t>
            </w:r>
          </w:p>
        </w:tc>
        <w:tc>
          <w:tcPr>
            <w:tcW w:w="18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($23)</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$85</w:t>
            </w:r>
          </w:p>
        </w:tc>
      </w:tr>
      <w:tr>
        <w:trPr>
          <w:trHeight w:val="170"/>
        </w:trPr>
        <w:tc>
          <w:tcPr>
            <w:tcW w:w="3780" w:type="dxa"/>
            <w:vAlign w:val="bottom"/>
          </w:tcPr>
          <w:p>
            <w:pPr>
              <w:spacing w:after="0"/>
              <w:rPr>
                <w:sz w:val="14"/>
                <w:szCs w:val="14"/>
                <w:color w:val="auto"/>
              </w:rPr>
            </w:pP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 w:right="3700" w:firstLine="793"/>
        <w:spacing w:after="0" w:line="257" w:lineRule="auto"/>
        <w:rPr>
          <w:sz w:val="20"/>
          <w:szCs w:val="20"/>
          <w:color w:val="auto"/>
        </w:rPr>
      </w:pPr>
      <w:r>
        <w:rPr>
          <w:rFonts w:ascii="Courier New" w:cs="Courier New" w:eastAsia="Courier New" w:hAnsi="Courier New"/>
          <w:sz w:val="14"/>
          <w:szCs w:val="14"/>
          <w:color w:val="auto"/>
        </w:rPr>
        <w:t>Realized gains and losses are included as a component of investment income. For the years ended December 31, 1998, 1997, and 1996, gross realized gains and losses were not significant. In computing realized gains and losses, the Company computes the cost of its investments on a specific identification basis. Such cost includes the direct costs to acquire the securities, adjusted for the amortization of any discount or premium. The fair value of marketable securities has been estimated based on quoted market prices.</w:t>
      </w:r>
    </w:p>
    <w:p>
      <w:pPr>
        <w:spacing w:after="0" w:line="200" w:lineRule="exact"/>
        <w:rPr>
          <w:sz w:val="20"/>
          <w:szCs w:val="20"/>
          <w:color w:val="auto"/>
        </w:rPr>
      </w:pPr>
    </w:p>
    <w:p>
      <w:pPr>
        <w:spacing w:after="0" w:line="30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570"/>
          </w:cols>
          <w:pgMar w:left="230" w:top="791" w:right="1099" w:bottom="226" w:gutter="0" w:footer="0" w:header="0"/>
        </w:sectPr>
      </w:pPr>
    </w:p>
    <w:bookmarkStart w:id="45" w:name="page46"/>
    <w:bookmarkEnd w:id="45"/>
    <w:p>
      <w:pPr>
        <w:jc w:val="center"/>
        <w:ind w:right="3250"/>
        <w:spacing w:after="0"/>
        <w:rPr>
          <w:sz w:val="20"/>
          <w:szCs w:val="20"/>
          <w:color w:val="auto"/>
        </w:rPr>
      </w:pPr>
      <w:r>
        <w:rPr>
          <w:rFonts w:ascii="Courier New" w:cs="Courier New" w:eastAsia="Courier New" w:hAnsi="Courier New"/>
          <w:sz w:val="15"/>
          <w:szCs w:val="15"/>
          <w:color w:val="auto"/>
        </w:rPr>
        <w:t>REGENERON PHARMACEUTICALS, INC.</w:t>
      </w:r>
    </w:p>
    <w:p>
      <w:pPr>
        <w:jc w:val="center"/>
        <w:ind w:right="3250"/>
        <w:spacing w:after="0"/>
        <w:rPr>
          <w:sz w:val="20"/>
          <w:szCs w:val="20"/>
          <w:color w:val="auto"/>
        </w:rPr>
      </w:pPr>
      <w:r>
        <w:rPr>
          <w:rFonts w:ascii="Courier New" w:cs="Courier New" w:eastAsia="Courier New" w:hAnsi="Courier New"/>
          <w:sz w:val="15"/>
          <w:szCs w:val="15"/>
          <w:color w:val="auto"/>
        </w:rPr>
        <w:t>NOTES TO FINANCIAL STATEMENTS (Continued)</w:t>
      </w:r>
    </w:p>
    <w:p>
      <w:pPr>
        <w:jc w:val="center"/>
        <w:ind w:right="3250"/>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338" w:lineRule="exact"/>
        <w:rPr>
          <w:sz w:val="20"/>
          <w:szCs w:val="20"/>
          <w:color w:val="auto"/>
        </w:rPr>
      </w:pPr>
    </w:p>
    <w:p>
      <w:pPr>
        <w:ind w:left="350" w:hanging="350"/>
        <w:spacing w:after="0"/>
        <w:tabs>
          <w:tab w:leader="none" w:pos="3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175" w:lineRule="exact"/>
        <w:rPr>
          <w:sz w:val="20"/>
          <w:szCs w:val="20"/>
          <w:color w:val="auto"/>
        </w:rPr>
      </w:pPr>
    </w:p>
    <w:p>
      <w:pPr>
        <w:ind w:left="10" w:right="3179" w:firstLine="793"/>
        <w:spacing w:after="0" w:line="235" w:lineRule="auto"/>
        <w:rPr>
          <w:sz w:val="20"/>
          <w:szCs w:val="20"/>
          <w:color w:val="auto"/>
        </w:rPr>
      </w:pPr>
      <w:r>
        <w:rPr>
          <w:rFonts w:ascii="Courier New" w:cs="Courier New" w:eastAsia="Courier New" w:hAnsi="Courier New"/>
          <w:sz w:val="15"/>
          <w:szCs w:val="15"/>
          <w:color w:val="auto"/>
        </w:rPr>
        <w:t>Property, plant, and equipment as of December 31, 1998 and 1997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jc w:val="right"/>
              <w:ind w:right="807"/>
              <w:spacing w:after="0"/>
              <w:rPr>
                <w:sz w:val="20"/>
                <w:szCs w:val="20"/>
                <w:color w:val="auto"/>
              </w:rPr>
            </w:pPr>
            <w:r>
              <w:rPr>
                <w:rFonts w:ascii="Courier New" w:cs="Courier New" w:eastAsia="Courier New" w:hAnsi="Courier New"/>
                <w:sz w:val="15"/>
                <w:szCs w:val="15"/>
                <w:color w:val="auto"/>
                <w:w w:val="94"/>
              </w:rPr>
              <w:t>1998</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4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jc w:val="right"/>
              <w:ind w:right="807"/>
              <w:spacing w:after="0"/>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475</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475</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Building and improvements</w:t>
            </w:r>
          </w:p>
        </w:tc>
        <w:tc>
          <w:tcPr>
            <w:tcW w:w="8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30,463</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22,744</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8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7,141</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6,180</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Construction in progress</w:t>
            </w: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7,679</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Laboratory and other equipment</w:t>
            </w:r>
          </w:p>
        </w:tc>
        <w:tc>
          <w:tcPr>
            <w:tcW w:w="8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19,366</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17,779</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Furniture, fixtures, and computer equipment</w:t>
            </w:r>
          </w:p>
        </w:tc>
        <w:tc>
          <w:tcPr>
            <w:tcW w:w="8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2,186</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1,449</w:t>
            </w:r>
          </w:p>
        </w:tc>
      </w:tr>
      <w:tr>
        <w:trPr>
          <w:trHeight w:val="170"/>
        </w:trPr>
        <w:tc>
          <w:tcPr>
            <w:tcW w:w="4920" w:type="dxa"/>
            <w:vAlign w:val="bottom"/>
          </w:tcPr>
          <w:p>
            <w:pPr>
              <w:spacing w:after="0"/>
              <w:rPr>
                <w:sz w:val="14"/>
                <w:szCs w:val="14"/>
                <w:color w:val="auto"/>
              </w:rPr>
            </w:pPr>
          </w:p>
        </w:tc>
        <w:tc>
          <w:tcPr>
            <w:tcW w:w="21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59,631</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56,306</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880" w:type="dxa"/>
            <w:vAlign w:val="bottom"/>
          </w:tcPr>
          <w:p>
            <w:pPr>
              <w:spacing w:after="0"/>
              <w:rPr>
                <w:sz w:val="14"/>
                <w:szCs w:val="14"/>
                <w:color w:val="auto"/>
              </w:rPr>
            </w:pP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7"/>
              </w:rPr>
              <w:t>(26,612)</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(23,593)</w:t>
            </w:r>
          </w:p>
        </w:tc>
      </w:tr>
      <w:tr>
        <w:trPr>
          <w:trHeight w:val="170"/>
        </w:trPr>
        <w:tc>
          <w:tcPr>
            <w:tcW w:w="4920" w:type="dxa"/>
            <w:vAlign w:val="bottom"/>
          </w:tcPr>
          <w:p>
            <w:pPr>
              <w:spacing w:after="0"/>
              <w:rPr>
                <w:sz w:val="14"/>
                <w:szCs w:val="14"/>
                <w:color w:val="auto"/>
              </w:rPr>
            </w:pPr>
          </w:p>
        </w:tc>
        <w:tc>
          <w:tcPr>
            <w:tcW w:w="21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$33,019</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$32,713</w:t>
            </w:r>
          </w:p>
        </w:tc>
      </w:tr>
      <w:tr>
        <w:trPr>
          <w:trHeight w:val="170"/>
        </w:trPr>
        <w:tc>
          <w:tcPr>
            <w:tcW w:w="4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left="10" w:right="3179" w:firstLine="793"/>
        <w:spacing w:after="0" w:line="237" w:lineRule="auto"/>
        <w:rPr>
          <w:sz w:val="20"/>
          <w:szCs w:val="20"/>
          <w:color w:val="auto"/>
        </w:rPr>
      </w:pPr>
      <w:r>
        <w:rPr>
          <w:rFonts w:ascii="Courier New" w:cs="Courier New" w:eastAsia="Courier New" w:hAnsi="Courier New"/>
          <w:sz w:val="15"/>
          <w:szCs w:val="15"/>
          <w:color w:val="auto"/>
        </w:rPr>
        <w:t>Depreciation and amortization expense on property, plant, and equipment amounted to approximately $3.0 million, $4.4 million, and $4.8 million, for the years ended December 31, 1998, 1997, and 1996, respectively.</w:t>
      </w:r>
    </w:p>
    <w:p>
      <w:pPr>
        <w:spacing w:after="0" w:line="169" w:lineRule="exact"/>
        <w:rPr>
          <w:sz w:val="20"/>
          <w:szCs w:val="20"/>
          <w:color w:val="auto"/>
        </w:rPr>
      </w:pPr>
    </w:p>
    <w:p>
      <w:pPr>
        <w:ind w:left="350" w:hanging="350"/>
        <w:spacing w:after="0"/>
        <w:tabs>
          <w:tab w:leader="none" w:pos="35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Payable and Accrued Expenses</w:t>
      </w:r>
    </w:p>
    <w:p>
      <w:pPr>
        <w:spacing w:after="0" w:line="175" w:lineRule="exact"/>
        <w:rPr>
          <w:sz w:val="20"/>
          <w:szCs w:val="20"/>
          <w:color w:val="auto"/>
        </w:rPr>
      </w:pPr>
    </w:p>
    <w:p>
      <w:pPr>
        <w:ind w:left="10" w:right="3259" w:firstLine="793"/>
        <w:spacing w:after="0" w:line="235" w:lineRule="auto"/>
        <w:rPr>
          <w:sz w:val="20"/>
          <w:szCs w:val="20"/>
          <w:color w:val="auto"/>
        </w:rPr>
      </w:pPr>
      <w:r>
        <w:rPr>
          <w:rFonts w:ascii="Courier New" w:cs="Courier New" w:eastAsia="Courier New" w:hAnsi="Courier New"/>
          <w:sz w:val="15"/>
          <w:szCs w:val="15"/>
          <w:color w:val="auto"/>
        </w:rPr>
        <w:t>Accounts payable and accrued expenses as of December 31, 1998 and 1997 consist of the following: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274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1997</w:t>
            </w:r>
          </w:p>
        </w:tc>
      </w:tr>
      <w:tr>
        <w:trPr>
          <w:trHeight w:val="170"/>
        </w:trPr>
        <w:tc>
          <w:tcPr>
            <w:tcW w:w="4260" w:type="dxa"/>
            <w:vAlign w:val="bottom"/>
          </w:tcPr>
          <w:p>
            <w:pPr>
              <w:spacing w:after="0"/>
              <w:rPr>
                <w:sz w:val="14"/>
                <w:szCs w:val="14"/>
                <w:color w:val="auto"/>
              </w:rPr>
            </w:pPr>
          </w:p>
        </w:tc>
        <w:tc>
          <w:tcPr>
            <w:tcW w:w="274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426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27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$2,223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2,947</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Accrued payroll and related costs</w:t>
            </w:r>
          </w:p>
        </w:tc>
        <w:tc>
          <w:tcPr>
            <w:tcW w:w="27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1,346</w:t>
            </w:r>
          </w:p>
        </w:tc>
        <w:tc>
          <w:tcPr>
            <w:tcW w:w="9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654</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Accrued clinical trial expense</w:t>
            </w:r>
          </w:p>
        </w:tc>
        <w:tc>
          <w:tcPr>
            <w:tcW w:w="27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1,336</w:t>
            </w:r>
          </w:p>
        </w:tc>
        <w:tc>
          <w:tcPr>
            <w:tcW w:w="9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320</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Accrued expenses, other</w:t>
            </w:r>
          </w:p>
        </w:tc>
        <w:tc>
          <w:tcPr>
            <w:tcW w:w="27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359</w:t>
            </w:r>
          </w:p>
        </w:tc>
        <w:tc>
          <w:tcPr>
            <w:tcW w:w="9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392</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Deferred compensation</w:t>
            </w:r>
          </w:p>
        </w:tc>
        <w:tc>
          <w:tcPr>
            <w:tcW w:w="27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287</w:t>
            </w:r>
          </w:p>
        </w:tc>
        <w:tc>
          <w:tcPr>
            <w:tcW w:w="9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0"/>
        </w:trPr>
        <w:tc>
          <w:tcPr>
            <w:tcW w:w="4260" w:type="dxa"/>
            <w:vAlign w:val="bottom"/>
          </w:tcPr>
          <w:p>
            <w:pPr>
              <w:spacing w:after="0"/>
              <w:rPr>
                <w:sz w:val="14"/>
                <w:szCs w:val="14"/>
                <w:color w:val="auto"/>
              </w:rPr>
            </w:pPr>
          </w:p>
        </w:tc>
        <w:tc>
          <w:tcPr>
            <w:tcW w:w="27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14"/>
                <w:szCs w:val="14"/>
                <w:color w:val="auto"/>
              </w:rPr>
            </w:pPr>
          </w:p>
        </w:tc>
        <w:tc>
          <w:tcPr>
            <w:tcW w:w="27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$5,551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4,663</w:t>
            </w:r>
          </w:p>
        </w:tc>
      </w:tr>
      <w:tr>
        <w:trPr>
          <w:trHeight w:val="170"/>
        </w:trPr>
        <w:tc>
          <w:tcPr>
            <w:tcW w:w="4260" w:type="dxa"/>
            <w:vAlign w:val="bottom"/>
          </w:tcPr>
          <w:p>
            <w:pPr>
              <w:spacing w:after="0"/>
              <w:rPr>
                <w:sz w:val="14"/>
                <w:szCs w:val="14"/>
                <w:color w:val="auto"/>
              </w:rPr>
            </w:pPr>
          </w:p>
        </w:tc>
        <w:tc>
          <w:tcPr>
            <w:tcW w:w="27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ind w:left="350" w:hanging="350"/>
        <w:spacing w:after="0"/>
        <w:tabs>
          <w:tab w:leader="none" w:pos="3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w:t>
      </w:r>
    </w:p>
    <w:p>
      <w:pPr>
        <w:spacing w:after="0" w:line="175" w:lineRule="exact"/>
        <w:rPr>
          <w:sz w:val="20"/>
          <w:szCs w:val="20"/>
          <w:color w:val="auto"/>
        </w:rPr>
      </w:pP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The Company's Amended Certificate of Incorporation provides for the issuance of up to 40 million shares of Class A Stock, par value $0.001 per share, and 60 million shares of Common Stock, par value $0.001 per share. Each share of Class A Stock is convertible, at any time, at the option of the holder into shares of Common Stock on a share-for-share basis and holders of Class A Stock have rights and privileges identical to Common Stockholders except that Class A Stockholders are entitled to ten votes per share while Common Stockholders are entitled to one vote per share. Class A Stock may only be transferred to specified Permitted Transferees, as defined. The Company's Board of Directors (the "Board") is authorized to issue up to 30 million shares of preferred stock, in series, with rights, privileges, and qualifications of each series determined by the Board.</w:t>
      </w:r>
    </w:p>
    <w:p>
      <w:pPr>
        <w:spacing w:after="0" w:line="182" w:lineRule="exact"/>
        <w:rPr>
          <w:sz w:val="20"/>
          <w:szCs w:val="20"/>
          <w:color w:val="auto"/>
        </w:rPr>
      </w:pPr>
    </w:p>
    <w:p>
      <w:pPr>
        <w:ind w:left="10" w:right="3179" w:firstLine="793"/>
        <w:spacing w:after="0" w:line="239" w:lineRule="auto"/>
        <w:rPr>
          <w:sz w:val="20"/>
          <w:szCs w:val="20"/>
          <w:color w:val="auto"/>
        </w:rPr>
      </w:pPr>
      <w:r>
        <w:rPr>
          <w:rFonts w:ascii="Courier New" w:cs="Courier New" w:eastAsia="Courier New" w:hAnsi="Courier New"/>
          <w:sz w:val="15"/>
          <w:szCs w:val="15"/>
          <w:color w:val="auto"/>
        </w:rPr>
        <w:t>During January 1995, the Company entered into an agreement with the Chairman of the Board. As partial consideration for services to be rendered, the agreement provided for the Company to sell the Chairman 600,000 restricted shares of Common Stock ("Restricted Shares"), in consideration for $0.3 million, and to grant 285,000 stock options. The Restricted Shares are nontransferable with such restriction lapsing ratably over a five year period. In accordance with generally accepted accounting principles, the Company is recognizing compensation expense for the difference between the fair market value of the Common Stock on the date the agreement was signed and the purchase price of the Restricted Shares on a pro rata basis over five years as the restriction on the Restricted Shares lapses. The unamortized balance of unearned compensation at December 31, 1998 (approximately $0.4 million) has been included as a reduction to stockholders' equity. For the years ended December 31, 1998, 1997, and 1996, the Company recognized compensation expense of approximately $0.4 million in each year. The stock options, which have been issued under the Company's Amended and Restated 1990 Long-Term Incentive Plan, entitle the holder to purchase an equal number of shares of Common Stock at a per share price of $3.50, the fair market value of the Common Stock on the date of grant. The options vest over a five year period.</w:t>
      </w:r>
    </w:p>
    <w:p>
      <w:pPr>
        <w:sectPr>
          <w:pgSz w:w="11900" w:h="16838" w:orient="portrait"/>
          <w:cols w:equalWidth="0" w:num="1">
            <w:col w:w="10229"/>
          </w:cols>
          <w:pgMar w:left="230" w:top="791" w:right="1440" w:bottom="0" w:gutter="0" w:footer="0" w:header="0"/>
        </w:sectPr>
      </w:pPr>
    </w:p>
    <w:bookmarkStart w:id="46" w:name="page47"/>
    <w:bookmarkEnd w:id="46"/>
    <w:p>
      <w:pPr>
        <w:ind w:left="2140"/>
        <w:spacing w:after="0"/>
        <w:rPr>
          <w:sz w:val="20"/>
          <w:szCs w:val="20"/>
          <w:color w:val="auto"/>
        </w:rPr>
      </w:pPr>
      <w:r>
        <w:rPr>
          <w:rFonts w:ascii="Courier New" w:cs="Courier New" w:eastAsia="Courier New" w:hAnsi="Courier New"/>
          <w:sz w:val="14"/>
          <w:szCs w:val="14"/>
          <w:color w:val="auto"/>
        </w:rPr>
        <w:t>F-10</w:t>
      </w:r>
    </w:p>
    <w:p>
      <w:pPr>
        <w:sectPr>
          <w:pgSz w:w="11900" w:h="16838" w:orient="portrait"/>
          <w:cols w:equalWidth="0" w:num="1">
            <w:col w:w="9019"/>
          </w:cols>
          <w:pgMar w:left="1440" w:top="311" w:right="1440" w:bottom="1440" w:gutter="0" w:footer="0" w:header="0"/>
        </w:sectPr>
      </w:pPr>
    </w:p>
    <w:bookmarkStart w:id="47" w:name="page48"/>
    <w:bookmarkEnd w:id="47"/>
    <w:p>
      <w:pPr>
        <w:jc w:val="center"/>
        <w:ind w:right="3250"/>
        <w:spacing w:after="0"/>
        <w:rPr>
          <w:sz w:val="20"/>
          <w:szCs w:val="20"/>
          <w:color w:val="auto"/>
        </w:rPr>
      </w:pPr>
      <w:r>
        <w:rPr>
          <w:rFonts w:ascii="Courier New" w:cs="Courier New" w:eastAsia="Courier New" w:hAnsi="Courier New"/>
          <w:sz w:val="15"/>
          <w:szCs w:val="15"/>
          <w:color w:val="auto"/>
        </w:rPr>
        <w:t>REGENERON PHARMACEUTICALS, INC.</w:t>
      </w:r>
    </w:p>
    <w:p>
      <w:pPr>
        <w:jc w:val="center"/>
        <w:ind w:right="3250"/>
        <w:spacing w:after="0"/>
        <w:rPr>
          <w:sz w:val="20"/>
          <w:szCs w:val="20"/>
          <w:color w:val="auto"/>
        </w:rPr>
      </w:pPr>
      <w:r>
        <w:rPr>
          <w:rFonts w:ascii="Courier New" w:cs="Courier New" w:eastAsia="Courier New" w:hAnsi="Courier New"/>
          <w:sz w:val="15"/>
          <w:szCs w:val="15"/>
          <w:color w:val="auto"/>
        </w:rPr>
        <w:t>NOTES TO FINANCIAL STATEMENTS (Continued)</w:t>
      </w:r>
    </w:p>
    <w:p>
      <w:pPr>
        <w:jc w:val="center"/>
        <w:ind w:right="3250"/>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174" w:lineRule="exact"/>
        <w:rPr>
          <w:sz w:val="20"/>
          <w:szCs w:val="20"/>
          <w:color w:val="auto"/>
        </w:rPr>
      </w:pPr>
    </w:p>
    <w:p>
      <w:pPr>
        <w:ind w:left="10" w:right="3179" w:firstLine="793"/>
        <w:spacing w:after="0" w:line="256" w:lineRule="auto"/>
        <w:rPr>
          <w:sz w:val="20"/>
          <w:szCs w:val="20"/>
          <w:color w:val="auto"/>
        </w:rPr>
      </w:pPr>
      <w:r>
        <w:rPr>
          <w:rFonts w:ascii="Courier New" w:cs="Courier New" w:eastAsia="Courier New" w:hAnsi="Courier New"/>
          <w:sz w:val="14"/>
          <w:szCs w:val="14"/>
          <w:color w:val="auto"/>
        </w:rPr>
        <w:t>During September 1996, the Company announced that it adopted a Shareholder Rights Plan in which Rights were distributed as a dividend at the rate of one Right for each share of Common Stock and Class A Stock (collectively, "Stock") held by shareholders of record as of the close of business on October 18, 1996. Each Right initially entitles the registered holder to buy a unit ("Unit") consisting of one-one thousandth of a share of Series A Junior Participating Preferred Stock ("A Preferred Stock") at a purchase price of $120 per Unit (the "Purchase Price"). Initially the Rights were attached to all Stock certificates representing shares then outstanding, and no separate Rights certificate were distributed. The Rights will separate from the Stock and a "distribution date" will occur upon the earlier of (i) ten days after a public announcement that a person or group of affiliated or associated persons, excluding certain defined persons, (an "Acquiring Person") has acquired, or has obtained the right to acquire, beneficial ownership of 20% or more of the outstanding shares of Stock or (ii) ten business days following the commencement of a tender offer or exchange offer that would result in a person or group beneficially owning 20% or more of such outstanding shares of Stock. The Rights are not exercisable unless a distribution date occurs and will expire at the close of business on October 18, 2006 unless earlier redeemed by the Company, subject to certain defined restrictions, for $.01 per Right. In the event that an Acquiring Person becomes the beneficial owner of 20% or more of the then outstanding shares of Stock (unless such acquisition is made pursuant to a tender or exchange offer for all outstanding shares of the Company, at a price determined by a majority of the independent directors of the Company who are not representatives, nominees, affiliates, or associates of an Acquiring Person to be fair and otherwise in the best interest of the Company and its shareholders after receiving advice from one or more investment banking firms), each Right will entitle the holder to purchase, at the Right's then current exercise price, common shares (or, in certain circumstances, cash, property or other securities of the Company) having a value twice the Right's Exercise Price. The Right's Exercise Price is the Purchase Price times the number of shares of Common Stock associated with each Right (initially, one). Upon the occurrence of any such events, the Rights held by an Acquiring Person become null and void. In certain circumstances, a Right entitles the holder to receive, upon exercise, shares of common stock of an acquiring company having a value equal to two times the Right's Exercise Price.</w:t>
      </w:r>
    </w:p>
    <w:p>
      <w:pPr>
        <w:spacing w:after="0" w:line="200" w:lineRule="exact"/>
        <w:rPr>
          <w:sz w:val="20"/>
          <w:szCs w:val="20"/>
          <w:color w:val="auto"/>
        </w:rPr>
      </w:pPr>
    </w:p>
    <w:p>
      <w:pPr>
        <w:spacing w:after="0" w:line="320" w:lineRule="exact"/>
        <w:rPr>
          <w:sz w:val="20"/>
          <w:szCs w:val="20"/>
          <w:color w:val="auto"/>
        </w:rPr>
      </w:pPr>
    </w:p>
    <w:p>
      <w:pPr>
        <w:jc w:val="both"/>
        <w:ind w:left="10" w:right="3879" w:firstLine="793"/>
        <w:spacing w:after="0" w:line="237" w:lineRule="auto"/>
        <w:rPr>
          <w:sz w:val="20"/>
          <w:szCs w:val="20"/>
          <w:color w:val="auto"/>
        </w:rPr>
      </w:pPr>
      <w:r>
        <w:rPr>
          <w:rFonts w:ascii="Courier New" w:cs="Courier New" w:eastAsia="Courier New" w:hAnsi="Courier New"/>
          <w:sz w:val="15"/>
          <w:szCs w:val="15"/>
          <w:color w:val="auto"/>
        </w:rPr>
        <w:t>As a result of the Shareholder Rights Plan, the Company's Board designated 100,000 shares of preferred stock as A Preferred Stock. The A Preferred Stock has certain preferences, as defined.</w:t>
      </w:r>
    </w:p>
    <w:p>
      <w:pPr>
        <w:spacing w:after="0" w:line="175" w:lineRule="exact"/>
        <w:rPr>
          <w:sz w:val="20"/>
          <w:szCs w:val="20"/>
          <w:color w:val="auto"/>
        </w:rPr>
      </w:pPr>
    </w:p>
    <w:p>
      <w:pPr>
        <w:ind w:left="10" w:right="3359" w:firstLine="793"/>
        <w:spacing w:after="0" w:line="237" w:lineRule="auto"/>
        <w:rPr>
          <w:sz w:val="20"/>
          <w:szCs w:val="20"/>
          <w:color w:val="auto"/>
        </w:rPr>
      </w:pPr>
      <w:r>
        <w:rPr>
          <w:rFonts w:ascii="Courier New" w:cs="Courier New" w:eastAsia="Courier New" w:hAnsi="Courier New"/>
          <w:sz w:val="15"/>
          <w:szCs w:val="15"/>
          <w:color w:val="auto"/>
        </w:rPr>
        <w:t>In November 1996, the Company's Board authorized the retirement of 17,073 shares of Class A Stock which had been held as treasury shares. The retired shares have the status of authorized but unissued stock and retain the classification of Class A Stock.</w:t>
      </w:r>
    </w:p>
    <w:p>
      <w:pPr>
        <w:spacing w:after="0" w:line="176" w:lineRule="exact"/>
        <w:rPr>
          <w:sz w:val="20"/>
          <w:szCs w:val="20"/>
          <w:color w:val="auto"/>
        </w:rPr>
      </w:pPr>
    </w:p>
    <w:p>
      <w:pPr>
        <w:ind w:left="790" w:right="7319" w:hanging="790"/>
        <w:spacing w:after="0" w:line="513" w:lineRule="auto"/>
        <w:tabs>
          <w:tab w:leader="none" w:pos="349"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 a. Operating Leases</w:t>
      </w:r>
    </w:p>
    <w:p>
      <w:pPr>
        <w:ind w:left="10" w:right="3179" w:firstLine="793"/>
        <w:spacing w:after="0" w:line="237" w:lineRule="auto"/>
        <w:rPr>
          <w:sz w:val="20"/>
          <w:szCs w:val="20"/>
          <w:color w:val="auto"/>
        </w:rPr>
      </w:pPr>
      <w:r>
        <w:rPr>
          <w:rFonts w:ascii="Courier New" w:cs="Courier New" w:eastAsia="Courier New" w:hAnsi="Courier New"/>
          <w:sz w:val="15"/>
          <w:szCs w:val="15"/>
          <w:color w:val="auto"/>
        </w:rPr>
        <w:t>The Company leases laboratory and office space under an operating lease agreement which expires on June 30, 2003. The lease, as amended, provides for base rent plus additional rental charges for utilities, increases in taxes and operating expenses, as defined. The Company has a renewal option to extend the lease for an additional five years.</w:t>
      </w:r>
    </w:p>
    <w:p>
      <w:pPr>
        <w:spacing w:after="0" w:line="178" w:lineRule="exact"/>
        <w:rPr>
          <w:sz w:val="20"/>
          <w:szCs w:val="20"/>
          <w:color w:val="auto"/>
        </w:rPr>
      </w:pPr>
    </w:p>
    <w:p>
      <w:pPr>
        <w:ind w:left="10" w:right="3799" w:firstLine="793"/>
        <w:spacing w:after="0" w:line="235" w:lineRule="auto"/>
        <w:rPr>
          <w:sz w:val="20"/>
          <w:szCs w:val="20"/>
          <w:color w:val="auto"/>
        </w:rPr>
      </w:pPr>
      <w:r>
        <w:rPr>
          <w:rFonts w:ascii="Courier New" w:cs="Courier New" w:eastAsia="Courier New" w:hAnsi="Courier New"/>
          <w:sz w:val="15"/>
          <w:szCs w:val="15"/>
          <w:color w:val="auto"/>
        </w:rPr>
        <w:t>The Company leases certain laboratory and office equipment under operating leases which expire at various times through 2002.</w:t>
      </w:r>
    </w:p>
    <w:p>
      <w:pPr>
        <w:spacing w:after="0" w:line="176" w:lineRule="exact"/>
        <w:rPr>
          <w:sz w:val="20"/>
          <w:szCs w:val="20"/>
          <w:color w:val="auto"/>
        </w:rPr>
      </w:pPr>
    </w:p>
    <w:p>
      <w:pPr>
        <w:ind w:left="10" w:right="4139" w:firstLine="793"/>
        <w:spacing w:after="0" w:line="235" w:lineRule="auto"/>
        <w:rPr>
          <w:sz w:val="20"/>
          <w:szCs w:val="20"/>
          <w:color w:val="auto"/>
        </w:rPr>
      </w:pPr>
      <w:r>
        <w:rPr>
          <w:rFonts w:ascii="Courier New" w:cs="Courier New" w:eastAsia="Courier New" w:hAnsi="Courier New"/>
          <w:sz w:val="15"/>
          <w:szCs w:val="15"/>
          <w:color w:val="auto"/>
        </w:rPr>
        <w:t>At December 31, 1998, the future minimum noncancelable lease commitments under operating leases were as follows:</w:t>
      </w:r>
    </w:p>
    <w:p>
      <w:pPr>
        <w:spacing w:after="0" w:line="170" w:lineRule="exact"/>
        <w:rPr>
          <w:sz w:val="20"/>
          <w:szCs w:val="20"/>
          <w:color w:val="auto"/>
        </w:rPr>
      </w:pPr>
    </w:p>
    <w:tbl>
      <w:tblPr>
        <w:tblLayout w:type="fixed"/>
        <w:tblInd w:w="890" w:type="dxa"/>
        <w:tblCellMar>
          <w:top w:w="0" w:type="dxa"/>
          <w:left w:w="0" w:type="dxa"/>
          <w:bottom w:w="0" w:type="dxa"/>
          <w:right w:w="0" w:type="dxa"/>
        </w:tblCellMar>
      </w:tblPr>
      <w:tr>
        <w:trPr>
          <w:trHeight w:val="170"/>
        </w:trPr>
        <w:tc>
          <w:tcPr>
            <w:tcW w:w="1260" w:type="dxa"/>
            <w:vAlign w:val="bottom"/>
          </w:tcPr>
          <w:p>
            <w:pPr>
              <w:spacing w:after="0"/>
              <w:rPr>
                <w:sz w:val="14"/>
                <w:szCs w:val="14"/>
                <w:color w:val="auto"/>
              </w:rPr>
            </w:pPr>
          </w:p>
        </w:tc>
        <w:tc>
          <w:tcPr>
            <w:tcW w:w="1720" w:type="dxa"/>
            <w:vAlign w:val="bottom"/>
          </w:tcPr>
          <w:p>
            <w:pPr>
              <w:ind w:left="240"/>
              <w:spacing w:after="0"/>
              <w:rPr>
                <w:sz w:val="20"/>
                <w:szCs w:val="20"/>
                <w:color w:val="auto"/>
              </w:rPr>
            </w:pPr>
            <w:r>
              <w:rPr>
                <w:rFonts w:ascii="Courier New" w:cs="Courier New" w:eastAsia="Courier New" w:hAnsi="Courier New"/>
                <w:sz w:val="15"/>
                <w:szCs w:val="15"/>
                <w:color w:val="auto"/>
              </w:rPr>
              <w:t>Laboratory and</w:t>
            </w: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12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December 31,</w:t>
            </w:r>
          </w:p>
        </w:tc>
        <w:tc>
          <w:tcPr>
            <w:tcW w:w="1720" w:type="dxa"/>
            <w:vAlign w:val="bottom"/>
          </w:tcPr>
          <w:p>
            <w:pPr>
              <w:ind w:left="240"/>
              <w:spacing w:after="0"/>
              <w:rPr>
                <w:sz w:val="20"/>
                <w:szCs w:val="20"/>
                <w:color w:val="auto"/>
              </w:rPr>
            </w:pPr>
            <w:r>
              <w:rPr>
                <w:rFonts w:ascii="Courier New" w:cs="Courier New" w:eastAsia="Courier New" w:hAnsi="Courier New"/>
                <w:sz w:val="15"/>
                <w:szCs w:val="15"/>
                <w:color w:val="auto"/>
              </w:rPr>
              <w:t>Office Space</w:t>
            </w: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Equipment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12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2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1999</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$2,825</w:t>
            </w: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$2,936</w:t>
            </w:r>
          </w:p>
        </w:tc>
      </w:tr>
      <w:tr>
        <w:trPr>
          <w:trHeight w:val="170"/>
        </w:trPr>
        <w:tc>
          <w:tcPr>
            <w:tcW w:w="12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2000</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2,997</w:t>
            </w: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3,091</w:t>
            </w:r>
          </w:p>
        </w:tc>
      </w:tr>
      <w:tr>
        <w:trPr>
          <w:trHeight w:val="170"/>
        </w:trPr>
        <w:tc>
          <w:tcPr>
            <w:tcW w:w="12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2001</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3,077</w:t>
            </w: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3,100</w:t>
            </w:r>
          </w:p>
        </w:tc>
      </w:tr>
      <w:tr>
        <w:trPr>
          <w:trHeight w:val="170"/>
        </w:trPr>
        <w:tc>
          <w:tcPr>
            <w:tcW w:w="12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2002</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3,077</w:t>
            </w: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3,079</w:t>
            </w:r>
          </w:p>
        </w:tc>
      </w:tr>
      <w:tr>
        <w:trPr>
          <w:trHeight w:val="170"/>
        </w:trPr>
        <w:tc>
          <w:tcPr>
            <w:tcW w:w="12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2003</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1,538</w:t>
            </w: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1,538</w:t>
            </w:r>
          </w:p>
        </w:tc>
      </w:tr>
      <w:tr>
        <w:trPr>
          <w:trHeight w:val="170"/>
        </w:trPr>
        <w:tc>
          <w:tcPr>
            <w:tcW w:w="1260" w:type="dxa"/>
            <w:vAlign w:val="bottom"/>
          </w:tcPr>
          <w:p>
            <w:pPr>
              <w:spacing w:after="0"/>
              <w:rPr>
                <w:sz w:val="14"/>
                <w:szCs w:val="14"/>
                <w:color w:val="auto"/>
              </w:rPr>
            </w:pP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260" w:type="dxa"/>
            <w:vAlign w:val="bottom"/>
          </w:tcPr>
          <w:p>
            <w:pPr>
              <w:spacing w:after="0"/>
              <w:rPr>
                <w:sz w:val="14"/>
                <w:szCs w:val="14"/>
                <w:color w:val="auto"/>
              </w:rPr>
            </w:pP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$13,514</w:t>
            </w: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$13,744</w:t>
            </w:r>
          </w:p>
        </w:tc>
      </w:tr>
      <w:tr>
        <w:trPr>
          <w:trHeight w:val="170"/>
        </w:trPr>
        <w:tc>
          <w:tcPr>
            <w:tcW w:w="1260" w:type="dxa"/>
            <w:vAlign w:val="bottom"/>
          </w:tcPr>
          <w:p>
            <w:pPr>
              <w:spacing w:after="0"/>
              <w:rPr>
                <w:sz w:val="14"/>
                <w:szCs w:val="14"/>
                <w:color w:val="auto"/>
              </w:rPr>
            </w:pP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1260" w:type="dxa"/>
            <w:vAlign w:val="bottom"/>
          </w:tcPr>
          <w:p>
            <w:pPr>
              <w:spacing w:after="0"/>
              <w:rPr>
                <w:sz w:val="24"/>
                <w:szCs w:val="24"/>
                <w:color w:val="auto"/>
              </w:rPr>
            </w:pPr>
          </w:p>
        </w:tc>
        <w:tc>
          <w:tcPr>
            <w:tcW w:w="17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F-11</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29"/>
          </w:cols>
          <w:pgMar w:left="230" w:top="791" w:right="1440" w:bottom="1440" w:gutter="0" w:footer="0" w:header="0"/>
        </w:sectPr>
      </w:pPr>
    </w:p>
    <w:bookmarkStart w:id="48" w:name="page49"/>
    <w:bookmarkEnd w:id="48"/>
    <w:p>
      <w:pPr>
        <w:jc w:val="center"/>
        <w:ind w:right="3259"/>
        <w:spacing w:after="0"/>
        <w:rPr>
          <w:sz w:val="20"/>
          <w:szCs w:val="20"/>
          <w:color w:val="auto"/>
        </w:rPr>
      </w:pPr>
      <w:r>
        <w:rPr>
          <w:rFonts w:ascii="Courier New" w:cs="Courier New" w:eastAsia="Courier New" w:hAnsi="Courier New"/>
          <w:sz w:val="15"/>
          <w:szCs w:val="15"/>
          <w:color w:val="auto"/>
        </w:rPr>
        <w:t>REGENERON PHARMACEUTICALS, INC.</w:t>
      </w:r>
    </w:p>
    <w:p>
      <w:pPr>
        <w:jc w:val="center"/>
        <w:ind w:right="3259"/>
        <w:spacing w:after="0"/>
        <w:rPr>
          <w:sz w:val="20"/>
          <w:szCs w:val="20"/>
          <w:color w:val="auto"/>
        </w:rPr>
      </w:pPr>
      <w:r>
        <w:rPr>
          <w:rFonts w:ascii="Courier New" w:cs="Courier New" w:eastAsia="Courier New" w:hAnsi="Courier New"/>
          <w:sz w:val="15"/>
          <w:szCs w:val="15"/>
          <w:color w:val="auto"/>
        </w:rPr>
        <w:t>NOTES TO FINANCIAL STATEMENTS (Continued)</w:t>
      </w:r>
    </w:p>
    <w:p>
      <w:pPr>
        <w:jc w:val="center"/>
        <w:ind w:right="3259"/>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168"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8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w w:val="99"/>
              </w:rPr>
              <w:t>Rent expense under operating leases was:</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9"/>
        </w:trPr>
        <w:tc>
          <w:tcPr>
            <w:tcW w:w="2340" w:type="dxa"/>
            <w:vAlign w:val="bottom"/>
          </w:tcPr>
          <w:p>
            <w:pPr>
              <w:spacing w:after="0"/>
              <w:rPr>
                <w:sz w:val="24"/>
                <w:szCs w:val="24"/>
                <w:color w:val="auto"/>
              </w:rPr>
            </w:pP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Laboratory and</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2340" w:type="dxa"/>
            <w:vAlign w:val="bottom"/>
          </w:tcPr>
          <w:p>
            <w:pPr>
              <w:spacing w:after="0"/>
              <w:rPr>
                <w:sz w:val="20"/>
                <w:szCs w:val="20"/>
                <w:color w:val="auto"/>
              </w:rPr>
            </w:pPr>
            <w:r>
              <w:rPr>
                <w:rFonts w:ascii="Courier New" w:cs="Courier New" w:eastAsia="Courier New" w:hAnsi="Courier New"/>
                <w:sz w:val="15"/>
                <w:szCs w:val="15"/>
                <w:color w:val="auto"/>
              </w:rPr>
              <w:t>Year Ending December 31,</w:t>
            </w:r>
          </w:p>
        </w:tc>
        <w:tc>
          <w:tcPr>
            <w:tcW w:w="15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Office Space</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Equipment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23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w:t>
            </w:r>
          </w:p>
        </w:tc>
        <w:tc>
          <w:tcPr>
            <w:tcW w:w="15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34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4"/>
              </w:rPr>
              <w:t>1998</w:t>
            </w:r>
          </w:p>
        </w:tc>
        <w:tc>
          <w:tcPr>
            <w:tcW w:w="15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$2,466</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$2,660</w:t>
            </w:r>
          </w:p>
        </w:tc>
      </w:tr>
      <w:tr>
        <w:trPr>
          <w:trHeight w:val="170"/>
        </w:trPr>
        <w:tc>
          <w:tcPr>
            <w:tcW w:w="234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4"/>
              </w:rPr>
              <w:t>1997</w:t>
            </w:r>
          </w:p>
        </w:tc>
        <w:tc>
          <w:tcPr>
            <w:tcW w:w="15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2,711</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3,170</w:t>
            </w:r>
          </w:p>
        </w:tc>
      </w:tr>
      <w:tr>
        <w:trPr>
          <w:trHeight w:val="170"/>
        </w:trPr>
        <w:tc>
          <w:tcPr>
            <w:tcW w:w="234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4"/>
              </w:rPr>
              <w:t>1996</w:t>
            </w:r>
          </w:p>
        </w:tc>
        <w:tc>
          <w:tcPr>
            <w:tcW w:w="15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2,738</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3,407</w:t>
            </w:r>
          </w:p>
        </w:tc>
      </w:tr>
    </w:tbl>
    <w:p>
      <w:pPr>
        <w:spacing w:after="0" w:line="175"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In addition to its rent expense for laboratory and office space, the Company paid contingent rental charges for utilities of approximately $0.1 million for the year ended December 31, 1998.</w:t>
      </w:r>
    </w:p>
    <w:p>
      <w:pPr>
        <w:spacing w:after="0" w:line="169" w:lineRule="exact"/>
        <w:rPr>
          <w:sz w:val="20"/>
          <w:szCs w:val="20"/>
          <w:color w:val="auto"/>
        </w:rPr>
      </w:pPr>
    </w:p>
    <w:p>
      <w:pPr>
        <w:ind w:left="1140" w:hanging="356"/>
        <w:spacing w:after="0"/>
        <w:tabs>
          <w:tab w:leader="none" w:pos="11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Leases</w:t>
      </w:r>
    </w:p>
    <w:p>
      <w:pPr>
        <w:spacing w:after="0" w:line="175" w:lineRule="exact"/>
        <w:rPr>
          <w:sz w:val="20"/>
          <w:szCs w:val="20"/>
          <w:color w:val="auto"/>
        </w:rPr>
      </w:pPr>
    </w:p>
    <w:p>
      <w:pPr>
        <w:ind w:right="3439" w:firstLine="793"/>
        <w:spacing w:after="0" w:line="238" w:lineRule="auto"/>
        <w:rPr>
          <w:sz w:val="20"/>
          <w:szCs w:val="20"/>
          <w:color w:val="auto"/>
        </w:rPr>
      </w:pPr>
      <w:r>
        <w:rPr>
          <w:rFonts w:ascii="Courier New" w:cs="Courier New" w:eastAsia="Courier New" w:hAnsi="Courier New"/>
          <w:sz w:val="15"/>
          <w:szCs w:val="15"/>
          <w:color w:val="auto"/>
        </w:rPr>
        <w:t>The Company leases equipment under noncancelable capital leases. Lease terms range from four to five years after which the Company is required to purchase the equipment at amounts defined by the agreements, or the leases will automatically be extended for one additional year at defined monthly payments. The leases, as amended, have various financial covenants which include minimum levels of liquid assets (as defined) of $30.0 million and tangible net worth (as defined) of $35.0 million.</w:t>
      </w:r>
    </w:p>
    <w:p>
      <w:pPr>
        <w:spacing w:after="0" w:line="177" w:lineRule="exact"/>
        <w:rPr>
          <w:sz w:val="20"/>
          <w:szCs w:val="20"/>
          <w:color w:val="auto"/>
        </w:rPr>
      </w:pPr>
    </w:p>
    <w:p>
      <w:pPr>
        <w:ind w:right="3619" w:firstLine="793"/>
        <w:spacing w:after="0" w:line="265" w:lineRule="auto"/>
        <w:rPr>
          <w:sz w:val="20"/>
          <w:szCs w:val="20"/>
          <w:color w:val="auto"/>
        </w:rPr>
      </w:pPr>
      <w:r>
        <w:rPr>
          <w:rFonts w:ascii="Courier New" w:cs="Courier New" w:eastAsia="Courier New" w:hAnsi="Courier New"/>
          <w:sz w:val="14"/>
          <w:szCs w:val="14"/>
          <w:color w:val="auto"/>
        </w:rPr>
        <w:t>As of December 31, 1998, minimum rental payments under all capital leases, including payments to acquire leased equipment, were as follows:</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48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Minimum</w:t>
            </w:r>
          </w:p>
        </w:tc>
      </w:tr>
      <w:tr>
        <w:trPr>
          <w:trHeight w:val="170"/>
        </w:trPr>
        <w:tc>
          <w:tcPr>
            <w:tcW w:w="4800" w:type="dxa"/>
            <w:vAlign w:val="bottom"/>
          </w:tcPr>
          <w:p>
            <w:pPr>
              <w:ind w:left="1060"/>
              <w:spacing w:after="0"/>
              <w:rPr>
                <w:sz w:val="20"/>
                <w:szCs w:val="20"/>
                <w:color w:val="auto"/>
              </w:rPr>
            </w:pPr>
            <w:r>
              <w:rPr>
                <w:rFonts w:ascii="Courier New" w:cs="Courier New" w:eastAsia="Courier New" w:hAnsi="Courier New"/>
                <w:sz w:val="15"/>
                <w:szCs w:val="15"/>
                <w:color w:val="auto"/>
              </w:rPr>
              <w:t>Year Ending December 31,</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Rental Payments</w:t>
            </w:r>
          </w:p>
        </w:tc>
      </w:tr>
      <w:tr>
        <w:trPr>
          <w:trHeight w:val="170"/>
        </w:trPr>
        <w:tc>
          <w:tcPr>
            <w:tcW w:w="480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8"/>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9"/>
              </w:rPr>
              <w:t>1999</w:t>
            </w:r>
          </w:p>
        </w:tc>
        <w:tc>
          <w:tcPr>
            <w:tcW w:w="1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$1,226</w:t>
            </w:r>
          </w:p>
        </w:tc>
      </w:tr>
      <w:tr>
        <w:trPr>
          <w:trHeight w:val="170"/>
        </w:trPr>
        <w:tc>
          <w:tcPr>
            <w:tcW w:w="480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9"/>
              </w:rPr>
              <w:t>2000</w:t>
            </w:r>
          </w:p>
        </w:tc>
        <w:tc>
          <w:tcPr>
            <w:tcW w:w="1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1,188</w:t>
            </w:r>
          </w:p>
        </w:tc>
      </w:tr>
      <w:tr>
        <w:trPr>
          <w:trHeight w:val="170"/>
        </w:trPr>
        <w:tc>
          <w:tcPr>
            <w:tcW w:w="480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9"/>
              </w:rPr>
              <w:t>2001</w:t>
            </w:r>
          </w:p>
        </w:tc>
        <w:tc>
          <w:tcPr>
            <w:tcW w:w="1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270</w:t>
            </w:r>
          </w:p>
        </w:tc>
      </w:tr>
      <w:tr>
        <w:trPr>
          <w:trHeight w:val="170"/>
        </w:trPr>
        <w:tc>
          <w:tcPr>
            <w:tcW w:w="480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9"/>
              </w:rPr>
              <w:t>2002</w:t>
            </w:r>
          </w:p>
        </w:tc>
        <w:tc>
          <w:tcPr>
            <w:tcW w:w="1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w:t>
            </w:r>
          </w:p>
        </w:tc>
      </w:tr>
      <w:tr>
        <w:trPr>
          <w:trHeight w:val="170"/>
        </w:trPr>
        <w:tc>
          <w:tcPr>
            <w:tcW w:w="4800" w:type="dxa"/>
            <w:vAlign w:val="bottom"/>
          </w:tcPr>
          <w:p>
            <w:pPr>
              <w:spacing w:after="0"/>
              <w:rPr>
                <w:sz w:val="14"/>
                <w:szCs w:val="14"/>
                <w:color w:val="auto"/>
              </w:rPr>
            </w:pPr>
          </w:p>
        </w:tc>
        <w:tc>
          <w:tcPr>
            <w:tcW w:w="1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spacing w:after="0"/>
              <w:rPr>
                <w:sz w:val="14"/>
                <w:szCs w:val="14"/>
                <w:color w:val="auto"/>
              </w:rPr>
            </w:pPr>
          </w:p>
        </w:tc>
        <w:tc>
          <w:tcPr>
            <w:tcW w:w="1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2,781</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Less, amounts representing interest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(273)</w:t>
            </w:r>
          </w:p>
        </w:tc>
      </w:tr>
      <w:tr>
        <w:trPr>
          <w:trHeight w:val="170"/>
        </w:trPr>
        <w:tc>
          <w:tcPr>
            <w:tcW w:w="4800" w:type="dxa"/>
            <w:vAlign w:val="bottom"/>
          </w:tcPr>
          <w:p>
            <w:pPr>
              <w:spacing w:after="0"/>
              <w:rPr>
                <w:sz w:val="14"/>
                <w:szCs w:val="14"/>
                <w:color w:val="auto"/>
              </w:rPr>
            </w:pPr>
          </w:p>
        </w:tc>
        <w:tc>
          <w:tcPr>
            <w:tcW w:w="1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Present value of net minimum capital lease payments</w:t>
            </w:r>
          </w:p>
        </w:tc>
        <w:tc>
          <w:tcPr>
            <w:tcW w:w="1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$2,508</w:t>
            </w:r>
          </w:p>
        </w:tc>
      </w:tr>
      <w:tr>
        <w:trPr>
          <w:trHeight w:val="170"/>
        </w:trPr>
        <w:tc>
          <w:tcPr>
            <w:tcW w:w="4800" w:type="dxa"/>
            <w:vAlign w:val="bottom"/>
          </w:tcPr>
          <w:p>
            <w:pPr>
              <w:spacing w:after="0"/>
              <w:rPr>
                <w:sz w:val="14"/>
                <w:szCs w:val="14"/>
                <w:color w:val="auto"/>
              </w:rPr>
            </w:pPr>
          </w:p>
        </w:tc>
        <w:tc>
          <w:tcPr>
            <w:tcW w:w="1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Leased equipment and building improvements included in property, plant, and equipment was approximately $4.4 million and $7.4 million at December 31, 1998 and 1997, respectively; related accumulated depreciation was approximately $2.3 million and $4.2 million for the same respective periods.</w:t>
      </w:r>
    </w:p>
    <w:p>
      <w:pPr>
        <w:spacing w:after="0" w:line="171" w:lineRule="exact"/>
        <w:rPr>
          <w:sz w:val="20"/>
          <w:szCs w:val="20"/>
          <w:color w:val="auto"/>
        </w:rPr>
      </w:pPr>
    </w:p>
    <w:p>
      <w:pPr>
        <w:ind w:left="1220" w:hanging="436"/>
        <w:spacing w:after="0"/>
        <w:tabs>
          <w:tab w:leader="none" w:pos="12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 Payable</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The Company borrowed $2.0 million from the New York State Urban Development Corporation ("NYS UDC"). The terms of the note provide for monthly payments of principal and interest through December 2014. Outstanding borrowings accrue interest at an effective interest rate of approximately 7.3%. The note is collateralized by a first mortgage on the Company's land, building and improvements in Rensselaer, New York (book value at December 31, 1998 was approximately $28.0 million). The note also has various financial covenants which include a minimum ratio of current assets over current liabilities, as defined, and a minimum level of tangible net worth, as defined, of $35.0 million. In addition, the Company is not permitted to declare or pay dividends to its stockholders. The provisions of the note require the Company to meet certain defined levels of employment; otherwise, the interest rate on outstanding borrowings will increase to 2.0% above the prime rate (as defined) until the defined levels of employment are attained. As of January 1, 1997, 1998, and 1999, the Company had not met the defined levels of employment; however, the NYS UDC elected to only increase the interest rate by a nominal amount, the effects of which were not material to the financial statements. The estimated fair value of the Company's note payable to the NYS UDC at December 31, 1998 was approximately $2.0 million. The fair value was estimated based on the current rate offered to the Company for debt with similar terms.</w:t>
      </w:r>
    </w:p>
    <w:p>
      <w:pPr>
        <w:spacing w:after="0" w:line="200" w:lineRule="exact"/>
        <w:rPr>
          <w:sz w:val="20"/>
          <w:szCs w:val="20"/>
          <w:color w:val="auto"/>
        </w:rPr>
      </w:pPr>
    </w:p>
    <w:p>
      <w:pPr>
        <w:spacing w:after="0" w:line="29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622" w:right="1440" w:bottom="1440" w:gutter="0" w:footer="0" w:header="0"/>
        </w:sectPr>
      </w:pPr>
    </w:p>
    <w:bookmarkStart w:id="49" w:name="page50"/>
    <w:bookmarkEnd w:id="49"/>
    <w:p>
      <w:pPr>
        <w:jc w:val="center"/>
        <w:ind w:right="3250"/>
        <w:spacing w:after="0"/>
        <w:rPr>
          <w:sz w:val="20"/>
          <w:szCs w:val="20"/>
          <w:color w:val="auto"/>
        </w:rPr>
      </w:pPr>
      <w:r>
        <w:rPr>
          <w:rFonts w:ascii="Courier New" w:cs="Courier New" w:eastAsia="Courier New" w:hAnsi="Courier New"/>
          <w:sz w:val="15"/>
          <w:szCs w:val="15"/>
          <w:color w:val="auto"/>
        </w:rPr>
        <w:t>REGENERON PHARMACEUTICALS, INC.</w:t>
      </w:r>
    </w:p>
    <w:p>
      <w:pPr>
        <w:jc w:val="center"/>
        <w:ind w:right="3250"/>
        <w:spacing w:after="0"/>
        <w:rPr>
          <w:sz w:val="20"/>
          <w:szCs w:val="20"/>
          <w:color w:val="auto"/>
        </w:rPr>
      </w:pPr>
      <w:r>
        <w:rPr>
          <w:rFonts w:ascii="Courier New" w:cs="Courier New" w:eastAsia="Courier New" w:hAnsi="Courier New"/>
          <w:sz w:val="15"/>
          <w:szCs w:val="15"/>
          <w:color w:val="auto"/>
        </w:rPr>
        <w:t>NOTES TO FINANCIAL STATEMENTS (Continued)</w:t>
      </w:r>
    </w:p>
    <w:p>
      <w:pPr>
        <w:jc w:val="center"/>
        <w:ind w:right="3250"/>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343" w:lineRule="exact"/>
        <w:rPr>
          <w:sz w:val="20"/>
          <w:szCs w:val="20"/>
          <w:color w:val="auto"/>
        </w:rPr>
      </w:pPr>
    </w:p>
    <w:p>
      <w:pPr>
        <w:ind w:left="10" w:right="3799"/>
        <w:spacing w:after="0" w:line="235" w:lineRule="auto"/>
        <w:rPr>
          <w:sz w:val="20"/>
          <w:szCs w:val="20"/>
          <w:color w:val="auto"/>
        </w:rPr>
      </w:pPr>
      <w:r>
        <w:rPr>
          <w:rFonts w:ascii="Courier New" w:cs="Courier New" w:eastAsia="Courier New" w:hAnsi="Courier New"/>
          <w:sz w:val="15"/>
          <w:szCs w:val="15"/>
          <w:color w:val="auto"/>
        </w:rPr>
        <w:t>Principal payments under the note during each of the next five years, and thereafter, are as follows:</w:t>
      </w:r>
    </w:p>
    <w:p>
      <w:pPr>
        <w:spacing w:after="0" w:line="170" w:lineRule="exact"/>
        <w:rPr>
          <w:sz w:val="20"/>
          <w:szCs w:val="20"/>
          <w:color w:val="auto"/>
        </w:rPr>
      </w:pPr>
    </w:p>
    <w:tbl>
      <w:tblPr>
        <w:tblLayout w:type="fixed"/>
        <w:tblInd w:w="4230" w:type="dxa"/>
        <w:tblCellMar>
          <w:top w:w="0" w:type="dxa"/>
          <w:left w:w="0" w:type="dxa"/>
          <w:bottom w:w="0" w:type="dxa"/>
          <w:right w:w="0" w:type="dxa"/>
        </w:tblCellMar>
      </w:tblPr>
      <w:tr>
        <w:trPr>
          <w:trHeight w:val="170"/>
        </w:trPr>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0"/>
        </w:trPr>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70"/>
        </w:trPr>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70"/>
        </w:trPr>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70"/>
        </w:trPr>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0"/>
        </w:trPr>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5"/>
              </w:rPr>
              <w:t>Thereafter</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1,356</w:t>
            </w:r>
          </w:p>
        </w:tc>
      </w:tr>
      <w:tr>
        <w:trPr>
          <w:trHeight w:val="170"/>
        </w:trPr>
        <w:tc>
          <w:tcPr>
            <w:tcW w:w="15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5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$1,674</w:t>
            </w:r>
          </w:p>
        </w:tc>
      </w:tr>
      <w:tr>
        <w:trPr>
          <w:trHeight w:val="170"/>
        </w:trPr>
        <w:tc>
          <w:tcPr>
            <w:tcW w:w="15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ind w:left="1150" w:hanging="356"/>
        <w:spacing w:after="0"/>
        <w:tabs>
          <w:tab w:leader="none" w:pos="115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Collaboration and Licensing Agreements</w:t>
      </w:r>
    </w:p>
    <w:p>
      <w:pPr>
        <w:spacing w:after="0" w:line="174"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As part of the Company's research and development efforts, the Company enters into research collaboration and licensing agreements ("Agreements") with related and unrelated scientific collaborators, universities, or consultants (collectively, the "Scientists"). These Agreements contain varying terms and provisions which include fees to be paid by the Company, services to be provided by the Scientists, and ownership rights to certain proprietary technology developed under the Agreements. Some of the Agreements contain provisions which require the Company to pay royalties to the Scientists, as defined, in the event the Company sells or licenses any proprietary products developed under the respective Agreements.</w:t>
      </w:r>
    </w:p>
    <w:p>
      <w:pPr>
        <w:spacing w:after="0" w:line="180" w:lineRule="exact"/>
        <w:rPr>
          <w:sz w:val="20"/>
          <w:szCs w:val="20"/>
          <w:color w:val="auto"/>
        </w:rPr>
      </w:pPr>
    </w:p>
    <w:p>
      <w:pPr>
        <w:ind w:left="10" w:right="3179" w:firstLine="793"/>
        <w:spacing w:after="0" w:line="237" w:lineRule="auto"/>
        <w:rPr>
          <w:sz w:val="20"/>
          <w:szCs w:val="20"/>
          <w:color w:val="auto"/>
        </w:rPr>
      </w:pPr>
      <w:r>
        <w:rPr>
          <w:rFonts w:ascii="Courier New" w:cs="Courier New" w:eastAsia="Courier New" w:hAnsi="Courier New"/>
          <w:sz w:val="15"/>
          <w:szCs w:val="15"/>
          <w:color w:val="auto"/>
        </w:rPr>
        <w:t>Certain Agreements, where the Company is required to pay fees, provide for the Company, upon 30 to 90-day written notice, to terminate such Agreements. During the three years ended December 31, 1998, the Company incurred expenses related to these Agreements of approximately $0.7 million, $0.3 million, and $0.5 million, respectively.</w:t>
      </w:r>
    </w:p>
    <w:p>
      <w:pPr>
        <w:spacing w:after="0" w:line="173" w:lineRule="exact"/>
        <w:rPr>
          <w:sz w:val="20"/>
          <w:szCs w:val="20"/>
          <w:color w:val="auto"/>
        </w:rPr>
      </w:pPr>
    </w:p>
    <w:p>
      <w:pPr>
        <w:ind w:left="1150" w:hanging="356"/>
        <w:spacing w:after="0"/>
        <w:tabs>
          <w:tab w:leader="none" w:pos="115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Compensation</w:t>
      </w:r>
    </w:p>
    <w:p>
      <w:pPr>
        <w:spacing w:after="0" w:line="175" w:lineRule="exact"/>
        <w:rPr>
          <w:sz w:val="20"/>
          <w:szCs w:val="20"/>
          <w:color w:val="auto"/>
        </w:rPr>
      </w:pP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The Company has entered into compensation agreements with certain employees and outside consultants. These agreements require the Company to make certain payments in the future, as defined by the respective agreements. The Company provides for such expenditures over the employment/service period. Such accrual amounted to approximately $0.3 million and $0.4 million at December 31, 1998 and 1997, respectively.</w:t>
      </w:r>
    </w:p>
    <w:p>
      <w:pPr>
        <w:spacing w:after="0" w:line="170" w:lineRule="exact"/>
        <w:rPr>
          <w:sz w:val="20"/>
          <w:szCs w:val="20"/>
          <w:color w:val="auto"/>
        </w:rPr>
      </w:pPr>
    </w:p>
    <w:p>
      <w:pPr>
        <w:ind w:left="350" w:hanging="350"/>
        <w:spacing w:after="0"/>
        <w:tabs>
          <w:tab w:leader="none" w:pos="35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Collaboration Agreements</w:t>
      </w:r>
    </w:p>
    <w:p>
      <w:pPr>
        <w:spacing w:after="0" w:line="169"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Amgen Inc.</w:t>
      </w:r>
    </w:p>
    <w:p>
      <w:pPr>
        <w:spacing w:after="0" w:line="175" w:lineRule="exact"/>
        <w:rPr>
          <w:sz w:val="20"/>
          <w:szCs w:val="20"/>
          <w:color w:val="auto"/>
        </w:rPr>
      </w:pPr>
    </w:p>
    <w:p>
      <w:pPr>
        <w:ind w:left="10" w:right="3179" w:firstLine="793"/>
        <w:spacing w:after="0" w:line="239" w:lineRule="auto"/>
        <w:rPr>
          <w:sz w:val="20"/>
          <w:szCs w:val="20"/>
          <w:color w:val="auto"/>
        </w:rPr>
      </w:pPr>
      <w:r>
        <w:rPr>
          <w:rFonts w:ascii="Courier New" w:cs="Courier New" w:eastAsia="Courier New" w:hAnsi="Courier New"/>
          <w:sz w:val="15"/>
          <w:szCs w:val="15"/>
          <w:color w:val="auto"/>
        </w:rPr>
        <w:t>In August 1990, the Company entered into a collaboration agreement (the "Amgen Agreement") with Amgen Inc. ("Amgen") to develop and attempt to commercialize two proprietary products (BDNF and NT-3, individually the "Product," collectively the "Products"). The Amgen Agreement, among other things, provides for Amgen to fund defined amounts ("Minimum Annual Funding") of development costs of the Products and for Amgen and the Company to form a partnership ("Amgen-Regeneron Partners" or the "Partnership") to complete the development and to commercialize the Products after a defined level of development has occurred. In June 1993, the Partnership commenced operations, with Amgen and the Company holding equal ownership interests (subject to adjustment for any future inequities in capital contributions, as defined). The Partnership is the exclusive distributor of Products in the United States, and Amgen has received a license from the Company to market the Products outside the United States and outside Japan and certain Pacific Rim countries. The Company accounts for its investment in the Partnership in accordance with the equity method of accounting. Since the Partnership's inception, the Company has contributed capital to the Partnership of approximately $50.4 million. In 1998, 1997, and 1996, the Company recognized its share of the Partnership net loss in the amounts of approximately $2.5 million, $3.4 million, and $14.3 million, respectively, which represents 50% of the total Partnership net loss. As of December 31, 1998, the Company continues to be an equal partner in the Partnership.</w:t>
      </w:r>
    </w:p>
    <w:p>
      <w:pPr>
        <w:spacing w:after="0" w:line="176"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Payments from Amgen with respect to its Minimum Annual Funding obligation and from the Partnership in connection with services provided to the Partnership, are recognized as contract research and development revenue as earned. Such revenue for the years ended December 31, 1998, 1997, and 1996 totaled approximately $1.9 million, $1.5 million, and $5.8 million, respectively. Contract research and development payments received in advance are deferred and recognized as revenue when the related services are performed. In addition, the Amgen Agreement contains a provision whereby the Company will receive defined amounts ("Research Progress Payments") from Amgen when each Product reaches certain levels of development.</w:t>
      </w:r>
    </w:p>
    <w:p>
      <w:pPr>
        <w:spacing w:after="0" w:line="343"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29"/>
          </w:cols>
          <w:pgMar w:left="230" w:top="791" w:right="1440" w:bottom="1074" w:gutter="0" w:footer="0" w:header="0"/>
        </w:sectPr>
      </w:pPr>
    </w:p>
    <w:bookmarkStart w:id="50" w:name="page51"/>
    <w:bookmarkEnd w:id="50"/>
    <w:p>
      <w:pPr>
        <w:jc w:val="center"/>
        <w:ind w:right="270"/>
        <w:spacing w:after="0" w:line="237" w:lineRule="auto"/>
        <w:rPr>
          <w:sz w:val="20"/>
          <w:szCs w:val="20"/>
          <w:color w:val="auto"/>
        </w:rPr>
      </w:pPr>
      <w:r>
        <w:rPr>
          <w:rFonts w:ascii="Courier New" w:cs="Courier New" w:eastAsia="Courier New" w:hAnsi="Courier New"/>
          <w:sz w:val="15"/>
          <w:szCs w:val="15"/>
          <w:color w:val="auto"/>
        </w:rPr>
        <w:t>REGENERON PHARMACEUTICALS, INC. NOTES TO FINANCIAL STATEMENTS (Continued) (Dollars in thousands, except per share data)</w:t>
      </w:r>
    </w:p>
    <w:p>
      <w:pPr>
        <w:spacing w:after="0" w:line="33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Selected financial data of the Partnership as of December 31, 1998 and</w:t>
      </w:r>
    </w:p>
    <w:p>
      <w:pPr>
        <w:ind w:left="10"/>
        <w:spacing w:after="0"/>
        <w:rPr>
          <w:sz w:val="20"/>
          <w:szCs w:val="20"/>
          <w:color w:val="auto"/>
        </w:rPr>
      </w:pPr>
      <w:r>
        <w:rPr>
          <w:rFonts w:ascii="Courier New" w:cs="Courier New" w:eastAsia="Courier New" w:hAnsi="Courier New"/>
          <w:sz w:val="15"/>
          <w:szCs w:val="15"/>
          <w:color w:val="auto"/>
        </w:rPr>
        <w:t>1997 and for the years ended December 31, 1998, 1997, and 1996, are as follows: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Balance Sheet Data</w:t>
      </w:r>
    </w:p>
    <w:p>
      <w:pPr>
        <w:ind w:left="79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1230" w:type="dxa"/>
        <w:tblCellMar>
          <w:top w:w="0" w:type="dxa"/>
          <w:left w:w="0" w:type="dxa"/>
          <w:bottom w:w="0" w:type="dxa"/>
          <w:right w:w="0" w:type="dxa"/>
        </w:tblCellMar>
      </w:tblPr>
      <w:tr>
        <w:trPr>
          <w:trHeight w:val="170"/>
        </w:trPr>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360" w:type="dxa"/>
            <w:vAlign w:val="bottom"/>
          </w:tcPr>
          <w:p>
            <w:pPr>
              <w:ind w:left="2920"/>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360" w:type="dxa"/>
            <w:vAlign w:val="bottom"/>
          </w:tcPr>
          <w:p>
            <w:pPr>
              <w:ind w:left="2920"/>
              <w:spacing w:after="0"/>
              <w:rPr>
                <w:sz w:val="20"/>
                <w:szCs w:val="20"/>
                <w:color w:val="auto"/>
              </w:rPr>
            </w:pPr>
            <w:r>
              <w:rPr>
                <w:rFonts w:ascii="Courier New" w:cs="Courier New" w:eastAsia="Courier New" w:hAnsi="Courier New"/>
                <w:sz w:val="15"/>
                <w:szCs w:val="15"/>
                <w:color w:val="auto"/>
              </w:rPr>
              <w:t>----</w:t>
            </w:r>
          </w:p>
        </w:tc>
      </w:tr>
      <w:tr>
        <w:trPr>
          <w:trHeight w:val="339"/>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Cash and cash equivalents</w:t>
            </w:r>
          </w:p>
        </w:tc>
        <w:tc>
          <w:tcPr>
            <w:tcW w:w="3360" w:type="dxa"/>
            <w:vAlign w:val="bottom"/>
          </w:tcPr>
          <w:p>
            <w:pPr>
              <w:ind w:left="2820"/>
              <w:spacing w:after="0"/>
              <w:rPr>
                <w:sz w:val="20"/>
                <w:szCs w:val="20"/>
                <w:color w:val="auto"/>
              </w:rPr>
            </w:pPr>
            <w:r>
              <w:rPr>
                <w:rFonts w:ascii="Courier New" w:cs="Courier New" w:eastAsia="Courier New" w:hAnsi="Courier New"/>
                <w:sz w:val="15"/>
                <w:szCs w:val="15"/>
                <w:color w:val="auto"/>
                <w:w w:val="96"/>
              </w:rPr>
              <w:t>$9,961</w:t>
            </w:r>
          </w:p>
        </w:tc>
      </w:tr>
      <w:tr>
        <w:trPr>
          <w:trHeight w:val="170"/>
        </w:trPr>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6"/>
              </w:rPr>
              <w:t>Accounts  payable</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and accrued</w:t>
            </w:r>
          </w:p>
        </w:tc>
        <w:tc>
          <w:tcPr>
            <w:tcW w:w="3360" w:type="dxa"/>
            <w:vAlign w:val="bottom"/>
          </w:tcPr>
          <w:p>
            <w:pPr>
              <w:ind w:left="100"/>
              <w:spacing w:after="0"/>
              <w:rPr>
                <w:sz w:val="20"/>
                <w:szCs w:val="20"/>
                <w:color w:val="auto"/>
              </w:rPr>
            </w:pPr>
            <w:r>
              <w:rPr>
                <w:rFonts w:ascii="Courier New" w:cs="Courier New" w:eastAsia="Courier New" w:hAnsi="Courier New"/>
                <w:sz w:val="15"/>
                <w:szCs w:val="15"/>
                <w:color w:val="auto"/>
              </w:rPr>
              <w:t>expenses  due to</w:t>
            </w:r>
          </w:p>
        </w:tc>
      </w:tr>
      <w:tr>
        <w:trPr>
          <w:trHeight w:val="170"/>
        </w:trPr>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partners  (1)</w:t>
            </w:r>
          </w:p>
        </w:tc>
        <w:tc>
          <w:tcPr>
            <w:tcW w:w="1100" w:type="dxa"/>
            <w:vAlign w:val="bottom"/>
          </w:tcPr>
          <w:p>
            <w:pPr>
              <w:spacing w:after="0"/>
              <w:rPr>
                <w:sz w:val="14"/>
                <w:szCs w:val="14"/>
                <w:color w:val="auto"/>
              </w:rPr>
            </w:pPr>
          </w:p>
        </w:tc>
        <w:tc>
          <w:tcPr>
            <w:tcW w:w="3360" w:type="dxa"/>
            <w:vAlign w:val="bottom"/>
          </w:tcPr>
          <w:p>
            <w:pPr>
              <w:ind w:left="2920"/>
              <w:spacing w:after="0"/>
              <w:rPr>
                <w:sz w:val="20"/>
                <w:szCs w:val="20"/>
                <w:color w:val="auto"/>
              </w:rPr>
            </w:pPr>
            <w:r>
              <w:rPr>
                <w:rFonts w:ascii="Courier New" w:cs="Courier New" w:eastAsia="Courier New" w:hAnsi="Courier New"/>
                <w:sz w:val="15"/>
                <w:szCs w:val="15"/>
                <w:color w:val="auto"/>
                <w:w w:val="93"/>
              </w:rPr>
              <w:t>3,779</w:t>
            </w:r>
          </w:p>
        </w:tc>
      </w:tr>
      <w:tr>
        <w:trPr>
          <w:trHeight w:val="170"/>
        </w:trPr>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6"/>
              </w:rPr>
              <w:t>Partners' capital</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accounts</w:t>
            </w:r>
          </w:p>
        </w:tc>
        <w:tc>
          <w:tcPr>
            <w:tcW w:w="3360" w:type="dxa"/>
            <w:vAlign w:val="bottom"/>
          </w:tcPr>
          <w:p>
            <w:pPr>
              <w:spacing w:after="0"/>
              <w:rPr>
                <w:sz w:val="14"/>
                <w:szCs w:val="14"/>
                <w:color w:val="auto"/>
              </w:rPr>
            </w:pPr>
          </w:p>
        </w:tc>
      </w:tr>
      <w:tr>
        <w:trPr>
          <w:trHeight w:val="170"/>
        </w:trPr>
        <w:tc>
          <w:tcPr>
            <w:tcW w:w="1540" w:type="dxa"/>
            <w:vAlign w:val="bottom"/>
          </w:tcPr>
          <w:p>
            <w:pPr>
              <w:ind w:left="800"/>
              <w:spacing w:after="0"/>
              <w:rPr>
                <w:sz w:val="20"/>
                <w:szCs w:val="20"/>
                <w:color w:val="auto"/>
              </w:rPr>
            </w:pPr>
            <w:r>
              <w:rPr>
                <w:rFonts w:ascii="Courier New" w:cs="Courier New" w:eastAsia="Courier New" w:hAnsi="Courier New"/>
                <w:sz w:val="15"/>
                <w:szCs w:val="15"/>
                <w:color w:val="auto"/>
              </w:rPr>
              <w:t>Amgen</w:t>
            </w:r>
          </w:p>
        </w:tc>
        <w:tc>
          <w:tcPr>
            <w:tcW w:w="1100" w:type="dxa"/>
            <w:vAlign w:val="bottom"/>
          </w:tcPr>
          <w:p>
            <w:pPr>
              <w:spacing w:after="0"/>
              <w:rPr>
                <w:sz w:val="14"/>
                <w:szCs w:val="14"/>
                <w:color w:val="auto"/>
              </w:rPr>
            </w:pPr>
          </w:p>
        </w:tc>
        <w:tc>
          <w:tcPr>
            <w:tcW w:w="3360" w:type="dxa"/>
            <w:vAlign w:val="bottom"/>
          </w:tcPr>
          <w:p>
            <w:pPr>
              <w:ind w:left="2920"/>
              <w:spacing w:after="0"/>
              <w:rPr>
                <w:sz w:val="20"/>
                <w:szCs w:val="20"/>
                <w:color w:val="auto"/>
              </w:rPr>
            </w:pPr>
            <w:r>
              <w:rPr>
                <w:rFonts w:ascii="Courier New" w:cs="Courier New" w:eastAsia="Courier New" w:hAnsi="Courier New"/>
                <w:sz w:val="15"/>
                <w:szCs w:val="15"/>
                <w:color w:val="auto"/>
                <w:w w:val="93"/>
              </w:rPr>
              <w:t>3,091</w:t>
            </w:r>
          </w:p>
        </w:tc>
      </w:tr>
      <w:tr>
        <w:trPr>
          <w:trHeight w:val="170"/>
        </w:trPr>
        <w:tc>
          <w:tcPr>
            <w:tcW w:w="264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The Company</w:t>
            </w:r>
          </w:p>
        </w:tc>
        <w:tc>
          <w:tcPr>
            <w:tcW w:w="3360" w:type="dxa"/>
            <w:vAlign w:val="bottom"/>
          </w:tcPr>
          <w:p>
            <w:pPr>
              <w:ind w:left="2920"/>
              <w:spacing w:after="0"/>
              <w:rPr>
                <w:sz w:val="20"/>
                <w:szCs w:val="20"/>
                <w:color w:val="auto"/>
              </w:rPr>
            </w:pPr>
            <w:r>
              <w:rPr>
                <w:rFonts w:ascii="Courier New" w:cs="Courier New" w:eastAsia="Courier New" w:hAnsi="Courier New"/>
                <w:sz w:val="15"/>
                <w:szCs w:val="15"/>
                <w:color w:val="auto"/>
                <w:w w:val="93"/>
              </w:rPr>
              <w:t>3,091</w:t>
            </w:r>
          </w:p>
        </w:tc>
      </w:tr>
    </w:tbl>
    <w:p>
      <w:pPr>
        <w:spacing w:after="0" w:line="339" w:lineRule="exact"/>
        <w:rPr>
          <w:sz w:val="20"/>
          <w:szCs w:val="20"/>
          <w:color w:val="auto"/>
        </w:rPr>
      </w:pPr>
    </w:p>
    <w:p>
      <w:pPr>
        <w:ind w:left="170" w:hanging="170"/>
        <w:spacing w:after="0"/>
        <w:tabs>
          <w:tab w:leader="none" w:pos="17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790" w:right="260" w:hanging="613"/>
        <w:spacing w:after="0" w:line="237" w:lineRule="auto"/>
        <w:tabs>
          <w:tab w:leader="none" w:pos="79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1998, includes approximately $0.7 million due the Company, less approximately $0.3 million payable by the Company to the Partnership. At December 31, 1997, includes approximately $0.4 million due the Company.</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79"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Operations Data</w:t>
      </w: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1230"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2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314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140" w:type="dxa"/>
            <w:vAlign w:val="bottom"/>
          </w:tcPr>
          <w:p>
            <w:pPr>
              <w:spacing w:after="0"/>
              <w:rPr>
                <w:sz w:val="20"/>
                <w:szCs w:val="20"/>
                <w:color w:val="auto"/>
              </w:rPr>
            </w:pPr>
            <w:r>
              <w:rPr>
                <w:rFonts w:ascii="Courier New" w:cs="Courier New" w:eastAsia="Courier New" w:hAnsi="Courier New"/>
                <w:sz w:val="15"/>
                <w:szCs w:val="15"/>
                <w:color w:val="auto"/>
              </w:rPr>
              <w:t>Total revenue</w:t>
            </w:r>
          </w:p>
        </w:tc>
        <w:tc>
          <w:tcPr>
            <w:tcW w:w="2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$316</w:t>
            </w:r>
          </w:p>
        </w:tc>
      </w:tr>
      <w:tr>
        <w:trPr>
          <w:trHeight w:val="170"/>
        </w:trPr>
        <w:tc>
          <w:tcPr>
            <w:tcW w:w="3140" w:type="dxa"/>
            <w:vAlign w:val="bottom"/>
          </w:tcPr>
          <w:p>
            <w:pPr>
              <w:spacing w:after="0"/>
              <w:rPr>
                <w:sz w:val="20"/>
                <w:szCs w:val="20"/>
                <w:color w:val="auto"/>
              </w:rPr>
            </w:pPr>
            <w:r>
              <w:rPr>
                <w:rFonts w:ascii="Courier New" w:cs="Courier New" w:eastAsia="Courier New" w:hAnsi="Courier New"/>
                <w:sz w:val="15"/>
                <w:szCs w:val="15"/>
                <w:color w:val="auto"/>
              </w:rPr>
              <w:t>Total expenses (2)</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(5,284)</w:t>
            </w:r>
          </w:p>
        </w:tc>
      </w:tr>
      <w:tr>
        <w:trPr>
          <w:trHeight w:val="170"/>
        </w:trPr>
        <w:tc>
          <w:tcPr>
            <w:tcW w:w="314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1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($4,968)</w:t>
            </w:r>
          </w:p>
        </w:tc>
      </w:tr>
      <w:tr>
        <w:trPr>
          <w:trHeight w:val="170"/>
        </w:trPr>
        <w:tc>
          <w:tcPr>
            <w:tcW w:w="314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70" w:hanging="170"/>
        <w:spacing w:after="0"/>
        <w:tabs>
          <w:tab w:leader="none" w:pos="17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790" w:right="540" w:hanging="613"/>
        <w:spacing w:after="0" w:line="237" w:lineRule="auto"/>
        <w:tabs>
          <w:tab w:leader="none" w:pos="79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approximately $1.9 million, $1.5 million, and $5.8 million related to services provided by the Company for the years ended December 31, 1998, 1997, and 1996, respectively.</w:t>
      </w:r>
    </w:p>
    <w:p>
      <w:pPr>
        <w:spacing w:after="0" w:line="175" w:lineRule="exact"/>
        <w:rPr>
          <w:sz w:val="20"/>
          <w:szCs w:val="20"/>
          <w:color w:val="auto"/>
        </w:rPr>
      </w:pPr>
    </w:p>
    <w:p>
      <w:pPr>
        <w:ind w:left="10" w:right="260" w:firstLine="793"/>
        <w:spacing w:after="0" w:line="238" w:lineRule="auto"/>
        <w:rPr>
          <w:sz w:val="20"/>
          <w:szCs w:val="20"/>
          <w:color w:val="auto"/>
        </w:rPr>
      </w:pPr>
      <w:r>
        <w:rPr>
          <w:rFonts w:ascii="Courier New" w:cs="Courier New" w:eastAsia="Courier New" w:hAnsi="Courier New"/>
          <w:sz w:val="15"/>
          <w:szCs w:val="15"/>
          <w:color w:val="auto"/>
        </w:rPr>
        <w:t>During 1990, Amgen purchased 767,656 shares of Series D convertible preferred stock for $15.0 million. Such shares converted into 788,766 shares of Class A Stock in April 1991 at the time of the Company's initial public offering. During April 1996, Amgen purchased from the Company 3 million shares of Common Stock and 700,000 warrants for $48.0 million. The warrants have an exercise price of $16 per share, are fully exercisable, expire on April 15, 2001, and are subject to anti-dilution provisions, and other defined adjustments.</w:t>
      </w:r>
    </w:p>
    <w:p>
      <w:pPr>
        <w:spacing w:after="0" w:line="172" w:lineRule="exact"/>
        <w:rPr>
          <w:sz w:val="20"/>
          <w:szCs w:val="20"/>
          <w:color w:val="auto"/>
        </w:rPr>
      </w:pPr>
    </w:p>
    <w:p>
      <w:pPr>
        <w:ind w:left="1150" w:hanging="356"/>
        <w:spacing w:after="0"/>
        <w:tabs>
          <w:tab w:leader="none" w:pos="115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Sumitomo Pharmaceuticals Company, Ltd.</w:t>
      </w:r>
    </w:p>
    <w:p>
      <w:pPr>
        <w:spacing w:after="0" w:line="175" w:lineRule="exact"/>
        <w:rPr>
          <w:sz w:val="20"/>
          <w:szCs w:val="20"/>
          <w:color w:val="auto"/>
        </w:rPr>
      </w:pPr>
    </w:p>
    <w:p>
      <w:pPr>
        <w:ind w:left="10" w:right="180" w:firstLine="793"/>
        <w:spacing w:after="0" w:line="256" w:lineRule="auto"/>
        <w:rPr>
          <w:sz w:val="20"/>
          <w:szCs w:val="20"/>
          <w:color w:val="auto"/>
        </w:rPr>
      </w:pPr>
      <w:r>
        <w:rPr>
          <w:rFonts w:ascii="Courier New" w:cs="Courier New" w:eastAsia="Courier New" w:hAnsi="Courier New"/>
          <w:sz w:val="14"/>
          <w:szCs w:val="14"/>
          <w:color w:val="auto"/>
        </w:rPr>
        <w:t>In June 1994, the Company entered into a research and development agreement with Sumitomo Pharmaceuticals Company, Ltd. ("Sumitomo Pharmaceuticals") to collaborate in the research and development of BDNF in Japan. Sumitomo Pharmaceuticals paid the Company $13.0 million in June 1994 and agreed to pay $3.0 million annually on each January 1 from 1995 to 1998 (inclusive) for research payments. The research payments from Sumitomo Pharmaceuticals are recognized as contract research and development revenue over a twelve month period. The Company recognized contract research and development revenue with respect to research payments of approximately $3.0 million, for the years ended December 31, 1998, 1997, and 1996, respectively. Research payments from Sumitomo Pharmaceuticals that are received in advance are deferred and recognized as revenue when the related services are performed. At December 31, 1997, research payments of $3.0 million were deferred. In addition, Sumitomo Pharmaceuticals reimburses the Company for its activities in developing manufacturing processes for BDNF and supplying BDNF and other research materials to Sumitomo Pharmaceuticals ("manufacturing payments"). Such manufacturing payments, which are included in contract research and development revenue, totaled approximately $1.3 million, $7.6 million, and $8.5 million, in 1998, 1997, and 1996, respectively. In March 1998, Sumitomo Pharmaceuticals initiated a Phase I clinical trial of BDNF in Japan and, in August 1998, signed a license agreement with the Company for the development of BDNF in Japan. Pursuant to the license agreement, Sumitomo Pharmaceuticals made a $5.0 million milestone payment (reduced by $0.5 million of Japanese withholding tax) and will make additional payments upon the achievement of specified milestones. The amount received in 1998 is included in research progress payments.</w:t>
      </w:r>
    </w:p>
    <w:p>
      <w:pPr>
        <w:spacing w:after="0" w:line="347" w:lineRule="exact"/>
        <w:rPr>
          <w:sz w:val="20"/>
          <w:szCs w:val="20"/>
          <w:color w:val="auto"/>
        </w:rPr>
      </w:pPr>
    </w:p>
    <w:p>
      <w:pPr>
        <w:ind w:left="10" w:right="360" w:firstLine="793"/>
        <w:spacing w:after="0" w:line="265" w:lineRule="auto"/>
        <w:rPr>
          <w:sz w:val="20"/>
          <w:szCs w:val="20"/>
          <w:color w:val="auto"/>
        </w:rPr>
      </w:pPr>
      <w:r>
        <w:rPr>
          <w:rFonts w:ascii="Courier New" w:cs="Courier New" w:eastAsia="Courier New" w:hAnsi="Courier New"/>
          <w:sz w:val="14"/>
          <w:szCs w:val="14"/>
          <w:color w:val="auto"/>
        </w:rPr>
        <w:t>During 1989, Sumitomo Chemical Co., Ltd., an affiliate of Sumitomo Pharmaceuticals, entered into a stock purchase agreement whereby it purchased,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1997</w:t>
      </w:r>
    </w:p>
    <w:p>
      <w:pPr>
        <w:ind w:left="114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$2,552</w:t>
      </w:r>
    </w:p>
    <w:p>
      <w:pPr>
        <w:spacing w:after="0" w:line="169"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1,824</w:t>
      </w:r>
    </w:p>
    <w:p>
      <w:pPr>
        <w:spacing w:after="0" w:line="169"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364</w:t>
      </w:r>
    </w:p>
    <w:p>
      <w:pPr>
        <w:ind w:left="1420"/>
        <w:spacing w:after="0"/>
        <w:rPr>
          <w:sz w:val="20"/>
          <w:szCs w:val="20"/>
          <w:color w:val="auto"/>
        </w:rPr>
      </w:pPr>
      <w:r>
        <w:rPr>
          <w:rFonts w:ascii="Courier New" w:cs="Courier New" w:eastAsia="Courier New" w:hAnsi="Courier New"/>
          <w:sz w:val="15"/>
          <w:szCs w:val="15"/>
          <w:color w:val="auto"/>
        </w:rPr>
        <w:t>364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1997</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$310</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$750</w:t>
            </w:r>
          </w:p>
        </w:tc>
      </w:tr>
      <w:tr>
        <w:trPr>
          <w:trHeight w:val="170"/>
        </w:trPr>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(7,116)</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(29,250)</w:t>
            </w:r>
          </w:p>
        </w:tc>
      </w:tr>
      <w:tr>
        <w:trPr>
          <w:trHeight w:val="170"/>
        </w:trPr>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($6,806)</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($28,500)</w:t>
            </w:r>
          </w:p>
        </w:tc>
      </w:tr>
      <w:tr>
        <w:trPr>
          <w:trHeight w:val="170"/>
        </w:trPr>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230" w:space="700"/>
            <w:col w:w="2740"/>
          </w:cols>
          <w:pgMar w:left="230" w:top="797" w:right="999" w:bottom="0" w:gutter="0" w:footer="0" w:header="0"/>
        </w:sectPr>
      </w:pPr>
    </w:p>
    <w:bookmarkStart w:id="51" w:name="page52"/>
    <w:bookmarkEnd w:id="51"/>
    <w:p>
      <w:pPr>
        <w:ind w:right="3259"/>
        <w:spacing w:after="0" w:line="237" w:lineRule="auto"/>
        <w:rPr>
          <w:sz w:val="20"/>
          <w:szCs w:val="20"/>
          <w:color w:val="auto"/>
        </w:rPr>
      </w:pPr>
      <w:r>
        <w:rPr>
          <w:rFonts w:ascii="Courier New" w:cs="Courier New" w:eastAsia="Courier New" w:hAnsi="Courier New"/>
          <w:sz w:val="15"/>
          <w:szCs w:val="15"/>
          <w:color w:val="auto"/>
        </w:rPr>
        <w:t>for $4.4 million, 885,062 shares of Class C Preferred Stock. Such shares converted into 909,401 shares of Class A Stock in April 1991 at the time of the Company's initial public offering.</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19"/>
          </w:cols>
          <w:pgMar w:left="240" w:top="141" w:right="1440" w:bottom="1440" w:gutter="0" w:footer="0" w:header="0"/>
        </w:sectPr>
      </w:pPr>
    </w:p>
    <w:bookmarkStart w:id="52" w:name="page53"/>
    <w:bookmarkEnd w:id="52"/>
    <w:p>
      <w:pPr>
        <w:jc w:val="center"/>
        <w:ind w:right="3250"/>
        <w:spacing w:after="0"/>
        <w:rPr>
          <w:sz w:val="20"/>
          <w:szCs w:val="20"/>
          <w:color w:val="auto"/>
        </w:rPr>
      </w:pPr>
      <w:r>
        <w:rPr>
          <w:rFonts w:ascii="Courier New" w:cs="Courier New" w:eastAsia="Courier New" w:hAnsi="Courier New"/>
          <w:sz w:val="15"/>
          <w:szCs w:val="15"/>
          <w:color w:val="auto"/>
        </w:rPr>
        <w:t>REGENERON PHARMACEUTICALS, INC.</w:t>
      </w:r>
    </w:p>
    <w:p>
      <w:pPr>
        <w:jc w:val="center"/>
        <w:ind w:right="3250"/>
        <w:spacing w:after="0"/>
        <w:rPr>
          <w:sz w:val="20"/>
          <w:szCs w:val="20"/>
          <w:color w:val="auto"/>
        </w:rPr>
      </w:pPr>
      <w:r>
        <w:rPr>
          <w:rFonts w:ascii="Courier New" w:cs="Courier New" w:eastAsia="Courier New" w:hAnsi="Courier New"/>
          <w:sz w:val="15"/>
          <w:szCs w:val="15"/>
          <w:color w:val="auto"/>
        </w:rPr>
        <w:t>NOTES TO FINANCIAL STATEMENTS (Continued)</w:t>
      </w:r>
    </w:p>
    <w:p>
      <w:pPr>
        <w:jc w:val="center"/>
        <w:ind w:right="3250"/>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338" w:lineRule="exact"/>
        <w:rPr>
          <w:sz w:val="20"/>
          <w:szCs w:val="20"/>
          <w:color w:val="auto"/>
        </w:rPr>
      </w:pPr>
    </w:p>
    <w:p>
      <w:pPr>
        <w:ind w:left="1150" w:hanging="356"/>
        <w:spacing w:after="0"/>
        <w:tabs>
          <w:tab w:leader="none" w:pos="115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Glaxo Wellcome plc</w:t>
      </w:r>
    </w:p>
    <w:p>
      <w:pPr>
        <w:spacing w:after="0" w:line="175" w:lineRule="exact"/>
        <w:rPr>
          <w:sz w:val="20"/>
          <w:szCs w:val="20"/>
          <w:color w:val="auto"/>
        </w:rPr>
      </w:pPr>
    </w:p>
    <w:p>
      <w:pPr>
        <w:ind w:left="10" w:right="3259" w:firstLine="793"/>
        <w:spacing w:after="0" w:line="237" w:lineRule="auto"/>
        <w:rPr>
          <w:sz w:val="20"/>
          <w:szCs w:val="20"/>
          <w:color w:val="auto"/>
        </w:rPr>
      </w:pPr>
      <w:r>
        <w:rPr>
          <w:rFonts w:ascii="Courier New" w:cs="Courier New" w:eastAsia="Courier New" w:hAnsi="Courier New"/>
          <w:sz w:val="15"/>
          <w:szCs w:val="15"/>
          <w:color w:val="auto"/>
        </w:rPr>
        <w:t>During 1993, the Company entered into a collaborative research agreement with Glaxo Wellcome plc ("Glaxo"). Products that are developed by the joint efforts of Glaxo and the Company will be commercialized by one or more equally owned joint ventures. Glaxo also purchased 500,000 shares of the Company's Common Stock at a price of $20 per share.</w:t>
      </w:r>
    </w:p>
    <w:p>
      <w:pPr>
        <w:spacing w:after="0" w:line="173" w:lineRule="exact"/>
        <w:rPr>
          <w:sz w:val="20"/>
          <w:szCs w:val="20"/>
          <w:color w:val="auto"/>
        </w:rPr>
      </w:pPr>
    </w:p>
    <w:p>
      <w:pPr>
        <w:ind w:left="1150" w:hanging="356"/>
        <w:spacing w:after="0"/>
        <w:tabs>
          <w:tab w:leader="none" w:pos="11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Medtronic, Inc.</w:t>
      </w:r>
    </w:p>
    <w:p>
      <w:pPr>
        <w:spacing w:after="0" w:line="175" w:lineRule="exact"/>
        <w:rPr>
          <w:sz w:val="20"/>
          <w:szCs w:val="20"/>
          <w:color w:val="auto"/>
        </w:rPr>
      </w:pPr>
    </w:p>
    <w:p>
      <w:pPr>
        <w:ind w:left="10" w:right="3179" w:firstLine="793"/>
        <w:spacing w:after="0" w:line="258" w:lineRule="auto"/>
        <w:rPr>
          <w:sz w:val="20"/>
          <w:szCs w:val="20"/>
          <w:color w:val="auto"/>
        </w:rPr>
      </w:pPr>
      <w:r>
        <w:rPr>
          <w:rFonts w:ascii="Courier New" w:cs="Courier New" w:eastAsia="Courier New" w:hAnsi="Courier New"/>
          <w:sz w:val="14"/>
          <w:szCs w:val="14"/>
          <w:color w:val="auto"/>
        </w:rPr>
        <w:t>During June 1996, the Company and Medtronic, Inc. ("Medtronic") entered into a worldwide exclusive joint development agreement (subsequently terminated during 1998), and Medtronic purchased from the Company 460,500 shares of Common Stock and 107,400 warrants for $10.0 million. The warrants have an exercise price of $21.72 per share, are fully exercisable, expire on June 26, 2001, and are subject to anti-dilution provisions and other defined adjustments.</w:t>
      </w:r>
    </w:p>
    <w:p>
      <w:pPr>
        <w:spacing w:after="0" w:line="158" w:lineRule="exact"/>
        <w:rPr>
          <w:sz w:val="20"/>
          <w:szCs w:val="20"/>
          <w:color w:val="auto"/>
        </w:rPr>
      </w:pPr>
    </w:p>
    <w:p>
      <w:pPr>
        <w:ind w:left="1150" w:hanging="356"/>
        <w:spacing w:after="0"/>
        <w:tabs>
          <w:tab w:leader="none" w:pos="115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Procter &amp; Gamble Company</w:t>
      </w:r>
    </w:p>
    <w:p>
      <w:pPr>
        <w:spacing w:after="0" w:line="175"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During December 1996, the Company entered into a collaboration agreement with Procter &amp; Gamble Pharmaceuticals, Inc. ("P&amp;G Pharmaceuticals") to jointly discover and develop therapeutics ("compound") for muscle diseases and disorders (the "1996 Agreement"). As part of the 1996 Agreement, P&amp;G Pharmaceuticals agreed to provide, for a minimum of three years, minimum annual research funding to the Company of $3.75 million. P&amp;G Pharmaceuticals had the option to fund additional amounts and had the right to terminate the agreement after three years. In the event that a compound is discovered and developed to certain defined levels (but not before the third anniversary of the agreement), P&amp;G Pharmaceuticals and the Company had agreed to negotiate, in good faith, an agreement whereby they would jointly complete the development and commercialization of the compound. In addition, during December 1996, the Company and P&amp;G Pharmaceuticals entered into a Stock Purchase Agreement whereby P&amp;G Pharmaceuticals paid $10.0 million in December 1996 and in March 1997 received 800,000 shares of restricted Common Stock.</w:t>
      </w:r>
    </w:p>
    <w:p>
      <w:pPr>
        <w:spacing w:after="0" w:line="185"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In May 1997, the Company entered into a ten-year multi-project collaboration agreement with The Procter &amp; Gamble Company ("P&amp;G") to discover, develop, and commercialize pharmaceutical products (the "P&amp;G Agreement"), as well as a securities purchase agreement and other agreements. P&amp;G agreed over the first five years of the various agreements to purchase up to $60.0 million in Regeneron equity. In June 1997, P&amp;G completed the purchase of 4.35 million shares of the Company's Common Stock at $9.87 per share for a total of $42.9 million and received five year warrants to purchase an additional 1.45 million shares of the Company's stock at $9.87 per share. In addition, P&amp;G agreed over the first five years of the various agreements to provide up to $94.7 million in support of Regeneron's research efforts related to the collaboration, of which the Company had received $6.7 million as of December 31, 1998. The P&amp;G Agreement expanded and superceded the 1996 Agreement.</w:t>
      </w:r>
    </w:p>
    <w:p>
      <w:pPr>
        <w:spacing w:after="0" w:line="183"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During the second five years of the P&amp;G Agreement, the companies will share all research costs equally. Clinical testing and commercialization expenses for jointly developed products will be shared equally throughout the ten years of the collaboration. P&amp;G will have rights to the Company's current technology (other than certain neurotrophic factors and cytokines), which is expected to have application in cardiovascular, bone, muscle, arthritis, and other disease areas. P&amp;G will also have rights to new technology developed by the Company as a result of the collaboration. The companies expect jointly to develop and market worldwide any products resulting from the collaboration and share equally in profits. Either company may terminate the P&amp;G Agreement at the end of five years with at least one year prior notice or earlier in the event of default.</w:t>
      </w:r>
    </w:p>
    <w:p>
      <w:pPr>
        <w:spacing w:after="0" w:line="182"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In September 1997, the Company and P&amp;G amended the P&amp;G Agreement to include AXOKINE(Trademark) second generation ciliary neurotrophic factor and related molecules, and agreed initially to develop AXOKINE to treat obesity associated with Type II diabetes. P&amp;G agreed to pay the Company as much as $15.0 million in additional funding, partly subject to achieving certain milestones related to AXOKINE. Of the $15.0 million, $5.0 million was paid in each of the years ended December 31, 1997 and 1998 upon the achievement of defined milestones. Such amounts are included in research progress payments.</w:t>
      </w:r>
    </w:p>
    <w:p>
      <w:pPr>
        <w:spacing w:after="0" w:line="178" w:lineRule="exact"/>
        <w:rPr>
          <w:sz w:val="20"/>
          <w:szCs w:val="20"/>
          <w:color w:val="auto"/>
        </w:rPr>
      </w:pPr>
    </w:p>
    <w:p>
      <w:pPr>
        <w:ind w:left="10" w:right="3179" w:firstLine="793"/>
        <w:spacing w:after="0" w:line="237" w:lineRule="auto"/>
        <w:rPr>
          <w:sz w:val="20"/>
          <w:szCs w:val="20"/>
          <w:color w:val="auto"/>
        </w:rPr>
      </w:pPr>
      <w:r>
        <w:rPr>
          <w:rFonts w:ascii="Courier New" w:cs="Courier New" w:eastAsia="Courier New" w:hAnsi="Courier New"/>
          <w:sz w:val="15"/>
          <w:szCs w:val="15"/>
          <w:color w:val="auto"/>
        </w:rPr>
        <w:t>Contract research and development revenue related to the P&amp;G Agreement, including payments related to AXOKINE, was $13.5 million in 1998 and $5.2 million in 1997. At December 31, 1998 and 1997, the P&amp;G contract research revenue receivable was $3.2 million and $2.4 million, respectively.</w:t>
      </w:r>
    </w:p>
    <w:p>
      <w:pPr>
        <w:spacing w:after="0" w:line="171" w:lineRule="exact"/>
        <w:rPr>
          <w:sz w:val="20"/>
          <w:szCs w:val="20"/>
          <w:color w:val="auto"/>
        </w:rPr>
      </w:pPr>
    </w:p>
    <w:p>
      <w:pPr>
        <w:ind w:left="530" w:hanging="530"/>
        <w:spacing w:after="0"/>
        <w:tabs>
          <w:tab w:leader="none" w:pos="53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Manufacturing Agreement</w:t>
      </w:r>
    </w:p>
    <w:p>
      <w:pPr>
        <w:spacing w:after="0" w:line="175" w:lineRule="exact"/>
        <w:rPr>
          <w:sz w:val="20"/>
          <w:szCs w:val="20"/>
          <w:color w:val="auto"/>
        </w:rPr>
      </w:pPr>
    </w:p>
    <w:p>
      <w:pPr>
        <w:ind w:left="10" w:right="3359" w:firstLine="793"/>
        <w:spacing w:after="0" w:line="237" w:lineRule="auto"/>
        <w:rPr>
          <w:sz w:val="20"/>
          <w:szCs w:val="20"/>
          <w:color w:val="auto"/>
        </w:rPr>
      </w:pPr>
      <w:r>
        <w:rPr>
          <w:rFonts w:ascii="Courier New" w:cs="Courier New" w:eastAsia="Courier New" w:hAnsi="Courier New"/>
          <w:sz w:val="15"/>
          <w:szCs w:val="15"/>
          <w:color w:val="auto"/>
        </w:rPr>
        <w:t>During 1995, the Company entered into a long-term manufacturing agreement with Merck &amp; Co., Inc. (the "Merck Agreement") to produce an intermediate (the "Intermediate") for a Merck pediatric vaccine at the Company's Rensselaer, New York facility. The Company agreed to modify portions of its facility for manufacture of the Intermediate and to assist</w:t>
      </w:r>
    </w:p>
    <w:p>
      <w:pPr>
        <w:spacing w:after="0" w:line="342"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29"/>
          </w:cols>
          <w:pgMar w:left="230" w:top="791" w:right="1440" w:bottom="57" w:gutter="0" w:footer="0" w:header="0"/>
        </w:sectPr>
      </w:pPr>
    </w:p>
    <w:bookmarkStart w:id="53" w:name="page54"/>
    <w:bookmarkEnd w:id="53"/>
    <w:p>
      <w:pPr>
        <w:jc w:val="center"/>
        <w:ind w:right="3250"/>
        <w:spacing w:after="0"/>
        <w:rPr>
          <w:sz w:val="20"/>
          <w:szCs w:val="20"/>
          <w:color w:val="auto"/>
        </w:rPr>
      </w:pPr>
      <w:r>
        <w:rPr>
          <w:rFonts w:ascii="Courier New" w:cs="Courier New" w:eastAsia="Courier New" w:hAnsi="Courier New"/>
          <w:sz w:val="15"/>
          <w:szCs w:val="15"/>
          <w:color w:val="auto"/>
        </w:rPr>
        <w:t>REGENERON PHARMACEUTICALS, INC.</w:t>
      </w:r>
    </w:p>
    <w:p>
      <w:pPr>
        <w:jc w:val="center"/>
        <w:ind w:right="3250"/>
        <w:spacing w:after="0"/>
        <w:rPr>
          <w:sz w:val="20"/>
          <w:szCs w:val="20"/>
          <w:color w:val="auto"/>
        </w:rPr>
      </w:pPr>
      <w:r>
        <w:rPr>
          <w:rFonts w:ascii="Courier New" w:cs="Courier New" w:eastAsia="Courier New" w:hAnsi="Courier New"/>
          <w:sz w:val="15"/>
          <w:szCs w:val="15"/>
          <w:color w:val="auto"/>
        </w:rPr>
        <w:t>NOTES TO FINANCIAL STATEMENTS (Continued)</w:t>
      </w:r>
    </w:p>
    <w:p>
      <w:pPr>
        <w:jc w:val="center"/>
        <w:ind w:right="3250"/>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174"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Merck in securing regulatory approval for such manufacture in the Company's facility. Once the facility is able to produce Intermediate, the Merck Agreement calls for the Company to manufacture Intermediate for Merck for six years (the "Production Period"), with certain minimum order quantities each year. As of December 31, 1998, the Production Period had not commenced. The Merck Agreement is expected to extend into 2005 and may be terminated at any time by Merck upon the payment by Merck of a termination fee.</w:t>
      </w:r>
    </w:p>
    <w:p>
      <w:pPr>
        <w:spacing w:after="0" w:line="177"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Merck agreed to reimburse the Company for the capital costs to modify the facility ("Capital Costs") and for the cost of Company activities performed on behalf of Merck prior to the Production Period ("Internal Costs"). Merck also agreed to pay an annual facility fee (the "Facility Fee") of $1.0 million beginning March 1995, subject to annual adjustment for inflation. During the Production Period, Merck agreed to reimburse the Company for certain manufacturing costs and pay the Company a variable fee based on the quantity of Intermediate supplied to Merck. These payments are recognized as contract manufacturing revenue as follows: (i) payments for Internal Costs are recognized as the activities are performed, (ii) the Facility Fee is recognized over the period to which it relates, (iii) payments for Capital Costs are being deferred and will be recognized over the Production Period, and (iv) payments related to the manufacture of Intermediate during the Production Period will be recognized as Intermediate is accepted by Merck.</w:t>
      </w:r>
    </w:p>
    <w:p>
      <w:pPr>
        <w:spacing w:after="0" w:line="178"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For the years ended December 31, 1998, 1997, and 1996, contract</w:t>
      </w:r>
    </w:p>
    <w:p>
      <w:pPr>
        <w:ind w:left="10"/>
        <w:spacing w:after="0"/>
        <w:rPr>
          <w:sz w:val="20"/>
          <w:szCs w:val="20"/>
          <w:color w:val="auto"/>
        </w:rPr>
      </w:pPr>
      <w:r>
        <w:rPr>
          <w:rFonts w:ascii="Courier New" w:cs="Courier New" w:eastAsia="Courier New" w:hAnsi="Courier New"/>
          <w:sz w:val="15"/>
          <w:szCs w:val="15"/>
          <w:color w:val="auto"/>
        </w:rPr>
        <w:t>manufacturing revenue includes approximately $1.1 million, $1.1 million, and</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$1.0 million of Facility Fee, respectively, and $8.0 million, $3.4 million, and</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$1.4 million of Internal Costs, respectively. Deferred revenue-current portion</w:t>
      </w:r>
    </w:p>
    <w:p>
      <w:pPr>
        <w:ind w:left="10"/>
        <w:spacing w:after="0"/>
        <w:rPr>
          <w:sz w:val="20"/>
          <w:szCs w:val="20"/>
          <w:color w:val="auto"/>
        </w:rPr>
      </w:pPr>
      <w:r>
        <w:rPr>
          <w:rFonts w:ascii="Courier New" w:cs="Courier New" w:eastAsia="Courier New" w:hAnsi="Courier New"/>
          <w:sz w:val="15"/>
          <w:szCs w:val="15"/>
          <w:color w:val="auto"/>
        </w:rPr>
        <w:t>included $0.2 million of Facility Fee and $1.8 million of Capital Costs at</w:t>
      </w:r>
    </w:p>
    <w:p>
      <w:pPr>
        <w:ind w:left="10"/>
        <w:spacing w:after="0"/>
        <w:rPr>
          <w:sz w:val="20"/>
          <w:szCs w:val="20"/>
          <w:color w:val="auto"/>
        </w:rPr>
      </w:pPr>
      <w:r>
        <w:rPr>
          <w:rFonts w:ascii="Courier New" w:cs="Courier New" w:eastAsia="Courier New" w:hAnsi="Courier New"/>
          <w:sz w:val="15"/>
          <w:szCs w:val="15"/>
          <w:color w:val="auto"/>
        </w:rPr>
        <w:t>December 31, 1998, and $0.2 million of Facility Fee at December 31, 1997. At</w:t>
      </w:r>
    </w:p>
    <w:p>
      <w:pPr>
        <w:ind w:left="10"/>
        <w:spacing w:after="0" w:line="238" w:lineRule="auto"/>
        <w:rPr>
          <w:sz w:val="20"/>
          <w:szCs w:val="20"/>
          <w:color w:val="auto"/>
        </w:rPr>
      </w:pPr>
      <w:r>
        <w:rPr>
          <w:rFonts w:ascii="Courier New" w:cs="Courier New" w:eastAsia="Courier New" w:hAnsi="Courier New"/>
          <w:sz w:val="15"/>
          <w:szCs w:val="15"/>
          <w:color w:val="auto"/>
        </w:rPr>
        <w:t>December 31, 1998 and 1997, deferred revenue-long-term portion included $12.9</w:t>
      </w:r>
    </w:p>
    <w:p>
      <w:pPr>
        <w:ind w:left="10"/>
        <w:spacing w:after="0"/>
        <w:rPr>
          <w:sz w:val="20"/>
          <w:szCs w:val="20"/>
          <w:color w:val="auto"/>
        </w:rPr>
      </w:pPr>
      <w:r>
        <w:rPr>
          <w:rFonts w:ascii="Courier New" w:cs="Courier New" w:eastAsia="Courier New" w:hAnsi="Courier New"/>
          <w:sz w:val="15"/>
          <w:szCs w:val="15"/>
          <w:color w:val="auto"/>
        </w:rPr>
        <w:t>million and $14.8 million of Capital Costs, respectively.</w:t>
      </w:r>
    </w:p>
    <w:p>
      <w:pPr>
        <w:spacing w:after="0" w:line="174" w:lineRule="exact"/>
        <w:rPr>
          <w:sz w:val="20"/>
          <w:szCs w:val="20"/>
          <w:color w:val="auto"/>
        </w:rPr>
      </w:pPr>
    </w:p>
    <w:p>
      <w:pPr>
        <w:ind w:left="790" w:right="6799" w:hanging="790"/>
        <w:spacing w:after="0" w:line="513" w:lineRule="auto"/>
        <w:tabs>
          <w:tab w:leader="none" w:pos="437"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and Stock Purchase Plans a. Long-Term Incentive Plan</w:t>
      </w: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During 1990, the Company established the Regeneron Pharmaceuticals, Inc. 1990 Long-Term Incentive Plan ("Incentive Plan"). The Incentive Plan, as amended, provides for a maximum of 5,400,000 shares of Common Stock for awards. Salaried employees who are officers or who are employed in an executive, administrative, or professional capacity, and nonemployees, including consultants and members of the Board of Directors, may receive awards as determined by a committee of independent directors ("Committee"). Awards generally vest on a pro rata basis over a three or five year period and have a term of ten years. The awards under the Incentive Plan include: (a) Restricted Share Rights, (b) Incentive Stock Rights, (c) Stock Options, (d) Stock Appreciation Rights, and (e) Performance Unit Rights.</w:t>
      </w:r>
    </w:p>
    <w:p>
      <w:pPr>
        <w:spacing w:after="0" w:line="181"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Restricted Share Rights ("RSR") are awards in which participants in the Incentive Plan are awarded the right to purchase shares of Common Stock at a price determined by the Committee. Such shares are nontransferable for a period determined by the Committee ("vesting period") and, should employment terminate as defined by the Incentive Plan, the ownership of the shares will be transferred to the Company in consideration of amounts paid to acquire such shares. The holder of the RSR has the right to vote and receive dividends during the vesting period.</w:t>
      </w:r>
    </w:p>
    <w:p>
      <w:pPr>
        <w:spacing w:after="0" w:line="178"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Incentive Stock Rights ("ISR") are awards in which participants are awarded by the Committee the right to receive shares of Common Stock, at no cost to the participant, in consideration of services performed subject to a vesting period as determined by the Committee. Holders of ISRs have the right to receive cash payments from the Company at the same time and in the same amounts as the holders of Common Stock.</w:t>
      </w:r>
    </w:p>
    <w:p>
      <w:pPr>
        <w:spacing w:after="0" w:line="176" w:lineRule="exact"/>
        <w:rPr>
          <w:sz w:val="20"/>
          <w:szCs w:val="20"/>
          <w:color w:val="auto"/>
        </w:rPr>
      </w:pPr>
    </w:p>
    <w:p>
      <w:pPr>
        <w:ind w:left="10" w:right="3179" w:firstLine="793"/>
        <w:spacing w:after="0" w:line="260" w:lineRule="auto"/>
        <w:rPr>
          <w:sz w:val="20"/>
          <w:szCs w:val="20"/>
          <w:color w:val="auto"/>
        </w:rPr>
      </w:pPr>
      <w:r>
        <w:rPr>
          <w:rFonts w:ascii="Courier New" w:cs="Courier New" w:eastAsia="Courier New" w:hAnsi="Courier New"/>
          <w:sz w:val="14"/>
          <w:szCs w:val="14"/>
          <w:color w:val="auto"/>
        </w:rPr>
        <w:t>Stock Options are awards in which participants receive the right to purchase shares of Common Stock at prices determined by the Committee. The options vest to the employees over a period of time determined by the Committee.</w:t>
      </w:r>
    </w:p>
    <w:p>
      <w:pPr>
        <w:spacing w:after="0" w:line="163" w:lineRule="exact"/>
        <w:rPr>
          <w:sz w:val="20"/>
          <w:szCs w:val="20"/>
          <w:color w:val="auto"/>
        </w:rPr>
      </w:pP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Stock Appreciation Rights ("SAR") may be issued by the Committee in connection with stock options and allow the option holder to receive Common Stock (or cash if the Board of Directors elects to do so) equal in value to the difference between the fair market value of the Common Stock at the exercise date and the stock option price. Should a participant exercise a SAR, an equivalent number of stock options will be canceled. SARs have a vesting period similar to that of stock options.</w:t>
      </w:r>
    </w:p>
    <w:p>
      <w:pPr>
        <w:spacing w:after="0" w:line="177" w:lineRule="exact"/>
        <w:rPr>
          <w:sz w:val="20"/>
          <w:szCs w:val="20"/>
          <w:color w:val="auto"/>
        </w:rPr>
      </w:pPr>
    </w:p>
    <w:p>
      <w:pPr>
        <w:ind w:left="10" w:right="3179" w:firstLine="793"/>
        <w:spacing w:after="0" w:line="237" w:lineRule="auto"/>
        <w:rPr>
          <w:sz w:val="20"/>
          <w:szCs w:val="20"/>
          <w:color w:val="auto"/>
        </w:rPr>
      </w:pPr>
      <w:r>
        <w:rPr>
          <w:rFonts w:ascii="Courier New" w:cs="Courier New" w:eastAsia="Courier New" w:hAnsi="Courier New"/>
          <w:sz w:val="15"/>
          <w:szCs w:val="15"/>
          <w:color w:val="auto"/>
        </w:rPr>
        <w:t>Performance Unit Rights are awards which the Committee may issue alone or grant in conjunction with related stock options. Such awards entitle the holder to receive common stock, cash, or a combination of both at no cost to the participant upon specific performance objectives being achieved and other conditions being met, as defined by the Incentive Plan.</w:t>
      </w:r>
    </w:p>
    <w:p>
      <w:pPr>
        <w:spacing w:after="0" w:line="342"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29"/>
          </w:cols>
          <w:pgMar w:left="230" w:top="791" w:right="1440" w:bottom="565" w:gutter="0" w:footer="0" w:header="0"/>
        </w:sectPr>
      </w:pPr>
    </w:p>
    <w:bookmarkStart w:id="54" w:name="page55"/>
    <w:bookmarkEnd w:id="54"/>
    <w:p>
      <w:pPr>
        <w:jc w:val="center"/>
        <w:ind w:right="3510"/>
        <w:spacing w:after="0"/>
        <w:rPr>
          <w:sz w:val="20"/>
          <w:szCs w:val="20"/>
          <w:color w:val="auto"/>
        </w:rPr>
      </w:pPr>
      <w:r>
        <w:rPr>
          <w:rFonts w:ascii="Courier New" w:cs="Courier New" w:eastAsia="Courier New" w:hAnsi="Courier New"/>
          <w:sz w:val="15"/>
          <w:szCs w:val="15"/>
          <w:color w:val="auto"/>
        </w:rPr>
        <w:t>REGENERON PHARMACEUTICALS, INC.</w:t>
      </w:r>
    </w:p>
    <w:p>
      <w:pPr>
        <w:jc w:val="center"/>
        <w:ind w:right="3510"/>
        <w:spacing w:after="0"/>
        <w:rPr>
          <w:sz w:val="20"/>
          <w:szCs w:val="20"/>
          <w:color w:val="auto"/>
        </w:rPr>
      </w:pPr>
      <w:r>
        <w:rPr>
          <w:rFonts w:ascii="Courier New" w:cs="Courier New" w:eastAsia="Courier New" w:hAnsi="Courier New"/>
          <w:sz w:val="15"/>
          <w:szCs w:val="15"/>
          <w:color w:val="auto"/>
        </w:rPr>
        <w:t>NOTES TO FINANCIAL STATEMENTS (Continued)</w:t>
      </w:r>
    </w:p>
    <w:p>
      <w:pPr>
        <w:jc w:val="center"/>
        <w:ind w:right="3510"/>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174" w:lineRule="exact"/>
        <w:rPr>
          <w:sz w:val="20"/>
          <w:szCs w:val="20"/>
          <w:color w:val="auto"/>
        </w:rPr>
      </w:pPr>
    </w:p>
    <w:p>
      <w:pPr>
        <w:ind w:left="10" w:right="3620" w:firstLine="793"/>
        <w:spacing w:after="0" w:line="235" w:lineRule="auto"/>
        <w:rPr>
          <w:sz w:val="20"/>
          <w:szCs w:val="20"/>
          <w:color w:val="auto"/>
        </w:rPr>
      </w:pPr>
      <w:r>
        <w:rPr>
          <w:rFonts w:ascii="Courier New" w:cs="Courier New" w:eastAsia="Courier New" w:hAnsi="Courier New"/>
          <w:sz w:val="15"/>
          <w:szCs w:val="15"/>
          <w:color w:val="auto"/>
        </w:rPr>
        <w:t>The Incentive Plan contains provision for immediate vesting of awards upon a change in control of the Company, as defined.</w:t>
      </w:r>
    </w:p>
    <w:p>
      <w:pPr>
        <w:spacing w:after="0" w:line="170"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The Company may incur charges to operations in connection with these</w:t>
      </w:r>
    </w:p>
    <w:p>
      <w:pPr>
        <w:ind w:left="10"/>
        <w:spacing w:after="0"/>
        <w:rPr>
          <w:sz w:val="20"/>
          <w:szCs w:val="20"/>
          <w:color w:val="auto"/>
        </w:rPr>
      </w:pPr>
      <w:r>
        <w:rPr>
          <w:rFonts w:ascii="Courier New" w:cs="Courier New" w:eastAsia="Courier New" w:hAnsi="Courier New"/>
          <w:sz w:val="15"/>
          <w:szCs w:val="15"/>
          <w:color w:val="auto"/>
        </w:rPr>
        <w:t>awards.</w:t>
      </w:r>
    </w:p>
    <w:p>
      <w:pPr>
        <w:spacing w:after="0" w:line="174" w:lineRule="exact"/>
        <w:rPr>
          <w:sz w:val="20"/>
          <w:szCs w:val="20"/>
          <w:color w:val="auto"/>
        </w:rPr>
      </w:pPr>
    </w:p>
    <w:p>
      <w:pPr>
        <w:ind w:left="10" w:right="3440" w:firstLine="793"/>
        <w:spacing w:after="0" w:line="238" w:lineRule="auto"/>
        <w:rPr>
          <w:sz w:val="20"/>
          <w:szCs w:val="20"/>
          <w:color w:val="auto"/>
        </w:rPr>
      </w:pPr>
      <w:r>
        <w:rPr>
          <w:rFonts w:ascii="Courier New" w:cs="Courier New" w:eastAsia="Courier New" w:hAnsi="Courier New"/>
          <w:sz w:val="15"/>
          <w:szCs w:val="15"/>
          <w:color w:val="auto"/>
        </w:rPr>
        <w:t>Transactions involving stock option awards during 1996, 1997, and 1998 are summarized in the table below. Option exercise prices were equal to the market price of the Company's Common Stock on the date of grant. The total number of options exercisable at December 31, 1996, 1997, and 1998 was 943,118, 1,496,149, and 1,994,848 respectively, with weighted average exercise prices of $7.45, $7.37, and $7.49, respectively. As of December 31, 1998, shares available for future grants amounted to 745,497.</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w:t>
      </w:r>
    </w:p>
    <w:tbl>
      <w:tblPr>
        <w:tblLayout w:type="fixed"/>
        <w:tblInd w:w="450" w:type="dxa"/>
        <w:tblCellMar>
          <w:top w:w="0" w:type="dxa"/>
          <w:left w:w="0" w:type="dxa"/>
          <w:bottom w:w="0" w:type="dxa"/>
          <w:right w:w="0" w:type="dxa"/>
        </w:tblCellMar>
      </w:tblPr>
      <w:tr>
        <w:trPr>
          <w:trHeight w:val="170"/>
        </w:trPr>
        <w:tc>
          <w:tcPr>
            <w:tcW w:w="7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7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Number of</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Weighted Average</w:t>
            </w:r>
          </w:p>
        </w:tc>
      </w:tr>
      <w:tr>
        <w:trPr>
          <w:trHeight w:val="170"/>
        </w:trPr>
        <w:tc>
          <w:tcPr>
            <w:tcW w:w="7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7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Shares</w:t>
            </w:r>
          </w:p>
        </w:tc>
        <w:tc>
          <w:tcPr>
            <w:tcW w:w="1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Exercise Price</w:t>
            </w:r>
          </w:p>
        </w:tc>
      </w:tr>
      <w:tr>
        <w:trPr>
          <w:trHeight w:val="170"/>
        </w:trPr>
        <w:tc>
          <w:tcPr>
            <w:tcW w:w="7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7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Stock options outstanding at December 31, 1995</w:t>
            </w:r>
          </w:p>
        </w:tc>
        <w:tc>
          <w:tcPr>
            <w:tcW w:w="17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2,671,777</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$6.15</w:t>
            </w:r>
          </w:p>
        </w:tc>
      </w:tr>
      <w:tr>
        <w:trPr>
          <w:trHeight w:val="339"/>
        </w:trPr>
        <w:tc>
          <w:tcPr>
            <w:tcW w:w="78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4800" w:type="dxa"/>
            <w:vAlign w:val="bottom"/>
          </w:tcPr>
          <w:p>
            <w:pPr>
              <w:ind w:left="360"/>
              <w:spacing w:after="0"/>
              <w:rPr>
                <w:sz w:val="20"/>
                <w:szCs w:val="20"/>
                <w:color w:val="auto"/>
              </w:rPr>
            </w:pPr>
            <w:r>
              <w:rPr>
                <w:rFonts w:ascii="Courier New" w:cs="Courier New" w:eastAsia="Courier New" w:hAnsi="Courier New"/>
                <w:sz w:val="15"/>
                <w:szCs w:val="15"/>
                <w:color w:val="auto"/>
              </w:rPr>
              <w:t>Stock options granted</w:t>
            </w:r>
          </w:p>
        </w:tc>
        <w:tc>
          <w:tcPr>
            <w:tcW w:w="17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658,827</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$13.14</w:t>
            </w:r>
          </w:p>
        </w:tc>
      </w:tr>
      <w:tr>
        <w:trPr>
          <w:trHeight w:val="170"/>
        </w:trPr>
        <w:tc>
          <w:tcPr>
            <w:tcW w:w="780" w:type="dxa"/>
            <w:vAlign w:val="bottom"/>
          </w:tcPr>
          <w:p>
            <w:pPr>
              <w:spacing w:after="0"/>
              <w:rPr>
                <w:sz w:val="14"/>
                <w:szCs w:val="14"/>
                <w:color w:val="auto"/>
              </w:rPr>
            </w:pPr>
          </w:p>
        </w:tc>
        <w:tc>
          <w:tcPr>
            <w:tcW w:w="4800" w:type="dxa"/>
            <w:vAlign w:val="bottom"/>
          </w:tcPr>
          <w:p>
            <w:pPr>
              <w:ind w:left="360"/>
              <w:spacing w:after="0"/>
              <w:rPr>
                <w:sz w:val="20"/>
                <w:szCs w:val="20"/>
                <w:color w:val="auto"/>
              </w:rPr>
            </w:pPr>
            <w:r>
              <w:rPr>
                <w:rFonts w:ascii="Courier New" w:cs="Courier New" w:eastAsia="Courier New" w:hAnsi="Courier New"/>
                <w:sz w:val="15"/>
                <w:szCs w:val="15"/>
                <w:color w:val="auto"/>
              </w:rPr>
              <w:t>Stock options canceled</w:t>
            </w:r>
          </w:p>
        </w:tc>
        <w:tc>
          <w:tcPr>
            <w:tcW w:w="17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(198,643)</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$11.17</w:t>
            </w:r>
          </w:p>
        </w:tc>
      </w:tr>
      <w:tr>
        <w:trPr>
          <w:trHeight w:val="170"/>
        </w:trPr>
        <w:tc>
          <w:tcPr>
            <w:tcW w:w="780" w:type="dxa"/>
            <w:vAlign w:val="bottom"/>
          </w:tcPr>
          <w:p>
            <w:pPr>
              <w:spacing w:after="0"/>
              <w:rPr>
                <w:sz w:val="14"/>
                <w:szCs w:val="14"/>
                <w:color w:val="auto"/>
              </w:rPr>
            </w:pPr>
          </w:p>
        </w:tc>
        <w:tc>
          <w:tcPr>
            <w:tcW w:w="4800" w:type="dxa"/>
            <w:vAlign w:val="bottom"/>
          </w:tcPr>
          <w:p>
            <w:pPr>
              <w:ind w:left="360"/>
              <w:spacing w:after="0"/>
              <w:rPr>
                <w:sz w:val="20"/>
                <w:szCs w:val="20"/>
                <w:color w:val="auto"/>
              </w:rPr>
            </w:pPr>
            <w:r>
              <w:rPr>
                <w:rFonts w:ascii="Courier New" w:cs="Courier New" w:eastAsia="Courier New" w:hAnsi="Courier New"/>
                <w:sz w:val="15"/>
                <w:szCs w:val="15"/>
                <w:color w:val="auto"/>
              </w:rPr>
              <w:t>Stock options exercised</w:t>
            </w:r>
          </w:p>
        </w:tc>
        <w:tc>
          <w:tcPr>
            <w:tcW w:w="17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(210,094)</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$6.46</w:t>
            </w:r>
          </w:p>
        </w:tc>
      </w:tr>
      <w:tr>
        <w:trPr>
          <w:trHeight w:val="170"/>
        </w:trPr>
        <w:tc>
          <w:tcPr>
            <w:tcW w:w="7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7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spacing w:after="0"/>
              <w:rPr>
                <w:sz w:val="14"/>
                <w:szCs w:val="14"/>
                <w:color w:val="auto"/>
              </w:rPr>
            </w:pPr>
          </w:p>
        </w:tc>
      </w:tr>
      <w:tr>
        <w:trPr>
          <w:trHeight w:val="170"/>
        </w:trPr>
        <w:tc>
          <w:tcPr>
            <w:tcW w:w="780" w:type="dxa"/>
            <w:vAlign w:val="bottom"/>
          </w:tcPr>
          <w:p>
            <w:pPr>
              <w:spacing w:after="0"/>
              <w:rPr>
                <w:sz w:val="14"/>
                <w:szCs w:val="14"/>
                <w:color w:val="auto"/>
              </w:rPr>
            </w:pPr>
          </w:p>
        </w:tc>
        <w:tc>
          <w:tcPr>
            <w:tcW w:w="4800" w:type="dxa"/>
            <w:vAlign w:val="bottom"/>
          </w:tcPr>
          <w:p>
            <w:pPr>
              <w:ind w:left="360"/>
              <w:spacing w:after="0"/>
              <w:rPr>
                <w:sz w:val="20"/>
                <w:szCs w:val="20"/>
                <w:color w:val="auto"/>
              </w:rPr>
            </w:pPr>
            <w:r>
              <w:rPr>
                <w:rFonts w:ascii="Courier New" w:cs="Courier New" w:eastAsia="Courier New" w:hAnsi="Courier New"/>
                <w:sz w:val="15"/>
                <w:szCs w:val="15"/>
                <w:color w:val="auto"/>
              </w:rPr>
              <w:t>Stock options outstanding at December 31, 1996</w:t>
            </w:r>
          </w:p>
        </w:tc>
        <w:tc>
          <w:tcPr>
            <w:tcW w:w="17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2,921,867</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$7.36</w:t>
            </w:r>
          </w:p>
        </w:tc>
      </w:tr>
      <w:tr>
        <w:trPr>
          <w:trHeight w:val="339"/>
        </w:trPr>
        <w:tc>
          <w:tcPr>
            <w:tcW w:w="78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4800" w:type="dxa"/>
            <w:vAlign w:val="bottom"/>
          </w:tcPr>
          <w:p>
            <w:pPr>
              <w:ind w:left="360"/>
              <w:spacing w:after="0"/>
              <w:rPr>
                <w:sz w:val="20"/>
                <w:szCs w:val="20"/>
                <w:color w:val="auto"/>
              </w:rPr>
            </w:pPr>
            <w:r>
              <w:rPr>
                <w:rFonts w:ascii="Courier New" w:cs="Courier New" w:eastAsia="Courier New" w:hAnsi="Courier New"/>
                <w:sz w:val="15"/>
                <w:szCs w:val="15"/>
                <w:color w:val="auto"/>
              </w:rPr>
              <w:t>Stock options granted (1)</w:t>
            </w:r>
          </w:p>
        </w:tc>
        <w:tc>
          <w:tcPr>
            <w:tcW w:w="17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1,016,310</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$10.65</w:t>
            </w:r>
          </w:p>
        </w:tc>
      </w:tr>
      <w:tr>
        <w:trPr>
          <w:trHeight w:val="170"/>
        </w:trPr>
        <w:tc>
          <w:tcPr>
            <w:tcW w:w="780" w:type="dxa"/>
            <w:vAlign w:val="bottom"/>
          </w:tcPr>
          <w:p>
            <w:pPr>
              <w:spacing w:after="0"/>
              <w:rPr>
                <w:sz w:val="14"/>
                <w:szCs w:val="14"/>
                <w:color w:val="auto"/>
              </w:rPr>
            </w:pPr>
          </w:p>
        </w:tc>
        <w:tc>
          <w:tcPr>
            <w:tcW w:w="4800" w:type="dxa"/>
            <w:vAlign w:val="bottom"/>
          </w:tcPr>
          <w:p>
            <w:pPr>
              <w:ind w:left="360"/>
              <w:spacing w:after="0"/>
              <w:rPr>
                <w:sz w:val="20"/>
                <w:szCs w:val="20"/>
                <w:color w:val="auto"/>
              </w:rPr>
            </w:pPr>
            <w:r>
              <w:rPr>
                <w:rFonts w:ascii="Courier New" w:cs="Courier New" w:eastAsia="Courier New" w:hAnsi="Courier New"/>
                <w:sz w:val="15"/>
                <w:szCs w:val="15"/>
                <w:color w:val="auto"/>
              </w:rPr>
              <w:t>Stock options canceled (1)</w:t>
            </w:r>
          </w:p>
        </w:tc>
        <w:tc>
          <w:tcPr>
            <w:tcW w:w="17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(225,150)</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$12.80</w:t>
            </w:r>
          </w:p>
        </w:tc>
      </w:tr>
      <w:tr>
        <w:trPr>
          <w:trHeight w:val="170"/>
        </w:trPr>
        <w:tc>
          <w:tcPr>
            <w:tcW w:w="780" w:type="dxa"/>
            <w:vAlign w:val="bottom"/>
          </w:tcPr>
          <w:p>
            <w:pPr>
              <w:spacing w:after="0"/>
              <w:rPr>
                <w:sz w:val="14"/>
                <w:szCs w:val="14"/>
                <w:color w:val="auto"/>
              </w:rPr>
            </w:pPr>
          </w:p>
        </w:tc>
        <w:tc>
          <w:tcPr>
            <w:tcW w:w="4800" w:type="dxa"/>
            <w:vAlign w:val="bottom"/>
          </w:tcPr>
          <w:p>
            <w:pPr>
              <w:ind w:left="360"/>
              <w:spacing w:after="0"/>
              <w:rPr>
                <w:sz w:val="20"/>
                <w:szCs w:val="20"/>
                <w:color w:val="auto"/>
              </w:rPr>
            </w:pPr>
            <w:r>
              <w:rPr>
                <w:rFonts w:ascii="Courier New" w:cs="Courier New" w:eastAsia="Courier New" w:hAnsi="Courier New"/>
                <w:sz w:val="15"/>
                <w:szCs w:val="15"/>
                <w:color w:val="auto"/>
              </w:rPr>
              <w:t>Stock options exercised</w:t>
            </w:r>
          </w:p>
        </w:tc>
        <w:tc>
          <w:tcPr>
            <w:tcW w:w="17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(96,591)</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$4.85</w:t>
            </w:r>
          </w:p>
        </w:tc>
      </w:tr>
      <w:tr>
        <w:trPr>
          <w:trHeight w:val="170"/>
        </w:trPr>
        <w:tc>
          <w:tcPr>
            <w:tcW w:w="7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7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spacing w:after="0"/>
              <w:rPr>
                <w:sz w:val="14"/>
                <w:szCs w:val="14"/>
                <w:color w:val="auto"/>
              </w:rPr>
            </w:pPr>
          </w:p>
        </w:tc>
      </w:tr>
      <w:tr>
        <w:trPr>
          <w:trHeight w:val="170"/>
        </w:trPr>
        <w:tc>
          <w:tcPr>
            <w:tcW w:w="780" w:type="dxa"/>
            <w:vAlign w:val="bottom"/>
          </w:tcPr>
          <w:p>
            <w:pPr>
              <w:spacing w:after="0"/>
              <w:rPr>
                <w:sz w:val="14"/>
                <w:szCs w:val="14"/>
                <w:color w:val="auto"/>
              </w:rPr>
            </w:pPr>
          </w:p>
        </w:tc>
        <w:tc>
          <w:tcPr>
            <w:tcW w:w="4800" w:type="dxa"/>
            <w:vAlign w:val="bottom"/>
          </w:tcPr>
          <w:p>
            <w:pPr>
              <w:ind w:left="360"/>
              <w:spacing w:after="0"/>
              <w:rPr>
                <w:sz w:val="20"/>
                <w:szCs w:val="20"/>
                <w:color w:val="auto"/>
              </w:rPr>
            </w:pPr>
            <w:r>
              <w:rPr>
                <w:rFonts w:ascii="Courier New" w:cs="Courier New" w:eastAsia="Courier New" w:hAnsi="Courier New"/>
                <w:sz w:val="15"/>
                <w:szCs w:val="15"/>
                <w:color w:val="auto"/>
              </w:rPr>
              <w:t>Stock options outstanding at December 31, 1997</w:t>
            </w:r>
          </w:p>
        </w:tc>
        <w:tc>
          <w:tcPr>
            <w:tcW w:w="17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3,616,436</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$8.00</w:t>
            </w:r>
          </w:p>
        </w:tc>
      </w:tr>
      <w:tr>
        <w:trPr>
          <w:trHeight w:val="509"/>
        </w:trPr>
        <w:tc>
          <w:tcPr>
            <w:tcW w:w="78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4800" w:type="dxa"/>
            <w:vAlign w:val="bottom"/>
          </w:tcPr>
          <w:p>
            <w:pPr>
              <w:ind w:left="360"/>
              <w:spacing w:after="0"/>
              <w:rPr>
                <w:sz w:val="20"/>
                <w:szCs w:val="20"/>
                <w:color w:val="auto"/>
              </w:rPr>
            </w:pPr>
            <w:r>
              <w:rPr>
                <w:rFonts w:ascii="Courier New" w:cs="Courier New" w:eastAsia="Courier New" w:hAnsi="Courier New"/>
                <w:sz w:val="15"/>
                <w:szCs w:val="15"/>
                <w:color w:val="auto"/>
              </w:rPr>
              <w:t>Stock options granted</w:t>
            </w:r>
          </w:p>
        </w:tc>
        <w:tc>
          <w:tcPr>
            <w:tcW w:w="17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1,006,240</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$8.61</w:t>
            </w:r>
          </w:p>
        </w:tc>
      </w:tr>
      <w:tr>
        <w:trPr>
          <w:trHeight w:val="170"/>
        </w:trPr>
        <w:tc>
          <w:tcPr>
            <w:tcW w:w="780" w:type="dxa"/>
            <w:vAlign w:val="bottom"/>
          </w:tcPr>
          <w:p>
            <w:pPr>
              <w:spacing w:after="0"/>
              <w:rPr>
                <w:sz w:val="14"/>
                <w:szCs w:val="14"/>
                <w:color w:val="auto"/>
              </w:rPr>
            </w:pPr>
          </w:p>
        </w:tc>
        <w:tc>
          <w:tcPr>
            <w:tcW w:w="4800" w:type="dxa"/>
            <w:vAlign w:val="bottom"/>
          </w:tcPr>
          <w:p>
            <w:pPr>
              <w:ind w:left="360"/>
              <w:spacing w:after="0"/>
              <w:rPr>
                <w:sz w:val="20"/>
                <w:szCs w:val="20"/>
                <w:color w:val="auto"/>
              </w:rPr>
            </w:pPr>
            <w:r>
              <w:rPr>
                <w:rFonts w:ascii="Courier New" w:cs="Courier New" w:eastAsia="Courier New" w:hAnsi="Courier New"/>
                <w:sz w:val="15"/>
                <w:szCs w:val="15"/>
                <w:color w:val="auto"/>
              </w:rPr>
              <w:t>Stock options canceled</w:t>
            </w:r>
          </w:p>
        </w:tc>
        <w:tc>
          <w:tcPr>
            <w:tcW w:w="17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(353,888)</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$9.62</w:t>
            </w:r>
          </w:p>
        </w:tc>
      </w:tr>
      <w:tr>
        <w:trPr>
          <w:trHeight w:val="170"/>
        </w:trPr>
        <w:tc>
          <w:tcPr>
            <w:tcW w:w="780" w:type="dxa"/>
            <w:vAlign w:val="bottom"/>
          </w:tcPr>
          <w:p>
            <w:pPr>
              <w:spacing w:after="0"/>
              <w:rPr>
                <w:sz w:val="14"/>
                <w:szCs w:val="14"/>
                <w:color w:val="auto"/>
              </w:rPr>
            </w:pPr>
          </w:p>
        </w:tc>
        <w:tc>
          <w:tcPr>
            <w:tcW w:w="4800" w:type="dxa"/>
            <w:vAlign w:val="bottom"/>
          </w:tcPr>
          <w:p>
            <w:pPr>
              <w:ind w:left="360"/>
              <w:spacing w:after="0"/>
              <w:rPr>
                <w:sz w:val="20"/>
                <w:szCs w:val="20"/>
                <w:color w:val="auto"/>
              </w:rPr>
            </w:pPr>
            <w:r>
              <w:rPr>
                <w:rFonts w:ascii="Courier New" w:cs="Courier New" w:eastAsia="Courier New" w:hAnsi="Courier New"/>
                <w:sz w:val="15"/>
                <w:szCs w:val="15"/>
                <w:color w:val="auto"/>
              </w:rPr>
              <w:t>Stock options exercised</w:t>
            </w:r>
          </w:p>
        </w:tc>
        <w:tc>
          <w:tcPr>
            <w:tcW w:w="17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(95,163)</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$4.75</w:t>
            </w:r>
          </w:p>
        </w:tc>
      </w:tr>
      <w:tr>
        <w:trPr>
          <w:trHeight w:val="170"/>
        </w:trPr>
        <w:tc>
          <w:tcPr>
            <w:tcW w:w="7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7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spacing w:after="0"/>
              <w:rPr>
                <w:sz w:val="14"/>
                <w:szCs w:val="14"/>
                <w:color w:val="auto"/>
              </w:rPr>
            </w:pPr>
          </w:p>
        </w:tc>
      </w:tr>
      <w:tr>
        <w:trPr>
          <w:trHeight w:val="170"/>
        </w:trPr>
        <w:tc>
          <w:tcPr>
            <w:tcW w:w="780" w:type="dxa"/>
            <w:vAlign w:val="bottom"/>
          </w:tcPr>
          <w:p>
            <w:pPr>
              <w:spacing w:after="0"/>
              <w:rPr>
                <w:sz w:val="14"/>
                <w:szCs w:val="14"/>
                <w:color w:val="auto"/>
              </w:rPr>
            </w:pPr>
          </w:p>
        </w:tc>
        <w:tc>
          <w:tcPr>
            <w:tcW w:w="4800" w:type="dxa"/>
            <w:vAlign w:val="bottom"/>
          </w:tcPr>
          <w:p>
            <w:pPr>
              <w:ind w:left="360"/>
              <w:spacing w:after="0"/>
              <w:rPr>
                <w:sz w:val="20"/>
                <w:szCs w:val="20"/>
                <w:color w:val="auto"/>
              </w:rPr>
            </w:pPr>
            <w:r>
              <w:rPr>
                <w:rFonts w:ascii="Courier New" w:cs="Courier New" w:eastAsia="Courier New" w:hAnsi="Courier New"/>
                <w:sz w:val="15"/>
                <w:szCs w:val="15"/>
                <w:color w:val="auto"/>
              </w:rPr>
              <w:t>Stock options outstanding at December 31, 1998</w:t>
            </w:r>
          </w:p>
        </w:tc>
        <w:tc>
          <w:tcPr>
            <w:tcW w:w="17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4,173,625</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$8.08</w:t>
            </w:r>
          </w:p>
        </w:tc>
      </w:tr>
      <w:tr>
        <w:trPr>
          <w:trHeight w:val="170"/>
        </w:trPr>
        <w:tc>
          <w:tcPr>
            <w:tcW w:w="7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7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spacing w:after="0"/>
              <w:rPr>
                <w:sz w:val="14"/>
                <w:szCs w:val="14"/>
                <w:color w:val="auto"/>
              </w:rPr>
            </w:pPr>
          </w:p>
        </w:tc>
      </w:tr>
    </w:tbl>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790" w:right="3520" w:hanging="790"/>
        <w:spacing w:after="0" w:line="238" w:lineRule="auto"/>
        <w:tabs>
          <w:tab w:leader="none" w:pos="79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February 1, 1997, certain Company employees who had previously been granted 110,550 stock options on January 1, 1997 under the Incentive Plan at an exercise price of $15.625 per share (the fair market value on the date of grant) received new grants which canceled their prior grants and awarded the same number of options on the same vesting schedule that governed their original grants at an exercise price of $9.50 per share (the fair market value on the date of the repricing). The repricing program was determined, in accordance with the terms of the Incentive Plan, by the Committee.</w:t>
      </w: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left="790" w:right="352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summarizes stock option information as of December 31, 1998: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Options Outstanding</w:t>
            </w:r>
          </w:p>
        </w:tc>
        <w:tc>
          <w:tcPr>
            <w:tcW w:w="1900" w:type="dxa"/>
            <w:vAlign w:val="bottom"/>
          </w:tcPr>
          <w:p>
            <w:pPr>
              <w:spacing w:after="0"/>
              <w:rPr>
                <w:sz w:val="14"/>
                <w:szCs w:val="14"/>
                <w:color w:val="auto"/>
              </w:rPr>
            </w:pPr>
          </w:p>
        </w:tc>
        <w:tc>
          <w:tcPr>
            <w:tcW w:w="30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Options Exercisable</w:t>
            </w:r>
          </w:p>
        </w:tc>
      </w:tr>
      <w:tr>
        <w:trPr>
          <w:trHeight w:val="170"/>
        </w:trPr>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w:t>
            </w:r>
          </w:p>
        </w:tc>
        <w:tc>
          <w:tcPr>
            <w:tcW w:w="1900" w:type="dxa"/>
            <w:vAlign w:val="bottom"/>
          </w:tcPr>
          <w:p>
            <w:pPr>
              <w:spacing w:after="0"/>
              <w:rPr>
                <w:sz w:val="14"/>
                <w:szCs w:val="14"/>
                <w:color w:val="auto"/>
              </w:rPr>
            </w:pPr>
          </w:p>
        </w:tc>
        <w:tc>
          <w:tcPr>
            <w:tcW w:w="30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w:t>
            </w:r>
          </w:p>
        </w:tc>
      </w:tr>
      <w:tr>
        <w:trPr>
          <w:trHeight w:val="339"/>
        </w:trPr>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40" w:type="dxa"/>
            <w:vAlign w:val="bottom"/>
          </w:tcPr>
          <w:p>
            <w:pPr>
              <w:ind w:left="220"/>
              <w:spacing w:after="0"/>
              <w:rPr>
                <w:sz w:val="20"/>
                <w:szCs w:val="20"/>
                <w:color w:val="auto"/>
              </w:rPr>
            </w:pPr>
            <w:r>
              <w:rPr>
                <w:rFonts w:ascii="Courier New" w:cs="Courier New" w:eastAsia="Courier New" w:hAnsi="Courier New"/>
                <w:sz w:val="15"/>
                <w:szCs w:val="15"/>
                <w:color w:val="auto"/>
              </w:rPr>
              <w:t>Weighted Average</w:t>
            </w:r>
          </w:p>
        </w:tc>
        <w:tc>
          <w:tcPr>
            <w:tcW w:w="1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0"/>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rPr>
              <w:t>Range of Exercise</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Number</w:t>
            </w:r>
          </w:p>
        </w:tc>
        <w:tc>
          <w:tcPr>
            <w:tcW w:w="19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Remaining</w:t>
            </w:r>
          </w:p>
        </w:tc>
        <w:tc>
          <w:tcPr>
            <w:tcW w:w="19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Weighted Average</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Number</w:t>
            </w:r>
          </w:p>
        </w:tc>
        <w:tc>
          <w:tcPr>
            <w:tcW w:w="1540" w:type="dxa"/>
            <w:vAlign w:val="bottom"/>
          </w:tcPr>
          <w:p>
            <w:pPr>
              <w:ind w:left="120"/>
              <w:spacing w:after="0"/>
              <w:rPr>
                <w:sz w:val="20"/>
                <w:szCs w:val="20"/>
                <w:color w:val="auto"/>
              </w:rPr>
            </w:pPr>
            <w:r>
              <w:rPr>
                <w:rFonts w:ascii="Courier New" w:cs="Courier New" w:eastAsia="Courier New" w:hAnsi="Courier New"/>
                <w:sz w:val="15"/>
                <w:szCs w:val="15"/>
                <w:color w:val="auto"/>
                <w:w w:val="97"/>
              </w:rPr>
              <w:t>Weighted Average</w:t>
            </w:r>
          </w:p>
        </w:tc>
      </w:tr>
      <w:tr>
        <w:trPr>
          <w:trHeight w:val="170"/>
        </w:trPr>
        <w:tc>
          <w:tcPr>
            <w:tcW w:w="52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Prices</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Outstanding</w:t>
            </w:r>
          </w:p>
        </w:tc>
        <w:tc>
          <w:tcPr>
            <w:tcW w:w="1940" w:type="dxa"/>
            <w:vAlign w:val="bottom"/>
          </w:tcPr>
          <w:p>
            <w:pPr>
              <w:ind w:left="220"/>
              <w:spacing w:after="0"/>
              <w:rPr>
                <w:sz w:val="20"/>
                <w:szCs w:val="20"/>
                <w:color w:val="auto"/>
              </w:rPr>
            </w:pPr>
            <w:r>
              <w:rPr>
                <w:rFonts w:ascii="Courier New" w:cs="Courier New" w:eastAsia="Courier New" w:hAnsi="Courier New"/>
                <w:sz w:val="15"/>
                <w:szCs w:val="15"/>
                <w:color w:val="auto"/>
              </w:rPr>
              <w:t>Contractual Life</w:t>
            </w:r>
          </w:p>
        </w:tc>
        <w:tc>
          <w:tcPr>
            <w:tcW w:w="1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Exercise Price</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Exercisable</w:t>
            </w: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rPr>
              <w:t>Exercise Price</w:t>
            </w:r>
          </w:p>
        </w:tc>
      </w:tr>
      <w:tr>
        <w:trPr>
          <w:trHeight w:val="170"/>
        </w:trPr>
        <w:tc>
          <w:tcPr>
            <w:tcW w:w="52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w:t>
            </w:r>
          </w:p>
        </w:tc>
        <w:tc>
          <w:tcPr>
            <w:tcW w:w="1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339"/>
        </w:trPr>
        <w:tc>
          <w:tcPr>
            <w:tcW w:w="520" w:type="dxa"/>
            <w:vAlign w:val="bottom"/>
          </w:tcPr>
          <w:p>
            <w:pPr>
              <w:ind w:left="80"/>
              <w:spacing w:after="0"/>
              <w:rPr>
                <w:sz w:val="20"/>
                <w:szCs w:val="20"/>
                <w:color w:val="auto"/>
              </w:rPr>
            </w:pPr>
            <w:r>
              <w:rPr>
                <w:rFonts w:ascii="Courier New" w:cs="Courier New" w:eastAsia="Courier New" w:hAnsi="Courier New"/>
                <w:sz w:val="15"/>
                <w:szCs w:val="15"/>
                <w:color w:val="auto"/>
                <w:w w:val="93"/>
              </w:rPr>
              <w:t>$3.00</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to $4.25</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1,290,664</w:t>
            </w:r>
          </w:p>
        </w:tc>
        <w:tc>
          <w:tcPr>
            <w:tcW w:w="19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4"/>
              </w:rPr>
              <w:t>5.59</w:t>
            </w:r>
          </w:p>
        </w:tc>
        <w:tc>
          <w:tcPr>
            <w:tcW w:w="1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$4.00</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973,827</w:t>
            </w:r>
          </w:p>
        </w:tc>
        <w:tc>
          <w:tcPr>
            <w:tcW w:w="1540" w:type="dxa"/>
            <w:vAlign w:val="bottom"/>
          </w:tcPr>
          <w:p>
            <w:pPr>
              <w:ind w:left="560"/>
              <w:spacing w:after="0"/>
              <w:rPr>
                <w:sz w:val="20"/>
                <w:szCs w:val="20"/>
                <w:color w:val="auto"/>
              </w:rPr>
            </w:pPr>
            <w:r>
              <w:rPr>
                <w:rFonts w:ascii="Courier New" w:cs="Courier New" w:eastAsia="Courier New" w:hAnsi="Courier New"/>
                <w:sz w:val="15"/>
                <w:szCs w:val="15"/>
                <w:color w:val="auto"/>
              </w:rPr>
              <w:t>$4.04</w:t>
            </w:r>
          </w:p>
        </w:tc>
      </w:tr>
      <w:tr>
        <w:trPr>
          <w:trHeight w:val="170"/>
        </w:trPr>
        <w:tc>
          <w:tcPr>
            <w:tcW w:w="520" w:type="dxa"/>
            <w:vAlign w:val="bottom"/>
          </w:tcPr>
          <w:p>
            <w:pPr>
              <w:ind w:left="80"/>
              <w:spacing w:after="0"/>
              <w:rPr>
                <w:sz w:val="20"/>
                <w:szCs w:val="20"/>
                <w:color w:val="auto"/>
              </w:rPr>
            </w:pPr>
            <w:r>
              <w:rPr>
                <w:rFonts w:ascii="Courier New" w:cs="Courier New" w:eastAsia="Courier New" w:hAnsi="Courier New"/>
                <w:sz w:val="15"/>
                <w:szCs w:val="15"/>
                <w:color w:val="auto"/>
                <w:w w:val="93"/>
              </w:rPr>
              <w:t>$4.38</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to $10.25</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1,717,960</w:t>
            </w:r>
          </w:p>
        </w:tc>
        <w:tc>
          <w:tcPr>
            <w:tcW w:w="19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4"/>
              </w:rPr>
              <w:t>8.02</w:t>
            </w:r>
          </w:p>
        </w:tc>
        <w:tc>
          <w:tcPr>
            <w:tcW w:w="1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$8.14</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406,513</w:t>
            </w:r>
          </w:p>
        </w:tc>
        <w:tc>
          <w:tcPr>
            <w:tcW w:w="1540" w:type="dxa"/>
            <w:vAlign w:val="bottom"/>
          </w:tcPr>
          <w:p>
            <w:pPr>
              <w:ind w:left="560"/>
              <w:spacing w:after="0"/>
              <w:rPr>
                <w:sz w:val="20"/>
                <w:szCs w:val="20"/>
                <w:color w:val="auto"/>
              </w:rPr>
            </w:pPr>
            <w:r>
              <w:rPr>
                <w:rFonts w:ascii="Courier New" w:cs="Courier New" w:eastAsia="Courier New" w:hAnsi="Courier New"/>
                <w:sz w:val="15"/>
                <w:szCs w:val="15"/>
                <w:color w:val="auto"/>
              </w:rPr>
              <w:t>$7.11</w:t>
            </w:r>
          </w:p>
        </w:tc>
      </w:tr>
      <w:tr>
        <w:trPr>
          <w:trHeight w:val="170"/>
        </w:trPr>
        <w:tc>
          <w:tcPr>
            <w:tcW w:w="1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$10.38 to $15.56</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1,078,141</w:t>
            </w:r>
          </w:p>
        </w:tc>
        <w:tc>
          <w:tcPr>
            <w:tcW w:w="19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4"/>
              </w:rPr>
              <w:t>6.53</w:t>
            </w:r>
          </w:p>
        </w:tc>
        <w:tc>
          <w:tcPr>
            <w:tcW w:w="1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$12.11</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558,467</w:t>
            </w:r>
          </w:p>
        </w:tc>
        <w:tc>
          <w:tcPr>
            <w:tcW w:w="1540" w:type="dxa"/>
            <w:vAlign w:val="bottom"/>
          </w:tcPr>
          <w:p>
            <w:pPr>
              <w:ind w:left="560"/>
              <w:spacing w:after="0"/>
              <w:rPr>
                <w:sz w:val="20"/>
                <w:szCs w:val="20"/>
                <w:color w:val="auto"/>
              </w:rPr>
            </w:pPr>
            <w:r>
              <w:rPr>
                <w:rFonts w:ascii="Courier New" w:cs="Courier New" w:eastAsia="Courier New" w:hAnsi="Courier New"/>
                <w:sz w:val="15"/>
                <w:szCs w:val="15"/>
                <w:color w:val="auto"/>
              </w:rPr>
              <w:t>$12.75</w:t>
            </w:r>
          </w:p>
        </w:tc>
      </w:tr>
      <w:tr>
        <w:trPr>
          <w:trHeight w:val="170"/>
        </w:trPr>
        <w:tc>
          <w:tcPr>
            <w:tcW w:w="1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$16.00 to $22.06</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86,860</w:t>
            </w:r>
          </w:p>
        </w:tc>
        <w:tc>
          <w:tcPr>
            <w:tcW w:w="19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4"/>
              </w:rPr>
              <w:t>5.79</w:t>
            </w:r>
          </w:p>
        </w:tc>
        <w:tc>
          <w:tcPr>
            <w:tcW w:w="1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$17.72</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56,041</w:t>
            </w:r>
          </w:p>
        </w:tc>
        <w:tc>
          <w:tcPr>
            <w:tcW w:w="1540" w:type="dxa"/>
            <w:vAlign w:val="bottom"/>
          </w:tcPr>
          <w:p>
            <w:pPr>
              <w:ind w:left="560"/>
              <w:spacing w:after="0"/>
              <w:rPr>
                <w:sz w:val="20"/>
                <w:szCs w:val="20"/>
                <w:color w:val="auto"/>
              </w:rPr>
            </w:pPr>
            <w:r>
              <w:rPr>
                <w:rFonts w:ascii="Courier New" w:cs="Courier New" w:eastAsia="Courier New" w:hAnsi="Courier New"/>
                <w:sz w:val="15"/>
                <w:szCs w:val="15"/>
                <w:color w:val="auto"/>
              </w:rPr>
              <w:t>$17.79</w:t>
            </w:r>
          </w:p>
        </w:tc>
      </w:tr>
      <w:tr>
        <w:trPr>
          <w:trHeight w:val="170"/>
        </w:trPr>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4"/>
                <w:szCs w:val="14"/>
                <w:color w:val="auto"/>
              </w:rPr>
            </w:pPr>
          </w:p>
        </w:tc>
      </w:tr>
      <w:tr>
        <w:trPr>
          <w:trHeight w:val="339"/>
        </w:trPr>
        <w:tc>
          <w:tcPr>
            <w:tcW w:w="520" w:type="dxa"/>
            <w:vAlign w:val="bottom"/>
          </w:tcPr>
          <w:p>
            <w:pPr>
              <w:ind w:left="80"/>
              <w:spacing w:after="0"/>
              <w:rPr>
                <w:sz w:val="20"/>
                <w:szCs w:val="20"/>
                <w:color w:val="auto"/>
              </w:rPr>
            </w:pPr>
            <w:r>
              <w:rPr>
                <w:rFonts w:ascii="Courier New" w:cs="Courier New" w:eastAsia="Courier New" w:hAnsi="Courier New"/>
                <w:sz w:val="15"/>
                <w:szCs w:val="15"/>
                <w:color w:val="auto"/>
                <w:w w:val="93"/>
              </w:rPr>
              <w:t>$3.00</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to $22.06</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4,173,625</w:t>
            </w:r>
          </w:p>
        </w:tc>
        <w:tc>
          <w:tcPr>
            <w:tcW w:w="19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4"/>
              </w:rPr>
              <w:t>6.84</w:t>
            </w:r>
          </w:p>
        </w:tc>
        <w:tc>
          <w:tcPr>
            <w:tcW w:w="1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$8.08</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1,994,848</w:t>
            </w:r>
          </w:p>
        </w:tc>
        <w:tc>
          <w:tcPr>
            <w:tcW w:w="1540" w:type="dxa"/>
            <w:vAlign w:val="bottom"/>
          </w:tcPr>
          <w:p>
            <w:pPr>
              <w:ind w:left="560"/>
              <w:spacing w:after="0"/>
              <w:rPr>
                <w:sz w:val="20"/>
                <w:szCs w:val="20"/>
                <w:color w:val="auto"/>
              </w:rPr>
            </w:pPr>
            <w:r>
              <w:rPr>
                <w:rFonts w:ascii="Courier New" w:cs="Courier New" w:eastAsia="Courier New" w:hAnsi="Courier New"/>
                <w:sz w:val="15"/>
                <w:szCs w:val="15"/>
                <w:color w:val="auto"/>
              </w:rPr>
              <w:t>$7.49</w:t>
            </w:r>
          </w:p>
        </w:tc>
      </w:tr>
      <w:tr>
        <w:trPr>
          <w:trHeight w:val="170"/>
        </w:trPr>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4"/>
                <w:szCs w:val="14"/>
                <w:color w:val="auto"/>
              </w:rPr>
            </w:pPr>
          </w:p>
        </w:tc>
      </w:tr>
    </w:tbl>
    <w:p>
      <w:pPr>
        <w:spacing w:after="0" w:line="5"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490"/>
          </w:cols>
          <w:pgMar w:left="230" w:top="791" w:right="1179" w:bottom="232" w:gutter="0" w:footer="0" w:header="0"/>
        </w:sectPr>
      </w:pPr>
    </w:p>
    <w:bookmarkStart w:id="55" w:name="page56"/>
    <w:bookmarkEnd w:id="55"/>
    <w:p>
      <w:pPr>
        <w:ind w:left="2140"/>
        <w:spacing w:after="0"/>
        <w:rPr>
          <w:sz w:val="20"/>
          <w:szCs w:val="20"/>
          <w:color w:val="auto"/>
        </w:rPr>
      </w:pPr>
      <w:r>
        <w:rPr>
          <w:rFonts w:ascii="Courier New" w:cs="Courier New" w:eastAsia="Courier New" w:hAnsi="Courier New"/>
          <w:sz w:val="14"/>
          <w:szCs w:val="14"/>
          <w:color w:val="auto"/>
        </w:rPr>
        <w:t>F-17</w:t>
      </w:r>
    </w:p>
    <w:p>
      <w:pPr>
        <w:sectPr>
          <w:pgSz w:w="11900" w:h="16838" w:orient="portrait"/>
          <w:cols w:equalWidth="0" w:num="1">
            <w:col w:w="9019"/>
          </w:cols>
          <w:pgMar w:left="1440" w:top="311" w:right="1440" w:bottom="1440" w:gutter="0" w:footer="0" w:header="0"/>
        </w:sectPr>
      </w:pPr>
    </w:p>
    <w:bookmarkStart w:id="56" w:name="page57"/>
    <w:bookmarkEnd w:id="56"/>
    <w:p>
      <w:pPr>
        <w:jc w:val="center"/>
        <w:ind w:right="3250"/>
        <w:spacing w:after="0"/>
        <w:rPr>
          <w:sz w:val="20"/>
          <w:szCs w:val="20"/>
          <w:color w:val="auto"/>
        </w:rPr>
      </w:pPr>
      <w:r>
        <w:rPr>
          <w:rFonts w:ascii="Courier New" w:cs="Courier New" w:eastAsia="Courier New" w:hAnsi="Courier New"/>
          <w:sz w:val="15"/>
          <w:szCs w:val="15"/>
          <w:color w:val="auto"/>
        </w:rPr>
        <w:t>REGENERON PHARMACEUTICALS, INC.</w:t>
      </w:r>
    </w:p>
    <w:p>
      <w:pPr>
        <w:jc w:val="center"/>
        <w:ind w:right="3250"/>
        <w:spacing w:after="0"/>
        <w:rPr>
          <w:sz w:val="20"/>
          <w:szCs w:val="20"/>
          <w:color w:val="auto"/>
        </w:rPr>
      </w:pPr>
      <w:r>
        <w:rPr>
          <w:rFonts w:ascii="Courier New" w:cs="Courier New" w:eastAsia="Courier New" w:hAnsi="Courier New"/>
          <w:sz w:val="15"/>
          <w:szCs w:val="15"/>
          <w:color w:val="auto"/>
        </w:rPr>
        <w:t>NOTES TO FINANCIAL STATEMENTS (Continued)</w:t>
      </w:r>
    </w:p>
    <w:p>
      <w:pPr>
        <w:jc w:val="center"/>
        <w:ind w:right="3250"/>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174" w:lineRule="exact"/>
        <w:rPr>
          <w:sz w:val="20"/>
          <w:szCs w:val="20"/>
          <w:color w:val="auto"/>
        </w:rPr>
      </w:pP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The following table summarizes the pro forma operating results of the Company had compensation costs for the Incentive Plan been determined in accordance with the fair value based method of accounting for stock based compensation as prescribed by SFAS No. 123. Since option grants awarded during 1998, 1997, and 1996 vest over several years and additional awards are expected to be issued in the future, the pro forma results shown below are not likely to be representative of the effects on future years of the application of the fair value based method.</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080" w:type="dxa"/>
            <w:vAlign w:val="bottom"/>
          </w:tcPr>
          <w:p>
            <w:pPr>
              <w:spacing w:after="0"/>
              <w:rPr>
                <w:sz w:val="14"/>
                <w:szCs w:val="14"/>
                <w:color w:val="auto"/>
              </w:rPr>
            </w:pP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Pro forma net loss</w:t>
            </w:r>
          </w:p>
        </w:tc>
        <w:tc>
          <w:tcPr>
            <w:tcW w:w="15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8"/>
              </w:rPr>
              <w:t>($13,114)</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($15,638)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($35,368)</w:t>
            </w:r>
          </w:p>
        </w:tc>
      </w:tr>
      <w:tr>
        <w:trPr>
          <w:trHeight w:val="170"/>
        </w:trPr>
        <w:tc>
          <w:tcPr>
            <w:tcW w:w="3080" w:type="dxa"/>
            <w:vAlign w:val="bottom"/>
          </w:tcPr>
          <w:p>
            <w:pPr>
              <w:spacing w:after="0"/>
              <w:rPr>
                <w:sz w:val="14"/>
                <w:szCs w:val="14"/>
                <w:color w:val="auto"/>
              </w:rPr>
            </w:pPr>
          </w:p>
        </w:tc>
        <w:tc>
          <w:tcPr>
            <w:tcW w:w="15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Pro forma net loss per share,</w:t>
            </w: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3080" w:type="dxa"/>
            <w:vAlign w:val="bottom"/>
          </w:tcPr>
          <w:p>
            <w:pPr>
              <w:ind w:left="440"/>
              <w:spacing w:after="0"/>
              <w:rPr>
                <w:sz w:val="20"/>
                <w:szCs w:val="20"/>
                <w:color w:val="auto"/>
              </w:rPr>
            </w:pPr>
            <w:r>
              <w:rPr>
                <w:rFonts w:ascii="Courier New" w:cs="Courier New" w:eastAsia="Courier New" w:hAnsi="Courier New"/>
                <w:sz w:val="15"/>
                <w:szCs w:val="15"/>
                <w:color w:val="auto"/>
              </w:rPr>
              <w:t>basic and diluted</w:t>
            </w:r>
          </w:p>
        </w:tc>
        <w:tc>
          <w:tcPr>
            <w:tcW w:w="15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5"/>
              </w:rPr>
              <w:t>($0.42)</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($1.40)</w:t>
            </w:r>
          </w:p>
        </w:tc>
      </w:tr>
      <w:tr>
        <w:trPr>
          <w:trHeight w:val="170"/>
        </w:trPr>
        <w:tc>
          <w:tcPr>
            <w:tcW w:w="3080" w:type="dxa"/>
            <w:vAlign w:val="bottom"/>
          </w:tcPr>
          <w:p>
            <w:pPr>
              <w:spacing w:after="0"/>
              <w:rPr>
                <w:sz w:val="14"/>
                <w:szCs w:val="14"/>
                <w:color w:val="auto"/>
              </w:rPr>
            </w:pPr>
          </w:p>
        </w:tc>
        <w:tc>
          <w:tcPr>
            <w:tcW w:w="15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5"/>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For the purpose of the above pro forma calculation, the fair value of each option granted from the Incentive Plan during 1998, 1997, and 1996 was estimated on the date of grant using the Black-Scholes option pricing model. The weighted-average fair value of the options granted during 1998, 1997, and 1996 was $5.84, $7.84, and $9.67, respectively. The following assumptions were used in computing the fair value of option grants during 1998, 1997, and 1996: expected volatility of 85%, expected lives of 3 years after vesting, and zero dividend yield for 1998, 1997, and 1996; risk-free interest rates of 5.30%-5.44% in 1998, 5.79%-6.47% in 1997, and 5.46%-6.92% in 1996.</w:t>
      </w:r>
    </w:p>
    <w:p>
      <w:pPr>
        <w:spacing w:after="0" w:line="173" w:lineRule="exact"/>
        <w:rPr>
          <w:sz w:val="20"/>
          <w:szCs w:val="20"/>
          <w:color w:val="auto"/>
        </w:rPr>
      </w:pPr>
    </w:p>
    <w:p>
      <w:pPr>
        <w:ind w:left="1150" w:hanging="356"/>
        <w:spacing w:after="0"/>
        <w:tabs>
          <w:tab w:leader="none" w:pos="115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Stock Purchase Plan</w:t>
      </w:r>
    </w:p>
    <w:p>
      <w:pPr>
        <w:spacing w:after="0" w:line="175" w:lineRule="exact"/>
        <w:rPr>
          <w:sz w:val="20"/>
          <w:szCs w:val="20"/>
          <w:color w:val="auto"/>
        </w:rPr>
      </w:pPr>
    </w:p>
    <w:p>
      <w:pPr>
        <w:ind w:left="10" w:right="3179" w:firstLine="793"/>
        <w:spacing w:after="0" w:line="257" w:lineRule="auto"/>
        <w:rPr>
          <w:sz w:val="20"/>
          <w:szCs w:val="20"/>
          <w:color w:val="auto"/>
        </w:rPr>
      </w:pPr>
      <w:r>
        <w:rPr>
          <w:rFonts w:ascii="Courier New" w:cs="Courier New" w:eastAsia="Courier New" w:hAnsi="Courier New"/>
          <w:sz w:val="14"/>
          <w:szCs w:val="14"/>
          <w:color w:val="auto"/>
        </w:rPr>
        <w:t>In 1989, the Company adopted an Executive Stock Purchase Plan (the "Plan") under which 1,027,500 shares of Class A Stock were reserved for restricted stock awards. The Plan provides for the compensation committee of the Board of Directors to award employees, directors, consultants, and other individuals ("Plan participants") who render service to the Company the right to purchase Class A Stock at a price set by the compensation committee. The Plan provides for the vesting of shares as determined by the compensation committee and, should the Company's relationship with a Plan participant terminate before all shares are vested, unvested shares will be repurchased by the Company at a price per share equal to the original amount paid by the Plan participant. During 1989 and 1990, a total of 983,254 shares were issued and as of December 31, 1998, there were 44,246 shares available for future grants under the Plan.</w:t>
      </w:r>
    </w:p>
    <w:p>
      <w:pPr>
        <w:spacing w:after="0" w:line="160" w:lineRule="exact"/>
        <w:rPr>
          <w:sz w:val="20"/>
          <w:szCs w:val="20"/>
          <w:color w:val="auto"/>
        </w:rPr>
      </w:pPr>
    </w:p>
    <w:p>
      <w:pPr>
        <w:ind w:left="450" w:hanging="450"/>
        <w:spacing w:after="0"/>
        <w:tabs>
          <w:tab w:leader="none" w:pos="4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Savings Plan</w:t>
      </w:r>
    </w:p>
    <w:p>
      <w:pPr>
        <w:spacing w:after="0" w:line="175"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The Company, during 1993, adopted the provisions of the Regeneron Pharmaceuticals, Inc. 401(k) Savings Plan (the "Savings Plan"). The terms of the Savings Plan provide for employees who have met defined service requirements to participate in the Savings Plan by electing to contribute to the Savings Plan a percentage of their compensation to be set aside to pay their future retirement benefits, as defined. The Savings Plan, as amended and restated during 1998, provides for the Company to make discretionary contributions ("Contributions"), as defined. In 1998, the Company recorded a Contribution expense of $0.3 million; such amount was accrued at December 31, 1998. During January 1999, the Company contributed 37,653 shares of Common Stock to the Savings Plan in satisfaction of this obligation.</w:t>
      </w:r>
    </w:p>
    <w:p>
      <w:pPr>
        <w:spacing w:after="0" w:line="175" w:lineRule="exact"/>
        <w:rPr>
          <w:sz w:val="20"/>
          <w:szCs w:val="20"/>
          <w:color w:val="auto"/>
        </w:rPr>
      </w:pPr>
    </w:p>
    <w:p>
      <w:pPr>
        <w:ind w:left="450" w:hanging="450"/>
        <w:spacing w:after="0"/>
        <w:tabs>
          <w:tab w:leader="none" w:pos="45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left="10" w:right="3619" w:firstLine="793"/>
        <w:spacing w:after="0" w:line="260" w:lineRule="auto"/>
        <w:rPr>
          <w:sz w:val="20"/>
          <w:szCs w:val="20"/>
          <w:color w:val="auto"/>
        </w:rPr>
      </w:pPr>
      <w:r>
        <w:rPr>
          <w:rFonts w:ascii="Courier New" w:cs="Courier New" w:eastAsia="Courier New" w:hAnsi="Courier New"/>
          <w:sz w:val="14"/>
          <w:szCs w:val="14"/>
          <w:color w:val="auto"/>
        </w:rPr>
        <w:t>There is no provision (benefit) for federal or state income taxes, since the Company has incurred operating losses since inception and has established a valuation allowance equal to the total deferred tax asset.</w:t>
      </w:r>
    </w:p>
    <w:p>
      <w:pPr>
        <w:spacing w:after="0" w:line="200" w:lineRule="exact"/>
        <w:rPr>
          <w:sz w:val="20"/>
          <w:szCs w:val="20"/>
          <w:color w:val="auto"/>
        </w:rPr>
      </w:pPr>
    </w:p>
    <w:p>
      <w:pPr>
        <w:spacing w:after="0" w:line="296"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29"/>
          </w:cols>
          <w:pgMar w:left="230" w:top="622" w:right="1440" w:bottom="1440" w:gutter="0" w:footer="0" w:header="0"/>
        </w:sectPr>
      </w:pPr>
    </w:p>
    <w:bookmarkStart w:id="57" w:name="page58"/>
    <w:bookmarkEnd w:id="57"/>
    <w:p>
      <w:pPr>
        <w:jc w:val="center"/>
        <w:ind w:right="3250"/>
        <w:spacing w:after="0"/>
        <w:rPr>
          <w:sz w:val="20"/>
          <w:szCs w:val="20"/>
          <w:color w:val="auto"/>
        </w:rPr>
      </w:pPr>
      <w:r>
        <w:rPr>
          <w:rFonts w:ascii="Courier New" w:cs="Courier New" w:eastAsia="Courier New" w:hAnsi="Courier New"/>
          <w:sz w:val="15"/>
          <w:szCs w:val="15"/>
          <w:color w:val="auto"/>
        </w:rPr>
        <w:t>REGENERON PHARMACEUTICALS, INC.</w:t>
      </w:r>
    </w:p>
    <w:p>
      <w:pPr>
        <w:jc w:val="center"/>
        <w:ind w:right="3250"/>
        <w:spacing w:after="0"/>
        <w:rPr>
          <w:sz w:val="20"/>
          <w:szCs w:val="20"/>
          <w:color w:val="auto"/>
        </w:rPr>
      </w:pPr>
      <w:r>
        <w:rPr>
          <w:rFonts w:ascii="Courier New" w:cs="Courier New" w:eastAsia="Courier New" w:hAnsi="Courier New"/>
          <w:sz w:val="15"/>
          <w:szCs w:val="15"/>
          <w:color w:val="auto"/>
        </w:rPr>
        <w:t>NOTES TO FINANCIAL STATEMENTS (Continued)</w:t>
      </w:r>
    </w:p>
    <w:p>
      <w:pPr>
        <w:jc w:val="center"/>
        <w:ind w:right="3250"/>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168" w:lineRule="exact"/>
        <w:rPr>
          <w:sz w:val="20"/>
          <w:szCs w:val="20"/>
          <w:color w:val="auto"/>
        </w:rPr>
      </w:pPr>
    </w:p>
    <w:p>
      <w:pPr>
        <w:jc w:val="center"/>
        <w:ind w:right="3430"/>
        <w:spacing w:after="0"/>
        <w:rPr>
          <w:sz w:val="20"/>
          <w:szCs w:val="20"/>
          <w:color w:val="auto"/>
        </w:rPr>
      </w:pPr>
      <w:r>
        <w:rPr>
          <w:rFonts w:ascii="Courier New" w:cs="Courier New" w:eastAsia="Courier New" w:hAnsi="Courier New"/>
          <w:sz w:val="15"/>
          <w:szCs w:val="15"/>
          <w:color w:val="auto"/>
        </w:rPr>
        <w:t>The tax effect of temporary differences, net operating loss</w:t>
      </w:r>
    </w:p>
    <w:p>
      <w:pPr>
        <w:ind w:left="10"/>
        <w:spacing w:after="0"/>
        <w:rPr>
          <w:sz w:val="20"/>
          <w:szCs w:val="20"/>
          <w:color w:val="auto"/>
        </w:rPr>
      </w:pPr>
      <w:r>
        <w:rPr>
          <w:rFonts w:ascii="Courier New" w:cs="Courier New" w:eastAsia="Courier New" w:hAnsi="Courier New"/>
          <w:sz w:val="15"/>
          <w:szCs w:val="15"/>
          <w:color w:val="auto"/>
        </w:rPr>
        <w:t>carry-forwards, and research and experimental tax credit carry-forwards as of</w:t>
      </w:r>
    </w:p>
    <w:p>
      <w:pPr>
        <w:ind w:left="10"/>
        <w:spacing w:after="0"/>
        <w:rPr>
          <w:sz w:val="20"/>
          <w:szCs w:val="20"/>
          <w:color w:val="auto"/>
        </w:rPr>
      </w:pPr>
      <w:r>
        <w:rPr>
          <w:rFonts w:ascii="Courier New" w:cs="Courier New" w:eastAsia="Courier New" w:hAnsi="Courier New"/>
          <w:sz w:val="15"/>
          <w:szCs w:val="15"/>
          <w:color w:val="auto"/>
        </w:rPr>
        <w:t>December 31, 1998 and 1997 was as follows:</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800" w:type="dxa"/>
            <w:vAlign w:val="bottom"/>
          </w:tcPr>
          <w:p>
            <w:pPr>
              <w:spacing w:after="0"/>
              <w:rPr>
                <w:sz w:val="14"/>
                <w:szCs w:val="14"/>
                <w:color w:val="auto"/>
              </w:rPr>
            </w:pPr>
          </w:p>
        </w:tc>
        <w:tc>
          <w:tcPr>
            <w:tcW w:w="12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4800" w:type="dxa"/>
            <w:vAlign w:val="bottom"/>
          </w:tcPr>
          <w:p>
            <w:pPr>
              <w:spacing w:after="0"/>
              <w:rPr>
                <w:sz w:val="14"/>
                <w:szCs w:val="1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9"/>
        </w:trPr>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Net operating loss carry-forward</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$64,568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$60,209</w:t>
            </w:r>
          </w:p>
        </w:tc>
      </w:tr>
      <w:tr>
        <w:trPr>
          <w:trHeight w:val="170"/>
        </w:trPr>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Fixed assets</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1,251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1,848</w:t>
            </w:r>
          </w:p>
        </w:tc>
      </w:tr>
      <w:tr>
        <w:trPr>
          <w:trHeight w:val="170"/>
        </w:trPr>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Deferred revenue</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4,806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6,195</w:t>
            </w:r>
          </w:p>
        </w:tc>
      </w:tr>
      <w:tr>
        <w:trPr>
          <w:trHeight w:val="170"/>
        </w:trPr>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Research and experimental tax credit carry-forward</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7,371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4,800</w:t>
            </w:r>
          </w:p>
        </w:tc>
      </w:tr>
      <w:tr>
        <w:trPr>
          <w:trHeight w:val="170"/>
        </w:trPr>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Other</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1,671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1,268</w:t>
            </w:r>
          </w:p>
        </w:tc>
      </w:tr>
      <w:tr>
        <w:trPr>
          <w:trHeight w:val="170"/>
        </w:trPr>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Valuation allowance</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(79,667)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(74,320)</w:t>
            </w:r>
          </w:p>
        </w:tc>
      </w:tr>
      <w:tr>
        <w:trPr>
          <w:trHeight w:val="170"/>
        </w:trPr>
        <w:tc>
          <w:tcPr>
            <w:tcW w:w="4800" w:type="dxa"/>
            <w:vAlign w:val="bottom"/>
          </w:tcPr>
          <w:p>
            <w:pPr>
              <w:spacing w:after="0"/>
              <w:rPr>
                <w:sz w:val="14"/>
                <w:szCs w:val="1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spacing w:after="0"/>
              <w:rPr>
                <w:sz w:val="14"/>
                <w:szCs w:val="1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spacing w:after="0"/>
              <w:rPr>
                <w:sz w:val="14"/>
                <w:szCs w:val="1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left="10" w:right="3359" w:firstLine="793"/>
        <w:spacing w:after="0" w:line="238" w:lineRule="auto"/>
        <w:rPr>
          <w:sz w:val="20"/>
          <w:szCs w:val="20"/>
          <w:color w:val="auto"/>
        </w:rPr>
      </w:pPr>
      <w:r>
        <w:rPr>
          <w:rFonts w:ascii="Courier New" w:cs="Courier New" w:eastAsia="Courier New" w:hAnsi="Courier New"/>
          <w:sz w:val="15"/>
          <w:szCs w:val="15"/>
          <w:color w:val="auto"/>
        </w:rPr>
        <w:t>As of December 31, 1998, the Company had available for tax purposes unused net operating loss carry-forwards of approximately $158.0 million which will expire in various years from 2004 to 2013. The Company's research and experimental tax credit carry-forwards expire in various years from 2004 to 2013. Future changes in the ownership of the Company could limit the future utilization of these net operating loss and tax credit carry-forwards, as defined by the Federal and state tax codes.</w:t>
      </w:r>
    </w:p>
    <w:p>
      <w:pPr>
        <w:spacing w:after="0" w:line="171" w:lineRule="exact"/>
        <w:rPr>
          <w:sz w:val="20"/>
          <w:szCs w:val="20"/>
          <w:color w:val="auto"/>
        </w:rPr>
      </w:pPr>
    </w:p>
    <w:p>
      <w:pPr>
        <w:ind w:left="450" w:hanging="450"/>
        <w:spacing w:after="0"/>
        <w:tabs>
          <w:tab w:leader="none" w:pos="4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w:t>
      </w:r>
    </w:p>
    <w:p>
      <w:pPr>
        <w:spacing w:after="0" w:line="175" w:lineRule="exact"/>
        <w:rPr>
          <w:sz w:val="20"/>
          <w:szCs w:val="20"/>
          <w:color w:val="auto"/>
        </w:rPr>
      </w:pPr>
    </w:p>
    <w:p>
      <w:pPr>
        <w:ind w:left="10" w:right="3259" w:firstLine="793"/>
        <w:spacing w:after="0" w:line="258" w:lineRule="auto"/>
        <w:rPr>
          <w:sz w:val="20"/>
          <w:szCs w:val="20"/>
          <w:color w:val="auto"/>
        </w:rPr>
      </w:pPr>
      <w:r>
        <w:rPr>
          <w:rFonts w:ascii="Courier New" w:cs="Courier New" w:eastAsia="Courier New" w:hAnsi="Courier New"/>
          <w:sz w:val="14"/>
          <w:szCs w:val="14"/>
          <w:color w:val="auto"/>
        </w:rPr>
        <w:t>In 1995, the Company settled a securities class action lawsuit against the Company and two individuals. As part of the settlement, the Company issued 153,017 shares of the Company's Common Stock in January 1996. The total cost to the Company of the settlement, before legal expenses and after reimbursement from the Company's insurance providers, was approximately $0.9 million.</w:t>
      </w:r>
    </w:p>
    <w:p>
      <w:pPr>
        <w:spacing w:after="0" w:line="165" w:lineRule="exact"/>
        <w:rPr>
          <w:sz w:val="20"/>
          <w:szCs w:val="20"/>
          <w:color w:val="auto"/>
        </w:rPr>
      </w:pPr>
    </w:p>
    <w:p>
      <w:pPr>
        <w:ind w:left="10" w:right="3359" w:firstLine="793"/>
        <w:spacing w:after="0" w:line="238" w:lineRule="auto"/>
        <w:rPr>
          <w:sz w:val="20"/>
          <w:szCs w:val="20"/>
          <w:color w:val="auto"/>
        </w:rPr>
      </w:pPr>
      <w:r>
        <w:rPr>
          <w:rFonts w:ascii="Courier New" w:cs="Courier New" w:eastAsia="Courier New" w:hAnsi="Courier New"/>
          <w:sz w:val="15"/>
          <w:szCs w:val="15"/>
          <w:color w:val="auto"/>
        </w:rPr>
        <w:t>The Company, from time to time, has been subject to legal claims arising in connection with its business. While the ultimate results of the claims cannot be predicted with certainty, at December 31, 1998, there were no asserted claims against the Company which, in the opinion of management, if adversely decided, would have a material adverse effect on the Company's financial position and results of operations.</w:t>
      </w:r>
    </w:p>
    <w:p>
      <w:pPr>
        <w:spacing w:after="0" w:line="170" w:lineRule="exact"/>
        <w:rPr>
          <w:sz w:val="20"/>
          <w:szCs w:val="20"/>
          <w:color w:val="auto"/>
        </w:rPr>
      </w:pPr>
    </w:p>
    <w:p>
      <w:pPr>
        <w:ind w:left="530" w:hanging="530"/>
        <w:spacing w:after="0"/>
        <w:tabs>
          <w:tab w:leader="none" w:pos="53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Loss Per Share</w:t>
      </w:r>
    </w:p>
    <w:p>
      <w:pPr>
        <w:spacing w:after="0" w:line="175"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The Company's basic net loss per share amounts have been computed by dividing net loss by the weighted average number of Common and Class A shares outstanding. For the years ended December 31, 1998, 1997, and 1996, the Company reported net losses and, therefore, no common stock equivalents were included in the computation of diluted net loss per share since such inclusion would have been antidilutive. The calculations of basic and diluted loss per share are as follows:</w:t>
      </w:r>
    </w:p>
    <w:p>
      <w:pPr>
        <w:spacing w:after="0" w:line="177"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620" w:type="dxa"/>
            <w:vAlign w:val="bottom"/>
          </w:tcPr>
          <w:p>
            <w:pPr>
              <w:ind w:left="340"/>
              <w:spacing w:after="0"/>
              <w:rPr>
                <w:sz w:val="20"/>
                <w:szCs w:val="20"/>
                <w:color w:val="auto"/>
              </w:rPr>
            </w:pPr>
            <w:r>
              <w:rPr>
                <w:rFonts w:ascii="Courier New" w:cs="Courier New" w:eastAsia="Courier New" w:hAnsi="Courier New"/>
                <w:sz w:val="15"/>
                <w:szCs w:val="15"/>
                <w:color w:val="auto"/>
              </w:rPr>
              <w:t>Net Loss</w:t>
            </w:r>
          </w:p>
        </w:tc>
        <w:tc>
          <w:tcPr>
            <w:tcW w:w="1860" w:type="dxa"/>
            <w:vAlign w:val="bottom"/>
          </w:tcPr>
          <w:p>
            <w:pPr>
              <w:ind w:left="660"/>
              <w:spacing w:after="0"/>
              <w:rPr>
                <w:sz w:val="20"/>
                <w:szCs w:val="20"/>
                <w:color w:val="auto"/>
              </w:rPr>
            </w:pPr>
            <w:r>
              <w:rPr>
                <w:rFonts w:ascii="Courier New" w:cs="Courier New" w:eastAsia="Courier New" w:hAnsi="Courier New"/>
                <w:sz w:val="15"/>
                <w:szCs w:val="15"/>
                <w:color w:val="auto"/>
              </w:rPr>
              <w:t>Shares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Per Share</w:t>
            </w:r>
          </w:p>
        </w:tc>
      </w:tr>
      <w:tr>
        <w:trPr>
          <w:trHeight w:val="339"/>
        </w:trPr>
        <w:tc>
          <w:tcPr>
            <w:tcW w:w="2380" w:type="dxa"/>
            <w:vAlign w:val="bottom"/>
          </w:tcPr>
          <w:p>
            <w:pPr>
              <w:spacing w:after="0"/>
              <w:rPr>
                <w:sz w:val="24"/>
                <w:szCs w:val="24"/>
                <w:color w:val="auto"/>
              </w:rPr>
            </w:pPr>
          </w:p>
        </w:tc>
        <w:tc>
          <w:tcPr>
            <w:tcW w:w="1620" w:type="dxa"/>
            <w:vAlign w:val="bottom"/>
          </w:tcPr>
          <w:p>
            <w:pPr>
              <w:ind w:left="260"/>
              <w:spacing w:after="0"/>
              <w:rPr>
                <w:sz w:val="20"/>
                <w:szCs w:val="20"/>
                <w:color w:val="auto"/>
              </w:rPr>
            </w:pPr>
            <w:r>
              <w:rPr>
                <w:rFonts w:ascii="Courier New" w:cs="Courier New" w:eastAsia="Courier New" w:hAnsi="Courier New"/>
                <w:sz w:val="15"/>
                <w:szCs w:val="15"/>
                <w:color w:val="auto"/>
              </w:rPr>
              <w:t>(Numerator)</w:t>
            </w:r>
          </w:p>
        </w:tc>
        <w:tc>
          <w:tcPr>
            <w:tcW w:w="1860" w:type="dxa"/>
            <w:vAlign w:val="bottom"/>
          </w:tcPr>
          <w:p>
            <w:pPr>
              <w:ind w:left="400"/>
              <w:spacing w:after="0"/>
              <w:rPr>
                <w:sz w:val="20"/>
                <w:szCs w:val="20"/>
                <w:color w:val="auto"/>
              </w:rPr>
            </w:pPr>
            <w:r>
              <w:rPr>
                <w:rFonts w:ascii="Courier New" w:cs="Courier New" w:eastAsia="Courier New" w:hAnsi="Courier New"/>
                <w:sz w:val="15"/>
                <w:szCs w:val="15"/>
                <w:color w:val="auto"/>
              </w:rPr>
              <w:t>(Denominator)</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Amount</w:t>
            </w:r>
          </w:p>
        </w:tc>
      </w:tr>
      <w:tr>
        <w:trPr>
          <w:trHeight w:val="170"/>
        </w:trPr>
        <w:tc>
          <w:tcPr>
            <w:tcW w:w="2380" w:type="dxa"/>
            <w:vAlign w:val="bottom"/>
          </w:tcPr>
          <w:p>
            <w:pPr>
              <w:spacing w:after="0"/>
              <w:rPr>
                <w:sz w:val="14"/>
                <w:szCs w:val="14"/>
                <w:color w:val="auto"/>
              </w:rPr>
            </w:pPr>
          </w:p>
        </w:tc>
        <w:tc>
          <w:tcPr>
            <w:tcW w:w="1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2380" w:type="dxa"/>
            <w:vAlign w:val="bottom"/>
          </w:tcPr>
          <w:p>
            <w:pPr>
              <w:jc w:val="right"/>
              <w:ind w:right="1867"/>
              <w:spacing w:after="0"/>
              <w:rPr>
                <w:sz w:val="20"/>
                <w:szCs w:val="20"/>
                <w:color w:val="auto"/>
              </w:rPr>
            </w:pPr>
            <w:r>
              <w:rPr>
                <w:rFonts w:ascii="Courier New" w:cs="Courier New" w:eastAsia="Courier New" w:hAnsi="Courier New"/>
                <w:sz w:val="15"/>
                <w:szCs w:val="15"/>
                <w:color w:val="auto"/>
                <w:w w:val="93"/>
              </w:rPr>
              <w:t>1998:</w:t>
            </w:r>
          </w:p>
        </w:tc>
        <w:tc>
          <w:tcPr>
            <w:tcW w:w="1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9"/>
        </w:trPr>
        <w:tc>
          <w:tcPr>
            <w:tcW w:w="2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Basic and Diluted</w:t>
            </w:r>
          </w:p>
        </w:tc>
        <w:tc>
          <w:tcPr>
            <w:tcW w:w="1620" w:type="dxa"/>
            <w:vAlign w:val="bottom"/>
          </w:tcPr>
          <w:p>
            <w:pPr>
              <w:ind w:left="340"/>
              <w:spacing w:after="0"/>
              <w:rPr>
                <w:sz w:val="20"/>
                <w:szCs w:val="20"/>
                <w:color w:val="auto"/>
              </w:rPr>
            </w:pPr>
            <w:r>
              <w:rPr>
                <w:rFonts w:ascii="Courier New" w:cs="Courier New" w:eastAsia="Courier New" w:hAnsi="Courier New"/>
                <w:sz w:val="15"/>
                <w:szCs w:val="15"/>
                <w:color w:val="auto"/>
              </w:rPr>
              <w:t>($8,625)</w:t>
            </w:r>
          </w:p>
        </w:tc>
        <w:tc>
          <w:tcPr>
            <w:tcW w:w="1860" w:type="dxa"/>
            <w:vAlign w:val="bottom"/>
          </w:tcPr>
          <w:p>
            <w:pPr>
              <w:ind w:left="660"/>
              <w:spacing w:after="0"/>
              <w:rPr>
                <w:sz w:val="20"/>
                <w:szCs w:val="20"/>
                <w:color w:val="auto"/>
              </w:rPr>
            </w:pPr>
            <w:r>
              <w:rPr>
                <w:rFonts w:ascii="Courier New" w:cs="Courier New" w:eastAsia="Courier New" w:hAnsi="Courier New"/>
                <w:sz w:val="15"/>
                <w:szCs w:val="15"/>
                <w:color w:val="auto"/>
              </w:rPr>
              <w:t>30,992</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($0.28)</w:t>
            </w:r>
          </w:p>
        </w:tc>
      </w:tr>
      <w:tr>
        <w:trPr>
          <w:trHeight w:val="339"/>
        </w:trPr>
        <w:tc>
          <w:tcPr>
            <w:tcW w:w="2380" w:type="dxa"/>
            <w:vAlign w:val="bottom"/>
          </w:tcPr>
          <w:p>
            <w:pPr>
              <w:jc w:val="right"/>
              <w:ind w:right="1867"/>
              <w:spacing w:after="0"/>
              <w:rPr>
                <w:sz w:val="20"/>
                <w:szCs w:val="20"/>
                <w:color w:val="auto"/>
              </w:rPr>
            </w:pPr>
            <w:r>
              <w:rPr>
                <w:rFonts w:ascii="Courier New" w:cs="Courier New" w:eastAsia="Courier New" w:hAnsi="Courier New"/>
                <w:sz w:val="15"/>
                <w:szCs w:val="15"/>
                <w:color w:val="auto"/>
                <w:w w:val="93"/>
              </w:rPr>
              <w:t>1997:</w:t>
            </w:r>
          </w:p>
        </w:tc>
        <w:tc>
          <w:tcPr>
            <w:tcW w:w="1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9"/>
        </w:trPr>
        <w:tc>
          <w:tcPr>
            <w:tcW w:w="2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Basic and Diluted</w:t>
            </w:r>
          </w:p>
        </w:tc>
        <w:tc>
          <w:tcPr>
            <w:tcW w:w="1620" w:type="dxa"/>
            <w:vAlign w:val="bottom"/>
          </w:tcPr>
          <w:p>
            <w:pPr>
              <w:ind w:left="340"/>
              <w:spacing w:after="0"/>
              <w:rPr>
                <w:sz w:val="20"/>
                <w:szCs w:val="20"/>
                <w:color w:val="auto"/>
              </w:rPr>
            </w:pPr>
            <w:r>
              <w:rPr>
                <w:rFonts w:ascii="Courier New" w:cs="Courier New" w:eastAsia="Courier New" w:hAnsi="Courier New"/>
                <w:sz w:val="15"/>
                <w:szCs w:val="15"/>
                <w:color w:val="auto"/>
              </w:rPr>
              <w:t>($11,579)</w:t>
            </w:r>
          </w:p>
        </w:tc>
        <w:tc>
          <w:tcPr>
            <w:tcW w:w="1860" w:type="dxa"/>
            <w:vAlign w:val="bottom"/>
          </w:tcPr>
          <w:p>
            <w:pPr>
              <w:ind w:left="660"/>
              <w:spacing w:after="0"/>
              <w:rPr>
                <w:sz w:val="20"/>
                <w:szCs w:val="20"/>
                <w:color w:val="auto"/>
              </w:rPr>
            </w:pPr>
            <w:r>
              <w:rPr>
                <w:rFonts w:ascii="Courier New" w:cs="Courier New" w:eastAsia="Courier New" w:hAnsi="Courier New"/>
                <w:sz w:val="15"/>
                <w:szCs w:val="15"/>
                <w:color w:val="auto"/>
              </w:rPr>
              <w:t>28,702</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($0.40)</w:t>
            </w:r>
          </w:p>
        </w:tc>
      </w:tr>
      <w:tr>
        <w:trPr>
          <w:trHeight w:val="339"/>
        </w:trPr>
        <w:tc>
          <w:tcPr>
            <w:tcW w:w="2380" w:type="dxa"/>
            <w:vAlign w:val="bottom"/>
          </w:tcPr>
          <w:p>
            <w:pPr>
              <w:jc w:val="right"/>
              <w:ind w:right="1867"/>
              <w:spacing w:after="0"/>
              <w:rPr>
                <w:sz w:val="20"/>
                <w:szCs w:val="20"/>
                <w:color w:val="auto"/>
              </w:rPr>
            </w:pPr>
            <w:r>
              <w:rPr>
                <w:rFonts w:ascii="Courier New" w:cs="Courier New" w:eastAsia="Courier New" w:hAnsi="Courier New"/>
                <w:sz w:val="15"/>
                <w:szCs w:val="15"/>
                <w:color w:val="auto"/>
                <w:w w:val="93"/>
              </w:rPr>
              <w:t>1996:</w:t>
            </w:r>
          </w:p>
        </w:tc>
        <w:tc>
          <w:tcPr>
            <w:tcW w:w="1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9"/>
        </w:trPr>
        <w:tc>
          <w:tcPr>
            <w:tcW w:w="2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Basic and Diluted</w:t>
            </w:r>
          </w:p>
        </w:tc>
        <w:tc>
          <w:tcPr>
            <w:tcW w:w="1620" w:type="dxa"/>
            <w:vAlign w:val="bottom"/>
          </w:tcPr>
          <w:p>
            <w:pPr>
              <w:ind w:left="340"/>
              <w:spacing w:after="0"/>
              <w:rPr>
                <w:sz w:val="20"/>
                <w:szCs w:val="20"/>
                <w:color w:val="auto"/>
              </w:rPr>
            </w:pPr>
            <w:r>
              <w:rPr>
                <w:rFonts w:ascii="Courier New" w:cs="Courier New" w:eastAsia="Courier New" w:hAnsi="Courier New"/>
                <w:sz w:val="15"/>
                <w:szCs w:val="15"/>
                <w:color w:val="auto"/>
              </w:rPr>
              <w:t>($32,424)</w:t>
            </w:r>
          </w:p>
        </w:tc>
        <w:tc>
          <w:tcPr>
            <w:tcW w:w="1860" w:type="dxa"/>
            <w:vAlign w:val="bottom"/>
          </w:tcPr>
          <w:p>
            <w:pPr>
              <w:ind w:left="660"/>
              <w:spacing w:after="0"/>
              <w:rPr>
                <w:sz w:val="20"/>
                <w:szCs w:val="20"/>
                <w:color w:val="auto"/>
              </w:rPr>
            </w:pPr>
            <w:r>
              <w:rPr>
                <w:rFonts w:ascii="Courier New" w:cs="Courier New" w:eastAsia="Courier New" w:hAnsi="Courier New"/>
                <w:sz w:val="15"/>
                <w:szCs w:val="15"/>
                <w:color w:val="auto"/>
              </w:rPr>
              <w:t>24,464</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($1.33)</w:t>
            </w:r>
          </w:p>
        </w:tc>
      </w:tr>
    </w:tbl>
    <w:p>
      <w:pPr>
        <w:spacing w:after="0" w:line="5" w:lineRule="exact"/>
        <w:rPr>
          <w:sz w:val="20"/>
          <w:szCs w:val="20"/>
          <w:color w:val="auto"/>
        </w:rPr>
      </w:pPr>
    </w:p>
    <w:p>
      <w:pPr>
        <w:ind w:left="170" w:hanging="170"/>
        <w:spacing w:after="0"/>
        <w:tabs>
          <w:tab w:leader="none" w:pos="17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344" w:lineRule="exact"/>
        <w:rPr>
          <w:rFonts w:ascii="Courier New" w:cs="Courier New" w:eastAsia="Courier New" w:hAnsi="Courier New"/>
          <w:sz w:val="14"/>
          <w:szCs w:val="14"/>
          <w:color w:val="auto"/>
        </w:rPr>
      </w:pPr>
    </w:p>
    <w:p>
      <w:pPr>
        <w:ind w:left="33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F-19</w:t>
      </w:r>
    </w:p>
    <w:p>
      <w:pPr>
        <w:sectPr>
          <w:pgSz w:w="11900" w:h="16838" w:orient="portrait"/>
          <w:cols w:equalWidth="0" w:num="1">
            <w:col w:w="10229"/>
          </w:cols>
          <w:pgMar w:left="230" w:top="622" w:right="1440" w:bottom="1440" w:gutter="0" w:footer="0" w:header="0"/>
        </w:sectPr>
      </w:pPr>
    </w:p>
    <w:bookmarkStart w:id="58" w:name="page59"/>
    <w:bookmarkEnd w:id="58"/>
    <w:p>
      <w:pPr>
        <w:jc w:val="center"/>
        <w:ind w:right="3870"/>
        <w:spacing w:after="0"/>
        <w:rPr>
          <w:sz w:val="20"/>
          <w:szCs w:val="20"/>
          <w:color w:val="auto"/>
        </w:rPr>
      </w:pPr>
      <w:r>
        <w:rPr>
          <w:rFonts w:ascii="Courier New" w:cs="Courier New" w:eastAsia="Courier New" w:hAnsi="Courier New"/>
          <w:sz w:val="15"/>
          <w:szCs w:val="15"/>
          <w:color w:val="auto"/>
        </w:rPr>
        <w:t>REGENERON PHARMACEUTICALS, INC.</w:t>
      </w:r>
    </w:p>
    <w:p>
      <w:pPr>
        <w:jc w:val="center"/>
        <w:ind w:right="3870"/>
        <w:spacing w:after="0"/>
        <w:rPr>
          <w:sz w:val="20"/>
          <w:szCs w:val="20"/>
          <w:color w:val="auto"/>
        </w:rPr>
      </w:pPr>
      <w:r>
        <w:rPr>
          <w:rFonts w:ascii="Courier New" w:cs="Courier New" w:eastAsia="Courier New" w:hAnsi="Courier New"/>
          <w:sz w:val="15"/>
          <w:szCs w:val="15"/>
          <w:color w:val="auto"/>
        </w:rPr>
        <w:t>NOTES TO FINANCIAL STATEMENTS (Continued)</w:t>
      </w:r>
    </w:p>
    <w:p>
      <w:pPr>
        <w:jc w:val="center"/>
        <w:ind w:right="3870"/>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343" w:lineRule="exact"/>
        <w:rPr>
          <w:sz w:val="20"/>
          <w:szCs w:val="20"/>
          <w:color w:val="auto"/>
        </w:rPr>
      </w:pPr>
    </w:p>
    <w:p>
      <w:pPr>
        <w:ind w:left="10" w:right="4500"/>
        <w:spacing w:after="0" w:line="237" w:lineRule="auto"/>
        <w:rPr>
          <w:sz w:val="20"/>
          <w:szCs w:val="20"/>
          <w:color w:val="auto"/>
        </w:rPr>
      </w:pPr>
      <w:r>
        <w:rPr>
          <w:rFonts w:ascii="Courier New" w:cs="Courier New" w:eastAsia="Courier New" w:hAnsi="Courier New"/>
          <w:sz w:val="15"/>
          <w:szCs w:val="15"/>
          <w:color w:val="auto"/>
        </w:rPr>
        <w:t>Options and warrants which have been excluded from the diluted per share amounts because their effect would have been antidilutive include the following: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70" w:hanging="170"/>
        <w:spacing w:after="0"/>
        <w:tabs>
          <w:tab w:leader="none" w:pos="17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5" w:lineRule="exact"/>
        <w:rPr>
          <w:rFonts w:ascii="Courier New" w:cs="Courier New" w:eastAsia="Courier New" w:hAnsi="Courier New"/>
          <w:sz w:val="14"/>
          <w:szCs w:val="14"/>
          <w:color w:val="auto"/>
        </w:rPr>
      </w:pPr>
    </w:p>
    <w:p>
      <w:pPr>
        <w:ind w:left="38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19981997</w:t>
      </w:r>
      <w:r>
        <w:rPr>
          <w:rFonts w:ascii="Courier New" w:cs="Courier New" w:eastAsia="Courier New" w:hAnsi="Courier New"/>
          <w:sz w:val="14"/>
          <w:szCs w:val="14"/>
          <w:color w:val="auto"/>
        </w:rPr>
        <w:t>1996</w:t>
      </w:r>
    </w:p>
    <w:tbl>
      <w:tblPr>
        <w:tblLayout w:type="fixed"/>
        <w:tblInd w:w="10" w:type="dxa"/>
        <w:tblCellMar>
          <w:top w:w="0" w:type="dxa"/>
          <w:left w:w="0" w:type="dxa"/>
          <w:bottom w:w="0" w:type="dxa"/>
          <w:right w:w="0" w:type="dxa"/>
        </w:tblCellMar>
      </w:tblPr>
      <w:tr>
        <w:trPr>
          <w:trHeight w:val="169"/>
        </w:trPr>
        <w:tc>
          <w:tcPr>
            <w:tcW w:w="2320" w:type="dxa"/>
            <w:vAlign w:val="bottom"/>
          </w:tcPr>
          <w:p>
            <w:pPr>
              <w:spacing w:after="0"/>
              <w:rPr>
                <w:sz w:val="14"/>
                <w:szCs w:val="14"/>
                <w:color w:val="auto"/>
              </w:rPr>
            </w:pPr>
          </w:p>
        </w:tc>
        <w:tc>
          <w:tcPr>
            <w:tcW w:w="8340" w:type="dxa"/>
            <w:vAlign w:val="bottom"/>
            <w:gridSpan w:val="6"/>
          </w:tcPr>
          <w:p>
            <w:pPr>
              <w:ind w:left="22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Weighted</w:t>
            </w:r>
          </w:p>
        </w:tc>
        <w:tc>
          <w:tcPr>
            <w:tcW w:w="1140" w:type="dxa"/>
            <w:vAlign w:val="bottom"/>
          </w:tcPr>
          <w:p>
            <w:pPr>
              <w:spacing w:after="0"/>
              <w:rPr>
                <w:sz w:val="14"/>
                <w:szCs w:val="14"/>
                <w:color w:val="auto"/>
              </w:rPr>
            </w:pPr>
          </w:p>
        </w:tc>
        <w:tc>
          <w:tcPr>
            <w:tcW w:w="15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Weighted</w:t>
            </w:r>
          </w:p>
        </w:tc>
        <w:tc>
          <w:tcPr>
            <w:tcW w:w="11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9"/>
              </w:rPr>
              <w:t>Weighted</w:t>
            </w:r>
          </w:p>
        </w:tc>
      </w:tr>
      <w:tr>
        <w:trPr>
          <w:trHeight w:val="170"/>
        </w:trPr>
        <w:tc>
          <w:tcPr>
            <w:tcW w:w="2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0" w:type="dxa"/>
            <w:vAlign w:val="bottom"/>
          </w:tcPr>
          <w:p>
            <w:pPr>
              <w:ind w:left="400"/>
              <w:spacing w:after="0"/>
              <w:rPr>
                <w:sz w:val="20"/>
                <w:szCs w:val="20"/>
                <w:color w:val="auto"/>
              </w:rPr>
            </w:pPr>
            <w:r>
              <w:rPr>
                <w:rFonts w:ascii="Courier New" w:cs="Courier New" w:eastAsia="Courier New" w:hAnsi="Courier New"/>
                <w:sz w:val="15"/>
                <w:szCs w:val="15"/>
                <w:color w:val="auto"/>
              </w:rPr>
              <w:t>Average</w:t>
            </w:r>
          </w:p>
        </w:tc>
        <w:tc>
          <w:tcPr>
            <w:tcW w:w="1140" w:type="dxa"/>
            <w:vAlign w:val="bottom"/>
          </w:tcPr>
          <w:p>
            <w:pPr>
              <w:spacing w:after="0"/>
              <w:rPr>
                <w:sz w:val="14"/>
                <w:szCs w:val="14"/>
                <w:color w:val="auto"/>
              </w:rPr>
            </w:pPr>
          </w:p>
        </w:tc>
        <w:tc>
          <w:tcPr>
            <w:tcW w:w="1580" w:type="dxa"/>
            <w:vAlign w:val="bottom"/>
          </w:tcPr>
          <w:p>
            <w:pPr>
              <w:ind w:left="400"/>
              <w:spacing w:after="0"/>
              <w:rPr>
                <w:sz w:val="20"/>
                <w:szCs w:val="20"/>
                <w:color w:val="auto"/>
              </w:rPr>
            </w:pPr>
            <w:r>
              <w:rPr>
                <w:rFonts w:ascii="Courier New" w:cs="Courier New" w:eastAsia="Courier New" w:hAnsi="Courier New"/>
                <w:sz w:val="15"/>
                <w:szCs w:val="15"/>
                <w:color w:val="auto"/>
              </w:rPr>
              <w:t>Average</w:t>
            </w:r>
          </w:p>
        </w:tc>
        <w:tc>
          <w:tcPr>
            <w:tcW w:w="1160" w:type="dxa"/>
            <w:vAlign w:val="bottom"/>
          </w:tcPr>
          <w:p>
            <w:pPr>
              <w:spacing w:after="0"/>
              <w:rPr>
                <w:sz w:val="14"/>
                <w:szCs w:val="14"/>
                <w:color w:val="auto"/>
              </w:rPr>
            </w:pPr>
          </w:p>
        </w:tc>
        <w:tc>
          <w:tcPr>
            <w:tcW w:w="1540" w:type="dxa"/>
            <w:vAlign w:val="bottom"/>
          </w:tcPr>
          <w:p>
            <w:pPr>
              <w:ind w:left="380"/>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2320" w:type="dxa"/>
            <w:vAlign w:val="bottom"/>
          </w:tcPr>
          <w:p>
            <w:pPr>
              <w:spacing w:after="0"/>
              <w:rPr>
                <w:sz w:val="14"/>
                <w:szCs w:val="14"/>
                <w:color w:val="auto"/>
              </w:rPr>
            </w:pPr>
          </w:p>
        </w:tc>
        <w:tc>
          <w:tcPr>
            <w:tcW w:w="1320" w:type="dxa"/>
            <w:vAlign w:val="bottom"/>
          </w:tcPr>
          <w:p>
            <w:pPr>
              <w:ind w:left="400"/>
              <w:spacing w:after="0"/>
              <w:rPr>
                <w:sz w:val="20"/>
                <w:szCs w:val="20"/>
                <w:color w:val="auto"/>
              </w:rPr>
            </w:pPr>
            <w:r>
              <w:rPr>
                <w:rFonts w:ascii="Courier New" w:cs="Courier New" w:eastAsia="Courier New" w:hAnsi="Courier New"/>
                <w:sz w:val="15"/>
                <w:szCs w:val="15"/>
                <w:color w:val="auto"/>
              </w:rPr>
              <w:t>Number</w:t>
            </w:r>
          </w:p>
        </w:tc>
        <w:tc>
          <w:tcPr>
            <w:tcW w:w="16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Exercise Price</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Number</w:t>
            </w:r>
          </w:p>
        </w:tc>
        <w:tc>
          <w:tcPr>
            <w:tcW w:w="15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Exercise Price</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Number</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8"/>
              </w:rPr>
              <w:t>Exercise Price</w:t>
            </w:r>
          </w:p>
        </w:tc>
      </w:tr>
      <w:tr>
        <w:trPr>
          <w:trHeight w:val="170"/>
        </w:trPr>
        <w:tc>
          <w:tcPr>
            <w:tcW w:w="2320" w:type="dxa"/>
            <w:vAlign w:val="bottom"/>
          </w:tcPr>
          <w:p>
            <w:pPr>
              <w:spacing w:after="0"/>
              <w:rPr>
                <w:sz w:val="14"/>
                <w:szCs w:val="14"/>
                <w:color w:val="auto"/>
              </w:rPr>
            </w:pPr>
          </w:p>
        </w:tc>
        <w:tc>
          <w:tcPr>
            <w:tcW w:w="13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r>
      <w:tr>
        <w:trPr>
          <w:trHeight w:val="509"/>
        </w:trPr>
        <w:tc>
          <w:tcPr>
            <w:tcW w:w="2320" w:type="dxa"/>
            <w:vAlign w:val="bottom"/>
          </w:tcPr>
          <w:p>
            <w:pPr>
              <w:spacing w:after="0"/>
              <w:rPr>
                <w:sz w:val="20"/>
                <w:szCs w:val="20"/>
                <w:color w:val="auto"/>
              </w:rPr>
            </w:pPr>
            <w:r>
              <w:rPr>
                <w:rFonts w:ascii="Courier New" w:cs="Courier New" w:eastAsia="Courier New" w:hAnsi="Courier New"/>
                <w:sz w:val="15"/>
                <w:szCs w:val="15"/>
                <w:color w:val="auto"/>
              </w:rPr>
              <w:t>Options and warrants</w:t>
            </w:r>
          </w:p>
        </w:tc>
        <w:tc>
          <w:tcPr>
            <w:tcW w:w="1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with exercise prices</w:t>
            </w:r>
          </w:p>
        </w:tc>
        <w:tc>
          <w:tcPr>
            <w:tcW w:w="1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below the average fair</w:t>
            </w:r>
          </w:p>
        </w:tc>
        <w:tc>
          <w:tcPr>
            <w:tcW w:w="1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market value of the</w:t>
            </w:r>
          </w:p>
        </w:tc>
        <w:tc>
          <w:tcPr>
            <w:tcW w:w="1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Company's common</w:t>
            </w:r>
          </w:p>
        </w:tc>
        <w:tc>
          <w:tcPr>
            <w:tcW w:w="1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stock for the respective</w:t>
            </w:r>
          </w:p>
        </w:tc>
        <w:tc>
          <w:tcPr>
            <w:tcW w:w="1320" w:type="dxa"/>
            <w:vAlign w:val="bottom"/>
          </w:tcPr>
          <w:p>
            <w:pPr>
              <w:ind w:left="400"/>
              <w:spacing w:after="0"/>
              <w:rPr>
                <w:sz w:val="20"/>
                <w:szCs w:val="20"/>
                <w:color w:val="auto"/>
              </w:rPr>
            </w:pPr>
            <w:r>
              <w:rPr>
                <w:rFonts w:ascii="Courier New" w:cs="Courier New" w:eastAsia="Courier New" w:hAnsi="Courier New"/>
                <w:sz w:val="15"/>
                <w:szCs w:val="15"/>
                <w:color w:val="auto"/>
              </w:rPr>
              <w:t>1,995,674</w:t>
            </w:r>
          </w:p>
        </w:tc>
        <w:tc>
          <w:tcPr>
            <w:tcW w:w="1600" w:type="dxa"/>
            <w:vAlign w:val="bottom"/>
          </w:tcPr>
          <w:p>
            <w:pPr>
              <w:ind w:left="500"/>
              <w:spacing w:after="0"/>
              <w:rPr>
                <w:sz w:val="20"/>
                <w:szCs w:val="20"/>
                <w:color w:val="auto"/>
              </w:rPr>
            </w:pPr>
            <w:r>
              <w:rPr>
                <w:rFonts w:ascii="Courier New" w:cs="Courier New" w:eastAsia="Courier New" w:hAnsi="Courier New"/>
                <w:sz w:val="15"/>
                <w:szCs w:val="15"/>
                <w:color w:val="auto"/>
              </w:rPr>
              <w:t>$4.91</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3,737,724</w:t>
            </w:r>
          </w:p>
        </w:tc>
        <w:tc>
          <w:tcPr>
            <w:tcW w:w="1580" w:type="dxa"/>
            <w:vAlign w:val="bottom"/>
          </w:tcPr>
          <w:p>
            <w:pPr>
              <w:ind w:left="480"/>
              <w:spacing w:after="0"/>
              <w:rPr>
                <w:sz w:val="20"/>
                <w:szCs w:val="20"/>
                <w:color w:val="auto"/>
              </w:rPr>
            </w:pPr>
            <w:r>
              <w:rPr>
                <w:rFonts w:ascii="Courier New" w:cs="Courier New" w:eastAsia="Courier New" w:hAnsi="Courier New"/>
                <w:sz w:val="15"/>
                <w:szCs w:val="15"/>
                <w:color w:val="auto"/>
              </w:rPr>
              <w:t>$7.17</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3,531,585</w:t>
            </w:r>
          </w:p>
        </w:tc>
        <w:tc>
          <w:tcPr>
            <w:tcW w:w="1540" w:type="dxa"/>
            <w:vAlign w:val="bottom"/>
          </w:tcPr>
          <w:p>
            <w:pPr>
              <w:ind w:left="480"/>
              <w:spacing w:after="0"/>
              <w:rPr>
                <w:sz w:val="20"/>
                <w:szCs w:val="20"/>
                <w:color w:val="auto"/>
              </w:rPr>
            </w:pPr>
            <w:r>
              <w:rPr>
                <w:rFonts w:ascii="Courier New" w:cs="Courier New" w:eastAsia="Courier New" w:hAnsi="Courier New"/>
                <w:sz w:val="15"/>
                <w:szCs w:val="15"/>
                <w:color w:val="auto"/>
              </w:rPr>
              <w:t>$8.78</w:t>
            </w: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678"/>
        </w:trPr>
        <w:tc>
          <w:tcPr>
            <w:tcW w:w="2320" w:type="dxa"/>
            <w:vAlign w:val="bottom"/>
          </w:tcPr>
          <w:p>
            <w:pPr>
              <w:spacing w:after="0"/>
              <w:rPr>
                <w:sz w:val="20"/>
                <w:szCs w:val="20"/>
                <w:color w:val="auto"/>
              </w:rPr>
            </w:pPr>
            <w:r>
              <w:rPr>
                <w:rFonts w:ascii="Courier New" w:cs="Courier New" w:eastAsia="Courier New" w:hAnsi="Courier New"/>
                <w:sz w:val="15"/>
                <w:szCs w:val="15"/>
                <w:color w:val="auto"/>
              </w:rPr>
              <w:t>Options and warrants</w:t>
            </w:r>
          </w:p>
        </w:tc>
        <w:tc>
          <w:tcPr>
            <w:tcW w:w="1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with exercise prices</w:t>
            </w:r>
          </w:p>
        </w:tc>
        <w:tc>
          <w:tcPr>
            <w:tcW w:w="1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above the average fair</w:t>
            </w:r>
          </w:p>
        </w:tc>
        <w:tc>
          <w:tcPr>
            <w:tcW w:w="1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market value of the</w:t>
            </w:r>
          </w:p>
        </w:tc>
        <w:tc>
          <w:tcPr>
            <w:tcW w:w="1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Company's common</w:t>
            </w:r>
          </w:p>
        </w:tc>
        <w:tc>
          <w:tcPr>
            <w:tcW w:w="1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stock for the respective</w:t>
            </w:r>
          </w:p>
        </w:tc>
        <w:tc>
          <w:tcPr>
            <w:tcW w:w="1320" w:type="dxa"/>
            <w:vAlign w:val="bottom"/>
          </w:tcPr>
          <w:p>
            <w:pPr>
              <w:ind w:left="400"/>
              <w:spacing w:after="0"/>
              <w:rPr>
                <w:sz w:val="20"/>
                <w:szCs w:val="20"/>
                <w:color w:val="auto"/>
              </w:rPr>
            </w:pPr>
            <w:r>
              <w:rPr>
                <w:rFonts w:ascii="Courier New" w:cs="Courier New" w:eastAsia="Courier New" w:hAnsi="Courier New"/>
                <w:sz w:val="15"/>
                <w:szCs w:val="15"/>
                <w:color w:val="auto"/>
              </w:rPr>
              <w:t>4,433,351</w:t>
            </w:r>
          </w:p>
        </w:tc>
        <w:tc>
          <w:tcPr>
            <w:tcW w:w="1600" w:type="dxa"/>
            <w:vAlign w:val="bottom"/>
          </w:tcPr>
          <w:p>
            <w:pPr>
              <w:ind w:left="500"/>
              <w:spacing w:after="0"/>
              <w:rPr>
                <w:sz w:val="20"/>
                <w:szCs w:val="20"/>
                <w:color w:val="auto"/>
              </w:rPr>
            </w:pPr>
            <w:r>
              <w:rPr>
                <w:rFonts w:ascii="Courier New" w:cs="Courier New" w:eastAsia="Courier New" w:hAnsi="Courier New"/>
                <w:sz w:val="15"/>
                <w:szCs w:val="15"/>
                <w:color w:val="auto"/>
              </w:rPr>
              <w:t>$11.67</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2,136,112</w:t>
            </w:r>
          </w:p>
        </w:tc>
        <w:tc>
          <w:tcPr>
            <w:tcW w:w="1580" w:type="dxa"/>
            <w:vAlign w:val="bottom"/>
          </w:tcPr>
          <w:p>
            <w:pPr>
              <w:ind w:left="480"/>
              <w:spacing w:after="0"/>
              <w:rPr>
                <w:sz w:val="20"/>
                <w:szCs w:val="20"/>
                <w:color w:val="auto"/>
              </w:rPr>
            </w:pPr>
            <w:r>
              <w:rPr>
                <w:rFonts w:ascii="Courier New" w:cs="Courier New" w:eastAsia="Courier New" w:hAnsi="Courier New"/>
                <w:sz w:val="15"/>
                <w:szCs w:val="15"/>
                <w:color w:val="auto"/>
              </w:rPr>
              <w:t>$14.04</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203,682</w:t>
            </w:r>
          </w:p>
        </w:tc>
        <w:tc>
          <w:tcPr>
            <w:tcW w:w="1540" w:type="dxa"/>
            <w:vAlign w:val="bottom"/>
          </w:tcPr>
          <w:p>
            <w:pPr>
              <w:ind w:left="480"/>
              <w:spacing w:after="0"/>
              <w:rPr>
                <w:sz w:val="20"/>
                <w:szCs w:val="20"/>
                <w:color w:val="auto"/>
              </w:rPr>
            </w:pPr>
            <w:r>
              <w:rPr>
                <w:rFonts w:ascii="Courier New" w:cs="Courier New" w:eastAsia="Courier New" w:hAnsi="Courier New"/>
                <w:sz w:val="15"/>
                <w:szCs w:val="15"/>
                <w:color w:val="auto"/>
              </w:rPr>
              <w:t>$19.85</w:t>
            </w: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3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4"/>
                <w:szCs w:val="14"/>
                <w:color w:val="auto"/>
              </w:rPr>
            </w:pPr>
          </w:p>
        </w:tc>
      </w:tr>
      <w:tr>
        <w:trPr>
          <w:trHeight w:val="170"/>
        </w:trPr>
        <w:tc>
          <w:tcPr>
            <w:tcW w:w="2320" w:type="dxa"/>
            <w:vAlign w:val="bottom"/>
          </w:tcPr>
          <w:p>
            <w:pPr>
              <w:spacing w:after="0"/>
              <w:rPr>
                <w:sz w:val="14"/>
                <w:szCs w:val="14"/>
                <w:color w:val="auto"/>
              </w:rPr>
            </w:pPr>
          </w:p>
        </w:tc>
        <w:tc>
          <w:tcPr>
            <w:tcW w:w="1320" w:type="dxa"/>
            <w:vAlign w:val="bottom"/>
          </w:tcPr>
          <w:p>
            <w:pPr>
              <w:ind w:left="400"/>
              <w:spacing w:after="0"/>
              <w:rPr>
                <w:sz w:val="20"/>
                <w:szCs w:val="20"/>
                <w:color w:val="auto"/>
              </w:rPr>
            </w:pPr>
            <w:r>
              <w:rPr>
                <w:rFonts w:ascii="Courier New" w:cs="Courier New" w:eastAsia="Courier New" w:hAnsi="Courier New"/>
                <w:sz w:val="15"/>
                <w:szCs w:val="15"/>
                <w:color w:val="auto"/>
              </w:rPr>
              <w:t>6,429,025</w:t>
            </w:r>
          </w:p>
        </w:tc>
        <w:tc>
          <w:tcPr>
            <w:tcW w:w="160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5,873,836</w:t>
            </w:r>
          </w:p>
        </w:tc>
        <w:tc>
          <w:tcPr>
            <w:tcW w:w="1580" w:type="dxa"/>
            <w:vAlign w:val="bottom"/>
          </w:tcPr>
          <w:p>
            <w:pPr>
              <w:spacing w:after="0"/>
              <w:rPr>
                <w:sz w:val="14"/>
                <w:szCs w:val="14"/>
                <w:color w:val="auto"/>
              </w:rPr>
            </w:pP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3,735,267</w:t>
            </w:r>
          </w:p>
        </w:tc>
        <w:tc>
          <w:tcPr>
            <w:tcW w:w="1540" w:type="dxa"/>
            <w:vAlign w:val="bottom"/>
          </w:tcPr>
          <w:p>
            <w:pPr>
              <w:spacing w:after="0"/>
              <w:rPr>
                <w:sz w:val="14"/>
                <w:szCs w:val="14"/>
                <w:color w:val="auto"/>
              </w:rPr>
            </w:pPr>
          </w:p>
        </w:tc>
      </w:tr>
      <w:tr>
        <w:trPr>
          <w:trHeight w:val="170"/>
        </w:trPr>
        <w:tc>
          <w:tcPr>
            <w:tcW w:w="2320" w:type="dxa"/>
            <w:vAlign w:val="bottom"/>
          </w:tcPr>
          <w:p>
            <w:pPr>
              <w:spacing w:after="0"/>
              <w:rPr>
                <w:sz w:val="14"/>
                <w:szCs w:val="14"/>
                <w:color w:val="auto"/>
              </w:rPr>
            </w:pPr>
          </w:p>
        </w:tc>
        <w:tc>
          <w:tcPr>
            <w:tcW w:w="13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4"/>
                <w:szCs w:val="14"/>
                <w:color w:val="auto"/>
              </w:rPr>
            </w:pPr>
          </w:p>
        </w:tc>
      </w:tr>
    </w:tbl>
    <w:p>
      <w:pPr>
        <w:spacing w:after="0" w:line="5" w:lineRule="exact"/>
        <w:rPr>
          <w:sz w:val="20"/>
          <w:szCs w:val="20"/>
          <w:color w:val="auto"/>
        </w:rPr>
      </w:pPr>
    </w:p>
    <w:p>
      <w:pPr>
        <w:ind w:left="170" w:hanging="170"/>
        <w:spacing w:after="0"/>
        <w:tabs>
          <w:tab w:leader="none" w:pos="17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83" w:lineRule="exact"/>
        <w:rPr>
          <w:rFonts w:ascii="Courier New" w:cs="Courier New" w:eastAsia="Courier New" w:hAnsi="Courier New"/>
          <w:sz w:val="14"/>
          <w:szCs w:val="14"/>
          <w:color w:val="auto"/>
        </w:rPr>
      </w:pPr>
    </w:p>
    <w:p>
      <w:pPr>
        <w:ind w:left="33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F-20</w:t>
      </w:r>
    </w:p>
    <w:p>
      <w:pPr>
        <w:sectPr>
          <w:pgSz w:w="11900" w:h="16838" w:orient="portrait"/>
          <w:cols w:equalWidth="0" w:num="1">
            <w:col w:w="10850"/>
          </w:cols>
          <w:pgMar w:left="230" w:top="791" w:right="819" w:bottom="1440" w:gutter="0" w:footer="0" w:header="0"/>
        </w:sectPr>
      </w:pPr>
    </w:p>
    <w:bookmarkStart w:id="59" w:name="page60"/>
    <w:bookmarkEnd w:id="59"/>
    <w:p>
      <w:pPr>
        <w:jc w:val="center"/>
        <w:ind w:right="4379"/>
        <w:spacing w:after="0"/>
        <w:rPr>
          <w:sz w:val="20"/>
          <w:szCs w:val="20"/>
          <w:color w:val="auto"/>
        </w:rPr>
      </w:pPr>
      <w:r>
        <w:rPr>
          <w:rFonts w:ascii="Courier New" w:cs="Courier New" w:eastAsia="Courier New" w:hAnsi="Courier New"/>
          <w:sz w:val="15"/>
          <w:szCs w:val="15"/>
          <w:color w:val="auto"/>
        </w:rPr>
        <w:t>AMGEN-REGENERON PARTNERS</w:t>
      </w:r>
    </w:p>
    <w:p>
      <w:pPr>
        <w:spacing w:after="0" w:line="169"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5"/>
          <w:szCs w:val="15"/>
          <w:color w:val="auto"/>
        </w:rPr>
        <w:t>FINANCIAL STATEMENTS</w:t>
      </w:r>
    </w:p>
    <w:p>
      <w:pPr>
        <w:spacing w:after="0" w:line="169"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5"/>
          <w:szCs w:val="15"/>
          <w:color w:val="auto"/>
        </w:rPr>
        <w:t>Year ended December 31, 1998</w:t>
      </w:r>
    </w:p>
    <w:p>
      <w:pPr>
        <w:jc w:val="center"/>
        <w:ind w:right="4379"/>
        <w:spacing w:after="0"/>
        <w:rPr>
          <w:sz w:val="20"/>
          <w:szCs w:val="20"/>
          <w:color w:val="auto"/>
        </w:rPr>
      </w:pPr>
      <w:r>
        <w:rPr>
          <w:rFonts w:ascii="Courier New" w:cs="Courier New" w:eastAsia="Courier New" w:hAnsi="Courier New"/>
          <w:sz w:val="15"/>
          <w:szCs w:val="15"/>
          <w:color w:val="auto"/>
        </w:rPr>
        <w:t>with</w:t>
      </w:r>
    </w:p>
    <w:p>
      <w:pPr>
        <w:spacing w:after="0" w:line="5"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4"/>
          <w:szCs w:val="14"/>
          <w:color w:val="auto"/>
        </w:rPr>
        <w:t>Report of Independent Auditors</w:t>
      </w:r>
    </w:p>
    <w:p>
      <w:pPr>
        <w:spacing w:after="0" w:line="200" w:lineRule="exact"/>
        <w:rPr>
          <w:sz w:val="20"/>
          <w:szCs w:val="20"/>
          <w:color w:val="auto"/>
        </w:rPr>
      </w:pPr>
    </w:p>
    <w:p>
      <w:pPr>
        <w:spacing w:after="0" w:line="31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9019"/>
          </w:cols>
          <w:pgMar w:left="1440" w:top="1130" w:right="1440" w:bottom="1440" w:gutter="0" w:footer="0" w:header="0"/>
        </w:sectPr>
      </w:pPr>
    </w:p>
    <w:bookmarkStart w:id="60" w:name="page61"/>
    <w:bookmarkEnd w:id="60"/>
    <w:p>
      <w:pPr>
        <w:ind w:left="1400"/>
        <w:spacing w:after="0"/>
        <w:rPr>
          <w:sz w:val="20"/>
          <w:szCs w:val="20"/>
          <w:color w:val="auto"/>
        </w:rPr>
      </w:pPr>
      <w:r>
        <w:rPr>
          <w:rFonts w:ascii="Courier New" w:cs="Courier New" w:eastAsia="Courier New" w:hAnsi="Courier New"/>
          <w:sz w:val="15"/>
          <w:szCs w:val="15"/>
          <w:color w:val="auto"/>
        </w:rPr>
        <w:t>REPORT OF ERNST &amp; YOUNG LLP, INDEPENDENT AUDITORS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Partners</w:t>
      </w:r>
    </w:p>
    <w:p>
      <w:pPr>
        <w:spacing w:after="0"/>
        <w:rPr>
          <w:sz w:val="20"/>
          <w:szCs w:val="20"/>
          <w:color w:val="auto"/>
        </w:rPr>
      </w:pPr>
      <w:r>
        <w:rPr>
          <w:rFonts w:ascii="Courier New" w:cs="Courier New" w:eastAsia="Courier New" w:hAnsi="Courier New"/>
          <w:sz w:val="15"/>
          <w:szCs w:val="15"/>
          <w:color w:val="auto"/>
        </w:rPr>
        <w:t>Amgen-Regeneron Partners</w:t>
      </w:r>
    </w:p>
    <w:p>
      <w:pPr>
        <w:spacing w:after="0" w:line="17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We have audited the accompanying balance sheets of Amgen-Regeneron Partners, a Delaware general partnership, as of December 31, 1998 and 1997, and the related statements of operations, changes in partners' capital, and cash flows for each of the three years in the period ended December 31, 1998. These financial statements are the responsibility of the Partnership's management. Our responsibility is to express an opinion on these financial statements based on our audits.</w:t>
      </w:r>
    </w:p>
    <w:p>
      <w:pPr>
        <w:spacing w:after="0" w:line="177"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Amgen-Regeneron Partners at December 31, 1998 and 1997, and the results of its operations and its cash flows for each of the three years in the period ended December 31, 1998, in conformity with generally accepted accounting principles.</w:t>
      </w:r>
    </w:p>
    <w:p>
      <w:pPr>
        <w:spacing w:after="0" w:line="173"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5"/>
          <w:szCs w:val="15"/>
          <w:color w:val="auto"/>
        </w:rPr>
        <w:t>ERNST &amp; YOUNG LLP</w:t>
      </w:r>
    </w:p>
    <w:p>
      <w:pPr>
        <w:spacing w:after="0"/>
        <w:rPr>
          <w:sz w:val="20"/>
          <w:szCs w:val="20"/>
          <w:color w:val="auto"/>
        </w:rPr>
      </w:pPr>
      <w:r>
        <w:rPr>
          <w:rFonts w:ascii="Courier New" w:cs="Courier New" w:eastAsia="Courier New" w:hAnsi="Courier New"/>
          <w:sz w:val="15"/>
          <w:szCs w:val="15"/>
          <w:color w:val="auto"/>
        </w:rPr>
        <w:t>Los Angeles, California</w:t>
      </w:r>
    </w:p>
    <w:p>
      <w:pPr>
        <w:spacing w:after="0"/>
        <w:rPr>
          <w:sz w:val="20"/>
          <w:szCs w:val="20"/>
          <w:color w:val="auto"/>
        </w:rPr>
      </w:pPr>
      <w:r>
        <w:rPr>
          <w:rFonts w:ascii="Courier New" w:cs="Courier New" w:eastAsia="Courier New" w:hAnsi="Courier New"/>
          <w:sz w:val="15"/>
          <w:szCs w:val="15"/>
          <w:color w:val="auto"/>
        </w:rPr>
        <w:t>February 5, 1999</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19"/>
          </w:cols>
          <w:pgMar w:left="240" w:top="622" w:right="1440" w:bottom="1440" w:gutter="0" w:footer="0" w:header="0"/>
        </w:sectPr>
      </w:pPr>
    </w:p>
    <w:bookmarkStart w:id="61" w:name="page62"/>
    <w:bookmarkEnd w:id="61"/>
    <w:p>
      <w:pPr>
        <w:jc w:val="center"/>
        <w:ind w:right="3179"/>
        <w:spacing w:after="0"/>
        <w:rPr>
          <w:sz w:val="20"/>
          <w:szCs w:val="20"/>
          <w:color w:val="auto"/>
        </w:rPr>
      </w:pPr>
      <w:r>
        <w:rPr>
          <w:rFonts w:ascii="Courier New" w:cs="Courier New" w:eastAsia="Courier New" w:hAnsi="Courier New"/>
          <w:sz w:val="15"/>
          <w:szCs w:val="15"/>
          <w:color w:val="auto"/>
        </w:rPr>
        <w:t>AMGEN-REGENERON PARTNERS</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BALANCE SHEETS</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December 31, 1998 and 1997</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4"/>
              </w:rPr>
              <w:t>1998</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5720" w:type="dxa"/>
            <w:vAlign w:val="bottom"/>
          </w:tcPr>
          <w:p>
            <w:pPr>
              <w:spacing w:after="0"/>
              <w:rPr>
                <w:sz w:val="14"/>
                <w:szCs w:val="14"/>
                <w:color w:val="auto"/>
              </w:rPr>
            </w:pPr>
          </w:p>
        </w:tc>
        <w:tc>
          <w:tcPr>
            <w:tcW w:w="11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jc w:val="right"/>
              <w:ind w:right="2047"/>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509"/>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Total current assets - cash and cash equivalents ...............</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9,961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$ 2,552</w:t>
            </w:r>
          </w:p>
        </w:tc>
      </w:tr>
      <w:tr>
        <w:trPr>
          <w:trHeight w:val="170"/>
        </w:trPr>
        <w:tc>
          <w:tcPr>
            <w:tcW w:w="5720" w:type="dxa"/>
            <w:vAlign w:val="bottom"/>
          </w:tcPr>
          <w:p>
            <w:pPr>
              <w:spacing w:after="0"/>
              <w:rPr>
                <w:sz w:val="14"/>
                <w:szCs w:val="14"/>
                <w:color w:val="auto"/>
              </w:rPr>
            </w:pPr>
          </w:p>
        </w:tc>
        <w:tc>
          <w:tcPr>
            <w:tcW w:w="11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5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LIABILITIES AND PARTNERS' CAPITAL</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9"/>
        </w:trPr>
        <w:tc>
          <w:tcPr>
            <w:tcW w:w="5720" w:type="dxa"/>
            <w:vAlign w:val="bottom"/>
          </w:tcPr>
          <w:p>
            <w:pPr>
              <w:spacing w:after="0"/>
              <w:rPr>
                <w:sz w:val="20"/>
                <w:szCs w:val="20"/>
                <w:color w:val="auto"/>
              </w:rPr>
            </w:pPr>
            <w:r>
              <w:rPr>
                <w:rFonts w:ascii="Courier New" w:cs="Courier New" w:eastAsia="Courier New" w:hAnsi="Courier New"/>
                <w:sz w:val="15"/>
                <w:szCs w:val="15"/>
                <w:color w:val="auto"/>
              </w:rPr>
              <w:t>Total current liabilities - accounts payable and accrued</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5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expenses due to partners  ..................................</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3,779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$ 1,824</w:t>
            </w:r>
          </w:p>
        </w:tc>
      </w:tr>
      <w:tr>
        <w:trPr>
          <w:trHeight w:val="170"/>
        </w:trPr>
        <w:tc>
          <w:tcPr>
            <w:tcW w:w="5720" w:type="dxa"/>
            <w:vAlign w:val="bottom"/>
          </w:tcPr>
          <w:p>
            <w:pPr>
              <w:spacing w:after="0"/>
              <w:rPr>
                <w:sz w:val="14"/>
                <w:szCs w:val="14"/>
                <w:color w:val="auto"/>
              </w:rPr>
            </w:pPr>
          </w:p>
        </w:tc>
        <w:tc>
          <w:tcPr>
            <w:tcW w:w="11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720" w:type="dxa"/>
            <w:vAlign w:val="bottom"/>
          </w:tcPr>
          <w:p>
            <w:pPr>
              <w:spacing w:after="0"/>
              <w:rPr>
                <w:sz w:val="20"/>
                <w:szCs w:val="20"/>
                <w:color w:val="auto"/>
              </w:rPr>
            </w:pPr>
            <w:r>
              <w:rPr>
                <w:rFonts w:ascii="Courier New" w:cs="Courier New" w:eastAsia="Courier New" w:hAnsi="Courier New"/>
                <w:sz w:val="15"/>
                <w:szCs w:val="15"/>
                <w:color w:val="auto"/>
              </w:rPr>
              <w:t>Partners' capital:</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5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Amgen ....................................................</w:t>
            </w:r>
          </w:p>
        </w:tc>
        <w:tc>
          <w:tcPr>
            <w:tcW w:w="26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3,091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364</w:t>
            </w:r>
          </w:p>
        </w:tc>
      </w:tr>
      <w:tr>
        <w:trPr>
          <w:trHeight w:val="170"/>
        </w:trPr>
        <w:tc>
          <w:tcPr>
            <w:tcW w:w="5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Regeneron ................................................</w:t>
            </w:r>
          </w:p>
        </w:tc>
        <w:tc>
          <w:tcPr>
            <w:tcW w:w="26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3,091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364</w:t>
            </w:r>
          </w:p>
        </w:tc>
      </w:tr>
      <w:tr>
        <w:trPr>
          <w:trHeight w:val="170"/>
        </w:trPr>
        <w:tc>
          <w:tcPr>
            <w:tcW w:w="5720" w:type="dxa"/>
            <w:vAlign w:val="bottom"/>
          </w:tcPr>
          <w:p>
            <w:pPr>
              <w:spacing w:after="0"/>
              <w:rPr>
                <w:sz w:val="14"/>
                <w:szCs w:val="14"/>
                <w:color w:val="auto"/>
              </w:rPr>
            </w:pPr>
          </w:p>
        </w:tc>
        <w:tc>
          <w:tcPr>
            <w:tcW w:w="11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partners' capital ..............................</w:t>
            </w:r>
          </w:p>
        </w:tc>
        <w:tc>
          <w:tcPr>
            <w:tcW w:w="26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6,182</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728</w:t>
            </w:r>
          </w:p>
        </w:tc>
      </w:tr>
      <w:tr>
        <w:trPr>
          <w:trHeight w:val="170"/>
        </w:trPr>
        <w:tc>
          <w:tcPr>
            <w:tcW w:w="5720" w:type="dxa"/>
            <w:vAlign w:val="bottom"/>
          </w:tcPr>
          <w:p>
            <w:pPr>
              <w:spacing w:after="0"/>
              <w:rPr>
                <w:sz w:val="14"/>
                <w:szCs w:val="14"/>
                <w:color w:val="auto"/>
              </w:rPr>
            </w:pPr>
          </w:p>
        </w:tc>
        <w:tc>
          <w:tcPr>
            <w:tcW w:w="11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liabilities and partners' capital .....</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9,961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$ 2,552</w:t>
            </w:r>
          </w:p>
        </w:tc>
      </w:tr>
      <w:tr>
        <w:trPr>
          <w:trHeight w:val="170"/>
        </w:trPr>
        <w:tc>
          <w:tcPr>
            <w:tcW w:w="5720" w:type="dxa"/>
            <w:vAlign w:val="bottom"/>
          </w:tcPr>
          <w:p>
            <w:pPr>
              <w:spacing w:after="0"/>
              <w:rPr>
                <w:sz w:val="14"/>
                <w:szCs w:val="14"/>
                <w:color w:val="auto"/>
              </w:rPr>
            </w:pPr>
          </w:p>
        </w:tc>
        <w:tc>
          <w:tcPr>
            <w:tcW w:w="11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19"/>
          </w:cols>
          <w:pgMar w:left="240" w:top="622" w:right="1440" w:bottom="1440" w:gutter="0" w:footer="0" w:header="0"/>
        </w:sectPr>
      </w:pPr>
    </w:p>
    <w:bookmarkStart w:id="62" w:name="page63"/>
    <w:bookmarkEnd w:id="62"/>
    <w:p>
      <w:pPr>
        <w:ind w:left="2460"/>
        <w:spacing w:after="0"/>
        <w:rPr>
          <w:sz w:val="20"/>
          <w:szCs w:val="20"/>
          <w:color w:val="auto"/>
        </w:rPr>
      </w:pPr>
      <w:r>
        <w:rPr>
          <w:rFonts w:ascii="Courier New" w:cs="Courier New" w:eastAsia="Courier New" w:hAnsi="Courier New"/>
          <w:sz w:val="15"/>
          <w:szCs w:val="15"/>
          <w:color w:val="auto"/>
        </w:rPr>
        <w:t>AMGEN-REGENERON PARTNERS</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STATEMENTS OF OPERATIONS</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Years ended December 31, 1998, 1997 and 1996</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88"/>
              </w:rPr>
              <w:t>1998</w:t>
            </w:r>
          </w:p>
        </w:tc>
        <w:tc>
          <w:tcPr>
            <w:tcW w:w="540" w:type="dxa"/>
            <w:vAlign w:val="bottom"/>
          </w:tcPr>
          <w:p>
            <w:pPr>
              <w:spacing w:after="0"/>
              <w:rPr>
                <w:sz w:val="14"/>
                <w:szCs w:val="14"/>
                <w:color w:val="auto"/>
              </w:rPr>
            </w:pPr>
          </w:p>
        </w:tc>
        <w:tc>
          <w:tcPr>
            <w:tcW w:w="10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1997</w:t>
            </w:r>
          </w:p>
        </w:tc>
        <w:tc>
          <w:tcPr>
            <w:tcW w:w="380" w:type="dxa"/>
            <w:vAlign w:val="bottom"/>
          </w:tcPr>
          <w:p>
            <w:pPr>
              <w:spacing w:after="0"/>
              <w:rPr>
                <w:sz w:val="14"/>
                <w:szCs w:val="14"/>
                <w:color w:val="auto"/>
              </w:rPr>
            </w:pPr>
          </w:p>
        </w:tc>
        <w:tc>
          <w:tcPr>
            <w:tcW w:w="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5360" w:type="dxa"/>
            <w:vAlign w:val="bottom"/>
          </w:tcPr>
          <w:p>
            <w:pPr>
              <w:spacing w:after="0"/>
              <w:rPr>
                <w:sz w:val="14"/>
                <w:szCs w:val="14"/>
                <w:color w:val="auto"/>
              </w:rPr>
            </w:pPr>
          </w:p>
        </w:tc>
        <w:tc>
          <w:tcPr>
            <w:tcW w:w="154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5360" w:type="dxa"/>
            <w:vAlign w:val="bottom"/>
          </w:tcPr>
          <w:p>
            <w:pPr>
              <w:jc w:val="right"/>
              <w:ind w:right="4507"/>
              <w:spacing w:after="0"/>
              <w:rPr>
                <w:sz w:val="20"/>
                <w:szCs w:val="20"/>
                <w:color w:val="auto"/>
              </w:rPr>
            </w:pPr>
            <w:r>
              <w:rPr>
                <w:rFonts w:ascii="Courier New" w:cs="Courier New" w:eastAsia="Courier New" w:hAnsi="Courier New"/>
                <w:sz w:val="15"/>
                <w:szCs w:val="15"/>
                <w:color w:val="auto"/>
                <w:w w:val="93"/>
              </w:rPr>
              <w:t>Revenues:</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5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Interest income......................................</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316</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310</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750</w:t>
            </w:r>
          </w:p>
        </w:tc>
      </w:tr>
      <w:tr>
        <w:trPr>
          <w:trHeight w:val="170"/>
        </w:trPr>
        <w:tc>
          <w:tcPr>
            <w:tcW w:w="5360" w:type="dxa"/>
            <w:vAlign w:val="bottom"/>
          </w:tcPr>
          <w:p>
            <w:pPr>
              <w:spacing w:after="0"/>
              <w:rPr>
                <w:sz w:val="14"/>
                <w:szCs w:val="14"/>
                <w:color w:val="auto"/>
              </w:rPr>
            </w:pPr>
          </w:p>
        </w:tc>
        <w:tc>
          <w:tcPr>
            <w:tcW w:w="154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 revenues...................................</w:t>
            </w:r>
          </w:p>
        </w:tc>
        <w:tc>
          <w:tcPr>
            <w:tcW w:w="540" w:type="dxa"/>
            <w:vAlign w:val="bottom"/>
          </w:tcPr>
          <w:p>
            <w:pPr>
              <w:spacing w:after="0"/>
              <w:rPr>
                <w:sz w:val="24"/>
                <w:szCs w:val="2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316</w:t>
            </w:r>
          </w:p>
        </w:tc>
        <w:tc>
          <w:tcPr>
            <w:tcW w:w="540" w:type="dxa"/>
            <w:vAlign w:val="bottom"/>
          </w:tcPr>
          <w:p>
            <w:pPr>
              <w:spacing w:after="0"/>
              <w:rPr>
                <w:sz w:val="24"/>
                <w:szCs w:val="2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310</w:t>
            </w:r>
          </w:p>
        </w:tc>
        <w:tc>
          <w:tcPr>
            <w:tcW w:w="380" w:type="dxa"/>
            <w:vAlign w:val="bottom"/>
          </w:tcPr>
          <w:p>
            <w:pPr>
              <w:spacing w:after="0"/>
              <w:rPr>
                <w:sz w:val="24"/>
                <w:szCs w:val="2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750</w:t>
            </w:r>
          </w:p>
        </w:tc>
      </w:tr>
      <w:tr>
        <w:trPr>
          <w:trHeight w:val="170"/>
        </w:trPr>
        <w:tc>
          <w:tcPr>
            <w:tcW w:w="5360" w:type="dxa"/>
            <w:vAlign w:val="bottom"/>
          </w:tcPr>
          <w:p>
            <w:pPr>
              <w:spacing w:after="0"/>
              <w:rPr>
                <w:sz w:val="14"/>
                <w:szCs w:val="14"/>
                <w:color w:val="auto"/>
              </w:rPr>
            </w:pPr>
          </w:p>
        </w:tc>
        <w:tc>
          <w:tcPr>
            <w:tcW w:w="154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4507"/>
              <w:spacing w:after="0"/>
              <w:rPr>
                <w:sz w:val="20"/>
                <w:szCs w:val="20"/>
                <w:color w:val="auto"/>
              </w:rPr>
            </w:pPr>
            <w:r>
              <w:rPr>
                <w:rFonts w:ascii="Courier New" w:cs="Courier New" w:eastAsia="Courier New" w:hAnsi="Courier New"/>
                <w:sz w:val="15"/>
                <w:szCs w:val="15"/>
                <w:color w:val="auto"/>
                <w:w w:val="93"/>
              </w:rPr>
              <w:t>Expenses:</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5360" w:type="dxa"/>
            <w:vAlign w:val="bottom"/>
          </w:tcPr>
          <w:p>
            <w:pPr>
              <w:jc w:val="right"/>
              <w:ind w:right="1867"/>
              <w:spacing w:after="0"/>
              <w:rPr>
                <w:sz w:val="20"/>
                <w:szCs w:val="20"/>
                <w:color w:val="auto"/>
              </w:rPr>
            </w:pPr>
            <w:r>
              <w:rPr>
                <w:rFonts w:ascii="Courier New" w:cs="Courier New" w:eastAsia="Courier New" w:hAnsi="Courier New"/>
                <w:sz w:val="15"/>
                <w:szCs w:val="15"/>
                <w:color w:val="auto"/>
              </w:rPr>
              <w:t>Research and development performed</w:t>
            </w: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5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by partners......................................</w:t>
            </w:r>
          </w:p>
        </w:tc>
        <w:tc>
          <w:tcPr>
            <w:tcW w:w="54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5,235</w:t>
            </w:r>
          </w:p>
        </w:tc>
        <w:tc>
          <w:tcPr>
            <w:tcW w:w="54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7,078</w:t>
            </w:r>
          </w:p>
        </w:tc>
        <w:tc>
          <w:tcPr>
            <w:tcW w:w="38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29,069</w:t>
            </w:r>
          </w:p>
        </w:tc>
      </w:tr>
      <w:tr>
        <w:trPr>
          <w:trHeight w:val="170"/>
        </w:trPr>
        <w:tc>
          <w:tcPr>
            <w:tcW w:w="5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General and administrative...........................</w:t>
            </w:r>
          </w:p>
        </w:tc>
        <w:tc>
          <w:tcPr>
            <w:tcW w:w="54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49</w:t>
            </w:r>
          </w:p>
        </w:tc>
        <w:tc>
          <w:tcPr>
            <w:tcW w:w="54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38</w:t>
            </w:r>
          </w:p>
        </w:tc>
        <w:tc>
          <w:tcPr>
            <w:tcW w:w="38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181</w:t>
            </w:r>
          </w:p>
        </w:tc>
      </w:tr>
      <w:tr>
        <w:trPr>
          <w:trHeight w:val="170"/>
        </w:trPr>
        <w:tc>
          <w:tcPr>
            <w:tcW w:w="5360" w:type="dxa"/>
            <w:vAlign w:val="bottom"/>
          </w:tcPr>
          <w:p>
            <w:pPr>
              <w:spacing w:after="0"/>
              <w:rPr>
                <w:sz w:val="14"/>
                <w:szCs w:val="14"/>
                <w:color w:val="auto"/>
              </w:rPr>
            </w:pPr>
          </w:p>
        </w:tc>
        <w:tc>
          <w:tcPr>
            <w:tcW w:w="154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 expenses...................................</w:t>
            </w:r>
          </w:p>
        </w:tc>
        <w:tc>
          <w:tcPr>
            <w:tcW w:w="540" w:type="dxa"/>
            <w:vAlign w:val="bottom"/>
          </w:tcPr>
          <w:p>
            <w:pPr>
              <w:spacing w:after="0"/>
              <w:rPr>
                <w:sz w:val="24"/>
                <w:szCs w:val="2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5,284</w:t>
            </w:r>
          </w:p>
        </w:tc>
        <w:tc>
          <w:tcPr>
            <w:tcW w:w="540" w:type="dxa"/>
            <w:vAlign w:val="bottom"/>
          </w:tcPr>
          <w:p>
            <w:pPr>
              <w:spacing w:after="0"/>
              <w:rPr>
                <w:sz w:val="24"/>
                <w:szCs w:val="2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7,116</w:t>
            </w:r>
          </w:p>
        </w:tc>
        <w:tc>
          <w:tcPr>
            <w:tcW w:w="380" w:type="dxa"/>
            <w:vAlign w:val="bottom"/>
          </w:tcPr>
          <w:p>
            <w:pPr>
              <w:spacing w:after="0"/>
              <w:rPr>
                <w:sz w:val="24"/>
                <w:szCs w:val="2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29,250</w:t>
            </w:r>
          </w:p>
        </w:tc>
      </w:tr>
      <w:tr>
        <w:trPr>
          <w:trHeight w:val="170"/>
        </w:trPr>
        <w:tc>
          <w:tcPr>
            <w:tcW w:w="5360" w:type="dxa"/>
            <w:vAlign w:val="bottom"/>
          </w:tcPr>
          <w:p>
            <w:pPr>
              <w:spacing w:after="0"/>
              <w:rPr>
                <w:sz w:val="14"/>
                <w:szCs w:val="14"/>
                <w:color w:val="auto"/>
              </w:rPr>
            </w:pPr>
          </w:p>
        </w:tc>
        <w:tc>
          <w:tcPr>
            <w:tcW w:w="154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Net loss..................................................</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(4,968)</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(6,806)</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(28,500)</w:t>
            </w:r>
          </w:p>
        </w:tc>
      </w:tr>
      <w:tr>
        <w:trPr>
          <w:trHeight w:val="170"/>
        </w:trPr>
        <w:tc>
          <w:tcPr>
            <w:tcW w:w="5360" w:type="dxa"/>
            <w:vAlign w:val="bottom"/>
          </w:tcPr>
          <w:p>
            <w:pPr>
              <w:spacing w:after="0"/>
              <w:rPr>
                <w:sz w:val="14"/>
                <w:szCs w:val="14"/>
                <w:color w:val="auto"/>
              </w:rPr>
            </w:pPr>
          </w:p>
        </w:tc>
        <w:tc>
          <w:tcPr>
            <w:tcW w:w="154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19"/>
          </w:cols>
          <w:pgMar w:left="240" w:top="622" w:right="1440"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3080" w:type="dxa"/>
            <w:vAlign w:val="bottom"/>
            <w:gridSpan w:val="2"/>
          </w:tcPr>
          <w:p>
            <w:pPr>
              <w:jc w:val="center"/>
              <w:ind w:right="887"/>
              <w:spacing w:after="0"/>
              <w:rPr>
                <w:sz w:val="20"/>
                <w:szCs w:val="20"/>
                <w:color w:val="auto"/>
              </w:rPr>
            </w:pPr>
            <w:r>
              <w:rPr>
                <w:rFonts w:ascii="Courier New" w:cs="Courier New" w:eastAsia="Courier New" w:hAnsi="Courier New"/>
                <w:sz w:val="15"/>
                <w:szCs w:val="15"/>
                <w:color w:val="auto"/>
                <w:w w:val="98"/>
              </w:rPr>
              <w:t>AMGEN-REGENERON PARTNERS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39"/>
        </w:trPr>
        <w:tc>
          <w:tcPr>
            <w:tcW w:w="5540" w:type="dxa"/>
            <w:vAlign w:val="bottom"/>
            <w:gridSpan w:val="3"/>
          </w:tcPr>
          <w:p>
            <w:pPr>
              <w:jc w:val="center"/>
              <w:ind w:left="1407"/>
              <w:spacing w:after="0"/>
              <w:rPr>
                <w:sz w:val="20"/>
                <w:szCs w:val="20"/>
                <w:color w:val="auto"/>
              </w:rPr>
            </w:pPr>
            <w:r>
              <w:rPr>
                <w:rFonts w:ascii="Courier New" w:cs="Courier New" w:eastAsia="Courier New" w:hAnsi="Courier New"/>
                <w:sz w:val="15"/>
                <w:szCs w:val="15"/>
                <w:color w:val="auto"/>
                <w:w w:val="97"/>
              </w:rPr>
              <w:t>STATEMENTS OF CHANGES IN PARTNERS' CAPITAL</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9"/>
        </w:trPr>
        <w:tc>
          <w:tcPr>
            <w:tcW w:w="5540" w:type="dxa"/>
            <w:vAlign w:val="bottom"/>
            <w:gridSpan w:val="3"/>
          </w:tcPr>
          <w:p>
            <w:pPr>
              <w:jc w:val="center"/>
              <w:ind w:left="1427"/>
              <w:spacing w:after="0"/>
              <w:rPr>
                <w:sz w:val="20"/>
                <w:szCs w:val="20"/>
                <w:color w:val="auto"/>
              </w:rPr>
            </w:pPr>
            <w:r>
              <w:rPr>
                <w:rFonts w:ascii="Courier New" w:cs="Courier New" w:eastAsia="Courier New" w:hAnsi="Courier New"/>
                <w:sz w:val="15"/>
                <w:szCs w:val="15"/>
                <w:color w:val="auto"/>
                <w:w w:val="97"/>
              </w:rPr>
              <w:t>Years ended December 31, 1998, 1997 and 1996</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9"/>
        </w:trPr>
        <w:tc>
          <w:tcPr>
            <w:tcW w:w="2460" w:type="dxa"/>
            <w:vAlign w:val="bottom"/>
          </w:tcPr>
          <w:p>
            <w:pPr>
              <w:spacing w:after="0"/>
              <w:rPr>
                <w:sz w:val="24"/>
                <w:szCs w:val="24"/>
                <w:color w:val="auto"/>
              </w:rPr>
            </w:pPr>
          </w:p>
        </w:tc>
        <w:tc>
          <w:tcPr>
            <w:tcW w:w="3080" w:type="dxa"/>
            <w:vAlign w:val="bottom"/>
            <w:gridSpan w:val="2"/>
          </w:tcPr>
          <w:p>
            <w:pPr>
              <w:jc w:val="center"/>
              <w:ind w:right="887"/>
              <w:spacing w:after="0"/>
              <w:rPr>
                <w:sz w:val="20"/>
                <w:szCs w:val="20"/>
                <w:color w:val="auto"/>
              </w:rPr>
            </w:pPr>
            <w:r>
              <w:rPr>
                <w:rFonts w:ascii="Courier New" w:cs="Courier New" w:eastAsia="Courier New" w:hAnsi="Courier New"/>
                <w:sz w:val="15"/>
                <w:szCs w:val="15"/>
                <w:color w:val="auto"/>
                <w:w w:val="98"/>
              </w:rPr>
              <w:t>(In thousands)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9"/>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00" w:type="dxa"/>
            <w:vAlign w:val="bottom"/>
          </w:tcPr>
          <w:p>
            <w:pPr>
              <w:jc w:val="right"/>
              <w:ind w:right="987"/>
              <w:spacing w:after="0"/>
              <w:rPr>
                <w:sz w:val="20"/>
                <w:szCs w:val="20"/>
                <w:color w:val="auto"/>
              </w:rPr>
            </w:pPr>
            <w:r>
              <w:rPr>
                <w:rFonts w:ascii="Courier New" w:cs="Courier New" w:eastAsia="Courier New" w:hAnsi="Courier New"/>
                <w:sz w:val="15"/>
                <w:szCs w:val="15"/>
                <w:color w:val="auto"/>
                <w:w w:val="93"/>
              </w:rPr>
              <w:t>Amgen</w:t>
            </w: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Regeneron</w:t>
            </w:r>
          </w:p>
        </w:tc>
      </w:tr>
      <w:tr>
        <w:trPr>
          <w:trHeight w:val="170"/>
        </w:trPr>
        <w:tc>
          <w:tcPr>
            <w:tcW w:w="2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00" w:type="dxa"/>
            <w:vAlign w:val="bottom"/>
          </w:tcPr>
          <w:p>
            <w:pPr>
              <w:jc w:val="right"/>
              <w:ind w:right="987"/>
              <w:spacing w:after="0"/>
              <w:rPr>
                <w:sz w:val="20"/>
                <w:szCs w:val="20"/>
                <w:color w:val="auto"/>
              </w:rPr>
            </w:pPr>
            <w:r>
              <w:rPr>
                <w:rFonts w:ascii="Courier New" w:cs="Courier New" w:eastAsia="Courier New" w:hAnsi="Courier New"/>
                <w:sz w:val="15"/>
                <w:szCs w:val="15"/>
                <w:color w:val="auto"/>
                <w:w w:val="93"/>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w w:val="96"/>
              </w:rPr>
              <w:t>Balance at December 31, 1995</w:t>
            </w:r>
          </w:p>
        </w:tc>
        <w:tc>
          <w:tcPr>
            <w:tcW w:w="15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1,273</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1,273</w:t>
            </w:r>
          </w:p>
        </w:tc>
      </w:tr>
      <w:tr>
        <w:trPr>
          <w:trHeight w:val="339"/>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Capital contributions ................</w:t>
            </w: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14,182</w:t>
            </w:r>
          </w:p>
        </w:tc>
        <w:tc>
          <w:tcPr>
            <w:tcW w:w="220" w:type="dxa"/>
            <w:vAlign w:val="bottom"/>
          </w:tcPr>
          <w:p>
            <w:pPr>
              <w:spacing w:after="0"/>
              <w:rPr>
                <w:sz w:val="24"/>
                <w:szCs w:val="2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14,182</w:t>
            </w:r>
          </w:p>
        </w:tc>
      </w:tr>
      <w:tr>
        <w:trPr>
          <w:trHeight w:val="339"/>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Net loss ............................</w:t>
            </w:r>
          </w:p>
        </w:tc>
        <w:tc>
          <w:tcPr>
            <w:tcW w:w="150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97"/>
              </w:rPr>
              <w:t>(14,250)</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(14,250)</w:t>
            </w:r>
          </w:p>
        </w:tc>
      </w:tr>
      <w:tr>
        <w:trPr>
          <w:trHeight w:val="170"/>
        </w:trPr>
        <w:tc>
          <w:tcPr>
            <w:tcW w:w="2460" w:type="dxa"/>
            <w:vAlign w:val="bottom"/>
          </w:tcPr>
          <w:p>
            <w:pPr>
              <w:spacing w:after="0"/>
              <w:rPr>
                <w:sz w:val="14"/>
                <w:szCs w:val="14"/>
                <w:color w:val="auto"/>
              </w:rPr>
            </w:pPr>
          </w:p>
        </w:tc>
        <w:tc>
          <w:tcPr>
            <w:tcW w:w="308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w w:val="96"/>
              </w:rPr>
              <w:t>Balance at December 31, 1996</w:t>
            </w:r>
          </w:p>
        </w:tc>
        <w:tc>
          <w:tcPr>
            <w:tcW w:w="15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1,205</w:t>
            </w:r>
          </w:p>
        </w:tc>
        <w:tc>
          <w:tcPr>
            <w:tcW w:w="220" w:type="dxa"/>
            <w:vAlign w:val="bottom"/>
          </w:tcPr>
          <w:p>
            <w:pPr>
              <w:spacing w:after="0"/>
              <w:rPr>
                <w:sz w:val="24"/>
                <w:szCs w:val="2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1,205</w:t>
            </w:r>
          </w:p>
        </w:tc>
      </w:tr>
      <w:tr>
        <w:trPr>
          <w:trHeight w:val="339"/>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Capital contributions ................</w:t>
            </w: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2,562</w:t>
            </w:r>
          </w:p>
        </w:tc>
        <w:tc>
          <w:tcPr>
            <w:tcW w:w="220" w:type="dxa"/>
            <w:vAlign w:val="bottom"/>
          </w:tcPr>
          <w:p>
            <w:pPr>
              <w:spacing w:after="0"/>
              <w:rPr>
                <w:sz w:val="24"/>
                <w:szCs w:val="2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2,562</w:t>
            </w:r>
          </w:p>
        </w:tc>
      </w:tr>
      <w:tr>
        <w:trPr>
          <w:trHeight w:val="339"/>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Net loss ............................</w:t>
            </w:r>
          </w:p>
        </w:tc>
        <w:tc>
          <w:tcPr>
            <w:tcW w:w="15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(3,403)</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(3,403)</w:t>
            </w:r>
          </w:p>
        </w:tc>
      </w:tr>
      <w:tr>
        <w:trPr>
          <w:trHeight w:val="170"/>
        </w:trPr>
        <w:tc>
          <w:tcPr>
            <w:tcW w:w="2460" w:type="dxa"/>
            <w:vAlign w:val="bottom"/>
          </w:tcPr>
          <w:p>
            <w:pPr>
              <w:spacing w:after="0"/>
              <w:rPr>
                <w:sz w:val="14"/>
                <w:szCs w:val="14"/>
                <w:color w:val="auto"/>
              </w:rPr>
            </w:pPr>
          </w:p>
        </w:tc>
        <w:tc>
          <w:tcPr>
            <w:tcW w:w="308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w w:val="96"/>
              </w:rPr>
              <w:t>Balance at December 31, 1997</w:t>
            </w:r>
          </w:p>
        </w:tc>
        <w:tc>
          <w:tcPr>
            <w:tcW w:w="15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364</w:t>
            </w:r>
          </w:p>
        </w:tc>
        <w:tc>
          <w:tcPr>
            <w:tcW w:w="220" w:type="dxa"/>
            <w:vAlign w:val="bottom"/>
          </w:tcPr>
          <w:p>
            <w:pPr>
              <w:spacing w:after="0"/>
              <w:rPr>
                <w:sz w:val="24"/>
                <w:szCs w:val="2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364</w:t>
            </w:r>
          </w:p>
        </w:tc>
      </w:tr>
      <w:tr>
        <w:trPr>
          <w:trHeight w:val="339"/>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Capital contributions ...............</w:t>
            </w: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5,211</w:t>
            </w:r>
          </w:p>
        </w:tc>
        <w:tc>
          <w:tcPr>
            <w:tcW w:w="220" w:type="dxa"/>
            <w:vAlign w:val="bottom"/>
          </w:tcPr>
          <w:p>
            <w:pPr>
              <w:spacing w:after="0"/>
              <w:rPr>
                <w:sz w:val="24"/>
                <w:szCs w:val="2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5,211</w:t>
            </w:r>
          </w:p>
        </w:tc>
      </w:tr>
      <w:tr>
        <w:trPr>
          <w:trHeight w:val="339"/>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Net loss ............................</w:t>
            </w:r>
          </w:p>
        </w:tc>
        <w:tc>
          <w:tcPr>
            <w:tcW w:w="15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(2,484)</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(2,484)</w:t>
            </w:r>
          </w:p>
        </w:tc>
      </w:tr>
      <w:tr>
        <w:trPr>
          <w:trHeight w:val="170"/>
        </w:trPr>
        <w:tc>
          <w:tcPr>
            <w:tcW w:w="2460" w:type="dxa"/>
            <w:vAlign w:val="bottom"/>
          </w:tcPr>
          <w:p>
            <w:pPr>
              <w:spacing w:after="0"/>
              <w:rPr>
                <w:sz w:val="14"/>
                <w:szCs w:val="14"/>
                <w:color w:val="auto"/>
              </w:rPr>
            </w:pPr>
          </w:p>
        </w:tc>
        <w:tc>
          <w:tcPr>
            <w:tcW w:w="308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w w:val="96"/>
              </w:rPr>
              <w:t>Balance at December 31, 1998</w:t>
            </w:r>
          </w:p>
        </w:tc>
        <w:tc>
          <w:tcPr>
            <w:tcW w:w="15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3,091</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3,091</w:t>
            </w:r>
          </w:p>
        </w:tc>
      </w:tr>
      <w:tr>
        <w:trPr>
          <w:trHeight w:val="170"/>
        </w:trPr>
        <w:tc>
          <w:tcPr>
            <w:tcW w:w="2460" w:type="dxa"/>
            <w:vAlign w:val="bottom"/>
          </w:tcPr>
          <w:p>
            <w:pPr>
              <w:spacing w:after="0"/>
              <w:rPr>
                <w:sz w:val="14"/>
                <w:szCs w:val="14"/>
                <w:color w:val="auto"/>
              </w:rPr>
            </w:pPr>
          </w:p>
        </w:tc>
        <w:tc>
          <w:tcPr>
            <w:tcW w:w="308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19"/>
          </w:cols>
          <w:pgMar w:left="240" w:top="622" w:right="1440" w:bottom="1440" w:gutter="0" w:footer="0" w:header="0"/>
        </w:sectPr>
      </w:pPr>
    </w:p>
    <w:bookmarkStart w:id="64" w:name="page65"/>
    <w:bookmarkEnd w:id="64"/>
    <w:p>
      <w:pPr>
        <w:ind w:left="2460"/>
        <w:spacing w:after="0"/>
        <w:rPr>
          <w:sz w:val="20"/>
          <w:szCs w:val="20"/>
          <w:color w:val="auto"/>
        </w:rPr>
      </w:pPr>
      <w:r>
        <w:rPr>
          <w:rFonts w:ascii="Courier New" w:cs="Courier New" w:eastAsia="Courier New" w:hAnsi="Courier New"/>
          <w:sz w:val="15"/>
          <w:szCs w:val="15"/>
          <w:color w:val="auto"/>
        </w:rPr>
        <w:t>AMGEN-REGENERON PARTNERS</w:t>
      </w:r>
    </w:p>
    <w:p>
      <w:pPr>
        <w:spacing w:after="0" w:line="169"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5"/>
          <w:szCs w:val="15"/>
          <w:color w:val="auto"/>
        </w:rPr>
        <w:t>STATEMENTS OF CASH FLOWS</w:t>
      </w:r>
    </w:p>
    <w:p>
      <w:pPr>
        <w:spacing w:after="0" w:line="169"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5"/>
          <w:szCs w:val="15"/>
          <w:color w:val="auto"/>
        </w:rPr>
        <w:t>Years ended December 31, 1998, 1997 and 1996</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jc w:val="right"/>
              <w:ind w:right="687"/>
              <w:spacing w:after="0"/>
              <w:rPr>
                <w:sz w:val="20"/>
                <w:szCs w:val="20"/>
                <w:color w:val="auto"/>
              </w:rPr>
            </w:pPr>
            <w:r>
              <w:rPr>
                <w:rFonts w:ascii="Courier New" w:cs="Courier New" w:eastAsia="Courier New" w:hAnsi="Courier New"/>
                <w:sz w:val="15"/>
                <w:szCs w:val="15"/>
                <w:color w:val="auto"/>
                <w:w w:val="88"/>
              </w:rPr>
              <w:t>1998</w:t>
            </w:r>
          </w:p>
        </w:tc>
        <w:tc>
          <w:tcPr>
            <w:tcW w:w="520" w:type="dxa"/>
            <w:vAlign w:val="bottom"/>
          </w:tcPr>
          <w:p>
            <w:pPr>
              <w:spacing w:after="0"/>
              <w:rPr>
                <w:sz w:val="14"/>
                <w:szCs w:val="14"/>
                <w:color w:val="auto"/>
              </w:rPr>
            </w:pPr>
          </w:p>
        </w:tc>
        <w:tc>
          <w:tcPr>
            <w:tcW w:w="1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1997</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5540" w:type="dxa"/>
            <w:vAlign w:val="bottom"/>
          </w:tcPr>
          <w:p>
            <w:pPr>
              <w:spacing w:after="0"/>
              <w:rPr>
                <w:sz w:val="14"/>
                <w:szCs w:val="14"/>
                <w:color w:val="auto"/>
              </w:rPr>
            </w:pPr>
          </w:p>
        </w:tc>
        <w:tc>
          <w:tcPr>
            <w:tcW w:w="164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55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0"/>
        </w:trPr>
        <w:tc>
          <w:tcPr>
            <w:tcW w:w="5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Net loss...............................................</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(4,968)</w:t>
            </w:r>
          </w:p>
        </w:tc>
        <w:tc>
          <w:tcPr>
            <w:tcW w:w="5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(6,806)</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$(28,500)</w:t>
            </w:r>
          </w:p>
        </w:tc>
      </w:tr>
      <w:tr>
        <w:trPr>
          <w:trHeight w:val="170"/>
        </w:trPr>
        <w:tc>
          <w:tcPr>
            <w:tcW w:w="554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Increase (decrease) in accounts payable and</w:t>
            </w: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5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accrued expenses...................................</w:t>
            </w:r>
          </w:p>
        </w:tc>
        <w:tc>
          <w:tcPr>
            <w:tcW w:w="54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1,955</w:t>
            </w:r>
          </w:p>
        </w:tc>
        <w:tc>
          <w:tcPr>
            <w:tcW w:w="520" w:type="dxa"/>
            <w:vAlign w:val="bottom"/>
          </w:tcPr>
          <w:p>
            <w:pPr>
              <w:spacing w:after="0"/>
              <w:rPr>
                <w:sz w:val="14"/>
                <w:szCs w:val="14"/>
                <w:color w:val="auto"/>
              </w:rPr>
            </w:pP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(10,406)</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(2,722)</w:t>
            </w:r>
          </w:p>
        </w:tc>
      </w:tr>
      <w:tr>
        <w:trPr>
          <w:trHeight w:val="170"/>
        </w:trPr>
        <w:tc>
          <w:tcPr>
            <w:tcW w:w="5540" w:type="dxa"/>
            <w:vAlign w:val="bottom"/>
          </w:tcPr>
          <w:p>
            <w:pPr>
              <w:spacing w:after="0"/>
              <w:rPr>
                <w:sz w:val="14"/>
                <w:szCs w:val="14"/>
                <w:color w:val="auto"/>
              </w:rPr>
            </w:pPr>
          </w:p>
        </w:tc>
        <w:tc>
          <w:tcPr>
            <w:tcW w:w="164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Net cash used in operating activities.........</w:t>
            </w:r>
          </w:p>
        </w:tc>
        <w:tc>
          <w:tcPr>
            <w:tcW w:w="540" w:type="dxa"/>
            <w:vAlign w:val="bottom"/>
          </w:tcPr>
          <w:p>
            <w:pPr>
              <w:spacing w:after="0"/>
              <w:rPr>
                <w:sz w:val="24"/>
                <w:szCs w:val="2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(3,013)</w:t>
            </w:r>
          </w:p>
        </w:tc>
        <w:tc>
          <w:tcPr>
            <w:tcW w:w="520" w:type="dxa"/>
            <w:vAlign w:val="bottom"/>
          </w:tcPr>
          <w:p>
            <w:pPr>
              <w:spacing w:after="0"/>
              <w:rPr>
                <w:sz w:val="24"/>
                <w:szCs w:val="24"/>
                <w:color w:val="auto"/>
              </w:rPr>
            </w:pP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(17,212)</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(31,222)</w:t>
            </w:r>
          </w:p>
        </w:tc>
      </w:tr>
      <w:tr>
        <w:trPr>
          <w:trHeight w:val="339"/>
        </w:trPr>
        <w:tc>
          <w:tcPr>
            <w:tcW w:w="55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 - capital</w:t>
            </w: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0"/>
        </w:trPr>
        <w:tc>
          <w:tcPr>
            <w:tcW w:w="5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contributions............................................</w:t>
            </w:r>
          </w:p>
        </w:tc>
        <w:tc>
          <w:tcPr>
            <w:tcW w:w="54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10,422</w:t>
            </w:r>
          </w:p>
        </w:tc>
        <w:tc>
          <w:tcPr>
            <w:tcW w:w="520" w:type="dxa"/>
            <w:vAlign w:val="bottom"/>
          </w:tcPr>
          <w:p>
            <w:pPr>
              <w:spacing w:after="0"/>
              <w:rPr>
                <w:sz w:val="14"/>
                <w:szCs w:val="14"/>
                <w:color w:val="auto"/>
              </w:rPr>
            </w:pP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5,124</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28,364</w:t>
            </w:r>
          </w:p>
        </w:tc>
      </w:tr>
      <w:tr>
        <w:trPr>
          <w:trHeight w:val="170"/>
        </w:trPr>
        <w:tc>
          <w:tcPr>
            <w:tcW w:w="5540" w:type="dxa"/>
            <w:vAlign w:val="bottom"/>
          </w:tcPr>
          <w:p>
            <w:pPr>
              <w:spacing w:after="0"/>
              <w:rPr>
                <w:sz w:val="14"/>
                <w:szCs w:val="14"/>
                <w:color w:val="auto"/>
              </w:rPr>
            </w:pPr>
          </w:p>
        </w:tc>
        <w:tc>
          <w:tcPr>
            <w:tcW w:w="164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5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Increase (decrease) in cash and cash equivalents............</w:t>
            </w:r>
          </w:p>
        </w:tc>
        <w:tc>
          <w:tcPr>
            <w:tcW w:w="540" w:type="dxa"/>
            <w:vAlign w:val="bottom"/>
          </w:tcPr>
          <w:p>
            <w:pPr>
              <w:spacing w:after="0"/>
              <w:rPr>
                <w:sz w:val="24"/>
                <w:szCs w:val="2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7,409</w:t>
            </w:r>
          </w:p>
        </w:tc>
        <w:tc>
          <w:tcPr>
            <w:tcW w:w="520" w:type="dxa"/>
            <w:vAlign w:val="bottom"/>
          </w:tcPr>
          <w:p>
            <w:pPr>
              <w:spacing w:after="0"/>
              <w:rPr>
                <w:sz w:val="24"/>
                <w:szCs w:val="24"/>
                <w:color w:val="auto"/>
              </w:rPr>
            </w:pP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(12,088)</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(2,858)</w:t>
            </w:r>
          </w:p>
        </w:tc>
      </w:tr>
      <w:tr>
        <w:trPr>
          <w:trHeight w:val="339"/>
        </w:trPr>
        <w:tc>
          <w:tcPr>
            <w:tcW w:w="55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Cash and cash equivalents at beginning of period............</w:t>
            </w:r>
          </w:p>
        </w:tc>
        <w:tc>
          <w:tcPr>
            <w:tcW w:w="540" w:type="dxa"/>
            <w:vAlign w:val="bottom"/>
          </w:tcPr>
          <w:p>
            <w:pPr>
              <w:spacing w:after="0"/>
              <w:rPr>
                <w:sz w:val="24"/>
                <w:szCs w:val="2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2,552</w:t>
            </w:r>
          </w:p>
        </w:tc>
        <w:tc>
          <w:tcPr>
            <w:tcW w:w="520" w:type="dxa"/>
            <w:vAlign w:val="bottom"/>
          </w:tcPr>
          <w:p>
            <w:pPr>
              <w:spacing w:after="0"/>
              <w:rPr>
                <w:sz w:val="24"/>
                <w:szCs w:val="24"/>
                <w:color w:val="auto"/>
              </w:rPr>
            </w:pP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14,640</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17,498</w:t>
            </w:r>
          </w:p>
        </w:tc>
      </w:tr>
      <w:tr>
        <w:trPr>
          <w:trHeight w:val="170"/>
        </w:trPr>
        <w:tc>
          <w:tcPr>
            <w:tcW w:w="5540" w:type="dxa"/>
            <w:vAlign w:val="bottom"/>
          </w:tcPr>
          <w:p>
            <w:pPr>
              <w:spacing w:after="0"/>
              <w:rPr>
                <w:sz w:val="14"/>
                <w:szCs w:val="14"/>
                <w:color w:val="auto"/>
              </w:rPr>
            </w:pPr>
          </w:p>
        </w:tc>
        <w:tc>
          <w:tcPr>
            <w:tcW w:w="164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5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Cash and cash equivalents at end of period..................</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9,961</w:t>
            </w:r>
          </w:p>
        </w:tc>
        <w:tc>
          <w:tcPr>
            <w:tcW w:w="5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2,552</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$ 14,640</w:t>
            </w:r>
          </w:p>
        </w:tc>
      </w:tr>
      <w:tr>
        <w:trPr>
          <w:trHeight w:val="170"/>
        </w:trPr>
        <w:tc>
          <w:tcPr>
            <w:tcW w:w="5540" w:type="dxa"/>
            <w:vAlign w:val="bottom"/>
          </w:tcPr>
          <w:p>
            <w:pPr>
              <w:spacing w:after="0"/>
              <w:rPr>
                <w:sz w:val="14"/>
                <w:szCs w:val="14"/>
                <w:color w:val="auto"/>
              </w:rPr>
            </w:pPr>
          </w:p>
        </w:tc>
        <w:tc>
          <w:tcPr>
            <w:tcW w:w="164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20"/>
          </w:cols>
          <w:pgMar w:left="240" w:top="622" w:right="1439" w:bottom="1440" w:gutter="0" w:footer="0" w:header="0"/>
        </w:sectPr>
      </w:pPr>
    </w:p>
    <w:bookmarkStart w:id="65" w:name="page66"/>
    <w:bookmarkEnd w:id="65"/>
    <w:p>
      <w:pPr>
        <w:ind w:left="2470"/>
        <w:spacing w:after="0"/>
        <w:rPr>
          <w:sz w:val="20"/>
          <w:szCs w:val="20"/>
          <w:color w:val="auto"/>
        </w:rPr>
      </w:pPr>
      <w:r>
        <w:rPr>
          <w:rFonts w:ascii="Courier New" w:cs="Courier New" w:eastAsia="Courier New" w:hAnsi="Courier New"/>
          <w:sz w:val="15"/>
          <w:szCs w:val="15"/>
          <w:color w:val="auto"/>
        </w:rPr>
        <w:t>AMGEN-REGENERON PARTNERS</w:t>
      </w:r>
    </w:p>
    <w:p>
      <w:pPr>
        <w:ind w:left="2290"/>
        <w:spacing w:after="0"/>
        <w:rPr>
          <w:sz w:val="20"/>
          <w:szCs w:val="20"/>
          <w:color w:val="auto"/>
        </w:rPr>
      </w:pPr>
      <w:r>
        <w:rPr>
          <w:rFonts w:ascii="Courier New" w:cs="Courier New" w:eastAsia="Courier New" w:hAnsi="Courier New"/>
          <w:sz w:val="15"/>
          <w:szCs w:val="15"/>
          <w:color w:val="auto"/>
        </w:rPr>
        <w:t>NOTES TO FINANCIAL STATEMENTS</w:t>
      </w:r>
    </w:p>
    <w:p>
      <w:pPr>
        <w:spacing w:after="0" w:line="344" w:lineRule="exact"/>
        <w:rPr>
          <w:sz w:val="20"/>
          <w:szCs w:val="20"/>
          <w:color w:val="auto"/>
        </w:rPr>
      </w:pPr>
    </w:p>
    <w:p>
      <w:pPr>
        <w:ind w:left="450" w:right="5739" w:hanging="450"/>
        <w:spacing w:after="0" w:line="471" w:lineRule="auto"/>
        <w:tabs>
          <w:tab w:leader="none" w:pos="802"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Business and organization</w:t>
      </w:r>
    </w:p>
    <w:p>
      <w:pPr>
        <w:spacing w:after="0" w:line="11" w:lineRule="exact"/>
        <w:rPr>
          <w:sz w:val="20"/>
          <w:szCs w:val="20"/>
          <w:color w:val="auto"/>
        </w:rPr>
      </w:pPr>
    </w:p>
    <w:p>
      <w:pPr>
        <w:ind w:left="10" w:right="3439" w:firstLine="793"/>
        <w:spacing w:after="0" w:line="238" w:lineRule="auto"/>
        <w:rPr>
          <w:sz w:val="20"/>
          <w:szCs w:val="20"/>
          <w:color w:val="auto"/>
        </w:rPr>
      </w:pPr>
      <w:r>
        <w:rPr>
          <w:rFonts w:ascii="Courier New" w:cs="Courier New" w:eastAsia="Courier New" w:hAnsi="Courier New"/>
          <w:sz w:val="15"/>
          <w:szCs w:val="15"/>
          <w:color w:val="auto"/>
        </w:rPr>
        <w:t>Amgen-Regeneron Partners (the "Partnership"), a general partnership, was formed on June 21, 1991, under the laws of the State of Delaware between Amgen Inc. ("Amgen") and Regeneron Pharmaceuticals, Inc. ("Regeneron"). The Partnership was formed to develop and commercialize in the United States BDNF and NT-3 ("Products") for human pharmaceutical use, in conformity with a Collaboration Agreement (Note 3).</w:t>
      </w:r>
    </w:p>
    <w:p>
      <w:pPr>
        <w:spacing w:after="0" w:line="176" w:lineRule="exact"/>
        <w:rPr>
          <w:sz w:val="20"/>
          <w:szCs w:val="20"/>
          <w:color w:val="auto"/>
        </w:rPr>
      </w:pPr>
    </w:p>
    <w:p>
      <w:pPr>
        <w:ind w:left="10" w:right="3259" w:firstLine="793"/>
        <w:spacing w:after="0" w:line="258" w:lineRule="auto"/>
        <w:rPr>
          <w:sz w:val="20"/>
          <w:szCs w:val="20"/>
          <w:color w:val="auto"/>
        </w:rPr>
      </w:pPr>
      <w:r>
        <w:rPr>
          <w:rFonts w:ascii="Courier New" w:cs="Courier New" w:eastAsia="Courier New" w:hAnsi="Courier New"/>
          <w:sz w:val="14"/>
          <w:szCs w:val="14"/>
          <w:color w:val="auto"/>
        </w:rPr>
        <w:t>In January 1997, Amgen and Regeneron announced that the Phase 3 clinical trial of BDNF did not demonstrate clinical efficacy in patients with amyotrophic lateral sclerosis ("ALS"), commonly known as Lou Gehrig's Disease. The trial was designed to evaluate the effects of subcutaneous delivery of BDNF for ALS. On behalf of the Partnership, Amgen and Regeneron continue to investigate intrathecal and subcutaneous delivery of BDNF for ALS.</w:t>
      </w:r>
    </w:p>
    <w:p>
      <w:pPr>
        <w:spacing w:after="0" w:line="164" w:lineRule="exact"/>
        <w:rPr>
          <w:sz w:val="20"/>
          <w:szCs w:val="20"/>
          <w:color w:val="auto"/>
        </w:rPr>
      </w:pP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Under the Collaboration Agreement, Amgen will be primarily responsible for the manufacture and commercialization of the Products in the United States if successfully developed by the Partnership. Amgen's costs in connection with such activities will be reimbursed at agreed-to rates. Unless terminated earlier, the Partnership will continue in effect, with respect to each Product, until the later of the expiration of the last United States patent of each Product, or fifteen years from the date on which each Product was approved for sale in the United States.</w:t>
      </w:r>
    </w:p>
    <w:p>
      <w:pPr>
        <w:spacing w:after="0" w:line="178"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A Joint Management Committee (the "Committee") is responsible for the overall management of the business and affairs of the Partnership as well as activities performed under the Collaboration Agreement. Each partner has appointed three representatives to the Committee. One additional representative may be appointed by a partner if the balance of their capital account becomes more than twice the amount of the balance of the other partner's capital account (Note 2).</w:t>
      </w:r>
    </w:p>
    <w:p>
      <w:pPr>
        <w:spacing w:after="0" w:line="171"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Cash equivalents</w:t>
      </w:r>
    </w:p>
    <w:p>
      <w:pPr>
        <w:spacing w:after="0" w:line="175" w:lineRule="exact"/>
        <w:rPr>
          <w:sz w:val="20"/>
          <w:szCs w:val="20"/>
          <w:color w:val="auto"/>
        </w:rPr>
      </w:pPr>
    </w:p>
    <w:p>
      <w:pPr>
        <w:ind w:left="10" w:right="3259" w:firstLine="793"/>
        <w:spacing w:after="0" w:line="259" w:lineRule="auto"/>
        <w:rPr>
          <w:sz w:val="20"/>
          <w:szCs w:val="20"/>
          <w:color w:val="auto"/>
        </w:rPr>
      </w:pPr>
      <w:r>
        <w:rPr>
          <w:rFonts w:ascii="Courier New" w:cs="Courier New" w:eastAsia="Courier New" w:hAnsi="Courier New"/>
          <w:sz w:val="14"/>
          <w:szCs w:val="14"/>
          <w:color w:val="auto"/>
        </w:rPr>
        <w:t>The Partnership considers only those investments which are highly liquid, readily convertible to cash and which mature within three months of the date of purchase as cash equivalents. At December 31, 1998 and 1997, cash and cash equivalents consisted of a single interest bearing money market account.</w:t>
      </w:r>
    </w:p>
    <w:p>
      <w:pPr>
        <w:spacing w:after="0" w:line="327"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29"/>
          </w:cols>
          <w:pgMar w:left="230" w:top="622" w:right="1440" w:bottom="1440" w:gutter="0" w:footer="0" w:header="0"/>
        </w:sectPr>
      </w:pPr>
    </w:p>
    <w:bookmarkStart w:id="66" w:name="page67"/>
    <w:bookmarkEnd w:id="66"/>
    <w:p>
      <w:pPr>
        <w:ind w:left="2470"/>
        <w:spacing w:after="0"/>
        <w:rPr>
          <w:sz w:val="20"/>
          <w:szCs w:val="20"/>
          <w:color w:val="auto"/>
        </w:rPr>
      </w:pPr>
      <w:r>
        <w:rPr>
          <w:rFonts w:ascii="Courier New" w:cs="Courier New" w:eastAsia="Courier New" w:hAnsi="Courier New"/>
          <w:sz w:val="15"/>
          <w:szCs w:val="15"/>
          <w:color w:val="auto"/>
        </w:rPr>
        <w:t>AMGEN-REGENERON PARTNERS</w:t>
      </w:r>
    </w:p>
    <w:p>
      <w:pPr>
        <w:ind w:left="177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Research and development</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Research and development costs are expensed as incurred.</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left="10" w:right="3699" w:firstLine="793"/>
        <w:spacing w:after="0" w:line="237" w:lineRule="auto"/>
        <w:rPr>
          <w:sz w:val="20"/>
          <w:szCs w:val="20"/>
          <w:color w:val="auto"/>
        </w:rPr>
      </w:pPr>
      <w:r>
        <w:rPr>
          <w:rFonts w:ascii="Courier New" w:cs="Courier New" w:eastAsia="Courier New" w:hAnsi="Courier New"/>
          <w:sz w:val="15"/>
          <w:szCs w:val="15"/>
          <w:color w:val="auto"/>
        </w:rPr>
        <w:t>The Partnership's financial statements do not include a provision (credit) for income taxes. Income taxes, if any, are the liability of the individual partners.</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Use of estimates</w:t>
      </w:r>
    </w:p>
    <w:p>
      <w:pPr>
        <w:spacing w:after="0" w:line="175" w:lineRule="exact"/>
        <w:rPr>
          <w:sz w:val="20"/>
          <w:szCs w:val="20"/>
          <w:color w:val="auto"/>
        </w:rPr>
      </w:pPr>
    </w:p>
    <w:p>
      <w:pPr>
        <w:ind w:left="10" w:right="3439" w:firstLine="793"/>
        <w:spacing w:after="0" w:line="259"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163" w:lineRule="exact"/>
        <w:rPr>
          <w:sz w:val="20"/>
          <w:szCs w:val="20"/>
          <w:color w:val="auto"/>
        </w:rPr>
      </w:pPr>
    </w:p>
    <w:p>
      <w:pPr>
        <w:ind w:left="790" w:right="3799" w:hanging="790"/>
        <w:spacing w:after="0" w:line="235" w:lineRule="auto"/>
        <w:tabs>
          <w:tab w:leader="none" w:pos="79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contributions, allocation of profits and losses and cash distributions</w:t>
      </w:r>
    </w:p>
    <w:p>
      <w:pPr>
        <w:spacing w:after="0" w:line="176" w:lineRule="exact"/>
        <w:rPr>
          <w:sz w:val="20"/>
          <w:szCs w:val="20"/>
          <w:color w:val="auto"/>
        </w:rPr>
      </w:pPr>
    </w:p>
    <w:p>
      <w:pPr>
        <w:ind w:left="10" w:right="3359" w:firstLine="793"/>
        <w:spacing w:after="0" w:line="238" w:lineRule="auto"/>
        <w:rPr>
          <w:sz w:val="20"/>
          <w:szCs w:val="20"/>
          <w:color w:val="auto"/>
        </w:rPr>
      </w:pPr>
      <w:r>
        <w:rPr>
          <w:rFonts w:ascii="Courier New" w:cs="Courier New" w:eastAsia="Courier New" w:hAnsi="Courier New"/>
          <w:sz w:val="15"/>
          <w:szCs w:val="15"/>
          <w:color w:val="auto"/>
        </w:rPr>
        <w:t>Capital contributions are recorded in the capital account of each partner. Capital account contributions are generally made quarterly in advance based upon capital calls made by the Committee pursuant to projected cash requirements of the Partnership. Cash distributions, if any, and profits or losses are allocated to each partner in proportion to their respective capital account contributions.</w:t>
      </w:r>
    </w:p>
    <w:p>
      <w:pPr>
        <w:spacing w:after="0" w:line="170" w:lineRule="exact"/>
        <w:rPr>
          <w:sz w:val="20"/>
          <w:szCs w:val="20"/>
          <w:color w:val="auto"/>
        </w:rPr>
      </w:pPr>
    </w:p>
    <w:p>
      <w:pPr>
        <w:ind w:left="790" w:hanging="790"/>
        <w:spacing w:after="0"/>
        <w:tabs>
          <w:tab w:leader="none" w:pos="79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Collaboration Agreement</w:t>
      </w:r>
    </w:p>
    <w:p>
      <w:pPr>
        <w:spacing w:after="0" w:line="175" w:lineRule="exact"/>
        <w:rPr>
          <w:sz w:val="20"/>
          <w:szCs w:val="20"/>
          <w:color w:val="auto"/>
        </w:rPr>
      </w:pPr>
    </w:p>
    <w:p>
      <w:pPr>
        <w:ind w:left="10" w:right="3359" w:firstLine="793"/>
        <w:spacing w:after="0" w:line="238" w:lineRule="auto"/>
        <w:rPr>
          <w:sz w:val="20"/>
          <w:szCs w:val="20"/>
          <w:color w:val="auto"/>
        </w:rPr>
      </w:pPr>
      <w:r>
        <w:rPr>
          <w:rFonts w:ascii="Courier New" w:cs="Courier New" w:eastAsia="Courier New" w:hAnsi="Courier New"/>
          <w:sz w:val="15"/>
          <w:szCs w:val="15"/>
          <w:color w:val="auto"/>
        </w:rPr>
        <w:t>In August 1990, Amgen and Regeneron entered into a Collaboration Agreement to develop and commercialize BDNF and NT-3, compounds for which Regeneron possesses substantial scientific, technical and proprietary information. Each party has agreed to perform research and development on the Products under product development programs approved by the Committee. Upon Amgen's notification in writing to Regeneron that the preparation of an Investigational New Drug Application for each Product should commence, the licenses granted by the partners to the Partnership for the underlying technologies, discussed below, became effective on a Product-by-Product basis. Also, upon such notification, further research and development of the Products under the licenses became the obligation of the Partnership. These licenses grant the Partnership an</w:t>
      </w:r>
    </w:p>
    <w:p>
      <w:pPr>
        <w:spacing w:after="0" w:line="346"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29"/>
          </w:cols>
          <w:pgMar w:left="230" w:top="622" w:right="1440" w:bottom="1440" w:gutter="0" w:footer="0" w:header="0"/>
        </w:sectPr>
      </w:pPr>
    </w:p>
    <w:bookmarkStart w:id="67" w:name="page68"/>
    <w:bookmarkEnd w:id="67"/>
    <w:p>
      <w:pPr>
        <w:ind w:left="2470"/>
        <w:spacing w:after="0"/>
        <w:rPr>
          <w:sz w:val="20"/>
          <w:szCs w:val="20"/>
          <w:color w:val="auto"/>
        </w:rPr>
      </w:pPr>
      <w:r>
        <w:rPr>
          <w:rFonts w:ascii="Courier New" w:cs="Courier New" w:eastAsia="Courier New" w:hAnsi="Courier New"/>
          <w:sz w:val="15"/>
          <w:szCs w:val="15"/>
          <w:color w:val="auto"/>
        </w:rPr>
        <w:t>AMGEN-REGENERON PARTNERS</w:t>
      </w:r>
    </w:p>
    <w:p>
      <w:pPr>
        <w:ind w:left="177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74"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exclusive royalty-free right to develop, make, have made, use, sell and distribute each Product for human pharmaceutical use in the United States. The Partnership has, in turn, granted to Amgen and Regeneron exclusive royalty-free sublicenses for the underlying technologies to the extent necessary to fulfill their obligations under the Collaboration Agreement. These sublicenses became effective at the same time the related licenses granted the Partnership became effective.</w:t>
      </w:r>
    </w:p>
    <w:p>
      <w:pPr>
        <w:spacing w:after="0" w:line="177" w:lineRule="exact"/>
        <w:rPr>
          <w:sz w:val="20"/>
          <w:szCs w:val="20"/>
          <w:color w:val="auto"/>
        </w:rPr>
      </w:pPr>
    </w:p>
    <w:p>
      <w:pPr>
        <w:ind w:left="10" w:right="3179" w:firstLine="793"/>
        <w:spacing w:after="0" w:line="256" w:lineRule="auto"/>
        <w:rPr>
          <w:sz w:val="20"/>
          <w:szCs w:val="20"/>
          <w:color w:val="auto"/>
        </w:rPr>
      </w:pPr>
      <w:r>
        <w:rPr>
          <w:rFonts w:ascii="Courier New" w:cs="Courier New" w:eastAsia="Courier New" w:hAnsi="Courier New"/>
          <w:sz w:val="14"/>
          <w:szCs w:val="14"/>
          <w:color w:val="auto"/>
        </w:rPr>
        <w:t>Pursuant to the terms of the Collaboration Agreement, Amgen and Regeneron conduct certain research and development activities on behalf of the Partnership, including contracting with third parties to conduct clinical trials. Amgen also provides on behalf of the Partnership certain quantities of materials, primarily for clinical testing. Amgen and Regeneron are paid for such services and materials at amounts approved by the Committee. During the years ended December 31, 1998, 1997 and 1996, the Partnership incurred expenses (including accrued expenses) of $2,448,000, $5,561,000 and $23,191,000, respectively, from Amgen and $2,787,000, $1,517,000 and $5,878,000, respectively, from Regeneron for such services and materials. These amounts are included in research and development expense in the accompanying statements of operations. Included in the Regeneron amount for the year ended December 31,</w:t>
      </w:r>
    </w:p>
    <w:p>
      <w:pPr>
        <w:spacing w:after="0" w:line="4"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1998 is $931,000 of clinical materials provided to the Partnership by Amgen. In addition, certain other costs associated with the development of the Products have been incurred by the partners but not charged to the Partnership or reflected in the accompanying financial statements. At December 31, 1998, accounts payable and accrued expenses due to partners was composed of $1,244,000 of accounts payable and $2,096,000 of accrued clinical costs due to Amgen and $130,000 of accounts payable and $309,000 of accrued clinical costs due to Regeneron. At December 31, 1997, accounts payable and accrued expenses due to partners was composed of $616,000 of accounts payable and $851,000 of accrued clinical costs due to Amgen and $357,000 of accounts payable due to Regeneron.</w:t>
      </w:r>
    </w:p>
    <w:p>
      <w:pPr>
        <w:spacing w:after="0" w:line="161" w:lineRule="exact"/>
        <w:rPr>
          <w:sz w:val="20"/>
          <w:szCs w:val="20"/>
          <w:color w:val="auto"/>
        </w:rPr>
      </w:pPr>
    </w:p>
    <w:p>
      <w:pPr>
        <w:ind w:left="790" w:hanging="790"/>
        <w:spacing w:after="0"/>
        <w:tabs>
          <w:tab w:leader="none" w:pos="79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2000 (Unaudited)</w:t>
      </w:r>
    </w:p>
    <w:p>
      <w:pPr>
        <w:spacing w:after="0" w:line="175" w:lineRule="exact"/>
        <w:rPr>
          <w:sz w:val="20"/>
          <w:szCs w:val="20"/>
          <w:color w:val="auto"/>
        </w:rPr>
      </w:pPr>
    </w:p>
    <w:p>
      <w:pPr>
        <w:ind w:left="10" w:right="3259" w:firstLine="793"/>
        <w:spacing w:after="0" w:line="257" w:lineRule="auto"/>
        <w:rPr>
          <w:sz w:val="20"/>
          <w:szCs w:val="20"/>
          <w:color w:val="auto"/>
        </w:rPr>
      </w:pPr>
      <w:r>
        <w:rPr>
          <w:rFonts w:ascii="Courier New" w:cs="Courier New" w:eastAsia="Courier New" w:hAnsi="Courier New"/>
          <w:sz w:val="14"/>
          <w:szCs w:val="14"/>
          <w:color w:val="auto"/>
        </w:rPr>
        <w:t>The Year 2000 problem (the "Year 2000 Problem") results from computer programs and devices that do not differentiate between the year 1900 and the year 2000 because they were written using two digits rather than four to define the applicable year; accordingly, computer systems that have time-sensitive calculations may not properly recognize the year 2000. Because Amgen maintains the books and records, manufactures and stores clinical supplies (and other reagents), and conducts certain clinical trials for the Partnership, the Partnership's ability to become year 2000 compliant is primarily dependent upon Amgen's ability to become compliant. The Partnership's ability to</w:t>
      </w:r>
    </w:p>
    <w:p>
      <w:pPr>
        <w:spacing w:after="0" w:line="33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29"/>
          </w:cols>
          <w:pgMar w:left="230" w:top="622" w:right="1440" w:bottom="1440" w:gutter="0" w:footer="0" w:header="0"/>
        </w:sectPr>
      </w:pPr>
    </w:p>
    <w:bookmarkStart w:id="68" w:name="page69"/>
    <w:bookmarkEnd w:id="68"/>
    <w:p>
      <w:pPr>
        <w:ind w:left="2460"/>
        <w:spacing w:after="0"/>
        <w:rPr>
          <w:sz w:val="20"/>
          <w:szCs w:val="20"/>
          <w:color w:val="auto"/>
        </w:rPr>
      </w:pPr>
      <w:r>
        <w:rPr>
          <w:rFonts w:ascii="Courier New" w:cs="Courier New" w:eastAsia="Courier New" w:hAnsi="Courier New"/>
          <w:sz w:val="15"/>
          <w:szCs w:val="15"/>
          <w:color w:val="auto"/>
        </w:rPr>
        <w:t>AMGEN-REGENERON PARTNERS</w:t>
      </w:r>
    </w:p>
    <w:p>
      <w:pPr>
        <w:ind w:left="176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74"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become year 2000 compliant is also dependent upon Regeneron's ability to become compliant, to the extent that Regeneron conducts certain clinical trials for the Partnership or otherwise owes certain duties to the Partnership. Amgen and Regeneron are not currently year 2000 compliant and their year 2000 assessments are not complete. Like many corporations, Amgen and Regeneron do not have any previous experience with an issue like the Year 2000 Problem.</w:t>
      </w:r>
    </w:p>
    <w:p>
      <w:pPr>
        <w:spacing w:after="0" w:line="164"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The Year 2000 Problem potentially affects Amgen's ability to produce clinical materials and both Amgen's and Regeneron's ability to conduct clinical trials, bill for the clinical trials and make capital contributions to the Partnership. Although Amgen believes it is developing an appropriate program to address the Year 2000 Problem, it cannot guarantee that its program will succeed or will be timely. Amgen has conducted an initial review of its computer systems, devices, applications and manufacturing equipment (collectively, the "Computer Systems") to identify those areas that could be affected by the Year 2000 Problem. Additionally, Amgen plans to perform remediation, testing and implementation in those areas of the Computer Systems identified as affected by the Year 2000 Problem. Amgen is using both internal and external resources to identify, correct/reprogram, and test its Computer Systems for year 2000 compliance. However, Amgen cannot guarantee that these resources will be available at a reasonable cost, or at all, due, in part, to competing demands for these resources which Amgen anticipates will increase as January 1, 2000 nears. Amgen has begun to identify critical providers of information, goods and services ("Suppliers") in order to assess their year 2000 compliance/readiness. Suppliers will be prioritized based on business criticality and year 2000 surveys will be sent to them. The failure of Suppliers to become year 2000 compliant on a timely basis, or at all, could have a material adverse effect on Amgen. Amgen may also be affected by the failure of other third parties to be year 2000 compliant even though these third parties do not directly conduct business with Amgen. Amgen does not currently have a year 2000 contingency plan established. While Amgen has developed a program to address the Year 2000 Problem with respect to its Computer Systems and Suppliers and is in the process of developing a contingency plan for the Year 2000 Problem, Amgen cannot guarantee that this program will succeed or will be timely. If Amgen's program to address the Year 2000 Problem does not succeed or is not timely, the Year</w:t>
      </w:r>
    </w:p>
    <w:p>
      <w:pPr>
        <w:spacing w:after="0" w:line="179"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2000 Problem could have a material adverse effect on the operation and financial position of the Partnership. Additional disclosure about Amgen's year 2000 program may be found in Amgen's Annual Report on Form 10-K for the year ended December 31, 1998.</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Regeneron is evaluating its operations to determine the impact, if any, that the Year 2000 Problem may have. To date, Regeneron has not learned of any material year 2000 issue with respect to its computer systems and software. Regeneron is in the process of analyzing its laboratory and manufacturing equipment with embedded</w:t>
      </w: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19"/>
          </w:cols>
          <w:pgMar w:left="240" w:top="622" w:right="1440" w:bottom="1440" w:gutter="0" w:footer="0" w:header="0"/>
        </w:sectPr>
      </w:pPr>
    </w:p>
    <w:bookmarkStart w:id="69" w:name="page70"/>
    <w:bookmarkEnd w:id="69"/>
    <w:p>
      <w:pPr>
        <w:ind w:left="2460"/>
        <w:spacing w:after="0"/>
        <w:rPr>
          <w:sz w:val="20"/>
          <w:szCs w:val="20"/>
          <w:color w:val="auto"/>
        </w:rPr>
      </w:pPr>
      <w:r>
        <w:rPr>
          <w:rFonts w:ascii="Courier New" w:cs="Courier New" w:eastAsia="Courier New" w:hAnsi="Courier New"/>
          <w:sz w:val="15"/>
          <w:szCs w:val="15"/>
          <w:color w:val="auto"/>
        </w:rPr>
        <w:t>AMGEN-REGENERON PARTNERS</w:t>
      </w:r>
    </w:p>
    <w:p>
      <w:pPr>
        <w:ind w:left="176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74"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systems. This analysis is incomplete. Regeneron is also in the process of surveying its vendors who support critical business processes to determine their level of readiness with respect to year 2000 issues. While many vendors indicate that they believe they are or will be year 2000 compliant, many others state that they cannot represent that they have achieved compliance or guarantee the efficacy of their remediation efforts. Many vendors state that the problem is too complex for such a claim to have legitimacy; that efforts to solve the Year 2000 Problem are merely in the nature of risk mitigation; and that success in such efforts will be measured, with hindsight, by the minimization of the level of technical failures and by the prompt identification and repair of failures. The analysis of Regeneron's embedded systems and the information collected regarding vendor readiness will be used to formulate a contingency plan with respect to reasonably identifiable items of equipment and supply of materials that are critical to Regeneron's operations. These analyses and plans are not complete. No assurance can be made that Regeneron's computer systems and software, embedded systems in non-computer equipment, and vendors will be year 2000 compliant in a timely or cost-effective manner. The failure of certain third parties (including Amgen and utility and communications companies) to operate in a normal and customary manner and to maintain year 2000 compliance (or to assure that their vendors and suppliers are year 2000 compliant) could have a material adverse effect on the operations and financial condition of Regeneron. It is possible that Regeneron could be adversely affected by the failure of other third parties to be year 2000 compliant even though these third parties do not directly conduct business with Regeneron. It is not possible to guarantee that Regeneron's year 2000 contingency plan will succeed or be timely. Additional disclosure about Regeneron's year 2000 activities may be found in Regeneron's Annual Report on Form 10-K for the year ended December 31, 1998. If Regeneron's program to address the Year 2000 Problem does not succeed or is not timely, the Year 2000 Problem could have a material adverse effect on the operation and financial position of the Partnership.</w:t>
      </w:r>
    </w:p>
    <w:p>
      <w:pPr>
        <w:spacing w:after="0" w:line="200" w:lineRule="exact"/>
        <w:rPr>
          <w:sz w:val="20"/>
          <w:szCs w:val="20"/>
          <w:color w:val="auto"/>
        </w:rPr>
      </w:pPr>
    </w:p>
    <w:p>
      <w:pPr>
        <w:spacing w:after="0" w:line="31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19"/>
          </w:cols>
          <w:pgMar w:left="240" w:top="622" w:right="1440" w:bottom="1440" w:gutter="0" w:footer="0" w:header="0"/>
        </w:sectPr>
      </w:pPr>
    </w:p>
    <w:bookmarkStart w:id="70" w:name="page71"/>
    <w:bookmarkEnd w:id="70"/>
    <w:p>
      <w:pPr>
        <w:jc w:val="right"/>
        <w:ind w:right="3179"/>
        <w:spacing w:after="0"/>
        <w:rPr>
          <w:sz w:val="20"/>
          <w:szCs w:val="20"/>
          <w:color w:val="auto"/>
        </w:rPr>
      </w:pPr>
      <w:r>
        <w:rPr>
          <w:rFonts w:ascii="Courier New" w:cs="Courier New" w:eastAsia="Courier New" w:hAnsi="Courier New"/>
          <w:sz w:val="15"/>
          <w:szCs w:val="15"/>
          <w:color w:val="auto"/>
        </w:rPr>
        <w:t>Exhibit 23.1</w:t>
      </w:r>
    </w:p>
    <w:p>
      <w:pPr>
        <w:spacing w:after="0" w:line="5" w:lineRule="exact"/>
        <w:rPr>
          <w:sz w:val="20"/>
          <w:szCs w:val="20"/>
          <w:color w:val="auto"/>
        </w:rPr>
      </w:pPr>
    </w:p>
    <w:p>
      <w:pPr>
        <w:ind w:left="59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44" w:lineRule="exact"/>
        <w:rPr>
          <w:sz w:val="20"/>
          <w:szCs w:val="20"/>
          <w:color w:val="auto"/>
        </w:rPr>
      </w:pPr>
    </w:p>
    <w:p>
      <w:pPr>
        <w:ind w:right="3359"/>
        <w:spacing w:after="0" w:line="256"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of Regeneron Pharmaceuticals, Inc. on Form S-8 (File Nos. 33-50480, 33-85330,</w:t>
      </w:r>
    </w:p>
    <w:p>
      <w:pPr>
        <w:spacing w:after="0" w:line="1"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33-97176, and 333-33891) of our report, which is based in part on the report of other auditors, dated February 5, 1999, on our audits of the financial statements of Regeneron Pharmaceuticals, Inc. as of December 31, 1998 and 1997, and for the years ended December 31, 1998, 1997 and 1996, which report is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PricewaterhouseCoopers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rPr>
          <w:sz w:val="20"/>
          <w:szCs w:val="20"/>
          <w:color w:val="auto"/>
        </w:rPr>
      </w:pPr>
      <w:r>
        <w:rPr>
          <w:rFonts w:ascii="Courier New" w:cs="Courier New" w:eastAsia="Courier New" w:hAnsi="Courier New"/>
          <w:sz w:val="15"/>
          <w:szCs w:val="15"/>
          <w:color w:val="auto"/>
        </w:rPr>
        <w:t>March 25, 1999</w:t>
      </w:r>
    </w:p>
    <w:p>
      <w:pPr>
        <w:sectPr>
          <w:pgSz w:w="11900" w:h="16838" w:orient="portrait"/>
          <w:cols w:equalWidth="0" w:num="1">
            <w:col w:w="10219"/>
          </w:cols>
          <w:pgMar w:left="240" w:top="791" w:right="1440" w:bottom="1440" w:gutter="0" w:footer="0" w:header="0"/>
        </w:sectPr>
      </w:pPr>
    </w:p>
    <w:bookmarkStart w:id="71" w:name="page72"/>
    <w:bookmarkEnd w:id="71"/>
    <w:p>
      <w:pPr>
        <w:jc w:val="right"/>
        <w:ind w:right="3179"/>
        <w:spacing w:after="0"/>
        <w:rPr>
          <w:sz w:val="20"/>
          <w:szCs w:val="20"/>
          <w:color w:val="auto"/>
        </w:rPr>
      </w:pPr>
      <w:r>
        <w:rPr>
          <w:rFonts w:ascii="Courier New" w:cs="Courier New" w:eastAsia="Courier New" w:hAnsi="Courier New"/>
          <w:sz w:val="15"/>
          <w:szCs w:val="15"/>
          <w:color w:val="auto"/>
        </w:rPr>
        <w:t>Exhibit 23.2</w:t>
      </w:r>
    </w:p>
    <w:p>
      <w:pPr>
        <w:spacing w:after="0" w:line="5" w:lineRule="exact"/>
        <w:rPr>
          <w:sz w:val="20"/>
          <w:szCs w:val="20"/>
          <w:color w:val="auto"/>
        </w:rPr>
      </w:pPr>
    </w:p>
    <w:p>
      <w:pPr>
        <w:ind w:left="59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34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consent to the incorporation by reference in the Registration Statement (Form S-8 No. 33-50480) pertaining to the Regeneron Pharmaceuticals, Inc. 1990 Long Term Incentive Plan and in the Registration Statements (Form S-8 No. 33-85330, Form S-8 No. 33-97176, and Form S-8 No. 333-33891) pertaining to the Regeneron Pharmaceuticals, Inc. Amended and Restated 1990 Long Term Incentive Plan of our report dated February 5, 1999, with respect to the financial statements of Amgen-Regeneron Partners included in Regeneron Pharmaceuticals, Inc.'s Annual Report (Form 10-K) for the year ended December 31, 1998.</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ERNST &amp; YOUNG LLP</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 Angeles, California</w:t>
      </w:r>
    </w:p>
    <w:p>
      <w:pPr>
        <w:spacing w:after="0"/>
        <w:rPr>
          <w:sz w:val="20"/>
          <w:szCs w:val="20"/>
          <w:color w:val="auto"/>
        </w:rPr>
      </w:pPr>
      <w:r>
        <w:rPr>
          <w:rFonts w:ascii="Courier New" w:cs="Courier New" w:eastAsia="Courier New" w:hAnsi="Courier New"/>
          <w:sz w:val="15"/>
          <w:szCs w:val="15"/>
          <w:color w:val="auto"/>
        </w:rPr>
        <w:t>February 5, 1999</w:t>
      </w:r>
    </w:p>
    <w:p>
      <w:pPr>
        <w:sectPr>
          <w:pgSz w:w="11900" w:h="16838" w:orient="portrait"/>
          <w:cols w:equalWidth="0" w:num="1">
            <w:col w:w="10219"/>
          </w:cols>
          <w:pgMar w:left="240" w:top="791" w:right="1440" w:bottom="1440" w:gutter="0" w:footer="0" w:header="0"/>
        </w:sectPr>
      </w:pPr>
    </w:p>
    <w:bookmarkStart w:id="72" w:name="page73"/>
    <w:bookmarkEnd w:id="72"/>
    <w:p>
      <w:pPr>
        <w:jc w:val="right"/>
        <w:ind w:right="3179"/>
        <w:spacing w:after="0"/>
        <w:rPr>
          <w:sz w:val="20"/>
          <w:szCs w:val="20"/>
          <w:color w:val="auto"/>
        </w:rPr>
      </w:pPr>
      <w:r>
        <w:rPr>
          <w:rFonts w:ascii="Courier New" w:cs="Courier New" w:eastAsia="Courier New" w:hAnsi="Courier New"/>
          <w:sz w:val="15"/>
          <w:szCs w:val="15"/>
          <w:color w:val="auto"/>
        </w:rPr>
        <w:t>Exhibit 24</w:t>
      </w:r>
    </w:p>
    <w:p>
      <w:pPr>
        <w:spacing w:after="0" w:line="5" w:lineRule="exact"/>
        <w:rPr>
          <w:sz w:val="20"/>
          <w:szCs w:val="20"/>
          <w:color w:val="auto"/>
        </w:rPr>
      </w:pPr>
    </w:p>
    <w:p>
      <w:pPr>
        <w:ind w:left="616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Power of Attorney</w:t>
      </w:r>
    </w:p>
    <w:p>
      <w:pPr>
        <w:spacing w:after="0" w:line="344"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KNOW ALL PERSONS BY THESE PRESENTS, that I the undersigned, a director of Regeneron Pharmaceuticals, Inc., a New York corporation, do hereby constitute and appoint Leonard S. Schleifer and Paul Lubetkin, and each of them severally to be my true and lawful attorneys-in-fact and agents each acting alone with full power of substitution and revocation, to sign my name to the Regeneron Pharmaceuticals, Inc. Annual Report on Form 10-K for the year ended December 31, 1998 and any and all amendments to such Annual Report, and to file the same, with all exhibits thereto, and other documents in connection therewith, with the Securities and Exchange Commission, and I hereby grant unto said attorneys-in-fact and agents full power and authority to do and perform each and every act and thing requisite and necessary to be done, as full as to all intents and purposes as such person might or could do in person, hereby ratifying and confirming all that said attorney-in-fact and agent or his substitute or substitutes, may lawfully do or cause to be done by virtue hereof.</w:t>
      </w:r>
    </w:p>
    <w:p>
      <w:pPr>
        <w:spacing w:after="0" w:line="15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 WITNESS WHEREOF, I have subscribed these presents as of March 24,</w:t>
      </w:r>
    </w:p>
    <w:p>
      <w:pPr>
        <w:spacing w:after="0"/>
        <w:rPr>
          <w:sz w:val="20"/>
          <w:szCs w:val="20"/>
          <w:color w:val="auto"/>
        </w:rPr>
      </w:pPr>
      <w:r>
        <w:rPr>
          <w:rFonts w:ascii="Courier New" w:cs="Courier New" w:eastAsia="Courier New" w:hAnsi="Courier New"/>
          <w:sz w:val="15"/>
          <w:szCs w:val="15"/>
          <w:color w:val="auto"/>
        </w:rPr>
        <w:t>1999.</w:t>
      </w:r>
    </w:p>
    <w:p>
      <w:pPr>
        <w:spacing w:after="0" w:line="200" w:lineRule="exact"/>
        <w:rPr>
          <w:sz w:val="20"/>
          <w:szCs w:val="20"/>
          <w:color w:val="auto"/>
        </w:rPr>
      </w:pPr>
    </w:p>
    <w:p>
      <w:pPr>
        <w:spacing w:after="0" w:line="308"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/s/ P. Roy Vagelos</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P. Roy Vagelos, M.D.</w:t>
      </w:r>
    </w:p>
    <w:p>
      <w:pPr>
        <w:sectPr>
          <w:pgSz w:w="11900" w:h="16838" w:orient="portrait"/>
          <w:cols w:equalWidth="0" w:num="1">
            <w:col w:w="10219"/>
          </w:cols>
          <w:pgMar w:left="240" w:top="791" w:right="1440" w:bottom="1440" w:gutter="0" w:footer="0" w:header="0"/>
        </w:sectPr>
      </w:pPr>
    </w:p>
    <w:bookmarkStart w:id="73" w:name="page74"/>
    <w:bookmarkEnd w:id="73"/>
    <w:p>
      <w:pPr>
        <w:ind w:left="2820"/>
        <w:spacing w:after="0"/>
        <w:rPr>
          <w:sz w:val="20"/>
          <w:szCs w:val="20"/>
          <w:color w:val="auto"/>
        </w:rPr>
      </w:pPr>
      <w:r>
        <w:rPr>
          <w:rFonts w:ascii="Courier New" w:cs="Courier New" w:eastAsia="Courier New" w:hAnsi="Courier New"/>
          <w:sz w:val="15"/>
          <w:szCs w:val="15"/>
          <w:color w:val="auto"/>
        </w:rPr>
        <w:t>Power of Attorney</w:t>
      </w:r>
    </w:p>
    <w:p>
      <w:pPr>
        <w:spacing w:after="0" w:line="344"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KNOW ALL PERSONS BY THESE PRESENTS, that I the undersigned, a director of Regeneron Pharmaceuticals, Inc., a New York corporation, do hereby constitute and appoint Leonard S. Schleifer and Paul Lubetkin, and each of them severally to be my true and lawful attorneys-in-fact and agents each acting alone with full power of substitution and revocation, to sign my name to the Regeneron Pharmaceuticals, Inc. Annual Report on Form 10-K for the year ended December 31, 1998 and any and all amendments to such Annual Report, and to file the same, with all exhibits thereto, and other documents in connection therewith, with the Securities and Exchange Commission, and I hereby grant unto said attorneys-in-fact and agents full power and authority to do and perform each and every act and thing requisite and necessary to be done, as full as to all intents and purposes as such person might or could do in person, hereby ratifying and confirming all that said attorney-in-fact and agent or his substitute or substitutes, may lawfully do or cause to be done by virtue hereof.</w:t>
      </w:r>
    </w:p>
    <w:p>
      <w:pPr>
        <w:spacing w:after="0" w:line="15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 WITNESS WHEREOF, I have subscribed these presents as of March 24,</w:t>
      </w:r>
    </w:p>
    <w:p>
      <w:pPr>
        <w:spacing w:after="0"/>
        <w:rPr>
          <w:sz w:val="20"/>
          <w:szCs w:val="20"/>
          <w:color w:val="auto"/>
        </w:rPr>
      </w:pPr>
      <w:r>
        <w:rPr>
          <w:rFonts w:ascii="Courier New" w:cs="Courier New" w:eastAsia="Courier New" w:hAnsi="Courier New"/>
          <w:sz w:val="15"/>
          <w:szCs w:val="15"/>
          <w:color w:val="auto"/>
        </w:rPr>
        <w:t>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/s/ Charles A. Baker</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Charles A. Baker</w:t>
      </w:r>
    </w:p>
    <w:p>
      <w:pPr>
        <w:sectPr>
          <w:pgSz w:w="11900" w:h="16838" w:orient="portrait"/>
          <w:cols w:equalWidth="0" w:num="1">
            <w:col w:w="10219"/>
          </w:cols>
          <w:pgMar w:left="240" w:top="622" w:right="1440" w:bottom="1440" w:gutter="0" w:footer="0" w:header="0"/>
        </w:sectPr>
      </w:pPr>
    </w:p>
    <w:bookmarkStart w:id="74" w:name="page75"/>
    <w:bookmarkEnd w:id="74"/>
    <w:p>
      <w:pPr>
        <w:ind w:left="2820"/>
        <w:spacing w:after="0"/>
        <w:rPr>
          <w:sz w:val="20"/>
          <w:szCs w:val="20"/>
          <w:color w:val="auto"/>
        </w:rPr>
      </w:pPr>
      <w:r>
        <w:rPr>
          <w:rFonts w:ascii="Courier New" w:cs="Courier New" w:eastAsia="Courier New" w:hAnsi="Courier New"/>
          <w:sz w:val="15"/>
          <w:szCs w:val="15"/>
          <w:color w:val="auto"/>
        </w:rPr>
        <w:t>Power of Attorney</w:t>
      </w:r>
    </w:p>
    <w:p>
      <w:pPr>
        <w:spacing w:after="0" w:line="344"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KNOW ALL PERSONS BY THESE PRESENTS, that I the undersigned, a director of Regeneron Pharmaceuticals, Inc., a New York corporation, do hereby constitute and appoint Leonard S. Schleifer and Paul Lubetkin, and each of them severally to be my true and lawful attorneys-in-fact and agents each acting alone with full power of substitution and revocation, to sign my name to the Regeneron Pharmaceuticals, Inc. Annual Report on Form 10-K for the year ended December 31, 1998 and any and all amendments to such Annual Report, and to file the same, with all exhibits thereto, and other documents in connection therewith, with the Securities and Exchange Commission, and I hereby grant unto said attorneys-in-fact and agents full power and authority to do and perform each and every act and thing requisite and necessary to be done, as full as to all intents and purposes as such person might or could do in person, hereby ratifying and confirming all that said attorney-in-fact and agent or his substitute or substitutes, may lawfully do or cause to be done by virtue hereof.</w:t>
      </w:r>
    </w:p>
    <w:p>
      <w:pPr>
        <w:spacing w:after="0" w:line="15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 WITNESS WHEREOF, I have subscribed these presents as of March 24,</w:t>
      </w:r>
    </w:p>
    <w:p>
      <w:pPr>
        <w:spacing w:after="0"/>
        <w:rPr>
          <w:sz w:val="20"/>
          <w:szCs w:val="20"/>
          <w:color w:val="auto"/>
        </w:rPr>
      </w:pPr>
      <w:r>
        <w:rPr>
          <w:rFonts w:ascii="Courier New" w:cs="Courier New" w:eastAsia="Courier New" w:hAnsi="Courier New"/>
          <w:sz w:val="15"/>
          <w:szCs w:val="15"/>
          <w:color w:val="auto"/>
        </w:rPr>
        <w:t>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/s/ Michael S. Brown</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Michael S. Brown, M.D.</w:t>
      </w:r>
    </w:p>
    <w:p>
      <w:pPr>
        <w:sectPr>
          <w:pgSz w:w="11900" w:h="16838" w:orient="portrait"/>
          <w:cols w:equalWidth="0" w:num="1">
            <w:col w:w="10219"/>
          </w:cols>
          <w:pgMar w:left="240" w:top="622" w:right="1440" w:bottom="1440" w:gutter="0" w:footer="0" w:header="0"/>
        </w:sectPr>
      </w:pPr>
    </w:p>
    <w:bookmarkStart w:id="75" w:name="page76"/>
    <w:bookmarkEnd w:id="75"/>
    <w:p>
      <w:pPr>
        <w:ind w:left="2820"/>
        <w:spacing w:after="0"/>
        <w:rPr>
          <w:sz w:val="20"/>
          <w:szCs w:val="20"/>
          <w:color w:val="auto"/>
        </w:rPr>
      </w:pPr>
      <w:r>
        <w:rPr>
          <w:rFonts w:ascii="Courier New" w:cs="Courier New" w:eastAsia="Courier New" w:hAnsi="Courier New"/>
          <w:sz w:val="15"/>
          <w:szCs w:val="15"/>
          <w:color w:val="auto"/>
        </w:rPr>
        <w:t>Power of Attorney</w:t>
      </w:r>
    </w:p>
    <w:p>
      <w:pPr>
        <w:spacing w:after="0" w:line="200" w:lineRule="exact"/>
        <w:rPr>
          <w:sz w:val="20"/>
          <w:szCs w:val="20"/>
          <w:color w:val="auto"/>
        </w:rPr>
      </w:pPr>
    </w:p>
    <w:p>
      <w:pPr>
        <w:spacing w:after="0" w:line="314"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KNOW ALL PERSONS BY THESE PRESENTS, that I the undersigned, a director of Regeneron Pharmaceuticals, Inc., a New York corporation, do hereby constitute and appoint Leonard S. Schleifer and Paul Lubetkin, and each of them severally to be my true and lawful attorneys-in-fact and agents each acting alone with full power of substitution and revocation, to sign my name to the Regeneron Pharmaceuticals, Inc. Annual Report on Form 10-K for the year ended December 31, 1998 and any and all amendments to such Annual Report, and to file the same, with all exhibits thereto, and other documents in connection therewith, with the Securities and Exchange Commission, and I hereby grant unto said attorneys-in-fact and agents full power and authority to do and perform each and every act and thing requisite and necessary to be done, as full as to all intents and purposes as such person might or could do in person, hereby ratifying and confirming all that said attorney-in-fact and agent or his substitute or substitutes, may lawfully do or cause to be done by virtue hereof.</w:t>
      </w:r>
    </w:p>
    <w:p>
      <w:pPr>
        <w:spacing w:after="0" w:line="15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 WITNESS WHEREOF, I have subscribed these presents as of March 24,</w:t>
      </w:r>
    </w:p>
    <w:p>
      <w:pPr>
        <w:spacing w:after="0"/>
        <w:rPr>
          <w:sz w:val="20"/>
          <w:szCs w:val="20"/>
          <w:color w:val="auto"/>
        </w:rPr>
      </w:pPr>
      <w:r>
        <w:rPr>
          <w:rFonts w:ascii="Courier New" w:cs="Courier New" w:eastAsia="Courier New" w:hAnsi="Courier New"/>
          <w:sz w:val="15"/>
          <w:szCs w:val="15"/>
          <w:color w:val="auto"/>
        </w:rPr>
        <w:t>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/s/ Alfred G. Gilman</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Alfred G. Gilman, M.D., Ph.D.</w:t>
      </w:r>
    </w:p>
    <w:p>
      <w:pPr>
        <w:sectPr>
          <w:pgSz w:w="11900" w:h="16838" w:orient="portrait"/>
          <w:cols w:equalWidth="0" w:num="1">
            <w:col w:w="10219"/>
          </w:cols>
          <w:pgMar w:left="240" w:top="622" w:right="1440" w:bottom="1440" w:gutter="0" w:footer="0" w:header="0"/>
        </w:sectPr>
      </w:pPr>
    </w:p>
    <w:bookmarkStart w:id="76" w:name="page77"/>
    <w:bookmarkEnd w:id="76"/>
    <w:p>
      <w:pPr>
        <w:ind w:left="2820"/>
        <w:spacing w:after="0"/>
        <w:rPr>
          <w:sz w:val="20"/>
          <w:szCs w:val="20"/>
          <w:color w:val="auto"/>
        </w:rPr>
      </w:pPr>
      <w:r>
        <w:rPr>
          <w:rFonts w:ascii="Courier New" w:cs="Courier New" w:eastAsia="Courier New" w:hAnsi="Courier New"/>
          <w:sz w:val="15"/>
          <w:szCs w:val="15"/>
          <w:color w:val="auto"/>
        </w:rPr>
        <w:t>Power of Attorney</w:t>
      </w:r>
    </w:p>
    <w:p>
      <w:pPr>
        <w:spacing w:after="0" w:line="200" w:lineRule="exact"/>
        <w:rPr>
          <w:sz w:val="20"/>
          <w:szCs w:val="20"/>
          <w:color w:val="auto"/>
        </w:rPr>
      </w:pPr>
    </w:p>
    <w:p>
      <w:pPr>
        <w:spacing w:after="0" w:line="314"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KNOW ALL PERSONS BY THESE PRESENTS, that I the undersigned, a director of Regeneron Pharmaceuticals, Inc., a New York corporation, do hereby constitute and appoint Leonard S. Schleifer and Paul Lubetkin, and each of them severally to be my true and lawful attorneys-in-fact and agents each acting alone with full power of substitution and revocation, to sign my name to the Regeneron Pharmaceuticals, Inc. Annual Report on Form 10-K for the year ended December 31, 1998 and any and all amendments to such Annual Report, and to file the same, with all exhibits thereto, and other documents in connection therewith, with the Securities and Exchange Commission, and I hereby grant unto said attorneys-in-fact and agents full power and authority to do and perform each and every act and thing requisite and necessary to be done, as full as to all intents and purposes as such person might or could do in person, hereby ratifying and confirming all that said attorney-in-fact and agent or his substitute or substitutes, may lawfully do or cause to be done by virtue hereof.</w:t>
      </w:r>
    </w:p>
    <w:p>
      <w:pPr>
        <w:spacing w:after="0" w:line="15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 WITNESS WHEREOF, I have subscribed these presents as of March 24,</w:t>
      </w:r>
    </w:p>
    <w:p>
      <w:pPr>
        <w:spacing w:after="0"/>
        <w:rPr>
          <w:sz w:val="20"/>
          <w:szCs w:val="20"/>
          <w:color w:val="auto"/>
        </w:rPr>
      </w:pPr>
      <w:r>
        <w:rPr>
          <w:rFonts w:ascii="Courier New" w:cs="Courier New" w:eastAsia="Courier New" w:hAnsi="Courier New"/>
          <w:sz w:val="15"/>
          <w:szCs w:val="15"/>
          <w:color w:val="auto"/>
        </w:rPr>
        <w:t>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/s/ Joseph L. Goldstein</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Joseph L. Goldstein, M.D.</w:t>
      </w:r>
    </w:p>
    <w:p>
      <w:pPr>
        <w:sectPr>
          <w:pgSz w:w="11900" w:h="16838" w:orient="portrait"/>
          <w:cols w:equalWidth="0" w:num="1">
            <w:col w:w="10219"/>
          </w:cols>
          <w:pgMar w:left="240" w:top="622" w:right="1440" w:bottom="1440" w:gutter="0" w:footer="0" w:header="0"/>
        </w:sectPr>
      </w:pPr>
    </w:p>
    <w:bookmarkStart w:id="77" w:name="page78"/>
    <w:bookmarkEnd w:id="77"/>
    <w:p>
      <w:pPr>
        <w:ind w:left="2820"/>
        <w:spacing w:after="0"/>
        <w:rPr>
          <w:sz w:val="20"/>
          <w:szCs w:val="20"/>
          <w:color w:val="auto"/>
        </w:rPr>
      </w:pPr>
      <w:r>
        <w:rPr>
          <w:rFonts w:ascii="Courier New" w:cs="Courier New" w:eastAsia="Courier New" w:hAnsi="Courier New"/>
          <w:sz w:val="15"/>
          <w:szCs w:val="15"/>
          <w:color w:val="auto"/>
        </w:rPr>
        <w:t>Power of Attorney</w:t>
      </w:r>
    </w:p>
    <w:p>
      <w:pPr>
        <w:spacing w:after="0" w:line="200" w:lineRule="exact"/>
        <w:rPr>
          <w:sz w:val="20"/>
          <w:szCs w:val="20"/>
          <w:color w:val="auto"/>
        </w:rPr>
      </w:pPr>
    </w:p>
    <w:p>
      <w:pPr>
        <w:spacing w:after="0" w:line="314"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KNOW ALL PERSONS BY THESE PRESENTS, that I the undersigned, a director of Regeneron Pharmaceuticals, Inc., a New York corporation, do hereby constitute and appoint Leonard S. Schleifer and Paul Lubetkin, and each of them severally to be my true and lawful attorneys-in-fact and agents each acting alone with full power of substitution and revocation, to sign my name to the Regeneron Pharmaceuticals, Inc. Annual Report on Form 10-K for the year ended December 31, 1998 and any and all amendments to such Annual Report, and to file the same, with all exhibits thereto, and other documents in connection therewith, with the Securities and Exchange Commission, and I hereby grant unto said attorneys-in-fact and agents full power and authority to do and perform each and every act and thing requisite and necessary to be done, as full as to all intents and purposes as such person might or could do in person, hereby ratifying and confirming all that said attorney-in-fact and agent or his substitute or substitutes, may lawfully do or cause to be done by virtue hereof.</w:t>
      </w:r>
    </w:p>
    <w:p>
      <w:pPr>
        <w:spacing w:after="0" w:line="15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 WITNESS WHEREOF, I have subscribed these presents as of March 24,</w:t>
      </w:r>
    </w:p>
    <w:p>
      <w:pPr>
        <w:spacing w:after="0"/>
        <w:rPr>
          <w:sz w:val="20"/>
          <w:szCs w:val="20"/>
          <w:color w:val="auto"/>
        </w:rPr>
      </w:pPr>
      <w:r>
        <w:rPr>
          <w:rFonts w:ascii="Courier New" w:cs="Courier New" w:eastAsia="Courier New" w:hAnsi="Courier New"/>
          <w:sz w:val="15"/>
          <w:szCs w:val="15"/>
          <w:color w:val="auto"/>
        </w:rPr>
        <w:t>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/s/ Fred A. Middleton</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Fred A. Middleton</w:t>
      </w:r>
    </w:p>
    <w:p>
      <w:pPr>
        <w:sectPr>
          <w:pgSz w:w="11900" w:h="16838" w:orient="portrait"/>
          <w:cols w:equalWidth="0" w:num="1">
            <w:col w:w="10219"/>
          </w:cols>
          <w:pgMar w:left="240" w:top="622" w:right="1440" w:bottom="1440" w:gutter="0" w:footer="0" w:header="0"/>
        </w:sectPr>
      </w:pPr>
    </w:p>
    <w:bookmarkStart w:id="78" w:name="page79"/>
    <w:bookmarkEnd w:id="78"/>
    <w:p>
      <w:pPr>
        <w:ind w:left="2820"/>
        <w:spacing w:after="0"/>
        <w:rPr>
          <w:sz w:val="20"/>
          <w:szCs w:val="20"/>
          <w:color w:val="auto"/>
        </w:rPr>
      </w:pPr>
      <w:r>
        <w:rPr>
          <w:rFonts w:ascii="Courier New" w:cs="Courier New" w:eastAsia="Courier New" w:hAnsi="Courier New"/>
          <w:sz w:val="15"/>
          <w:szCs w:val="15"/>
          <w:color w:val="auto"/>
        </w:rPr>
        <w:t>Power of Attorney</w:t>
      </w:r>
    </w:p>
    <w:p>
      <w:pPr>
        <w:spacing w:after="0" w:line="200" w:lineRule="exact"/>
        <w:rPr>
          <w:sz w:val="20"/>
          <w:szCs w:val="20"/>
          <w:color w:val="auto"/>
        </w:rPr>
      </w:pPr>
    </w:p>
    <w:p>
      <w:pPr>
        <w:spacing w:after="0" w:line="314"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KNOW ALL PERSONS BY THESE PRESENTS, that I the undersigned, a director of Regeneron Pharmaceuticals, Inc., a New York corporation, do hereby constitute and appoint Leonard S. Schleifer and Paul Lubetkin, and each of them severally to be my true and lawful attorneys-in-fact and agents each acting alone with full power of substitution and revocation, to sign my name to the Regeneron Pharmaceuticals, Inc. Annual Report on Form 10-K for the year ended December 31, 1998 and any and all amendments to such Annual Report, and to file the same, with all exhibits thereto, and other documents in connection therewith, with the Securities and Exchange Commission, and I hereby grant unto said attorneys-in-fact and agents full power and authority to do and perform each and every act and thing requisite and necessary to be done, as full as to all intents and purposes as such person might or could do in person, hereby ratifying and confirming all that said attorney-in-fact and agent or his substitute or substitutes, may lawfully do or cause to be done by virtue hereof.</w:t>
      </w:r>
    </w:p>
    <w:p>
      <w:pPr>
        <w:spacing w:after="0" w:line="15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 WITNESS WHEREOF, I have subscribed these presents as of March 24,</w:t>
      </w:r>
    </w:p>
    <w:p>
      <w:pPr>
        <w:spacing w:after="0"/>
        <w:rPr>
          <w:sz w:val="20"/>
          <w:szCs w:val="20"/>
          <w:color w:val="auto"/>
        </w:rPr>
      </w:pPr>
      <w:r>
        <w:rPr>
          <w:rFonts w:ascii="Courier New" w:cs="Courier New" w:eastAsia="Courier New" w:hAnsi="Courier New"/>
          <w:sz w:val="15"/>
          <w:szCs w:val="15"/>
          <w:color w:val="auto"/>
        </w:rPr>
        <w:t>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/s/ Eric M. Shooter</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Eric M. Shooter, Ph.D.</w:t>
      </w:r>
    </w:p>
    <w:p>
      <w:pPr>
        <w:sectPr>
          <w:pgSz w:w="11900" w:h="16838" w:orient="portrait"/>
          <w:cols w:equalWidth="0" w:num="1">
            <w:col w:w="10219"/>
          </w:cols>
          <w:pgMar w:left="240" w:top="622" w:right="1440" w:bottom="1440" w:gutter="0" w:footer="0" w:header="0"/>
        </w:sectPr>
      </w:pPr>
    </w:p>
    <w:bookmarkStart w:id="79" w:name="page80"/>
    <w:bookmarkEnd w:id="79"/>
    <w:p>
      <w:pPr>
        <w:ind w:left="6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Regeneron Pharmaceuticals, Inc. Exhibit 27 December 31, 1998 Form 10-K (in thousands, except share data)</w:t>
      </w:r>
    </w:p>
    <w:p>
      <w:pPr>
        <w:spacing w:after="0" w:line="170"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39"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YEAR</w:t>
      </w:r>
    </w:p>
    <w:p>
      <w:pPr>
        <w:ind w:left="2260"/>
        <w:spacing w:after="0"/>
        <w:rPr>
          <w:sz w:val="20"/>
          <w:szCs w:val="20"/>
          <w:color w:val="auto"/>
        </w:rPr>
      </w:pPr>
      <w:r>
        <w:rPr>
          <w:rFonts w:ascii="Courier New" w:cs="Courier New" w:eastAsia="Courier New" w:hAnsi="Courier New"/>
          <w:sz w:val="15"/>
          <w:szCs w:val="15"/>
          <w:color w:val="auto"/>
        </w:rPr>
        <w:t>DEC-31-1998</w:t>
      </w:r>
    </w:p>
    <w:p>
      <w:pPr>
        <w:ind w:left="2520"/>
        <w:spacing w:after="0"/>
        <w:rPr>
          <w:sz w:val="20"/>
          <w:szCs w:val="20"/>
          <w:color w:val="auto"/>
        </w:rPr>
      </w:pPr>
      <w:r>
        <w:rPr>
          <w:rFonts w:ascii="Courier New" w:cs="Courier New" w:eastAsia="Courier New" w:hAnsi="Courier New"/>
          <w:sz w:val="15"/>
          <w:szCs w:val="15"/>
          <w:color w:val="auto"/>
        </w:rPr>
        <w:t>JAN-01-1998</w:t>
      </w:r>
    </w:p>
    <w:p>
      <w:pPr>
        <w:ind w:left="2700"/>
        <w:spacing w:after="0" w:line="238" w:lineRule="auto"/>
        <w:rPr>
          <w:sz w:val="20"/>
          <w:szCs w:val="20"/>
          <w:color w:val="auto"/>
        </w:rPr>
      </w:pPr>
      <w:r>
        <w:rPr>
          <w:rFonts w:ascii="Courier New" w:cs="Courier New" w:eastAsia="Courier New" w:hAnsi="Courier New"/>
          <w:sz w:val="15"/>
          <w:szCs w:val="15"/>
          <w:color w:val="auto"/>
        </w:rPr>
        <w:t>DEC-31-1998</w:t>
      </w:r>
    </w:p>
    <w:p>
      <w:pPr>
        <w:ind w:left="3680"/>
        <w:spacing w:after="0"/>
        <w:rPr>
          <w:sz w:val="20"/>
          <w:szCs w:val="20"/>
          <w:color w:val="auto"/>
        </w:rPr>
      </w:pPr>
      <w:r>
        <w:rPr>
          <w:rFonts w:ascii="Courier New" w:cs="Courier New" w:eastAsia="Courier New" w:hAnsi="Courier New"/>
          <w:sz w:val="15"/>
          <w:szCs w:val="15"/>
          <w:color w:val="auto"/>
        </w:rPr>
        <w:t>19,757</w:t>
      </w:r>
    </w:p>
    <w:p>
      <w:pPr>
        <w:ind w:left="3140"/>
        <w:spacing w:after="0"/>
        <w:rPr>
          <w:sz w:val="20"/>
          <w:szCs w:val="20"/>
          <w:color w:val="auto"/>
        </w:rPr>
      </w:pPr>
      <w:r>
        <w:rPr>
          <w:rFonts w:ascii="Courier New" w:cs="Courier New" w:eastAsia="Courier New" w:hAnsi="Courier New"/>
          <w:sz w:val="15"/>
          <w:szCs w:val="15"/>
          <w:color w:val="auto"/>
        </w:rPr>
        <w:t>93,773</w:t>
      </w:r>
    </w:p>
    <w:p>
      <w:pPr>
        <w:ind w:left="3140"/>
        <w:spacing w:after="0" w:line="238" w:lineRule="auto"/>
        <w:rPr>
          <w:sz w:val="20"/>
          <w:szCs w:val="20"/>
          <w:color w:val="auto"/>
        </w:rPr>
      </w:pPr>
      <w:r>
        <w:rPr>
          <w:rFonts w:ascii="Courier New" w:cs="Courier New" w:eastAsia="Courier New" w:hAnsi="Courier New"/>
          <w:sz w:val="15"/>
          <w:szCs w:val="15"/>
          <w:color w:val="auto"/>
        </w:rPr>
        <w:t>5,710</w:t>
      </w:r>
    </w:p>
    <w:p>
      <w:pPr>
        <w:ind w:left="3580"/>
        <w:spacing w:after="0"/>
        <w:rPr>
          <w:sz w:val="20"/>
          <w:szCs w:val="20"/>
          <w:color w:val="auto"/>
        </w:rPr>
      </w:pPr>
      <w:r>
        <w:rPr>
          <w:rFonts w:ascii="Courier New" w:cs="Courier New" w:eastAsia="Courier New" w:hAnsi="Courier New"/>
          <w:sz w:val="15"/>
          <w:szCs w:val="15"/>
          <w:color w:val="auto"/>
        </w:rPr>
        <w:t>0</w:t>
      </w:r>
    </w:p>
    <w:p>
      <w:pPr>
        <w:ind w:left="3680"/>
        <w:spacing w:after="0"/>
        <w:rPr>
          <w:sz w:val="20"/>
          <w:szCs w:val="20"/>
          <w:color w:val="auto"/>
        </w:rPr>
      </w:pPr>
      <w:r>
        <w:rPr>
          <w:rFonts w:ascii="Courier New" w:cs="Courier New" w:eastAsia="Courier New" w:hAnsi="Courier New"/>
          <w:sz w:val="15"/>
          <w:szCs w:val="15"/>
          <w:color w:val="auto"/>
        </w:rPr>
        <w:t>0</w:t>
      </w:r>
    </w:p>
    <w:p>
      <w:pPr>
        <w:ind w:left="2800"/>
        <w:spacing w:after="0"/>
        <w:rPr>
          <w:sz w:val="20"/>
          <w:szCs w:val="20"/>
          <w:color w:val="auto"/>
        </w:rPr>
      </w:pPr>
      <w:r>
        <w:rPr>
          <w:rFonts w:ascii="Courier New" w:cs="Courier New" w:eastAsia="Courier New" w:hAnsi="Courier New"/>
          <w:sz w:val="15"/>
          <w:szCs w:val="15"/>
          <w:color w:val="auto"/>
        </w:rPr>
        <w:t>92,901</w:t>
      </w:r>
    </w:p>
    <w:p>
      <w:pPr>
        <w:ind w:left="3680"/>
        <w:spacing w:after="0" w:line="238" w:lineRule="auto"/>
        <w:rPr>
          <w:sz w:val="20"/>
          <w:szCs w:val="20"/>
          <w:color w:val="auto"/>
        </w:rPr>
      </w:pPr>
      <w:r>
        <w:rPr>
          <w:rFonts w:ascii="Courier New" w:cs="Courier New" w:eastAsia="Courier New" w:hAnsi="Courier New"/>
          <w:sz w:val="15"/>
          <w:szCs w:val="15"/>
          <w:color w:val="auto"/>
        </w:rPr>
        <w:t>59,631</w:t>
      </w:r>
    </w:p>
    <w:p>
      <w:pPr>
        <w:ind w:left="2960"/>
        <w:spacing w:after="0"/>
        <w:rPr>
          <w:sz w:val="20"/>
          <w:szCs w:val="20"/>
          <w:color w:val="auto"/>
        </w:rPr>
      </w:pPr>
      <w:r>
        <w:rPr>
          <w:rFonts w:ascii="Courier New" w:cs="Courier New" w:eastAsia="Courier New" w:hAnsi="Courier New"/>
          <w:sz w:val="15"/>
          <w:szCs w:val="15"/>
          <w:color w:val="auto"/>
        </w:rPr>
        <w:t>26,612</w:t>
      </w:r>
    </w:p>
    <w:p>
      <w:pPr>
        <w:ind w:left="2880"/>
        <w:spacing w:after="0"/>
        <w:rPr>
          <w:sz w:val="20"/>
          <w:szCs w:val="20"/>
          <w:color w:val="auto"/>
        </w:rPr>
      </w:pPr>
      <w:r>
        <w:rPr>
          <w:rFonts w:ascii="Courier New" w:cs="Courier New" w:eastAsia="Courier New" w:hAnsi="Courier New"/>
          <w:sz w:val="15"/>
          <w:szCs w:val="15"/>
          <w:color w:val="auto"/>
        </w:rPr>
        <w:t>156,915</w:t>
      </w:r>
    </w:p>
    <w:p>
      <w:pPr>
        <w:ind w:left="2440"/>
        <w:spacing w:after="0" w:line="238" w:lineRule="auto"/>
        <w:rPr>
          <w:sz w:val="20"/>
          <w:szCs w:val="20"/>
          <w:color w:val="auto"/>
        </w:rPr>
      </w:pPr>
      <w:r>
        <w:rPr>
          <w:rFonts w:ascii="Courier New" w:cs="Courier New" w:eastAsia="Courier New" w:hAnsi="Courier New"/>
          <w:sz w:val="15"/>
          <w:szCs w:val="15"/>
          <w:color w:val="auto"/>
        </w:rPr>
        <w:t>9,402</w:t>
      </w:r>
    </w:p>
    <w:p>
      <w:pPr>
        <w:ind w:left="4020"/>
        <w:spacing w:after="0"/>
        <w:rPr>
          <w:sz w:val="20"/>
          <w:szCs w:val="20"/>
          <w:color w:val="auto"/>
        </w:rPr>
      </w:pPr>
      <w:r>
        <w:rPr>
          <w:rFonts w:ascii="Courier New" w:cs="Courier New" w:eastAsia="Courier New" w:hAnsi="Courier New"/>
          <w:sz w:val="15"/>
          <w:szCs w:val="15"/>
          <w:color w:val="auto"/>
        </w:rPr>
        <w:t>0</w:t>
      </w:r>
    </w:p>
    <w:p>
      <w:pPr>
        <w:ind w:left="2800"/>
        <w:spacing w:after="0"/>
        <w:rPr>
          <w:sz w:val="20"/>
          <w:szCs w:val="20"/>
          <w:color w:val="auto"/>
        </w:rPr>
      </w:pPr>
      <w:r>
        <w:rPr>
          <w:rFonts w:ascii="Courier New" w:cs="Courier New" w:eastAsia="Courier New" w:hAnsi="Courier New"/>
          <w:sz w:val="15"/>
          <w:szCs w:val="15"/>
          <w:color w:val="auto"/>
        </w:rPr>
        <w:t>0</w:t>
      </w:r>
    </w:p>
    <w:p>
      <w:pPr>
        <w:ind w:left="3680"/>
        <w:spacing w:after="0"/>
        <w:rPr>
          <w:sz w:val="20"/>
          <w:szCs w:val="20"/>
          <w:color w:val="auto"/>
        </w:rPr>
      </w:pPr>
      <w:r>
        <w:rPr>
          <w:rFonts w:ascii="Courier New" w:cs="Courier New" w:eastAsia="Courier New" w:hAnsi="Courier New"/>
          <w:sz w:val="15"/>
          <w:szCs w:val="15"/>
          <w:color w:val="auto"/>
        </w:rPr>
        <w:t>0</w:t>
      </w:r>
    </w:p>
    <w:p>
      <w:pPr>
        <w:ind w:left="3840"/>
        <w:spacing w:after="0" w:line="238" w:lineRule="auto"/>
        <w:rPr>
          <w:sz w:val="20"/>
          <w:szCs w:val="20"/>
          <w:color w:val="auto"/>
        </w:rPr>
      </w:pPr>
      <w:r>
        <w:rPr>
          <w:rFonts w:ascii="Courier New" w:cs="Courier New" w:eastAsia="Courier New" w:hAnsi="Courier New"/>
          <w:sz w:val="15"/>
          <w:szCs w:val="15"/>
          <w:color w:val="auto"/>
        </w:rPr>
        <w:t>27</w:t>
      </w:r>
    </w:p>
    <w:p>
      <w:pPr>
        <w:ind w:left="3240"/>
        <w:spacing w:after="0"/>
        <w:rPr>
          <w:sz w:val="20"/>
          <w:szCs w:val="20"/>
          <w:color w:val="auto"/>
        </w:rPr>
      </w:pPr>
      <w:r>
        <w:rPr>
          <w:rFonts w:ascii="Courier New" w:cs="Courier New" w:eastAsia="Courier New" w:hAnsi="Courier New"/>
          <w:sz w:val="15"/>
          <w:szCs w:val="15"/>
          <w:color w:val="auto"/>
        </w:rPr>
        <w:t>131,200</w:t>
      </w:r>
    </w:p>
    <w:p>
      <w:pPr>
        <w:ind w:left="1640"/>
        <w:spacing w:after="0"/>
        <w:rPr>
          <w:sz w:val="20"/>
          <w:szCs w:val="20"/>
          <w:color w:val="auto"/>
        </w:rPr>
      </w:pPr>
      <w:r>
        <w:rPr>
          <w:rFonts w:ascii="Courier New" w:cs="Courier New" w:eastAsia="Courier New" w:hAnsi="Courier New"/>
          <w:sz w:val="15"/>
          <w:szCs w:val="15"/>
          <w:color w:val="auto"/>
        </w:rPr>
        <w:t>156,915</w:t>
      </w:r>
    </w:p>
    <w:p>
      <w:pPr>
        <w:ind w:left="4020"/>
        <w:spacing w:after="0" w:line="238" w:lineRule="auto"/>
        <w:rPr>
          <w:sz w:val="20"/>
          <w:szCs w:val="20"/>
          <w:color w:val="auto"/>
        </w:rPr>
      </w:pPr>
      <w:r>
        <w:rPr>
          <w:rFonts w:ascii="Courier New" w:cs="Courier New" w:eastAsia="Courier New" w:hAnsi="Courier New"/>
          <w:sz w:val="15"/>
          <w:szCs w:val="15"/>
          <w:color w:val="auto"/>
        </w:rPr>
        <w:t>0</w:t>
      </w:r>
    </w:p>
    <w:p>
      <w:pPr>
        <w:ind w:left="2800"/>
        <w:spacing w:after="0"/>
        <w:rPr>
          <w:sz w:val="20"/>
          <w:szCs w:val="20"/>
          <w:color w:val="auto"/>
        </w:rPr>
      </w:pPr>
      <w:r>
        <w:rPr>
          <w:rFonts w:ascii="Courier New" w:cs="Courier New" w:eastAsia="Courier New" w:hAnsi="Courier New"/>
          <w:sz w:val="15"/>
          <w:szCs w:val="15"/>
          <w:color w:val="auto"/>
        </w:rPr>
        <w:t>45,193</w:t>
      </w:r>
    </w:p>
    <w:p>
      <w:pPr>
        <w:ind w:left="4200"/>
        <w:spacing w:after="0"/>
        <w:rPr>
          <w:sz w:val="20"/>
          <w:szCs w:val="20"/>
          <w:color w:val="auto"/>
        </w:rPr>
      </w:pPr>
      <w:r>
        <w:rPr>
          <w:rFonts w:ascii="Courier New" w:cs="Courier New" w:eastAsia="Courier New" w:hAnsi="Courier New"/>
          <w:sz w:val="15"/>
          <w:szCs w:val="15"/>
          <w:color w:val="auto"/>
        </w:rPr>
        <w:t>0</w:t>
      </w:r>
    </w:p>
    <w:p>
      <w:pPr>
        <w:ind w:left="3500"/>
        <w:spacing w:after="0"/>
        <w:rPr>
          <w:sz w:val="20"/>
          <w:szCs w:val="20"/>
          <w:color w:val="auto"/>
        </w:rPr>
      </w:pPr>
      <w:r>
        <w:rPr>
          <w:rFonts w:ascii="Courier New" w:cs="Courier New" w:eastAsia="Courier New" w:hAnsi="Courier New"/>
          <w:sz w:val="15"/>
          <w:szCs w:val="15"/>
          <w:color w:val="auto"/>
        </w:rPr>
        <w:t>0</w:t>
      </w:r>
    </w:p>
    <w:p>
      <w:pPr>
        <w:jc w:val="right"/>
        <w:ind w:right="6879"/>
        <w:spacing w:after="0" w:line="238" w:lineRule="auto"/>
        <w:rPr>
          <w:sz w:val="20"/>
          <w:szCs w:val="20"/>
          <w:color w:val="auto"/>
        </w:rPr>
      </w:pPr>
      <w:r>
        <w:rPr>
          <w:rFonts w:ascii="Courier New" w:cs="Courier New" w:eastAsia="Courier New" w:hAnsi="Courier New"/>
          <w:sz w:val="15"/>
          <w:szCs w:val="15"/>
          <w:color w:val="auto"/>
        </w:rPr>
        <w:t>53,390</w:t>
      </w:r>
    </w:p>
    <w:p>
      <w:pPr>
        <w:jc w:val="right"/>
        <w:ind w:right="6879"/>
        <w:spacing w:after="0"/>
        <w:rPr>
          <w:sz w:val="20"/>
          <w:szCs w:val="20"/>
          <w:color w:val="auto"/>
        </w:rPr>
      </w:pPr>
      <w:r>
        <w:rPr>
          <w:rFonts w:ascii="Courier New" w:cs="Courier New" w:eastAsia="Courier New" w:hAnsi="Courier New"/>
          <w:sz w:val="15"/>
          <w:szCs w:val="15"/>
          <w:color w:val="auto"/>
        </w:rPr>
        <w:t>0</w:t>
      </w:r>
    </w:p>
    <w:p>
      <w:pPr>
        <w:ind w:left="2880"/>
        <w:spacing w:after="0"/>
        <w:rPr>
          <w:sz w:val="20"/>
          <w:szCs w:val="20"/>
          <w:color w:val="auto"/>
        </w:rPr>
      </w:pPr>
      <w:r>
        <w:rPr>
          <w:rFonts w:ascii="Courier New" w:cs="Courier New" w:eastAsia="Courier New" w:hAnsi="Courier New"/>
          <w:sz w:val="15"/>
          <w:szCs w:val="15"/>
          <w:color w:val="auto"/>
        </w:rPr>
        <w:t>428</w:t>
      </w:r>
    </w:p>
    <w:p>
      <w:pPr>
        <w:ind w:left="2880"/>
        <w:spacing w:after="0" w:line="238" w:lineRule="auto"/>
        <w:rPr>
          <w:sz w:val="20"/>
          <w:szCs w:val="20"/>
          <w:color w:val="auto"/>
        </w:rPr>
      </w:pPr>
      <w:r>
        <w:rPr>
          <w:rFonts w:ascii="Courier New" w:cs="Courier New" w:eastAsia="Courier New" w:hAnsi="Courier New"/>
          <w:sz w:val="15"/>
          <w:szCs w:val="15"/>
          <w:color w:val="auto"/>
        </w:rPr>
        <w:t>(8,625)</w:t>
      </w:r>
    </w:p>
    <w:p>
      <w:pPr>
        <w:ind w:left="3580"/>
        <w:spacing w:after="0"/>
        <w:rPr>
          <w:sz w:val="20"/>
          <w:szCs w:val="20"/>
          <w:color w:val="auto"/>
        </w:rPr>
      </w:pPr>
      <w:r>
        <w:rPr>
          <w:rFonts w:ascii="Courier New" w:cs="Courier New" w:eastAsia="Courier New" w:hAnsi="Courier New"/>
          <w:sz w:val="15"/>
          <w:szCs w:val="15"/>
          <w:color w:val="auto"/>
        </w:rPr>
        <w:t>0</w:t>
      </w:r>
    </w:p>
    <w:p>
      <w:pPr>
        <w:ind w:left="2520"/>
        <w:spacing w:after="0"/>
        <w:rPr>
          <w:sz w:val="20"/>
          <w:szCs w:val="20"/>
          <w:color w:val="auto"/>
        </w:rPr>
      </w:pPr>
      <w:r>
        <w:rPr>
          <w:rFonts w:ascii="Courier New" w:cs="Courier New" w:eastAsia="Courier New" w:hAnsi="Courier New"/>
          <w:sz w:val="15"/>
          <w:szCs w:val="15"/>
          <w:color w:val="auto"/>
        </w:rPr>
        <w:t>(8,625)</w:t>
      </w:r>
    </w:p>
    <w:p>
      <w:pPr>
        <w:ind w:left="3400"/>
        <w:spacing w:after="0" w:line="238" w:lineRule="auto"/>
        <w:rPr>
          <w:sz w:val="20"/>
          <w:szCs w:val="20"/>
          <w:color w:val="auto"/>
        </w:rPr>
      </w:pPr>
      <w:r>
        <w:rPr>
          <w:rFonts w:ascii="Courier New" w:cs="Courier New" w:eastAsia="Courier New" w:hAnsi="Courier New"/>
          <w:sz w:val="15"/>
          <w:szCs w:val="15"/>
          <w:color w:val="auto"/>
        </w:rPr>
        <w:t>0</w:t>
      </w:r>
    </w:p>
    <w:p>
      <w:pPr>
        <w:ind w:left="3320"/>
        <w:spacing w:after="0"/>
        <w:rPr>
          <w:sz w:val="20"/>
          <w:szCs w:val="20"/>
          <w:color w:val="auto"/>
        </w:rPr>
      </w:pPr>
      <w:r>
        <w:rPr>
          <w:rFonts w:ascii="Courier New" w:cs="Courier New" w:eastAsia="Courier New" w:hAnsi="Courier New"/>
          <w:sz w:val="15"/>
          <w:szCs w:val="15"/>
          <w:color w:val="auto"/>
        </w:rPr>
        <w:t>0</w:t>
      </w:r>
    </w:p>
    <w:p>
      <w:pPr>
        <w:ind w:left="3840"/>
        <w:spacing w:after="0"/>
        <w:rPr>
          <w:sz w:val="20"/>
          <w:szCs w:val="20"/>
          <w:color w:val="auto"/>
        </w:rPr>
      </w:pPr>
      <w:r>
        <w:rPr>
          <w:rFonts w:ascii="Courier New" w:cs="Courier New" w:eastAsia="Courier New" w:hAnsi="Courier New"/>
          <w:sz w:val="15"/>
          <w:szCs w:val="15"/>
          <w:color w:val="auto"/>
        </w:rPr>
        <w:t>0</w:t>
      </w:r>
    </w:p>
    <w:p>
      <w:pPr>
        <w:ind w:left="3140"/>
        <w:spacing w:after="0"/>
        <w:rPr>
          <w:sz w:val="20"/>
          <w:szCs w:val="20"/>
          <w:color w:val="auto"/>
        </w:rPr>
      </w:pPr>
      <w:r>
        <w:rPr>
          <w:rFonts w:ascii="Courier New" w:cs="Courier New" w:eastAsia="Courier New" w:hAnsi="Courier New"/>
          <w:sz w:val="15"/>
          <w:szCs w:val="15"/>
          <w:color w:val="auto"/>
        </w:rPr>
        <w:t>(8,625)</w:t>
      </w:r>
    </w:p>
    <w:p>
      <w:pPr>
        <w:ind w:left="3140"/>
        <w:spacing w:after="0" w:line="238" w:lineRule="auto"/>
        <w:rPr>
          <w:sz w:val="20"/>
          <w:szCs w:val="20"/>
          <w:color w:val="auto"/>
        </w:rPr>
      </w:pPr>
      <w:r>
        <w:rPr>
          <w:rFonts w:ascii="Courier New" w:cs="Courier New" w:eastAsia="Courier New" w:hAnsi="Courier New"/>
          <w:sz w:val="15"/>
          <w:szCs w:val="15"/>
          <w:color w:val="auto"/>
        </w:rPr>
        <w:t>(0.28)</w:t>
      </w:r>
    </w:p>
    <w:p>
      <w:pPr>
        <w:ind w:left="3140"/>
        <w:spacing w:after="0"/>
        <w:rPr>
          <w:sz w:val="20"/>
          <w:szCs w:val="20"/>
          <w:color w:val="auto"/>
        </w:rPr>
      </w:pPr>
      <w:r>
        <w:rPr>
          <w:rFonts w:ascii="Courier New" w:cs="Courier New" w:eastAsia="Courier New" w:hAnsi="Courier New"/>
          <w:sz w:val="15"/>
          <w:szCs w:val="15"/>
          <w:color w:val="auto"/>
        </w:rPr>
        <w:t>(0.28)</w:t>
      </w:r>
    </w:p>
    <w:sectPr>
      <w:pgSz w:w="11900" w:h="16838" w:orient="portrait"/>
      <w:cols w:equalWidth="0" w:num="1">
        <w:col w:w="10199"/>
      </w:cols>
      <w:pgMar w:left="260" w:top="6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o"/>
      <w:numFmt w:val="bullet"/>
      <w:start w:val="1"/>
    </w:lvl>
  </w:abstractNum>
  <w:abstractNum w:abstractNumId="1">
    <w:nsid w:val="54E49EB4"/>
    <w:multiLevelType w:val="hybridMultilevel"/>
    <w:lvl w:ilvl="0">
      <w:lvlJc w:val="left"/>
      <w:lvlText w:val="o"/>
      <w:numFmt w:val="bullet"/>
      <w:start w:val="1"/>
    </w:lvl>
  </w:abstractNum>
  <w:abstractNum w:abstractNumId="2">
    <w:nsid w:val="71F32454"/>
    <w:multiLevelType w:val="hybridMultilevel"/>
    <w:lvl w:ilvl="0">
      <w:lvlJc w:val="left"/>
      <w:lvlText w:val="&amp;"/>
      <w:numFmt w:val="bullet"/>
      <w:start w:val="1"/>
    </w:lvl>
  </w:abstractNum>
  <w:abstractNum w:abstractNumId="3">
    <w:nsid w:val="2CA88611"/>
    <w:multiLevelType w:val="hybridMultilevel"/>
    <w:lvl w:ilvl="0">
      <w:lvlJc w:val="left"/>
      <w:lvlText w:val="o"/>
      <w:numFmt w:val="bullet"/>
      <w:start w:val="1"/>
    </w:lvl>
  </w:abstractNum>
  <w:abstractNum w:abstractNumId="4">
    <w:nsid w:val="836C40E"/>
    <w:multiLevelType w:val="hybridMultilevel"/>
    <w:lvl w:ilvl="0">
      <w:lvlJc w:val="left"/>
      <w:lvlText w:val="o"/>
      <w:numFmt w:val="bullet"/>
      <w:start w:val="1"/>
    </w:lvl>
  </w:abstractNum>
  <w:abstractNum w:abstractNumId="5">
    <w:nsid w:val="2901D82"/>
    <w:multiLevelType w:val="hybridMultilevel"/>
    <w:lvl w:ilvl="0">
      <w:lvlJc w:val="left"/>
      <w:lvlText w:val="o"/>
      <w:numFmt w:val="bullet"/>
      <w:start w:val="1"/>
    </w:lvl>
  </w:abstractNum>
  <w:abstractNum w:abstractNumId="6">
    <w:nsid w:val="3A95F874"/>
    <w:multiLevelType w:val="hybridMultilevel"/>
    <w:lvl w:ilvl="0">
      <w:lvlJc w:val="left"/>
      <w:lvlText w:val="%1."/>
      <w:numFmt w:val="decimal"/>
      <w:start w:val="2"/>
    </w:lvl>
  </w:abstractNum>
  <w:abstractNum w:abstractNumId="7">
    <w:nsid w:val="8138641"/>
    <w:multiLevelType w:val="hybridMultilevel"/>
    <w:lvl w:ilvl="0">
      <w:lvlJc w:val="left"/>
      <w:lvlText w:val="%1."/>
      <w:numFmt w:val="decimal"/>
      <w:start w:val="3"/>
    </w:lvl>
  </w:abstractNum>
  <w:abstractNum w:abstractNumId="8">
    <w:nsid w:val="1E7FF521"/>
    <w:multiLevelType w:val="hybridMultilevel"/>
    <w:lvl w:ilvl="0">
      <w:lvlJc w:val="left"/>
      <w:lvlText w:val="(%1)"/>
      <w:numFmt w:val="lowerLetter"/>
      <w:start w:val="1"/>
    </w:lvl>
  </w:abstractNum>
  <w:abstractNum w:abstractNumId="9">
    <w:nsid w:val="7C3DBD3D"/>
    <w:multiLevelType w:val="hybridMultilevel"/>
    <w:lvl w:ilvl="0">
      <w:lvlJc w:val="left"/>
      <w:lvlText w:val="(%1)"/>
      <w:numFmt w:val="upperLetter"/>
      <w:start w:val="1"/>
    </w:lvl>
    <w:lvl w:ilvl="1">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2"/>
    </w:lvl>
  </w:abstractNum>
  <w:abstractNum w:abstractNumId="20">
    <w:nsid w:val="3804823E"/>
    <w:multiLevelType w:val="hybridMultilevel"/>
    <w:lvl w:ilvl="0">
      <w:lvlJc w:val="left"/>
      <w:lvlText w:val="%1"/>
      <w:numFmt w:val="decimal"/>
      <w:start w:val="30"/>
    </w:lvl>
  </w:abstractNum>
  <w:abstractNum w:abstractNumId="21">
    <w:nsid w:val="77465F01"/>
    <w:multiLevelType w:val="hybridMultilevel"/>
    <w:lvl w:ilvl="0">
      <w:lvlJc w:val="left"/>
      <w:lvlText w:val="%1."/>
      <w:numFmt w:val="decimal"/>
      <w:start w:val="3"/>
    </w:lvl>
  </w:abstractNum>
  <w:abstractNum w:abstractNumId="22">
    <w:nsid w:val="7724C67E"/>
    <w:multiLevelType w:val="hybridMultilevel"/>
    <w:lvl w:ilvl="0">
      <w:lvlJc w:val="left"/>
      <w:lvlText w:val="%1."/>
      <w:numFmt w:val="decimal"/>
      <w:start w:val="4"/>
    </w:lvl>
  </w:abstractNum>
  <w:abstractNum w:abstractNumId="23">
    <w:nsid w:val="5C482A97"/>
    <w:multiLevelType w:val="hybridMultilevel"/>
    <w:lvl w:ilvl="0">
      <w:lvlJc w:val="left"/>
      <w:lvlText w:val="%1."/>
      <w:numFmt w:val="decimal"/>
      <w:start w:val="5"/>
    </w:lvl>
  </w:abstractNum>
  <w:abstractNum w:abstractNumId="24">
    <w:nsid w:val="2463B9EA"/>
    <w:multiLevelType w:val="hybridMultilevel"/>
    <w:lvl w:ilvl="0">
      <w:lvlJc w:val="left"/>
      <w:lvlText w:val="%1."/>
      <w:numFmt w:val="decimal"/>
      <w:start w:val="6"/>
    </w:lvl>
  </w:abstractNum>
  <w:abstractNum w:abstractNumId="25">
    <w:nsid w:val="5E884ADC"/>
    <w:multiLevelType w:val="hybridMultilevel"/>
    <w:lvl w:ilvl="0">
      <w:lvlJc w:val="left"/>
      <w:lvlText w:val="%1."/>
      <w:numFmt w:val="decimal"/>
      <w:start w:val="7"/>
    </w:lvl>
    <w:lvl w:ilvl="1">
      <w:lvlJc w:val="left"/>
      <w:lvlText w:val="%2"/>
      <w:numFmt w:val="lowerLetter"/>
      <w:start w:val="1"/>
    </w:lvl>
  </w:abstractNum>
  <w:abstractNum w:abstractNumId="26">
    <w:nsid w:val="51EAD36B"/>
    <w:multiLevelType w:val="hybridMultilevel"/>
    <w:lvl w:ilvl="0">
      <w:lvlJc w:val="left"/>
      <w:lvlText w:val="%1."/>
      <w:numFmt w:val="lowerLetter"/>
      <w:start w:val="2"/>
    </w:lvl>
  </w:abstractNum>
  <w:abstractNum w:abstractNumId="27">
    <w:nsid w:val="2D517796"/>
    <w:multiLevelType w:val="hybridMultilevel"/>
    <w:lvl w:ilvl="0">
      <w:lvlJc w:val="left"/>
      <w:lvlText w:val="%1."/>
      <w:numFmt w:val="lowerLetter"/>
      <w:start w:val="3"/>
    </w:lvl>
  </w:abstractNum>
  <w:abstractNum w:abstractNumId="28">
    <w:nsid w:val="580BD78F"/>
    <w:multiLevelType w:val="hybridMultilevel"/>
    <w:lvl w:ilvl="0">
      <w:lvlJc w:val="left"/>
      <w:lvlText w:val="%1."/>
      <w:numFmt w:val="lowerLetter"/>
      <w:start w:val="4"/>
    </w:lvl>
  </w:abstractNum>
  <w:abstractNum w:abstractNumId="29">
    <w:nsid w:val="153EA438"/>
    <w:multiLevelType w:val="hybridMultilevel"/>
    <w:lvl w:ilvl="0">
      <w:lvlJc w:val="left"/>
      <w:lvlText w:val="%1."/>
      <w:numFmt w:val="lowerLetter"/>
      <w:start w:val="5"/>
    </w:lvl>
  </w:abstractNum>
  <w:abstractNum w:abstractNumId="30">
    <w:nsid w:val="3855585C"/>
    <w:multiLevelType w:val="hybridMultilevel"/>
    <w:lvl w:ilvl="0">
      <w:lvlJc w:val="left"/>
      <w:lvlText w:val="%1."/>
      <w:numFmt w:val="decimal"/>
      <w:start w:val="8"/>
    </w:lvl>
    <w:lvl w:ilvl="1">
      <w:lvlJc w:val="left"/>
      <w:lvlText w:val="%2"/>
      <w:numFmt w:val="lowerLetter"/>
      <w:start w:val="1"/>
    </w:lvl>
  </w:abstractNum>
  <w:abstractNum w:abstractNumId="31">
    <w:nsid w:val="70A64E2A"/>
    <w:multiLevelType w:val="hybridMultilevel"/>
    <w:lvl w:ilvl="0">
      <w:lvlJc w:val="left"/>
      <w:lvlText w:val="-"/>
      <w:numFmt w:val="bullet"/>
      <w:start w:val="1"/>
    </w:lvl>
    <w:lvl w:ilvl="1">
      <w:lvlJc w:val="left"/>
      <w:lvlText w:val="(%2)"/>
      <w:numFmt w:val="decimal"/>
      <w:start w:val="1"/>
    </w:lvl>
  </w:abstractNum>
  <w:abstractNum w:abstractNumId="32">
    <w:nsid w:val="6A2342EC"/>
    <w:multiLevelType w:val="hybridMultilevel"/>
    <w:lvl w:ilvl="0">
      <w:lvlJc w:val="left"/>
      <w:lvlText w:val="-"/>
      <w:numFmt w:val="bullet"/>
      <w:start w:val="1"/>
    </w:lvl>
    <w:lvl w:ilvl="1">
      <w:lvlJc w:val="left"/>
      <w:lvlText w:val="(%2)"/>
      <w:numFmt w:val="decimal"/>
      <w:start w:val="2"/>
    </w:lvl>
  </w:abstractNum>
  <w:abstractNum w:abstractNumId="33">
    <w:nsid w:val="2A487CB0"/>
    <w:multiLevelType w:val="hybridMultilevel"/>
    <w:lvl w:ilvl="0">
      <w:lvlJc w:val="left"/>
      <w:lvlText w:val="%1."/>
      <w:numFmt w:val="lowerLetter"/>
      <w:start w:val="2"/>
    </w:lvl>
  </w:abstractNum>
  <w:abstractNum w:abstractNumId="34">
    <w:nsid w:val="1D4ED43B"/>
    <w:multiLevelType w:val="hybridMultilevel"/>
    <w:lvl w:ilvl="0">
      <w:lvlJc w:val="left"/>
      <w:lvlText w:val="%1."/>
      <w:numFmt w:val="lowerLetter"/>
      <w:start w:val="3"/>
    </w:lvl>
  </w:abstractNum>
  <w:abstractNum w:abstractNumId="35">
    <w:nsid w:val="725A06FB"/>
    <w:multiLevelType w:val="hybridMultilevel"/>
    <w:lvl w:ilvl="0">
      <w:lvlJc w:val="left"/>
      <w:lvlText w:val="%1."/>
      <w:numFmt w:val="lowerLetter"/>
      <w:start w:val="4"/>
    </w:lvl>
  </w:abstractNum>
  <w:abstractNum w:abstractNumId="36">
    <w:nsid w:val="2CD89A32"/>
    <w:multiLevelType w:val="hybridMultilevel"/>
    <w:lvl w:ilvl="0">
      <w:lvlJc w:val="left"/>
      <w:lvlText w:val="%1."/>
      <w:numFmt w:val="lowerLetter"/>
      <w:start w:val="5"/>
    </w:lvl>
  </w:abstractNum>
  <w:abstractNum w:abstractNumId="37">
    <w:nsid w:val="57E4CCAF"/>
    <w:multiLevelType w:val="hybridMultilevel"/>
    <w:lvl w:ilvl="0">
      <w:lvlJc w:val="left"/>
      <w:lvlText w:val="%1."/>
      <w:numFmt w:val="decimal"/>
      <w:start w:val="9"/>
    </w:lvl>
  </w:abstractNum>
  <w:abstractNum w:abstractNumId="38">
    <w:nsid w:val="7A6D8D3C"/>
    <w:multiLevelType w:val="hybridMultilevel"/>
    <w:lvl w:ilvl="0">
      <w:lvlJc w:val="left"/>
      <w:lvlText w:val="%1."/>
      <w:numFmt w:val="decimal"/>
      <w:start w:val="10"/>
    </w:lvl>
    <w:lvl w:ilvl="1">
      <w:lvlJc w:val="left"/>
      <w:lvlText w:val="%2"/>
      <w:numFmt w:val="lowerLetter"/>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lowerLetter"/>
      <w:start w:val="2"/>
    </w:lvl>
  </w:abstractNum>
  <w:abstractNum w:abstractNumId="41">
    <w:nsid w:val="6DE91B18"/>
    <w:multiLevelType w:val="hybridMultilevel"/>
    <w:lvl w:ilvl="0">
      <w:lvlJc w:val="left"/>
      <w:lvlText w:val="%1."/>
      <w:numFmt w:val="decimal"/>
      <w:start w:val="11"/>
    </w:lvl>
  </w:abstractNum>
  <w:abstractNum w:abstractNumId="42">
    <w:nsid w:val="38437FDB"/>
    <w:multiLevelType w:val="hybridMultilevel"/>
    <w:lvl w:ilvl="0">
      <w:lvlJc w:val="left"/>
      <w:lvlText w:val="%1."/>
      <w:numFmt w:val="decimal"/>
      <w:start w:val="12"/>
    </w:lvl>
  </w:abstractNum>
  <w:abstractNum w:abstractNumId="43">
    <w:nsid w:val="7644A45C"/>
    <w:multiLevelType w:val="hybridMultilevel"/>
    <w:lvl w:ilvl="0">
      <w:lvlJc w:val="left"/>
      <w:lvlText w:val="%1."/>
      <w:numFmt w:val="decimal"/>
      <w:start w:val="13"/>
    </w:lvl>
  </w:abstractNum>
  <w:abstractNum w:abstractNumId="44">
    <w:nsid w:val="32FFF902"/>
    <w:multiLevelType w:val="hybridMultilevel"/>
    <w:lvl w:ilvl="0">
      <w:lvlJc w:val="left"/>
      <w:lvlText w:val="%1."/>
      <w:numFmt w:val="decimal"/>
      <w:start w:val="14"/>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decimal"/>
      <w:start w:val="2"/>
    </w:lvl>
  </w:abstractNum>
  <w:abstractNum w:abstractNumId="50">
    <w:nsid w:val="79A1DEAA"/>
    <w:multiLevelType w:val="hybridMultilevel"/>
    <w:lvl w:ilvl="0">
      <w:lvlJc w:val="left"/>
      <w:lvlText w:val="%1."/>
      <w:numFmt w:val="decimal"/>
      <w:start w:val="3"/>
    </w:lvl>
  </w:abstractNum>
  <w:abstractNum w:abstractNumId="51">
    <w:nsid w:val="75C6C33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2019-12-19T23:00:19Z</dcterms:created>
  <dcterms:modified xsi:type="dcterms:W3CDTF">2019-12-19T23:00:19Z</dcterms:modified>
</cp:coreProperties>
</file>