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18117d1_8k.htm"/>
      <w:bookmarkStart w:id="1" w:name="kstm2618117d1_8k"/>
      <w:bookmarkEnd w:id="0"/>
      <w:bookmarkEnd w:id="1"/>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61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7"/>
        </w:rPr>
      </w:pPr>
      <w:r>
        <w:rPr>
          <w:rFonts w:ascii="Times New Roman;Times;Serif" w:hAnsi="Times New Roman;Times;Serif"/>
          <w:b/>
          <w:i w:val="false"/>
          <w:caps w:val="false"/>
          <w:smallCaps w:val="false"/>
          <w:sz w:val="27"/>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June 12,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6"/>
      <w:bookmarkEnd w:id="4"/>
      <w:r>
        <w:rPr>
          <w:rFonts w:ascii="Times New Roman;Times;Serif" w:hAnsi="Times New Roman;Times;Serif"/>
          <w:b/>
          <w:i w:val="false"/>
          <w:caps w:val="false"/>
          <w:smallCaps w:val="false"/>
          <w:sz w:val="36"/>
        </w:rPr>
        <w:t>REGENERON PHARMACEUTICALS,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xdx_900_edei--EntityIncorporationStateCo"/>
      <w:bookmarkEnd w:id="5"/>
      <w:r>
        <w:rPr>
          <w:rFonts w:ascii="Times New Roman;Times;Serif" w:hAnsi="Times New Roman;Times;Serif"/>
          <w:b/>
          <w:i w:val="false"/>
          <w:caps w:val="false"/>
          <w:smallCaps w:val="false"/>
          <w:sz w:val="20"/>
        </w:rPr>
        <w:t>New York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 incorporation)</w:t>
      </w:r>
    </w:p>
    <w:p>
      <w:pPr>
        <w:pStyle w:val="TextBody"/>
        <w:bidi w:val="0"/>
        <w:spacing w:before="0" w:after="0"/>
        <w:ind w:left="0" w:right="0" w:hanging="0"/>
        <w:jc w:val="center"/>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4475"/>
        <w:gridCol w:w="60"/>
        <w:gridCol w:w="1565"/>
      </w:tblGrid>
      <w:tr>
        <w:trPr/>
        <w:tc>
          <w:tcPr>
            <w:tcW w:w="4475" w:type="dxa"/>
            <w:tcBorders/>
            <w:vAlign w:val="center"/>
          </w:tcPr>
          <w:p>
            <w:pPr>
              <w:pStyle w:val="TableContents"/>
              <w:bidi w:val="0"/>
              <w:spacing w:before="0" w:after="283"/>
              <w:jc w:val="center"/>
              <w:rPr>
                <w:b/>
                <w:i w:val="false"/>
                <w:caps w:val="false"/>
                <w:smallCaps w:val="false"/>
                <w:sz w:val="20"/>
              </w:rPr>
            </w:pPr>
            <w:bookmarkStart w:id="6" w:name="xdx_909_edei--EntityFileNumber_c20260612"/>
            <w:bookmarkEnd w:id="6"/>
            <w:r>
              <w:rPr>
                <w:b/>
                <w:i w:val="false"/>
                <w:caps w:val="false"/>
                <w:smallCaps w:val="false"/>
                <w:sz w:val="20"/>
              </w:rPr>
              <w:t>000-19034</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i w:val="false"/>
                <w:caps w:val="false"/>
                <w:smallCaps w:val="false"/>
                <w:sz w:val="20"/>
              </w:rPr>
            </w:pPr>
            <w:bookmarkStart w:id="7" w:name="xdx_909_edei--EntityTaxIdentificationNum"/>
            <w:bookmarkEnd w:id="7"/>
            <w:r>
              <w:rPr>
                <w:b/>
                <w:i w:val="false"/>
                <w:caps w:val="false"/>
                <w:smallCaps w:val="false"/>
                <w:sz w:val="20"/>
              </w:rPr>
              <w:t>13-3444607</w:t>
            </w:r>
          </w:p>
        </w:tc>
      </w:tr>
      <w:tr>
        <w:trPr/>
        <w:tc>
          <w:tcPr>
            <w:tcW w:w="44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r>
        <w:trPr/>
        <w:tc>
          <w:tcPr>
            <w:tcW w:w="4475" w:type="dxa"/>
            <w:tcBorders/>
            <w:vAlign w:val="center"/>
          </w:tcPr>
          <w:p>
            <w:pPr>
              <w:pStyle w:val="TableContents"/>
              <w:bidi w:val="0"/>
              <w:spacing w:before="0" w:after="283"/>
              <w:jc w:val="left"/>
              <w:rPr/>
            </w:pPr>
            <w:r>
              <w:rPr/>
              <w:t> </w:t>
            </w:r>
          </w:p>
        </w:tc>
        <w:tc>
          <w:tcPr>
            <w:tcW w:w="1625" w:type="dxa"/>
            <w:gridSpan w:val="2"/>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center"/>
              <w:rPr>
                <w:b/>
                <w:i w:val="false"/>
                <w:caps w:val="false"/>
                <w:smallCaps w:val="false"/>
                <w:sz w:val="20"/>
              </w:rPr>
            </w:pPr>
            <w:bookmarkStart w:id="8" w:name="xdx_909_edei--EntityAddressAddressLine1_"/>
            <w:bookmarkEnd w:id="8"/>
            <w:r>
              <w:rPr>
                <w:b/>
                <w:i w:val="false"/>
                <w:caps w:val="false"/>
                <w:smallCaps w:val="false"/>
                <w:sz w:val="20"/>
              </w:rPr>
              <w:t xml:space="preserve">777 Old Saw Mill River Road, </w:t>
            </w:r>
            <w:bookmarkStart w:id="9" w:name="xdx_906_edei--EntityAddressCityOrTown_c2"/>
            <w:bookmarkEnd w:id="9"/>
            <w:r>
              <w:rPr>
                <w:b/>
                <w:i w:val="false"/>
                <w:caps w:val="false"/>
                <w:smallCaps w:val="false"/>
                <w:sz w:val="20"/>
              </w:rPr>
              <w:t xml:space="preserve">Tarrytown, </w:t>
            </w:r>
            <w:bookmarkStart w:id="10" w:name="xdx_902_edei--EntityAddressStateOrProvin"/>
            <w:bookmarkEnd w:id="10"/>
            <w:r>
              <w:rPr>
                <w:b/>
                <w:i w:val="false"/>
                <w:caps w:val="false"/>
                <w:smallCaps w:val="false"/>
                <w:sz w:val="20"/>
              </w:rPr>
              <w:t>New York</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i w:val="false"/>
                <w:caps w:val="false"/>
                <w:smallCaps w:val="false"/>
                <w:sz w:val="20"/>
              </w:rPr>
            </w:pPr>
            <w:bookmarkStart w:id="11" w:name="xdx_900_edei--EntityAddressPostalZipCode"/>
            <w:bookmarkEnd w:id="11"/>
            <w:r>
              <w:rPr>
                <w:b/>
                <w:i w:val="false"/>
                <w:caps w:val="false"/>
                <w:smallCaps w:val="false"/>
                <w:sz w:val="20"/>
              </w:rPr>
              <w:t>10591-6707</w:t>
            </w:r>
          </w:p>
        </w:tc>
      </w:tr>
      <w:tr>
        <w:trPr/>
        <w:tc>
          <w:tcPr>
            <w:tcW w:w="4475" w:type="dxa"/>
            <w:tcBorders/>
            <w:vAlign w:val="center"/>
          </w:tcPr>
          <w:p>
            <w:pPr>
              <w:pStyle w:val="TableContents"/>
              <w:bidi w:val="0"/>
              <w:spacing w:before="0" w:after="283"/>
              <w:jc w:val="center"/>
              <w:rPr>
                <w:b/>
                <w:i w:val="false"/>
                <w:caps w:val="false"/>
                <w:smallCaps w:val="false"/>
                <w:sz w:val="20"/>
              </w:rPr>
            </w:pPr>
            <w:r>
              <w:rPr>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i w:val="false"/>
                <w:caps w:val="false"/>
                <w:smallCaps w:val="false"/>
                <w:sz w:val="20"/>
              </w:rPr>
            </w:pPr>
            <w:r>
              <w:rPr>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8_edei--CityAreaCode_c20260612__20"/>
      <w:bookmarkEnd w:id="12"/>
      <w:r>
        <w:rPr>
          <w:rFonts w:ascii="Times New Roman;Times;Serif" w:hAnsi="Times New Roman;Times;Serif"/>
          <w:b/>
          <w:i w:val="false"/>
          <w:caps w:val="false"/>
          <w:smallCaps w:val="false"/>
          <w:sz w:val="20"/>
        </w:rPr>
        <w:t xml:space="preserve">914) </w:t>
      </w:r>
      <w:bookmarkStart w:id="13" w:name="xdx_90C_edei--LocalPhoneNumber_c20260612"/>
      <w:bookmarkEnd w:id="13"/>
      <w:r>
        <w:rPr>
          <w:rFonts w:ascii="Times New Roman;Times;Serif" w:hAnsi="Times New Roman;Times;Serif"/>
          <w:b/>
          <w:i w:val="false"/>
          <w:caps w:val="false"/>
          <w:smallCaps w:val="false"/>
          <w:sz w:val="20"/>
        </w:rPr>
        <w:t>847-7000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4" w:name="xdx_90A_edei--WrittenCommunications_c202"/>
      <w:bookmarkEnd w:id="14"/>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bookmarkStart w:id="15" w:name="xdx_902_edei--SolicitingMaterial_c202606"/>
      <w:bookmarkEnd w:id="15"/>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bookmarkStart w:id="16" w:name="xdx_903_edei--PreCommencementTenderOffer"/>
      <w:bookmarkEnd w:id="16"/>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bookmarkStart w:id="17" w:name="xdx_900_edei--PreCommencementIssuerTende"/>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45" w:type="dxa"/>
        <w:jc w:val="left"/>
        <w:tblInd w:w="0" w:type="dxa"/>
        <w:tblLayout w:type="fixed"/>
        <w:tblCellMar>
          <w:top w:w="28" w:type="dxa"/>
          <w:left w:w="0" w:type="dxa"/>
          <w:bottom w:w="28" w:type="dxa"/>
          <w:right w:w="108" w:type="dxa"/>
        </w:tblCellMar>
      </w:tblPr>
      <w:tblGrid>
        <w:gridCol w:w="3620"/>
        <w:gridCol w:w="1535"/>
        <w:gridCol w:w="3590"/>
      </w:tblGrid>
      <w:tr>
        <w:trPr/>
        <w:tc>
          <w:tcPr>
            <w:tcW w:w="3620"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i w:val="false"/>
                <w:caps w:val="false"/>
                <w:smallCaps w:val="false"/>
                <w:sz w:val="20"/>
              </w:rPr>
            </w:pPr>
            <w:r>
              <w:rPr>
                <w:i w:val="false"/>
                <w:caps w:val="false"/>
                <w:smallCaps w:val="false"/>
                <w:sz w:val="20"/>
              </w:rPr>
              <w:t>Title of each class</w:t>
            </w:r>
          </w:p>
        </w:tc>
        <w:tc>
          <w:tcPr>
            <w:tcW w:w="1535"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i w:val="false"/>
                <w:caps w:val="false"/>
                <w:smallCaps w:val="false"/>
                <w:sz w:val="20"/>
              </w:rPr>
            </w:pPr>
            <w:r>
              <w:rPr>
                <w:i w:val="false"/>
                <w:caps w:val="false"/>
                <w:smallCaps w:val="false"/>
                <w:sz w:val="20"/>
              </w:rPr>
              <w:t>Trading Symbol(s)</w:t>
            </w:r>
          </w:p>
        </w:tc>
        <w:tc>
          <w:tcPr>
            <w:tcW w:w="3590"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i w:val="false"/>
                <w:caps w:val="false"/>
                <w:smallCaps w:val="false"/>
                <w:sz w:val="20"/>
              </w:rPr>
            </w:pPr>
            <w:r>
              <w:rPr>
                <w:i w:val="false"/>
                <w:caps w:val="false"/>
                <w:smallCaps w:val="false"/>
                <w:sz w:val="20"/>
              </w:rPr>
              <w:t>Name of each exchange on which registered</w:t>
            </w:r>
          </w:p>
        </w:tc>
      </w:tr>
      <w:tr>
        <w:trPr/>
        <w:tc>
          <w:tcPr>
            <w:tcW w:w="3620" w:type="dxa"/>
            <w:tcBorders>
              <w:left w:val="single" w:sz="8" w:space="0" w:color="000000"/>
              <w:bottom w:val="single" w:sz="8" w:space="0" w:color="000000"/>
              <w:right w:val="single" w:sz="8" w:space="0" w:color="000000"/>
            </w:tcBorders>
            <w:tcMar>
              <w:top w:w="0" w:type="dxa"/>
              <w:left w:w="108" w:type="dxa"/>
            </w:tcMar>
            <w:vAlign w:val="center"/>
          </w:tcPr>
          <w:p>
            <w:pPr>
              <w:pStyle w:val="TableContents"/>
              <w:bidi w:val="0"/>
              <w:spacing w:before="0" w:after="283"/>
              <w:jc w:val="center"/>
              <w:rPr>
                <w:i w:val="false"/>
                <w:caps w:val="false"/>
                <w:smallCaps w:val="false"/>
                <w:sz w:val="20"/>
              </w:rPr>
            </w:pPr>
            <w:bookmarkStart w:id="18" w:name="xdx_90A_edei--Security12bTitle_c20260612"/>
            <w:bookmarkEnd w:id="18"/>
            <w:r>
              <w:rPr>
                <w:i w:val="false"/>
                <w:caps w:val="false"/>
                <w:smallCaps w:val="false"/>
                <w:sz w:val="20"/>
              </w:rPr>
              <w:t>Common Stock – par value $0.001 per share</w:t>
            </w:r>
          </w:p>
        </w:tc>
        <w:tc>
          <w:tcPr>
            <w:tcW w:w="1535" w:type="dxa"/>
            <w:tcBorders>
              <w:bottom w:val="single" w:sz="8" w:space="0" w:color="000000"/>
              <w:right w:val="single" w:sz="8" w:space="0" w:color="000000"/>
            </w:tcBorders>
            <w:tcMar>
              <w:top w:w="0" w:type="dxa"/>
            </w:tcMar>
            <w:vAlign w:val="center"/>
          </w:tcPr>
          <w:p>
            <w:pPr>
              <w:pStyle w:val="TableContents"/>
              <w:bidi w:val="0"/>
              <w:spacing w:before="0" w:after="283"/>
              <w:jc w:val="center"/>
              <w:rPr>
                <w:i w:val="false"/>
                <w:caps w:val="false"/>
                <w:smallCaps w:val="false"/>
                <w:sz w:val="20"/>
              </w:rPr>
            </w:pPr>
            <w:bookmarkStart w:id="19" w:name="xdx_902_edei--TradingSymbol_c20260612__2"/>
            <w:bookmarkEnd w:id="19"/>
            <w:r>
              <w:rPr>
                <w:i w:val="false"/>
                <w:caps w:val="false"/>
                <w:smallCaps w:val="false"/>
                <w:sz w:val="20"/>
              </w:rPr>
              <w:t>REGN</w:t>
            </w:r>
          </w:p>
        </w:tc>
        <w:tc>
          <w:tcPr>
            <w:tcW w:w="3590" w:type="dxa"/>
            <w:tcBorders>
              <w:bottom w:val="single" w:sz="8" w:space="0" w:color="000000"/>
              <w:right w:val="single" w:sz="8" w:space="0" w:color="000000"/>
            </w:tcBorders>
            <w:tcMar>
              <w:top w:w="0" w:type="dxa"/>
            </w:tcMar>
            <w:vAlign w:val="center"/>
          </w:tcPr>
          <w:p>
            <w:pPr>
              <w:pStyle w:val="TableContents"/>
              <w:bidi w:val="0"/>
              <w:spacing w:before="0" w:after="283"/>
              <w:jc w:val="center"/>
              <w:rPr>
                <w:i w:val="false"/>
                <w:caps w:val="false"/>
                <w:smallCaps w:val="false"/>
                <w:sz w:val="20"/>
              </w:rPr>
            </w:pPr>
            <w:bookmarkStart w:id="20" w:name="xdx_90C_edei--SecurityExchangeName_c2026"/>
            <w:bookmarkEnd w:id="20"/>
            <w:r>
              <w:rPr>
                <w:i w:val="false"/>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A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1040"/>
        <w:gridCol w:w="5345"/>
      </w:tblGrid>
      <w:tr>
        <w:trPr/>
        <w:tc>
          <w:tcPr>
            <w:tcW w:w="1040" w:type="dxa"/>
            <w:tcBorders/>
            <w:vAlign w:val="center"/>
          </w:tcPr>
          <w:p>
            <w:pPr>
              <w:pStyle w:val="TableContents"/>
              <w:bidi w:val="0"/>
              <w:spacing w:before="0" w:after="283"/>
              <w:jc w:val="left"/>
              <w:rPr>
                <w:b/>
              </w:rPr>
            </w:pPr>
            <w:r>
              <w:rPr>
                <w:b/>
              </w:rPr>
              <w:t>Item 5.07.</w:t>
            </w:r>
          </w:p>
        </w:tc>
        <w:tc>
          <w:tcPr>
            <w:tcW w:w="5345" w:type="dxa"/>
            <w:tcBorders/>
            <w:vAlign w:val="center"/>
          </w:tcPr>
          <w:p>
            <w:pPr>
              <w:pStyle w:val="TableContents"/>
              <w:bidi w:val="0"/>
              <w:spacing w:before="0" w:after="283"/>
              <w:jc w:val="left"/>
              <w:rPr>
                <w:b/>
              </w:rPr>
            </w:pPr>
            <w:r>
              <w:rPr>
                <w:b/>
              </w:rPr>
              <w:t>Submission of Matters to a Vote of Security Holders.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2026 Annual Meeting of Shareholders of Regeneron Pharmaceuticals, Inc. (“</w:t>
      </w:r>
      <w:r>
        <w:rPr>
          <w:rFonts w:ascii="Times New Roman;Times;Serif" w:hAnsi="Times New Roman;Times;Serif"/>
          <w:b w:val="false"/>
          <w:i w:val="false"/>
          <w:caps w:val="false"/>
          <w:smallCaps w:val="false"/>
          <w:sz w:val="20"/>
          <w:u w:val="single"/>
        </w:rPr>
        <w:t>Regeneron</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held on June 12, 2026, Regeneron’s shareholders voted on the matters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Proposal 1 – Election of Directors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nominees for Class II directors were elected to serve until the 2027 Annual Meeting of Shareholders and until their successors are duly elected and qualified based upon the following votes:</w:t>
      </w:r>
    </w:p>
    <w:p>
      <w:pPr>
        <w:pStyle w:val="TextBody"/>
        <w:bidi w:val="0"/>
        <w:spacing w:before="0" w:after="0"/>
        <w:ind w:left="0" w:right="0" w:firstLine="360"/>
        <w:jc w:val="left"/>
        <w:rPr>
          <w:caps w:val="false"/>
          <w:smallCaps w:val="false"/>
        </w:rPr>
      </w:pPr>
      <w:r>
        <w:rPr>
          <w:caps w:val="false"/>
          <w:smallCaps w:val="false"/>
        </w:rPr>
        <w:t> </w:t>
      </w:r>
    </w:p>
    <w:tbl>
      <w:tblPr>
        <w:tblW w:w="7060" w:type="dxa"/>
        <w:jc w:val="left"/>
        <w:tblInd w:w="0" w:type="dxa"/>
        <w:tblLayout w:type="fixed"/>
        <w:tblCellMar>
          <w:top w:w="0" w:type="dxa"/>
          <w:left w:w="0" w:type="dxa"/>
          <w:bottom w:w="28" w:type="dxa"/>
          <w:right w:w="0" w:type="dxa"/>
        </w:tblCellMar>
      </w:tblPr>
      <w:tblGrid>
        <w:gridCol w:w="2135"/>
        <w:gridCol w:w="60"/>
        <w:gridCol w:w="60"/>
        <w:gridCol w:w="1055"/>
        <w:gridCol w:w="60"/>
        <w:gridCol w:w="60"/>
        <w:gridCol w:w="60"/>
        <w:gridCol w:w="950"/>
        <w:gridCol w:w="60"/>
        <w:gridCol w:w="60"/>
        <w:gridCol w:w="60"/>
        <w:gridCol w:w="695"/>
        <w:gridCol w:w="60"/>
        <w:gridCol w:w="60"/>
        <w:gridCol w:w="102"/>
        <w:gridCol w:w="1448"/>
        <w:gridCol w:w="75"/>
      </w:tblGrid>
      <w:tr>
        <w:trPr/>
        <w:tc>
          <w:tcPr>
            <w:tcW w:w="2135" w:type="dxa"/>
            <w:tcBorders>
              <w:bottom w:val="single" w:sz="8" w:space="0" w:color="000000"/>
            </w:tcBorders>
            <w:vAlign w:val="center"/>
          </w:tcPr>
          <w:p>
            <w:pPr>
              <w:pStyle w:val="TableContents"/>
              <w:bidi w:val="0"/>
              <w:spacing w:before="0" w:after="283"/>
              <w:jc w:val="left"/>
              <w:rPr>
                <w:b/>
                <w:sz w:val="20"/>
              </w:rPr>
            </w:pPr>
            <w:r>
              <w:rPr>
                <w:b/>
                <w:sz w:val="20"/>
              </w:rPr>
              <w:t>Nominee</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8" w:space="0" w:color="000000"/>
            </w:tcBorders>
            <w:vAlign w:val="center"/>
          </w:tcPr>
          <w:p>
            <w:pPr>
              <w:pStyle w:val="TableContents"/>
              <w:bidi w:val="0"/>
              <w:spacing w:before="0" w:after="283"/>
              <w:jc w:val="center"/>
              <w:rPr>
                <w:b/>
                <w:sz w:val="20"/>
              </w:rPr>
            </w:pPr>
            <w:r>
              <w:rPr>
                <w:b/>
                <w:sz w:val="20"/>
              </w:rPr>
              <w:t>For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10" w:type="dxa"/>
            <w:gridSpan w:val="2"/>
            <w:tcBorders>
              <w:bottom w:val="single" w:sz="8" w:space="0" w:color="000000"/>
            </w:tcBorders>
            <w:vAlign w:val="center"/>
          </w:tcPr>
          <w:p>
            <w:pPr>
              <w:pStyle w:val="TableContents"/>
              <w:bidi w:val="0"/>
              <w:spacing w:before="0" w:after="283"/>
              <w:jc w:val="center"/>
              <w:rPr>
                <w:b/>
                <w:sz w:val="20"/>
              </w:rPr>
            </w:pPr>
            <w:r>
              <w:rPr>
                <w:b/>
                <w:sz w:val="20"/>
              </w:rPr>
              <w:t>Against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gridSpan w:val="2"/>
            <w:tcBorders>
              <w:bottom w:val="single" w:sz="8" w:space="0" w:color="000000"/>
            </w:tcBorders>
            <w:vAlign w:val="center"/>
          </w:tcPr>
          <w:p>
            <w:pPr>
              <w:pStyle w:val="TableContents"/>
              <w:bidi w:val="0"/>
              <w:spacing w:before="0" w:after="283"/>
              <w:jc w:val="center"/>
              <w:rPr>
                <w:b/>
                <w:sz w:val="20"/>
              </w:rPr>
            </w:pPr>
            <w:r>
              <w:rPr>
                <w:b/>
                <w:sz w:val="20"/>
              </w:rPr>
              <w:t>Abstain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gridSpan w:val="2"/>
            <w:tcBorders>
              <w:bottom w:val="single" w:sz="8" w:space="0" w:color="000000"/>
            </w:tcBorders>
            <w:vAlign w:val="center"/>
          </w:tcPr>
          <w:p>
            <w:pPr>
              <w:pStyle w:val="TableContents"/>
              <w:bidi w:val="0"/>
              <w:spacing w:before="0" w:after="283"/>
              <w:jc w:val="center"/>
              <w:rPr>
                <w:b/>
                <w:sz w:val="20"/>
              </w:rPr>
            </w:pPr>
            <w:r>
              <w:rPr>
                <w:b/>
                <w:sz w:val="20"/>
              </w:rPr>
              <w:t>Broker Non-Votes</w:t>
            </w:r>
          </w:p>
        </w:tc>
        <w:tc>
          <w:tcPr>
            <w:tcW w:w="75" w:type="dxa"/>
            <w:tcBorders/>
            <w:tcMar>
              <w:bottom w:w="0" w:type="dxa"/>
            </w:tcMar>
            <w:vAlign w:val="center"/>
          </w:tcPr>
          <w:p>
            <w:pPr>
              <w:pStyle w:val="TableContents"/>
              <w:bidi w:val="0"/>
              <w:spacing w:before="0" w:after="283"/>
              <w:jc w:val="left"/>
              <w:rPr/>
            </w:pPr>
            <w:r>
              <w:rPr/>
              <w:t> </w:t>
            </w:r>
          </w:p>
        </w:tc>
      </w:tr>
      <w:tr>
        <w:trPr/>
        <w:tc>
          <w:tcPr>
            <w:tcW w:w="2135" w:type="dxa"/>
            <w:tcBorders/>
            <w:shd w:fill="CCEEFF" w:val="clear"/>
            <w:tcMar>
              <w:bottom w:w="0" w:type="dxa"/>
            </w:tcMar>
            <w:vAlign w:val="center"/>
          </w:tcPr>
          <w:p>
            <w:pPr>
              <w:pStyle w:val="TableContents"/>
              <w:bidi w:val="0"/>
              <w:spacing w:before="0" w:after="283"/>
              <w:jc w:val="left"/>
              <w:rPr>
                <w:sz w:val="20"/>
              </w:rPr>
            </w:pPr>
            <w:r>
              <w:rPr>
                <w:sz w:val="20"/>
              </w:rPr>
              <w:t>Joseph L. Goldstein, M.D.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72,398,297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20"/>
              </w:rPr>
            </w:pPr>
            <w:r>
              <w:rPr>
                <w:sz w:val="20"/>
              </w:rPr>
              <w:t>30,904,254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170,603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448" w:type="dxa"/>
            <w:tcBorders/>
            <w:shd w:fill="CCEEFF" w:val="clear"/>
            <w:tcMar>
              <w:bottom w:w="0" w:type="dxa"/>
            </w:tcMar>
            <w:vAlign w:val="center"/>
          </w:tcPr>
          <w:p>
            <w:pPr>
              <w:pStyle w:val="TableContents"/>
              <w:bidi w:val="0"/>
              <w:spacing w:before="0" w:after="283"/>
              <w:jc w:val="right"/>
              <w:rPr>
                <w:sz w:val="20"/>
              </w:rPr>
            </w:pPr>
            <w:r>
              <w:rPr>
                <w:sz w:val="20"/>
              </w:rPr>
              <w:t>5,543,411</w:t>
            </w:r>
          </w:p>
        </w:tc>
        <w:tc>
          <w:tcPr>
            <w:tcW w:w="75" w:type="dxa"/>
            <w:tcBorders/>
            <w:shd w:fill="CCEEFF" w:val="clear"/>
            <w:tcMar>
              <w:bottom w:w="0" w:type="dxa"/>
            </w:tcMar>
            <w:vAlign w:val="center"/>
          </w:tcPr>
          <w:p>
            <w:pPr>
              <w:pStyle w:val="TableContents"/>
              <w:bidi w:val="0"/>
              <w:spacing w:before="0" w:after="283"/>
              <w:ind w:left="0" w:right="0" w:hanging="179"/>
              <w:jc w:val="left"/>
              <w:rPr/>
            </w:pPr>
            <w:r>
              <w:rPr/>
              <w:t> </w:t>
            </w:r>
          </w:p>
        </w:tc>
      </w:tr>
      <w:tr>
        <w:trPr/>
        <w:tc>
          <w:tcPr>
            <w:tcW w:w="2135" w:type="dxa"/>
            <w:tcBorders/>
            <w:shd w:fill="FFFFFF" w:val="clear"/>
            <w:tcMar>
              <w:bottom w:w="0" w:type="dxa"/>
            </w:tcMar>
            <w:vAlign w:val="center"/>
          </w:tcPr>
          <w:p>
            <w:pPr>
              <w:pStyle w:val="TableContents"/>
              <w:bidi w:val="0"/>
              <w:spacing w:before="0" w:after="283"/>
              <w:jc w:val="left"/>
              <w:rPr>
                <w:sz w:val="20"/>
              </w:rPr>
            </w:pPr>
            <w:r>
              <w:rPr>
                <w:sz w:val="20"/>
              </w:rPr>
              <w:t>Christine A. Poon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79,409,070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sz w:val="20"/>
              </w:rPr>
            </w:pPr>
            <w:r>
              <w:rPr>
                <w:sz w:val="20"/>
              </w:rPr>
              <w:t>24,004,880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59,204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448" w:type="dxa"/>
            <w:tcBorders/>
            <w:shd w:fill="FFFFFF" w:val="clear"/>
            <w:tcMar>
              <w:bottom w:w="0" w:type="dxa"/>
            </w:tcMar>
            <w:vAlign w:val="center"/>
          </w:tcPr>
          <w:p>
            <w:pPr>
              <w:pStyle w:val="TableContents"/>
              <w:bidi w:val="0"/>
              <w:spacing w:before="0" w:after="283"/>
              <w:jc w:val="right"/>
              <w:rPr>
                <w:sz w:val="20"/>
              </w:rPr>
            </w:pPr>
            <w:r>
              <w:rPr>
                <w:sz w:val="20"/>
              </w:rPr>
              <w:t>5,543,411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135" w:type="dxa"/>
            <w:tcBorders/>
            <w:shd w:fill="CCEEFF" w:val="clear"/>
            <w:tcMar>
              <w:bottom w:w="0" w:type="dxa"/>
            </w:tcMar>
            <w:vAlign w:val="center"/>
          </w:tcPr>
          <w:p>
            <w:pPr>
              <w:pStyle w:val="TableContents"/>
              <w:bidi w:val="0"/>
              <w:spacing w:before="0" w:after="283"/>
              <w:jc w:val="left"/>
              <w:rPr>
                <w:sz w:val="20"/>
              </w:rPr>
            </w:pPr>
            <w:r>
              <w:rPr>
                <w:sz w:val="20"/>
              </w:rPr>
              <w:t>David P. Schenkein, M.D.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99,241,219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20"/>
              </w:rPr>
            </w:pPr>
            <w:r>
              <w:rPr>
                <w:sz w:val="20"/>
              </w:rPr>
              <w:t>4,180,107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51,828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448" w:type="dxa"/>
            <w:tcBorders/>
            <w:shd w:fill="CCEEFF" w:val="clear"/>
            <w:tcMar>
              <w:bottom w:w="0" w:type="dxa"/>
            </w:tcMar>
            <w:vAlign w:val="center"/>
          </w:tcPr>
          <w:p>
            <w:pPr>
              <w:pStyle w:val="TableContents"/>
              <w:bidi w:val="0"/>
              <w:spacing w:before="0" w:after="283"/>
              <w:jc w:val="right"/>
              <w:rPr>
                <w:sz w:val="20"/>
              </w:rPr>
            </w:pPr>
            <w:r>
              <w:rPr>
                <w:sz w:val="20"/>
              </w:rPr>
              <w:t>5,543,411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35" w:type="dxa"/>
            <w:tcBorders/>
            <w:shd w:fill="FFFFFF" w:val="clear"/>
            <w:tcMar>
              <w:bottom w:w="0" w:type="dxa"/>
            </w:tcMar>
            <w:vAlign w:val="center"/>
          </w:tcPr>
          <w:p>
            <w:pPr>
              <w:pStyle w:val="TableContents"/>
              <w:bidi w:val="0"/>
              <w:spacing w:before="0" w:after="283"/>
              <w:jc w:val="left"/>
              <w:rPr>
                <w:sz w:val="20"/>
              </w:rPr>
            </w:pPr>
            <w:r>
              <w:rPr>
                <w:sz w:val="20"/>
              </w:rPr>
              <w:t>Craig B. Thompson, M.D.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sz w:val="20"/>
              </w:rPr>
            </w:pPr>
            <w:r>
              <w:rPr>
                <w:sz w:val="20"/>
              </w:rPr>
              <w:t>81,933,651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sz w:val="20"/>
              </w:rPr>
            </w:pPr>
            <w:r>
              <w:rPr>
                <w:sz w:val="20"/>
              </w:rPr>
              <w:t>21,378,567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sz w:val="20"/>
              </w:rPr>
            </w:pPr>
            <w:r>
              <w:rPr>
                <w:sz w:val="20"/>
              </w:rPr>
              <w:t>160,936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448" w:type="dxa"/>
            <w:tcBorders/>
            <w:shd w:fill="FFFFFF" w:val="clear"/>
            <w:tcMar>
              <w:bottom w:w="0" w:type="dxa"/>
            </w:tcMar>
            <w:vAlign w:val="center"/>
          </w:tcPr>
          <w:p>
            <w:pPr>
              <w:pStyle w:val="TableContents"/>
              <w:bidi w:val="0"/>
              <w:spacing w:before="0" w:after="283"/>
              <w:jc w:val="right"/>
              <w:rPr>
                <w:sz w:val="20"/>
              </w:rPr>
            </w:pPr>
            <w:r>
              <w:rPr>
                <w:sz w:val="20"/>
              </w:rPr>
              <w:t>5,543,411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135" w:type="dxa"/>
            <w:tcBorders/>
            <w:shd w:fill="CCEEFF" w:val="clear"/>
            <w:tcMar>
              <w:bottom w:w="0" w:type="dxa"/>
            </w:tcMar>
            <w:vAlign w:val="center"/>
          </w:tcPr>
          <w:p>
            <w:pPr>
              <w:pStyle w:val="TableContents"/>
              <w:bidi w:val="0"/>
              <w:spacing w:before="0" w:after="283"/>
              <w:jc w:val="left"/>
              <w:rPr>
                <w:sz w:val="20"/>
              </w:rPr>
            </w:pPr>
            <w:r>
              <w:rPr>
                <w:sz w:val="20"/>
              </w:rPr>
              <w:t>Huda Y. Zoghbi, M.D.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sz w:val="20"/>
              </w:rPr>
            </w:pPr>
            <w:r>
              <w:rPr>
                <w:sz w:val="20"/>
              </w:rPr>
              <w:t>100,665,234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20"/>
              </w:rPr>
            </w:pPr>
            <w:r>
              <w:rPr>
                <w:sz w:val="20"/>
              </w:rPr>
              <w:t>2,698,397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sz w:val="20"/>
              </w:rPr>
            </w:pPr>
            <w:r>
              <w:rPr>
                <w:sz w:val="20"/>
              </w:rPr>
              <w:t>109,523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448" w:type="dxa"/>
            <w:tcBorders/>
            <w:shd w:fill="CCEEFF" w:val="clear"/>
            <w:tcMar>
              <w:bottom w:w="0" w:type="dxa"/>
            </w:tcMar>
            <w:vAlign w:val="center"/>
          </w:tcPr>
          <w:p>
            <w:pPr>
              <w:pStyle w:val="TableContents"/>
              <w:bidi w:val="0"/>
              <w:spacing w:before="0" w:after="283"/>
              <w:jc w:val="right"/>
              <w:rPr>
                <w:sz w:val="20"/>
              </w:rPr>
            </w:pPr>
            <w:r>
              <w:rPr>
                <w:sz w:val="20"/>
              </w:rPr>
              <w:t>5,543,411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448"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Proposal 2 – Ratification of Appointment of Independent Registered Public Accounting Firm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proposal to ratify the appointment of PricewaterhouseCoopers LLP as the Company’s independent registered public accounting firm for the fiscal year ending December 31, 2026 was approved based upon the following votes:</w:t>
      </w:r>
    </w:p>
    <w:p>
      <w:pPr>
        <w:pStyle w:val="TextBody"/>
        <w:bidi w:val="0"/>
        <w:spacing w:before="0" w:after="0"/>
        <w:ind w:left="0" w:right="0" w:firstLine="36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725"/>
        <w:gridCol w:w="60"/>
        <w:gridCol w:w="60"/>
        <w:gridCol w:w="1055"/>
        <w:gridCol w:w="75"/>
      </w:tblGrid>
      <w:tr>
        <w:trPr/>
        <w:tc>
          <w:tcPr>
            <w:tcW w:w="725" w:type="dxa"/>
            <w:tcBorders/>
            <w:shd w:fill="CCEEFF" w:val="clear"/>
            <w:vAlign w:val="center"/>
          </w:tcPr>
          <w:p>
            <w:pPr>
              <w:pStyle w:val="TableContents"/>
              <w:bidi w:val="0"/>
              <w:spacing w:before="0" w:after="283"/>
              <w:jc w:val="left"/>
              <w:rPr>
                <w:sz w:val="20"/>
              </w:rPr>
            </w:pPr>
            <w:r>
              <w:rPr>
                <w:sz w:val="20"/>
              </w:rPr>
              <w:t>For: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102,503,788</w:t>
            </w:r>
          </w:p>
        </w:tc>
        <w:tc>
          <w:tcPr>
            <w:tcW w:w="75" w:type="dxa"/>
            <w:tcBorders/>
            <w:shd w:fill="CCEE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left"/>
              <w:rPr>
                <w:sz w:val="20"/>
              </w:rPr>
            </w:pPr>
            <w:r>
              <w:rPr>
                <w:sz w:val="20"/>
              </w:rPr>
              <w:t>Against: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6,443,958</w:t>
            </w:r>
          </w:p>
        </w:tc>
        <w:tc>
          <w:tcPr>
            <w:tcW w:w="75" w:type="dxa"/>
            <w:tcBorders/>
            <w:shd w:fill="FFFFFF" w:val="clear"/>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283"/>
              <w:jc w:val="left"/>
              <w:rPr>
                <w:sz w:val="20"/>
              </w:rPr>
            </w:pPr>
            <w:r>
              <w:rPr>
                <w:sz w:val="20"/>
              </w:rPr>
              <w:t>Abstain: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68,819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Proposal 3 – Advisory Vote on Executive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resolution to approve, on an advisory basis, the compensation of the Company’s named executive officers as disclosed in the Company’s definitive proxy statement on Schedule 14A filed April 24, 2026 was approved based upon the following votes:</w:t>
      </w:r>
    </w:p>
    <w:p>
      <w:pPr>
        <w:pStyle w:val="TextBody"/>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1565"/>
        <w:gridCol w:w="60"/>
        <w:gridCol w:w="60"/>
        <w:gridCol w:w="950"/>
        <w:gridCol w:w="75"/>
      </w:tblGrid>
      <w:tr>
        <w:trPr/>
        <w:tc>
          <w:tcPr>
            <w:tcW w:w="1565" w:type="dxa"/>
            <w:tcBorders/>
            <w:shd w:fill="CCEEFF" w:val="clear"/>
            <w:vAlign w:val="center"/>
          </w:tcPr>
          <w:p>
            <w:pPr>
              <w:pStyle w:val="TableContents"/>
              <w:bidi w:val="0"/>
              <w:spacing w:before="0" w:after="283"/>
              <w:jc w:val="left"/>
              <w:rPr>
                <w:sz w:val="20"/>
              </w:rPr>
            </w:pPr>
            <w:r>
              <w:rPr>
                <w:sz w:val="20"/>
              </w:rPr>
              <w:t>For: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96,469,374</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283"/>
              <w:jc w:val="left"/>
              <w:rPr>
                <w:sz w:val="20"/>
              </w:rPr>
            </w:pPr>
            <w:r>
              <w:rPr>
                <w:sz w:val="20"/>
              </w:rPr>
              <w:t>Against: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6,898,268</w:t>
            </w:r>
          </w:p>
        </w:tc>
        <w:tc>
          <w:tcPr>
            <w:tcW w:w="75" w:type="dxa"/>
            <w:tcBorders/>
            <w:shd w:fill="FFFFFF" w:val="clear"/>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sz w:val="20"/>
              </w:rPr>
            </w:pPr>
            <w:r>
              <w:rPr>
                <w:sz w:val="20"/>
              </w:rPr>
              <w:t>Abstain: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105,512</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283"/>
              <w:jc w:val="left"/>
              <w:rPr>
                <w:sz w:val="20"/>
              </w:rPr>
            </w:pPr>
            <w:r>
              <w:rPr>
                <w:sz w:val="20"/>
              </w:rPr>
              <w:t>Broker Non-Votes: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5,543,411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4910" w:type="dxa"/>
        <w:jc w:val="left"/>
        <w:tblInd w:w="0" w:type="dxa"/>
        <w:tblLayout w:type="fixed"/>
        <w:tblCellMar>
          <w:top w:w="0" w:type="dxa"/>
          <w:left w:w="0" w:type="dxa"/>
          <w:bottom w:w="0" w:type="dxa"/>
          <w:right w:w="0" w:type="dxa"/>
        </w:tblCellMar>
      </w:tblPr>
      <w:tblGrid>
        <w:gridCol w:w="75"/>
        <w:gridCol w:w="4835"/>
      </w:tblGrid>
      <w:tr>
        <w:trPr/>
        <w:tc>
          <w:tcPr>
            <w:tcW w:w="75"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283"/>
              <w:jc w:val="left"/>
              <w:rPr>
                <w:b/>
              </w:rPr>
            </w:pPr>
            <w:r>
              <w:rPr>
                <w:b/>
              </w:rPr>
              <w:t>REGENERON PHARMACEUTICALS, INC.</w:t>
            </w:r>
          </w:p>
        </w:tc>
      </w:tr>
      <w:tr>
        <w:trPr/>
        <w:tc>
          <w:tcPr>
            <w:tcW w:w="75"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3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Joseph J. LaRosa</w:t>
            </w:r>
          </w:p>
        </w:tc>
      </w:tr>
      <w:tr>
        <w:trPr/>
        <w:tc>
          <w:tcPr>
            <w:tcW w:w="75"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283"/>
              <w:jc w:val="left"/>
              <w:rPr>
                <w:sz w:val="20"/>
              </w:rPr>
            </w:pPr>
            <w:r>
              <w:rPr>
                <w:sz w:val="20"/>
              </w:rPr>
              <w:t>Joseph J. LaRosa</w:t>
            </w:r>
          </w:p>
        </w:tc>
      </w:tr>
      <w:tr>
        <w:trPr/>
        <w:tc>
          <w:tcPr>
            <w:tcW w:w="75"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283"/>
              <w:jc w:val="left"/>
              <w:rPr>
                <w:sz w:val="20"/>
              </w:rPr>
            </w:pPr>
            <w:r>
              <w:rPr>
                <w:sz w:val="20"/>
              </w:rPr>
              <w:t>Executive Vice President, General Counsel and Secretary</w:t>
            </w:r>
          </w:p>
        </w:tc>
      </w:tr>
      <w:tr>
        <w:trPr/>
        <w:tc>
          <w:tcPr>
            <w:tcW w:w="4910"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578</Words>
  <Characters>3326</Characters>
  <CharactersWithSpaces>3970</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