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11</w:t>
      </w:r>
    </w:p>
    <w:p>
      <w:pPr>
        <w:spacing w:after="0" w:line="238" w:lineRule="auto"/>
        <w:rPr>
          <w:sz w:val="20"/>
          <w:szCs w:val="20"/>
          <w:color w:val="auto"/>
        </w:rPr>
      </w:pPr>
      <w:r>
        <w:rPr>
          <w:rFonts w:ascii="Courier New" w:cs="Courier New" w:eastAsia="Courier New" w:hAnsi="Courier New"/>
          <w:sz w:val="18"/>
          <w:szCs w:val="18"/>
          <w:color w:val="auto"/>
        </w:rPr>
        <w:t>REGENERON PHARMACEUTICALS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#75886F107</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spacing w:after="0" w:line="4"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#75886F107</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3" w:lineRule="exact"/>
        <w:rPr>
          <w:sz w:val="24"/>
          <w:szCs w:val="24"/>
          <w:color w:val="auto"/>
        </w:rPr>
      </w:pPr>
    </w:p>
    <w:p>
      <w:pPr>
        <w:jc w:val="both"/>
        <w:ind w:right="8519" w:firstLine="851"/>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840,639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5,347,375</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5,347,375</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5.029%</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#75886F107</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29"/>
        <w:spacing w:after="0" w:line="237"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Item 4: United States of America</w:t>
      </w:r>
    </w:p>
    <w:p>
      <w:pPr>
        <w:spacing w:after="0"/>
        <w:rPr>
          <w:sz w:val="20"/>
          <w:szCs w:val="20"/>
          <w:color w:val="auto"/>
        </w:rPr>
      </w:pPr>
      <w:r>
        <w:rPr>
          <w:rFonts w:ascii="Courier New" w:cs="Courier New" w:eastAsia="Courier New" w:hAnsi="Courier New"/>
          <w:sz w:val="18"/>
          <w:szCs w:val="18"/>
          <w:color w:val="auto"/>
        </w:rPr>
        <w:t>Item 5: 0</w:t>
      </w:r>
    </w:p>
    <w:p>
      <w:pPr>
        <w:spacing w:after="0" w:line="237"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5,347,375</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5,347,375</w:t>
      </w:r>
    </w:p>
    <w:p>
      <w:pPr>
        <w:spacing w:after="0" w:line="237" w:lineRule="auto"/>
        <w:rPr>
          <w:sz w:val="20"/>
          <w:szCs w:val="20"/>
          <w:color w:val="auto"/>
        </w:rPr>
      </w:pPr>
      <w:r>
        <w:rPr>
          <w:rFonts w:ascii="Courier New" w:cs="Courier New" w:eastAsia="Courier New" w:hAnsi="Courier New"/>
          <w:sz w:val="18"/>
          <w:szCs w:val="18"/>
          <w:color w:val="auto"/>
        </w:rPr>
        <w:t>Item 11: 5.029%</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777 Old Saw Mill River Road</w:t>
      </w:r>
    </w:p>
    <w:p>
      <w:pPr>
        <w:spacing w:after="0" w:line="238" w:lineRule="auto"/>
        <w:rPr>
          <w:sz w:val="20"/>
          <w:szCs w:val="20"/>
          <w:color w:val="auto"/>
        </w:rPr>
      </w:pPr>
      <w:r>
        <w:rPr>
          <w:rFonts w:ascii="Courier New" w:cs="Courier New" w:eastAsia="Courier New" w:hAnsi="Courier New"/>
          <w:sz w:val="18"/>
          <w:szCs w:val="18"/>
          <w:color w:val="auto"/>
        </w:rPr>
        <w:t>Tarrytown, NY 10591-6707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75886F107</w:t>
      </w:r>
    </w:p>
    <w:p>
      <w:pPr>
        <w:spacing w:after="0" w:line="207" w:lineRule="exact"/>
        <w:rPr>
          <w:sz w:val="24"/>
          <w:szCs w:val="24"/>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5,347,375</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5.029%</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55"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840,639</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5,347,375</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REGENERON PHARMACEUTICALS INC. No one other person's interest in the COMMON STOCK of REGENERON PHARMACEUTICALS INC is more than five percent of the total outstanding COMMON STOCK.</w:t>
      </w: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13, 2019</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9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ITEM</w:t>
            </w:r>
          </w:p>
        </w:tc>
        <w:tc>
          <w:tcPr>
            <w:tcW w:w="4580" w:type="dxa"/>
            <w:vAlign w:val="bottom"/>
          </w:tcPr>
          <w:p>
            <w:pPr>
              <w:ind w:left="40"/>
              <w:spacing w:after="0"/>
              <w:rPr>
                <w:sz w:val="20"/>
                <w:szCs w:val="20"/>
                <w:color w:val="auto"/>
              </w:rPr>
            </w:pPr>
            <w:r>
              <w:rPr>
                <w:rFonts w:ascii="Courier New" w:cs="Courier New" w:eastAsia="Courier New" w:hAnsi="Courier New"/>
                <w:sz w:val="18"/>
                <w:szCs w:val="18"/>
                <w:color w:val="auto"/>
              </w:rPr>
              <w:t>3 Classification</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7"/>
              </w:rPr>
              <w:t>Institutional Asset Management Trust Company  BK</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MANAGEMENT &amp; RESEARCH COMPANY  IA</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FMR CO.,</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w:t>
            </w:r>
          </w:p>
        </w:tc>
        <w:tc>
          <w:tcPr>
            <w:tcW w:w="4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IA</w:t>
            </w:r>
          </w:p>
        </w:tc>
      </w:tr>
    </w:tbl>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ectPr>
          <w:pgSz w:w="11900" w:h="16838" w:orient="portrait"/>
          <w:cols w:equalWidth="0" w:num="1">
            <w:col w:w="10219"/>
          </w:cols>
          <w:pgMar w:left="240" w:top="339" w:right="1440" w:bottom="0" w:gutter="0" w:footer="0" w:header="0"/>
        </w:sectPr>
      </w:pPr>
    </w:p>
    <w:bookmarkStart w:id="2" w:name="page3"/>
    <w:bookmarkEnd w:id="2"/>
    <w:p>
      <w:pPr>
        <w:ind w:right="199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5"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FMR Co carries out the voting of the shares under written guidelines established by the Fidelity Funds' Boards of Trustees.</w:t>
      </w:r>
    </w:p>
    <w:p>
      <w:pPr>
        <w:spacing w:after="0" w:line="21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undersigned persons, on February 13, 2019, agree and consent to the joint filing on their behalf of this Schedule 13G in connection with their beneficial ownership of the COMMON STOCK of REGENERON PHARMACEUTICALS INC at December 31, 2018.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099" w:firstLine="8"/>
        <w:spacing w:after="0" w:line="23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Roman"/>
      <w:start w:val="10"/>
    </w:lvl>
  </w:abstractNum>
  <w:abstractNum w:abstractNumId="1">
    <w:nsid w:val="238E1F29"/>
    <w:multiLevelType w:val="hybridMultilevel"/>
    <w:lvl w:ilvl="0">
      <w:lvlJc w:val="left"/>
      <w:lvlText w:val="(%1)"/>
      <w:numFmt w:val="lowerLetter"/>
      <w:start w:val="2"/>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2019-12-05T00:20:23Z</dcterms:created>
  <dcterms:modified xsi:type="dcterms:W3CDTF">2019-12-05T00:20:23Z</dcterms:modified>
</cp:coreProperties>
</file>