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0"/>
          <w:szCs w:val="20"/>
          <w:color w:val="auto"/>
        </w:rPr>
      </w:pPr>
    </w:p>
    <w:p>
      <w:pPr>
        <w:spacing w:after="0" w:line="262" w:lineRule="exact"/>
        <w:rPr>
          <w:sz w:val="20"/>
          <w:szCs w:val="20"/>
          <w:color w:val="auto"/>
        </w:rPr>
      </w:pPr>
    </w:p>
    <w:p>
      <w:pPr>
        <w:ind w:left="580"/>
        <w:spacing w:after="0"/>
        <w:tabs>
          <w:tab w:leader="none" w:pos="44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80010</wp:posOffset>
            </wp:positionV>
            <wp:extent cx="1372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TRANSITION REPORT PURSUANT TO SECTION 13 OR 15 (d) OF THE SECURITIES EXCHANGE ACT OF 1934</w:t>
      </w:r>
    </w:p>
    <w:p>
      <w:pPr>
        <w:spacing w:after="0" w:line="200" w:lineRule="exact"/>
        <w:rPr>
          <w:sz w:val="20"/>
          <w:szCs w:val="20"/>
          <w:color w:val="auto"/>
        </w:rPr>
      </w:pP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660" w:type="dxa"/>
            <w:vAlign w:val="bottom"/>
            <w:gridSpan w:val="6"/>
          </w:tcPr>
          <w:p>
            <w:pPr>
              <w:spacing w:after="0"/>
              <w:rPr>
                <w:sz w:val="20"/>
                <w:szCs w:val="20"/>
                <w:color w:val="auto"/>
              </w:rPr>
            </w:pPr>
            <w:r>
              <w:rPr>
                <w:rFonts w:ascii="Arial" w:cs="Arial" w:eastAsia="Arial" w:hAnsi="Arial"/>
                <w:sz w:val="18"/>
                <w:szCs w:val="18"/>
                <w:color w:val="auto"/>
              </w:rPr>
              <w:t>For the transition period from</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180" w:type="dxa"/>
            <w:vAlign w:val="bottom"/>
            <w:gridSpan w:val="6"/>
          </w:tcPr>
          <w:p>
            <w:pPr>
              <w:ind w:left="220"/>
              <w:spacing w:after="0"/>
              <w:rPr>
                <w:sz w:val="20"/>
                <w:szCs w:val="20"/>
                <w:color w:val="auto"/>
              </w:rPr>
            </w:pPr>
            <w:r>
              <w:rPr>
                <w:rFonts w:ascii="Arial" w:cs="Arial" w:eastAsia="Arial" w:hAnsi="Arial"/>
                <w:sz w:val="18"/>
                <w:szCs w:val="18"/>
                <w:color w:val="auto"/>
              </w:rPr>
              <w:t>to</w:t>
            </w:r>
          </w:p>
        </w:tc>
      </w:tr>
      <w:tr>
        <w:trPr>
          <w:trHeight w:val="110"/>
        </w:trPr>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559"/>
        </w:trPr>
        <w:tc>
          <w:tcPr>
            <w:tcW w:w="1900" w:type="dxa"/>
            <w:vAlign w:val="bottom"/>
            <w:gridSpan w:val="2"/>
          </w:tcPr>
          <w:p>
            <w:pPr>
              <w:spacing w:after="0"/>
              <w:rPr>
                <w:sz w:val="20"/>
                <w:szCs w:val="20"/>
                <w:color w:val="auto"/>
              </w:rPr>
            </w:pPr>
            <w:r>
              <w:rPr>
                <w:rFonts w:ascii="Arial" w:cs="Arial" w:eastAsia="Arial" w:hAnsi="Arial"/>
                <w:sz w:val="18"/>
                <w:szCs w:val="18"/>
                <w:color w:val="auto"/>
                <w:w w:val="93"/>
              </w:rPr>
              <w:t>Commission File Number</w:t>
            </w:r>
          </w:p>
        </w:tc>
        <w:tc>
          <w:tcPr>
            <w:tcW w:w="2760" w:type="dxa"/>
            <w:vAlign w:val="bottom"/>
            <w:gridSpan w:val="4"/>
          </w:tcPr>
          <w:p>
            <w:pPr>
              <w:jc w:val="right"/>
              <w:ind w:right="1192"/>
              <w:spacing w:after="0"/>
              <w:rPr>
                <w:sz w:val="20"/>
                <w:szCs w:val="20"/>
                <w:color w:val="auto"/>
              </w:rPr>
            </w:pPr>
            <w:r>
              <w:rPr>
                <w:rFonts w:ascii="Arial" w:cs="Arial" w:eastAsia="Arial" w:hAnsi="Arial"/>
                <w:sz w:val="18"/>
                <w:szCs w:val="18"/>
                <w:color w:val="auto"/>
              </w:rPr>
              <w:t>0-19034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0"/>
        </w:trPr>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3"/>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520" w:type="dxa"/>
            <w:vAlign w:val="bottom"/>
            <w:gridSpan w:val="3"/>
          </w:tcPr>
          <w:p>
            <w:pPr>
              <w:spacing w:after="0"/>
              <w:rPr>
                <w:sz w:val="9"/>
                <w:szCs w:val="9"/>
                <w:color w:val="auto"/>
              </w:rPr>
            </w:pPr>
          </w:p>
        </w:tc>
        <w:tc>
          <w:tcPr>
            <w:tcW w:w="1180" w:type="dxa"/>
            <w:vAlign w:val="bottom"/>
          </w:tcPr>
          <w:p>
            <w:pPr>
              <w:spacing w:after="0"/>
              <w:rPr>
                <w:sz w:val="9"/>
                <w:szCs w:val="9"/>
                <w:color w:val="auto"/>
              </w:rPr>
            </w:pPr>
          </w:p>
        </w:tc>
      </w:tr>
      <w:tr>
        <w:trPr>
          <w:trHeight w:val="559"/>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gridSpan w:val="9"/>
          </w:tcPr>
          <w:p>
            <w:pPr>
              <w:jc w:val="center"/>
              <w:ind w:right="1640"/>
              <w:spacing w:after="0"/>
              <w:rPr>
                <w:sz w:val="20"/>
                <w:szCs w:val="20"/>
                <w:color w:val="auto"/>
              </w:rPr>
            </w:pPr>
            <w:r>
              <w:rPr>
                <w:rFonts w:ascii="Arial" w:cs="Arial" w:eastAsia="Arial" w:hAnsi="Arial"/>
                <w:sz w:val="18"/>
                <w:szCs w:val="18"/>
                <w:color w:val="auto"/>
                <w:w w:val="94"/>
              </w:rPr>
              <w:t>REGENERON PHARMACEUTICALS, INC.</w:t>
            </w:r>
          </w:p>
        </w:tc>
      </w:tr>
      <w:tr>
        <w:trPr>
          <w:trHeight w:val="97"/>
        </w:trPr>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560" w:type="dxa"/>
            <w:vAlign w:val="bottom"/>
            <w:tcBorders>
              <w:bottom w:val="single" w:sz="8" w:color="808080"/>
            </w:tcBorders>
            <w:gridSpan w:val="4"/>
          </w:tcPr>
          <w:p>
            <w:pPr>
              <w:spacing w:after="0"/>
              <w:rPr>
                <w:sz w:val="8"/>
                <w:szCs w:val="8"/>
                <w:color w:val="auto"/>
              </w:rPr>
            </w:pPr>
          </w:p>
        </w:tc>
        <w:tc>
          <w:tcPr>
            <w:tcW w:w="1180" w:type="dxa"/>
            <w:vAlign w:val="bottom"/>
          </w:tcPr>
          <w:p>
            <w:pPr>
              <w:spacing w:after="0"/>
              <w:rPr>
                <w:sz w:val="8"/>
                <w:szCs w:val="8"/>
                <w:color w:val="auto"/>
              </w:rPr>
            </w:pPr>
          </w:p>
        </w:tc>
      </w:tr>
      <w:tr>
        <w:trPr>
          <w:trHeight w:val="316"/>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gridSpan w:val="9"/>
          </w:tcPr>
          <w:p>
            <w:pPr>
              <w:jc w:val="center"/>
              <w:ind w:right="16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gridSpan w:val="3"/>
          </w:tcPr>
          <w:p>
            <w:pPr>
              <w:jc w:val="center"/>
              <w:ind w:right="1112"/>
              <w:spacing w:after="0"/>
              <w:rPr>
                <w:sz w:val="20"/>
                <w:szCs w:val="20"/>
                <w:color w:val="auto"/>
              </w:rPr>
            </w:pPr>
            <w:r>
              <w:rPr>
                <w:rFonts w:ascii="Arial" w:cs="Arial" w:eastAsia="Arial" w:hAnsi="Arial"/>
                <w:sz w:val="18"/>
                <w:szCs w:val="18"/>
                <w:color w:val="auto"/>
                <w:w w:val="92"/>
              </w:rPr>
              <w:t>New York</w:t>
            </w:r>
          </w:p>
        </w:tc>
        <w:tc>
          <w:tcPr>
            <w:tcW w:w="3560" w:type="dxa"/>
            <w:vAlign w:val="bottom"/>
            <w:gridSpan w:val="7"/>
          </w:tcPr>
          <w:p>
            <w:pPr>
              <w:jc w:val="center"/>
              <w:ind w:left="2092"/>
              <w:spacing w:after="0"/>
              <w:rPr>
                <w:sz w:val="20"/>
                <w:szCs w:val="20"/>
                <w:color w:val="auto"/>
              </w:rPr>
            </w:pPr>
            <w:r>
              <w:rPr>
                <w:rFonts w:ascii="Arial" w:cs="Arial" w:eastAsia="Arial" w:hAnsi="Arial"/>
                <w:sz w:val="18"/>
                <w:szCs w:val="18"/>
                <w:color w:val="auto"/>
                <w:w w:val="89"/>
              </w:rPr>
              <w:t>13-3444607</w:t>
            </w:r>
          </w:p>
        </w:tc>
        <w:tc>
          <w:tcPr>
            <w:tcW w:w="1180" w:type="dxa"/>
            <w:vAlign w:val="bottom"/>
          </w:tcPr>
          <w:p>
            <w:pPr>
              <w:spacing w:after="0"/>
              <w:rPr>
                <w:sz w:val="24"/>
                <w:szCs w:val="24"/>
                <w:color w:val="auto"/>
              </w:rPr>
            </w:pPr>
          </w:p>
        </w:tc>
      </w:tr>
      <w:tr>
        <w:trPr>
          <w:trHeight w:val="104"/>
        </w:trPr>
        <w:tc>
          <w:tcPr>
            <w:tcW w:w="8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gridSpan w:val="4"/>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gridSpan w:val="3"/>
          </w:tcPr>
          <w:p>
            <w:pPr>
              <w:spacing w:after="0"/>
              <w:rPr>
                <w:sz w:val="9"/>
                <w:szCs w:val="9"/>
                <w:color w:val="auto"/>
              </w:rPr>
            </w:pPr>
          </w:p>
        </w:tc>
      </w:tr>
      <w:tr>
        <w:trPr>
          <w:trHeight w:val="316"/>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gridSpan w:val="4"/>
          </w:tcPr>
          <w:p>
            <w:pPr>
              <w:jc w:val="center"/>
              <w:ind w:right="392"/>
              <w:spacing w:after="0"/>
              <w:rPr>
                <w:sz w:val="20"/>
                <w:szCs w:val="20"/>
                <w:color w:val="auto"/>
              </w:rPr>
            </w:pPr>
            <w:r>
              <w:rPr>
                <w:rFonts w:ascii="Arial" w:cs="Arial" w:eastAsia="Arial" w:hAnsi="Arial"/>
                <w:sz w:val="18"/>
                <w:szCs w:val="18"/>
                <w:color w:val="auto"/>
                <w:w w:val="90"/>
              </w:rPr>
              <w:t>(State or other jurisdiction of</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60" w:type="dxa"/>
            <w:vAlign w:val="bottom"/>
            <w:gridSpan w:val="4"/>
          </w:tcPr>
          <w:p>
            <w:pPr>
              <w:jc w:val="center"/>
              <w:ind w:right="392"/>
              <w:spacing w:after="0"/>
              <w:rPr>
                <w:sz w:val="20"/>
                <w:szCs w:val="20"/>
                <w:color w:val="auto"/>
              </w:rPr>
            </w:pPr>
            <w:r>
              <w:rPr>
                <w:rFonts w:ascii="Arial" w:cs="Arial" w:eastAsia="Arial" w:hAnsi="Arial"/>
                <w:sz w:val="18"/>
                <w:szCs w:val="18"/>
                <w:color w:val="auto"/>
                <w:w w:val="90"/>
              </w:rPr>
              <w:t>incorporation or organization)</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26"/>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gridSpan w:val="4"/>
          </w:tcPr>
          <w:p>
            <w:pPr>
              <w:jc w:val="center"/>
              <w:ind w:right="392"/>
              <w:spacing w:after="0"/>
              <w:rPr>
                <w:sz w:val="20"/>
                <w:szCs w:val="20"/>
                <w:color w:val="auto"/>
              </w:rPr>
            </w:pPr>
            <w:r>
              <w:rPr>
                <w:rFonts w:ascii="Arial" w:cs="Arial" w:eastAsia="Arial" w:hAnsi="Arial"/>
                <w:sz w:val="18"/>
                <w:szCs w:val="18"/>
                <w:color w:val="auto"/>
                <w:w w:val="92"/>
              </w:rPr>
              <w:t>777 Old Saw Mill River Road</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760" w:type="dxa"/>
            <w:vAlign w:val="bottom"/>
            <w:gridSpan w:val="4"/>
          </w:tcPr>
          <w:p>
            <w:pPr>
              <w:jc w:val="center"/>
              <w:ind w:right="392"/>
              <w:spacing w:after="0"/>
              <w:rPr>
                <w:sz w:val="20"/>
                <w:szCs w:val="20"/>
                <w:color w:val="auto"/>
              </w:rPr>
            </w:pPr>
            <w:r>
              <w:rPr>
                <w:rFonts w:ascii="Arial" w:cs="Arial" w:eastAsia="Arial" w:hAnsi="Arial"/>
                <w:sz w:val="18"/>
                <w:szCs w:val="18"/>
                <w:color w:val="auto"/>
                <w:w w:val="90"/>
              </w:rPr>
              <w:t>Tarrytown, New York</w:t>
            </w:r>
          </w:p>
        </w:tc>
        <w:tc>
          <w:tcPr>
            <w:tcW w:w="3560" w:type="dxa"/>
            <w:vAlign w:val="bottom"/>
            <w:gridSpan w:val="7"/>
          </w:tcPr>
          <w:p>
            <w:pPr>
              <w:jc w:val="center"/>
              <w:ind w:left="2092"/>
              <w:spacing w:after="0"/>
              <w:rPr>
                <w:sz w:val="20"/>
                <w:szCs w:val="20"/>
                <w:color w:val="auto"/>
              </w:rPr>
            </w:pPr>
            <w:r>
              <w:rPr>
                <w:rFonts w:ascii="Arial" w:cs="Arial" w:eastAsia="Arial" w:hAnsi="Arial"/>
                <w:sz w:val="18"/>
                <w:szCs w:val="18"/>
                <w:color w:val="auto"/>
                <w:w w:val="89"/>
              </w:rPr>
              <w:t>10591-6707</w:t>
            </w:r>
          </w:p>
        </w:tc>
        <w:tc>
          <w:tcPr>
            <w:tcW w:w="1180" w:type="dxa"/>
            <w:vAlign w:val="bottom"/>
          </w:tcPr>
          <w:p>
            <w:pPr>
              <w:spacing w:after="0"/>
              <w:rPr>
                <w:sz w:val="19"/>
                <w:szCs w:val="19"/>
                <w:color w:val="auto"/>
              </w:rPr>
            </w:pPr>
          </w:p>
        </w:tc>
      </w:tr>
      <w:tr>
        <w:trPr>
          <w:trHeight w:val="104"/>
        </w:trPr>
        <w:tc>
          <w:tcPr>
            <w:tcW w:w="860" w:type="dxa"/>
            <w:vAlign w:val="bottom"/>
          </w:tcPr>
          <w:p>
            <w:pPr>
              <w:spacing w:after="0"/>
              <w:rPr>
                <w:sz w:val="9"/>
                <w:szCs w:val="9"/>
                <w:color w:val="auto"/>
              </w:rPr>
            </w:pPr>
          </w:p>
        </w:tc>
        <w:tc>
          <w:tcPr>
            <w:tcW w:w="3800" w:type="dxa"/>
            <w:vAlign w:val="bottom"/>
            <w:tcBorders>
              <w:bottom w:val="single" w:sz="8" w:color="808080"/>
            </w:tcBorders>
            <w:gridSpan w:val="5"/>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gridSpan w:val="3"/>
          </w:tcPr>
          <w:p>
            <w:pPr>
              <w:spacing w:after="0"/>
              <w:rPr>
                <w:sz w:val="9"/>
                <w:szCs w:val="9"/>
                <w:color w:val="auto"/>
              </w:rPr>
            </w:pPr>
          </w:p>
        </w:tc>
      </w:tr>
      <w:tr>
        <w:trPr>
          <w:trHeight w:val="322"/>
        </w:trPr>
        <w:tc>
          <w:tcPr>
            <w:tcW w:w="860" w:type="dxa"/>
            <w:vAlign w:val="bottom"/>
          </w:tcPr>
          <w:p>
            <w:pPr>
              <w:spacing w:after="0"/>
              <w:rPr>
                <w:sz w:val="24"/>
                <w:szCs w:val="24"/>
                <w:color w:val="auto"/>
              </w:rPr>
            </w:pPr>
          </w:p>
        </w:tc>
        <w:tc>
          <w:tcPr>
            <w:tcW w:w="3800" w:type="dxa"/>
            <w:vAlign w:val="bottom"/>
            <w:gridSpan w:val="5"/>
          </w:tcPr>
          <w:p>
            <w:pPr>
              <w:jc w:val="center"/>
              <w:ind w:left="472"/>
              <w:spacing w:after="0"/>
              <w:rPr>
                <w:sz w:val="20"/>
                <w:szCs w:val="20"/>
                <w:color w:val="auto"/>
              </w:rPr>
            </w:pPr>
            <w:r>
              <w:rPr>
                <w:rFonts w:ascii="Arial" w:cs="Arial" w:eastAsia="Arial" w:hAnsi="Arial"/>
                <w:sz w:val="18"/>
                <w:szCs w:val="18"/>
                <w:color w:val="auto"/>
                <w:w w:val="90"/>
              </w:rPr>
              <w:t>(Address of principal executive offices)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(Zip code)</w:t>
            </w:r>
          </w:p>
        </w:tc>
      </w:tr>
      <w:tr>
        <w:trPr>
          <w:trHeight w:val="459"/>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gridSpan w:val="6"/>
          </w:tcPr>
          <w:p>
            <w:pPr>
              <w:jc w:val="right"/>
              <w:ind w:right="1712"/>
              <w:spacing w:after="0"/>
              <w:rPr>
                <w:sz w:val="20"/>
                <w:szCs w:val="20"/>
                <w:color w:val="auto"/>
              </w:rPr>
            </w:pPr>
            <w:r>
              <w:rPr>
                <w:rFonts w:ascii="Arial" w:cs="Arial" w:eastAsia="Arial" w:hAnsi="Arial"/>
                <w:sz w:val="18"/>
                <w:szCs w:val="18"/>
                <w:color w:val="auto"/>
              </w:rPr>
              <w:t>(914) 347-7000</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61595</wp:posOffset>
            </wp:positionV>
            <wp:extent cx="2366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9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p>
      <w:pPr>
        <w:ind w:left="4480"/>
        <w:spacing w:after="0"/>
        <w:tabs>
          <w:tab w:leader="none" w:pos="5200" w:val="left"/>
          <w:tab w:leader="none" w:pos="59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71120</wp:posOffset>
            </wp:positionV>
            <wp:extent cx="462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80010</wp:posOffset>
            </wp:positionV>
            <wp:extent cx="462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2002:</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3920" w:type="dxa"/>
            <w:vAlign w:val="bottom"/>
          </w:tcPr>
          <w:p>
            <w:pPr>
              <w:ind w:left="1300"/>
              <w:spacing w:after="0"/>
              <w:rPr>
                <w:sz w:val="20"/>
                <w:szCs w:val="20"/>
                <w:color w:val="auto"/>
              </w:rPr>
            </w:pPr>
            <w:r>
              <w:rPr>
                <w:rFonts w:ascii="Arial" w:cs="Arial" w:eastAsia="Arial" w:hAnsi="Arial"/>
                <w:sz w:val="14"/>
                <w:szCs w:val="14"/>
                <w:color w:val="auto"/>
              </w:rPr>
              <w:t>Class of Common Stock</w:t>
            </w:r>
          </w:p>
        </w:tc>
        <w:tc>
          <w:tcPr>
            <w:tcW w:w="260" w:type="dxa"/>
            <w:vAlign w:val="bottom"/>
          </w:tcPr>
          <w:p>
            <w:pPr>
              <w:spacing w:after="0"/>
              <w:rPr>
                <w:sz w:val="14"/>
                <w:szCs w:val="14"/>
                <w:color w:val="auto"/>
              </w:rPr>
            </w:pPr>
          </w:p>
        </w:tc>
        <w:tc>
          <w:tcPr>
            <w:tcW w:w="2100" w:type="dxa"/>
            <w:vAlign w:val="bottom"/>
          </w:tcPr>
          <w:p>
            <w:pPr>
              <w:jc w:val="right"/>
              <w:ind w:right="492"/>
              <w:spacing w:after="0"/>
              <w:rPr>
                <w:sz w:val="20"/>
                <w:szCs w:val="20"/>
                <w:color w:val="auto"/>
              </w:rPr>
            </w:pPr>
            <w:r>
              <w:rPr>
                <w:rFonts w:ascii="Arial" w:cs="Arial" w:eastAsia="Arial" w:hAnsi="Arial"/>
                <w:sz w:val="14"/>
                <w:szCs w:val="14"/>
                <w:color w:val="auto"/>
              </w:rPr>
              <w:t>Number of Shares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Class A Stock, $0.001 par value</w:t>
            </w:r>
          </w:p>
        </w:tc>
        <w:tc>
          <w:tcPr>
            <w:tcW w:w="236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2,500,786</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2360" w:type="dxa"/>
            <w:vAlign w:val="bottom"/>
            <w:gridSpan w:val="2"/>
          </w:tcPr>
          <w:p>
            <w:pPr>
              <w:jc w:val="right"/>
              <w:ind w:right="592"/>
              <w:spacing w:after="0"/>
              <w:rPr>
                <w:sz w:val="20"/>
                <w:szCs w:val="20"/>
                <w:color w:val="auto"/>
              </w:rPr>
            </w:pPr>
            <w:r>
              <w:rPr>
                <w:rFonts w:ascii="Arial" w:cs="Arial" w:eastAsia="Arial" w:hAnsi="Arial"/>
                <w:sz w:val="18"/>
                <w:szCs w:val="18"/>
                <w:color w:val="auto"/>
              </w:rPr>
              <w:t>41,507,069</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2"/>
        </w:trPr>
        <w:tc>
          <w:tcPr>
            <w:tcW w:w="25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600" w:type="dxa"/>
            <w:vAlign w:val="bottom"/>
          </w:tcPr>
          <w:p>
            <w:pPr>
              <w:ind w:left="380"/>
              <w:spacing w:after="0"/>
              <w:rPr>
                <w:sz w:val="20"/>
                <w:szCs w:val="20"/>
                <w:color w:val="auto"/>
              </w:rPr>
            </w:pPr>
            <w:r>
              <w:rPr>
                <w:rFonts w:ascii="Arial" w:cs="Arial" w:eastAsia="Arial" w:hAnsi="Arial"/>
                <w:sz w:val="14"/>
                <w:szCs w:val="14"/>
                <w:b w:val="1"/>
                <w:bCs w:val="1"/>
                <w:color w:val="auto"/>
              </w:rPr>
              <w:t>Page Numbers</w:t>
            </w:r>
          </w:p>
        </w:tc>
        <w:tc>
          <w:tcPr>
            <w:tcW w:w="0" w:type="dxa"/>
            <w:vAlign w:val="bottom"/>
          </w:tcPr>
          <w:p>
            <w:pPr>
              <w:spacing w:after="0"/>
              <w:rPr>
                <w:sz w:val="1"/>
                <w:szCs w:val="1"/>
                <w:color w:val="auto"/>
              </w:rPr>
            </w:pPr>
          </w:p>
        </w:tc>
      </w:tr>
      <w:tr>
        <w:trPr>
          <w:trHeight w:val="95"/>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580" w:type="dxa"/>
            <w:vAlign w:val="bottom"/>
            <w:vMerge w:val="continue"/>
          </w:tcPr>
          <w:p>
            <w:pPr>
              <w:spacing w:after="0"/>
              <w:rPr>
                <w:sz w:val="24"/>
                <w:szCs w:val="24"/>
                <w:color w:val="auto"/>
              </w:rPr>
            </w:pPr>
          </w:p>
        </w:tc>
        <w:tc>
          <w:tcPr>
            <w:tcW w:w="82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Item 1</w:t>
            </w:r>
          </w:p>
        </w:tc>
        <w:tc>
          <w:tcPr>
            <w:tcW w:w="824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rPr>
              <w:t>Condensed balance sheets (unaudited) at March 31, 2002 and December 31, 2001</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w w:val="99"/>
              </w:rPr>
              <w:t>Condensed statements of operations (unaudited) for the three months ended March 31, 2002 and 2001</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rPr>
              <w:t>Condensed statement of stockholders’ equity (unaudited) for the three months ended March 31, 2002</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w w:val="99"/>
              </w:rPr>
              <w:t>Condensed statements of cash flows (unaudited) for the three months ended March 31, 2002 and 2001</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rPr>
              <w:t>Notes to condensed financial statements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7-11</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Item 2</w:t>
            </w:r>
          </w:p>
        </w:tc>
        <w:tc>
          <w:tcPr>
            <w:tcW w:w="824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12-21</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Item 3</w:t>
            </w:r>
          </w:p>
        </w:tc>
        <w:tc>
          <w:tcPr>
            <w:tcW w:w="8240" w:type="dxa"/>
            <w:vAlign w:val="bottom"/>
          </w:tcPr>
          <w:p>
            <w:pPr>
              <w:ind w:left="40"/>
              <w:spacing w:after="0"/>
              <w:rPr>
                <w:sz w:val="20"/>
                <w:szCs w:val="20"/>
                <w:color w:val="auto"/>
              </w:rPr>
            </w:pPr>
            <w:r>
              <w:rPr>
                <w:rFonts w:ascii="Arial" w:cs="Arial" w:eastAsia="Arial" w:hAnsi="Arial"/>
                <w:sz w:val="18"/>
                <w:szCs w:val="18"/>
                <w:color w:val="auto"/>
              </w:rPr>
              <w:t>Quantitative &amp; Qualitative Disclosure About Market Risk</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Item 6</w:t>
            </w:r>
          </w:p>
        </w:tc>
        <w:tc>
          <w:tcPr>
            <w:tcW w:w="8240" w:type="dxa"/>
            <w:vAlign w:val="bottom"/>
          </w:tcPr>
          <w:p>
            <w:pPr>
              <w:ind w:left="40"/>
              <w:spacing w:after="0"/>
              <w:rPr>
                <w:sz w:val="20"/>
                <w:szCs w:val="20"/>
                <w:color w:val="auto"/>
              </w:rPr>
            </w:pPr>
            <w:r>
              <w:rPr>
                <w:rFonts w:ascii="Arial" w:cs="Arial" w:eastAsia="Arial" w:hAnsi="Arial"/>
                <w:sz w:val="18"/>
                <w:szCs w:val="18"/>
                <w:color w:val="auto"/>
              </w:rPr>
              <w:t>Exhibits and Reports on Form 8-K</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w w:val="96"/>
              </w:rPr>
              <w:t>SIGNATURE PAGE</w:t>
            </w:r>
          </w:p>
        </w:tc>
        <w:tc>
          <w:tcPr>
            <w:tcW w:w="8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648"/>
        </w:trPr>
        <w:tc>
          <w:tcPr>
            <w:tcW w:w="1580" w:type="dxa"/>
            <w:vAlign w:val="bottom"/>
          </w:tcPr>
          <w:p>
            <w:pPr>
              <w:spacing w:after="0"/>
              <w:rPr>
                <w:sz w:val="24"/>
                <w:szCs w:val="24"/>
                <w:color w:val="auto"/>
              </w:rPr>
            </w:pPr>
          </w:p>
        </w:tc>
        <w:tc>
          <w:tcPr>
            <w:tcW w:w="8240" w:type="dxa"/>
            <w:vAlign w:val="bottom"/>
          </w:tcPr>
          <w:p>
            <w:pPr>
              <w:ind w:left="4100"/>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2002 AND DECEMBER 31, 2001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6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Pr>
          <w:p>
            <w:pPr>
              <w:spacing w:after="0"/>
              <w:rPr>
                <w:sz w:val="15"/>
                <w:szCs w:val="15"/>
                <w:color w:val="auto"/>
              </w:rPr>
            </w:pPr>
          </w:p>
        </w:tc>
        <w:tc>
          <w:tcPr>
            <w:tcW w:w="148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135,469</w:t>
            </w:r>
          </w:p>
        </w:tc>
        <w:tc>
          <w:tcPr>
            <w:tcW w:w="400" w:type="dxa"/>
            <w:vAlign w:val="bottom"/>
          </w:tcPr>
          <w:p>
            <w:pPr>
              <w:spacing w:after="0"/>
              <w:rPr>
                <w:sz w:val="18"/>
                <w:szCs w:val="18"/>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247,393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Marketable securities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178,659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126,796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Restricted 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Receivable due from The Procter &amp; Gamble Company</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2,593</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Receivable due from Merck &amp; Co., Inc.</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Receivable due from Amgen-Regeneron Partners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60" w:type="dxa"/>
            <w:vAlign w:val="bottom"/>
          </w:tcPr>
          <w:p>
            <w:pPr>
              <w:ind w:left="58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337,118</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394,186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63,352</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Restricted marketable securities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Investment in Amgen-Regeneron Partners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919</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42,043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7,418</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60" w:type="dxa"/>
            <w:vAlign w:val="bottom"/>
          </w:tcPr>
          <w:p>
            <w:pPr>
              <w:ind w:left="580"/>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471,865</w:t>
            </w:r>
          </w:p>
        </w:tc>
        <w:tc>
          <w:tcPr>
            <w:tcW w:w="40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495,397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17,068</w:t>
            </w: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Deferred revenue, current portion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6,766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Capital lease obligations, current portion</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22,944</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Notes payable</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outstanding — none</w:t>
            </w:r>
          </w:p>
        </w:tc>
        <w:tc>
          <w:tcPr>
            <w:tcW w:w="4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2,516,186 shares issued and outstanding in 2002</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2,562,689 shares issued and outstanding in 2001</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Stock, $.001 par value; 160,000,000 shares authorized;</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41,474,330 shares issued and outstanding in 2002</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41,264,280 shares issued and outstanding in 2001</w:t>
            </w:r>
          </w:p>
        </w:tc>
        <w:tc>
          <w:tcPr>
            <w:tcW w:w="42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569,613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567,624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Unearned compensation</w:t>
            </w: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(2,407)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(325,143)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(299,698)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6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242,484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266,355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471,865</w:t>
            </w: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495,397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4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r>
      <w:tr>
        <w:trPr>
          <w:trHeight w:val="95"/>
        </w:trPr>
        <w:tc>
          <w:tcPr>
            <w:tcW w:w="5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5260" w:type="dxa"/>
            <w:vAlign w:val="bottom"/>
          </w:tcPr>
          <w:p>
            <w:pPr>
              <w:spacing w:after="0"/>
              <w:rPr>
                <w:sz w:val="22"/>
                <w:szCs w:val="22"/>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r>
      <w:tr>
        <w:trPr>
          <w:trHeight w:val="95"/>
        </w:trPr>
        <w:tc>
          <w:tcPr>
            <w:tcW w:w="5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260" w:type="dxa"/>
            <w:vAlign w:val="bottom"/>
          </w:tcPr>
          <w:p>
            <w:pPr>
              <w:ind w:left="340"/>
              <w:spacing w:after="0"/>
              <w:rPr>
                <w:sz w:val="20"/>
                <w:szCs w:val="20"/>
                <w:color w:val="auto"/>
              </w:rPr>
            </w:pPr>
            <w:r>
              <w:rPr>
                <w:rFonts w:ascii="Arial" w:cs="Arial" w:eastAsia="Arial" w:hAnsi="Arial"/>
                <w:sz w:val="18"/>
                <w:szCs w:val="18"/>
                <w:color w:val="auto"/>
              </w:rPr>
              <w:t>Contract research and development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2,690</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   3,414</w:t>
            </w:r>
          </w:p>
        </w:tc>
        <w:tc>
          <w:tcPr>
            <w:tcW w:w="400" w:type="dxa"/>
            <w:vAlign w:val="bottom"/>
          </w:tcPr>
          <w:p>
            <w:pPr>
              <w:spacing w:after="0"/>
              <w:rPr>
                <w:sz w:val="18"/>
                <w:szCs w:val="18"/>
                <w:color w:val="auto"/>
              </w:rPr>
            </w:pPr>
          </w:p>
        </w:tc>
      </w:tr>
      <w:tr>
        <w:trPr>
          <w:trHeight w:val="216"/>
        </w:trPr>
        <w:tc>
          <w:tcPr>
            <w:tcW w:w="52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Contract manufacturing</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2,251</w:t>
            </w:r>
          </w:p>
        </w:tc>
        <w:tc>
          <w:tcPr>
            <w:tcW w:w="4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2,899</w:t>
            </w:r>
          </w:p>
        </w:tc>
        <w:tc>
          <w:tcPr>
            <w:tcW w:w="400" w:type="dxa"/>
            <w:vAlign w:val="bottom"/>
            <w:shd w:val="clear" w:color="auto" w:fill="EEEEEE"/>
          </w:tcPr>
          <w:p>
            <w:pPr>
              <w:spacing w:after="0"/>
              <w:rPr>
                <w:sz w:val="18"/>
                <w:szCs w:val="18"/>
                <w:color w:val="auto"/>
              </w:rPr>
            </w:pPr>
          </w:p>
        </w:tc>
      </w:tr>
      <w:tr>
        <w:trPr>
          <w:trHeight w:val="108"/>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4,941</w:t>
            </w:r>
          </w:p>
        </w:tc>
        <w:tc>
          <w:tcPr>
            <w:tcW w:w="4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6,313</w:t>
            </w:r>
          </w:p>
        </w:tc>
        <w:tc>
          <w:tcPr>
            <w:tcW w:w="400" w:type="dxa"/>
            <w:vAlign w:val="bottom"/>
          </w:tcPr>
          <w:p>
            <w:pPr>
              <w:spacing w:after="0"/>
              <w:rPr>
                <w:sz w:val="24"/>
                <w:szCs w:val="24"/>
                <w:color w:val="auto"/>
              </w:rPr>
            </w:pPr>
          </w:p>
        </w:tc>
      </w:tr>
      <w:tr>
        <w:trPr>
          <w:trHeight w:val="110"/>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25,475</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16,805</w:t>
            </w:r>
          </w:p>
        </w:tc>
        <w:tc>
          <w:tcPr>
            <w:tcW w:w="400" w:type="dxa"/>
            <w:vAlign w:val="bottom"/>
          </w:tcPr>
          <w:p>
            <w:pPr>
              <w:spacing w:after="0"/>
              <w:rPr>
                <w:sz w:val="18"/>
                <w:szCs w:val="18"/>
                <w:color w:val="auto"/>
              </w:rPr>
            </w:pPr>
          </w:p>
        </w:tc>
      </w:tr>
      <w:tr>
        <w:trPr>
          <w:trHeight w:val="216"/>
        </w:trPr>
        <w:tc>
          <w:tcPr>
            <w:tcW w:w="52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Contract manufacturing</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1,259</w:t>
            </w:r>
          </w:p>
        </w:tc>
        <w:tc>
          <w:tcPr>
            <w:tcW w:w="4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2,188</w:t>
            </w:r>
          </w:p>
        </w:tc>
        <w:tc>
          <w:tcPr>
            <w:tcW w:w="400" w:type="dxa"/>
            <w:vAlign w:val="bottom"/>
            <w:shd w:val="clear" w:color="auto" w:fill="EEEEEE"/>
          </w:tcPr>
          <w:p>
            <w:pPr>
              <w:spacing w:after="0"/>
              <w:rPr>
                <w:sz w:val="18"/>
                <w:szCs w:val="18"/>
                <w:color w:val="auto"/>
              </w:rPr>
            </w:pPr>
          </w:p>
        </w:tc>
      </w:tr>
      <w:tr>
        <w:trPr>
          <w:trHeight w:val="222"/>
        </w:trPr>
        <w:tc>
          <w:tcPr>
            <w:tcW w:w="5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2,031</w:t>
            </w:r>
          </w:p>
        </w:tc>
        <w:tc>
          <w:tcPr>
            <w:tcW w:w="400" w:type="dxa"/>
            <w:vAlign w:val="bottom"/>
          </w:tcPr>
          <w:p>
            <w:pPr>
              <w:spacing w:after="0"/>
              <w:rPr>
                <w:sz w:val="19"/>
                <w:szCs w:val="19"/>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30,134</w:t>
            </w:r>
          </w:p>
        </w:tc>
        <w:tc>
          <w:tcPr>
            <w:tcW w:w="4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21,024</w:t>
            </w:r>
          </w:p>
        </w:tc>
        <w:tc>
          <w:tcPr>
            <w:tcW w:w="400" w:type="dxa"/>
            <w:vAlign w:val="bottom"/>
            <w:shd w:val="clear" w:color="auto" w:fill="EEEEEE"/>
          </w:tcPr>
          <w:p>
            <w:pPr>
              <w:spacing w:after="0"/>
              <w:rPr>
                <w:sz w:val="18"/>
                <w:szCs w:val="18"/>
                <w:color w:val="auto"/>
              </w:rPr>
            </w:pPr>
          </w:p>
        </w:tc>
      </w:tr>
      <w:tr>
        <w:trPr>
          <w:trHeight w:val="108"/>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(25,193)</w:t>
            </w:r>
          </w:p>
        </w:tc>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(14,711)</w:t>
            </w:r>
          </w:p>
        </w:tc>
      </w:tr>
      <w:tr>
        <w:trPr>
          <w:trHeight w:val="110"/>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26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2,772</w:t>
            </w:r>
          </w:p>
        </w:tc>
        <w:tc>
          <w:tcPr>
            <w:tcW w:w="4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2,772</w:t>
            </w:r>
          </w:p>
        </w:tc>
        <w:tc>
          <w:tcPr>
            <w:tcW w:w="400" w:type="dxa"/>
            <w:vAlign w:val="bottom"/>
          </w:tcPr>
          <w:p>
            <w:pPr>
              <w:spacing w:after="0"/>
              <w:rPr>
                <w:sz w:val="18"/>
                <w:szCs w:val="18"/>
                <w:color w:val="auto"/>
              </w:rPr>
            </w:pPr>
          </w:p>
        </w:tc>
      </w:tr>
      <w:tr>
        <w:trPr>
          <w:trHeight w:val="216"/>
        </w:trPr>
        <w:tc>
          <w:tcPr>
            <w:tcW w:w="52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Loss in Amgen-Regeneron Partners</w:t>
            </w:r>
          </w:p>
        </w:tc>
        <w:tc>
          <w:tcPr>
            <w:tcW w:w="14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w:t>
            </w:r>
          </w:p>
        </w:tc>
        <w:tc>
          <w:tcPr>
            <w:tcW w:w="18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(1,051)</w:t>
            </w:r>
          </w:p>
        </w:tc>
      </w:tr>
      <w:tr>
        <w:trPr>
          <w:trHeight w:val="222"/>
        </w:trPr>
        <w:tc>
          <w:tcPr>
            <w:tcW w:w="52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(3,022)</w:t>
            </w:r>
          </w:p>
        </w:tc>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(47)</w:t>
            </w: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2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(252)</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1,674</w:t>
            </w:r>
          </w:p>
        </w:tc>
        <w:tc>
          <w:tcPr>
            <w:tcW w:w="400" w:type="dxa"/>
            <w:vAlign w:val="bottom"/>
            <w:shd w:val="clear" w:color="auto" w:fill="EEEEEE"/>
          </w:tcPr>
          <w:p>
            <w:pPr>
              <w:spacing w:after="0"/>
              <w:rPr>
                <w:sz w:val="18"/>
                <w:szCs w:val="18"/>
                <w:color w:val="auto"/>
              </w:rPr>
            </w:pPr>
          </w:p>
        </w:tc>
      </w:tr>
      <w:tr>
        <w:trPr>
          <w:trHeight w:val="108"/>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($25,445)</w:t>
            </w:r>
          </w:p>
        </w:tc>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($13,037)</w:t>
            </w:r>
          </w:p>
        </w:tc>
      </w:tr>
      <w:tr>
        <w:trPr>
          <w:trHeight w:val="107"/>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14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($0.58)</w:t>
            </w:r>
          </w:p>
        </w:tc>
        <w:tc>
          <w:tcPr>
            <w:tcW w:w="18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($0.35)</w:t>
            </w:r>
          </w:p>
        </w:tc>
      </w:tr>
      <w:tr>
        <w:trPr>
          <w:trHeight w:val="105"/>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ind w:right="5640"/>
        <w:spacing w:after="0" w:line="262" w:lineRule="auto"/>
        <w:rPr>
          <w:sz w:val="20"/>
          <w:szCs w:val="20"/>
          <w:color w:val="auto"/>
        </w:rPr>
      </w:pPr>
      <w:r>
        <w:rPr>
          <w:rFonts w:ascii="Arial" w:cs="Arial" w:eastAsia="Arial" w:hAnsi="Arial"/>
          <w:sz w:val="18"/>
          <w:szCs w:val="18"/>
          <w:b w:val="1"/>
          <w:bCs w:val="1"/>
          <w:color w:val="auto"/>
        </w:rPr>
        <w:t xml:space="preserve">CONDENSED STATEMENT OF STOCKHOLDERS’ EQUITY (Unaudited) For the three months ended March 31, 2002 </w:t>
      </w:r>
      <w:r>
        <w:rPr>
          <w:rFonts w:ascii="Arial" w:cs="Arial" w:eastAsia="Arial" w:hAnsi="Arial"/>
          <w:sz w:val="18"/>
          <w:szCs w:val="18"/>
          <w:b w:val="1"/>
          <w:bCs w:val="1"/>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10"/>
          </w:tcPr>
          <w:p>
            <w:pPr>
              <w:ind w:left="220"/>
              <w:spacing w:after="0"/>
              <w:rPr>
                <w:sz w:val="20"/>
                <w:szCs w:val="20"/>
                <w:color w:val="auto"/>
              </w:rPr>
            </w:pPr>
            <w:r>
              <w:rPr>
                <w:rFonts w:ascii="Arial" w:cs="Arial" w:eastAsia="Arial" w:hAnsi="Arial"/>
                <w:sz w:val="14"/>
                <w:szCs w:val="14"/>
                <w:b w:val="1"/>
                <w:bCs w:val="1"/>
                <w:color w:val="auto"/>
              </w:rPr>
              <w:t>Class A Stock</w:t>
            </w:r>
          </w:p>
        </w:tc>
        <w:tc>
          <w:tcPr>
            <w:tcW w:w="158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5"/>
          </w:tcPr>
          <w:p>
            <w:pPr>
              <w:ind w:left="1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28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7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1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560" w:type="dxa"/>
            <w:vAlign w:val="bottom"/>
            <w:gridSpan w:val="4"/>
            <w:vMerge w:val="restart"/>
          </w:tcPr>
          <w:p>
            <w:pPr>
              <w:jc w:val="center"/>
              <w:ind w:right="800"/>
              <w:spacing w:after="0"/>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2,563</w:t>
            </w:r>
          </w:p>
        </w:tc>
        <w:tc>
          <w:tcPr>
            <w:tcW w:w="200" w:type="dxa"/>
            <w:vAlign w:val="bottom"/>
            <w:shd w:val="clear" w:color="auto" w:fill="EEEEEE"/>
          </w:tcPr>
          <w:p>
            <w:pPr>
              <w:spacing w:after="0"/>
              <w:rPr>
                <w:sz w:val="18"/>
                <w:szCs w:val="18"/>
                <w:color w:val="auto"/>
              </w:rPr>
            </w:pPr>
          </w:p>
        </w:tc>
        <w:tc>
          <w:tcPr>
            <w:tcW w:w="620" w:type="dxa"/>
            <w:vAlign w:val="bottom"/>
            <w:gridSpan w:val="5"/>
            <w:shd w:val="clear" w:color="auto" w:fill="EEEEEE"/>
          </w:tcPr>
          <w:p>
            <w:pPr>
              <w:ind w:left="440"/>
              <w:spacing w:after="0"/>
              <w:rPr>
                <w:sz w:val="20"/>
                <w:szCs w:val="20"/>
                <w:color w:val="auto"/>
              </w:rPr>
            </w:pPr>
            <w:r>
              <w:rPr>
                <w:rFonts w:ascii="Arial" w:cs="Arial" w:eastAsia="Arial" w:hAnsi="Arial"/>
                <w:sz w:val="16"/>
                <w:szCs w:val="16"/>
                <w:color w:val="auto"/>
                <w:w w:val="71"/>
              </w:rPr>
              <w:t>$ 3</w:t>
            </w: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79"/>
              </w:rPr>
              <w:t>41,264</w:t>
            </w:r>
          </w:p>
        </w:tc>
        <w:tc>
          <w:tcPr>
            <w:tcW w:w="12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$41</w:t>
            </w:r>
          </w:p>
        </w:tc>
        <w:tc>
          <w:tcPr>
            <w:tcW w:w="11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$567,624</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gridSpan w:val="6"/>
            <w:shd w:val="clear" w:color="auto" w:fill="EEEEEE"/>
          </w:tcPr>
          <w:p>
            <w:pPr>
              <w:jc w:val="right"/>
              <w:ind w:right="260"/>
              <w:spacing w:after="0"/>
              <w:rPr>
                <w:sz w:val="20"/>
                <w:szCs w:val="20"/>
                <w:color w:val="auto"/>
              </w:rPr>
            </w:pPr>
            <w:r>
              <w:rPr>
                <w:rFonts w:ascii="Arial" w:cs="Arial" w:eastAsia="Arial" w:hAnsi="Arial"/>
                <w:sz w:val="18"/>
                <w:szCs w:val="18"/>
                <w:color w:val="auto"/>
              </w:rPr>
              <w:t>($2,789)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Issuance of Common Stock in connection with exercise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w w:val="95"/>
              </w:rPr>
              <w:t>Issuance of restricted Common Stock under Long-Term</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Incentive Plan</w:t>
            </w:r>
          </w:p>
        </w:tc>
        <w:tc>
          <w:tcPr>
            <w:tcW w:w="2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20" w:type="dxa"/>
            <w:vAlign w:val="bottom"/>
            <w:gridSpan w:val="6"/>
            <w:shd w:val="clear" w:color="auto" w:fill="EEEEEE"/>
          </w:tcPr>
          <w:p>
            <w:pPr>
              <w:jc w:val="right"/>
              <w:ind w:right="26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Issuance of Common Stock in connection with</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Company 401(k) Savings Plan contribution</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Conversion of Class A Stock to Common Stock</w:t>
            </w:r>
          </w:p>
        </w:tc>
        <w:tc>
          <w:tcPr>
            <w:tcW w:w="8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unearned compensation</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Change in net unrealized gain on marketable securities</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Balance, March 31, 2002</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2,516</w:t>
            </w:r>
          </w:p>
        </w:tc>
        <w:tc>
          <w:tcPr>
            <w:tcW w:w="200" w:type="dxa"/>
            <w:vAlign w:val="bottom"/>
            <w:shd w:val="clear" w:color="auto" w:fill="EEEEEE"/>
          </w:tcPr>
          <w:p>
            <w:pPr>
              <w:spacing w:after="0"/>
              <w:rPr>
                <w:sz w:val="18"/>
                <w:szCs w:val="18"/>
                <w:color w:val="auto"/>
              </w:rPr>
            </w:pPr>
          </w:p>
        </w:tc>
        <w:tc>
          <w:tcPr>
            <w:tcW w:w="620" w:type="dxa"/>
            <w:vAlign w:val="bottom"/>
            <w:gridSpan w:val="5"/>
            <w:shd w:val="clear" w:color="auto" w:fill="EEEEEE"/>
          </w:tcPr>
          <w:p>
            <w:pPr>
              <w:ind w:left="440"/>
              <w:spacing w:after="0"/>
              <w:rPr>
                <w:sz w:val="20"/>
                <w:szCs w:val="20"/>
                <w:color w:val="auto"/>
              </w:rPr>
            </w:pPr>
            <w:r>
              <w:rPr>
                <w:rFonts w:ascii="Arial" w:cs="Arial" w:eastAsia="Arial" w:hAnsi="Arial"/>
                <w:sz w:val="16"/>
                <w:szCs w:val="16"/>
                <w:color w:val="auto"/>
                <w:w w:val="71"/>
              </w:rPr>
              <w:t>$ 3</w:t>
            </w: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79"/>
              </w:rPr>
              <w:t>41,474</w:t>
            </w:r>
          </w:p>
        </w:tc>
        <w:tc>
          <w:tcPr>
            <w:tcW w:w="12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$41</w:t>
            </w:r>
          </w:p>
        </w:tc>
        <w:tc>
          <w:tcPr>
            <w:tcW w:w="11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$569,613</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gridSpan w:val="6"/>
            <w:shd w:val="clear" w:color="auto" w:fill="EEEEEE"/>
          </w:tcPr>
          <w:p>
            <w:pPr>
              <w:jc w:val="right"/>
              <w:ind w:right="260"/>
              <w:spacing w:after="0"/>
              <w:rPr>
                <w:sz w:val="20"/>
                <w:szCs w:val="20"/>
                <w:color w:val="auto"/>
              </w:rPr>
            </w:pPr>
            <w:r>
              <w:rPr>
                <w:rFonts w:ascii="Arial" w:cs="Arial" w:eastAsia="Arial" w:hAnsi="Arial"/>
                <w:sz w:val="18"/>
                <w:szCs w:val="18"/>
                <w:color w:val="auto"/>
              </w:rPr>
              <w:t>($2,407)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7"/>
          </w:tcPr>
          <w:p>
            <w:pPr>
              <w:ind w:left="120"/>
              <w:spacing w:after="0"/>
              <w:rPr>
                <w:sz w:val="20"/>
                <w:szCs w:val="20"/>
                <w:color w:val="auto"/>
              </w:rPr>
            </w:pPr>
            <w:r>
              <w:rPr>
                <w:rFonts w:ascii="Arial" w:cs="Arial" w:eastAsia="Arial" w:hAnsi="Arial"/>
                <w:sz w:val="18"/>
                <w:szCs w:val="18"/>
                <w:color w:val="auto"/>
                <w:w w:val="91"/>
              </w:rPr>
              <w:t>[Additional columns below]</w:t>
            </w: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w w:val="99"/>
              </w:rPr>
              <w:t>[Continued from above table, first column(s) repeated]</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34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1280" w:type="dxa"/>
            <w:vAlign w:val="bottom"/>
            <w:gridSpan w:val="7"/>
          </w:tcPr>
          <w:p>
            <w:pPr>
              <w:jc w:val="right"/>
              <w:ind w:right="280"/>
              <w:spacing w:after="0" w:line="149" w:lineRule="exact"/>
              <w:rPr>
                <w:sz w:val="20"/>
                <w:szCs w:val="20"/>
                <w:color w:val="auto"/>
              </w:rPr>
            </w:pPr>
            <w:r>
              <w:rPr>
                <w:rFonts w:ascii="Arial" w:cs="Arial" w:eastAsia="Arial" w:hAnsi="Arial"/>
                <w:sz w:val="14"/>
                <w:szCs w:val="14"/>
                <w:b w:val="1"/>
                <w:bCs w:val="1"/>
                <w:color w:val="auto"/>
              </w:rPr>
              <w:t>Stockholders'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20" w:type="dxa"/>
            <w:vAlign w:val="bottom"/>
            <w:gridSpan w:val="3"/>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2001</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8"/>
            <w:shd w:val="clear" w:color="auto" w:fill="EEEEEE"/>
          </w:tcPr>
          <w:p>
            <w:pPr>
              <w:ind w:left="440"/>
              <w:spacing w:after="0"/>
              <w:rPr>
                <w:sz w:val="20"/>
                <w:szCs w:val="20"/>
                <w:color w:val="auto"/>
              </w:rPr>
            </w:pPr>
            <w:r>
              <w:rPr>
                <w:rFonts w:ascii="Arial" w:cs="Arial" w:eastAsia="Arial" w:hAnsi="Arial"/>
                <w:sz w:val="18"/>
                <w:szCs w:val="18"/>
                <w:color w:val="auto"/>
              </w:rPr>
              <w:t>($299,698)</w:t>
            </w:r>
          </w:p>
        </w:tc>
        <w:tc>
          <w:tcPr>
            <w:tcW w:w="10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$266,355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Arial" w:cs="Arial" w:eastAsia="Arial" w:hAnsi="Arial"/>
                <w:sz w:val="18"/>
                <w:szCs w:val="18"/>
                <w:color w:val="auto"/>
                <w:w w:val="99"/>
              </w:rPr>
              <w:t>Issuance of Common Stock in connection with exercise of stock</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4"/>
            <w:shd w:val="clear" w:color="auto" w:fill="EEEEEE"/>
          </w:tcPr>
          <w:p>
            <w:pPr>
              <w:spacing w:after="0"/>
              <w:rPr>
                <w:sz w:val="20"/>
                <w:szCs w:val="20"/>
                <w:color w:val="auto"/>
              </w:rPr>
            </w:pPr>
            <w:r>
              <w:rPr>
                <w:rFonts w:ascii="Arial" w:cs="Arial" w:eastAsia="Arial" w:hAnsi="Arial"/>
                <w:sz w:val="18"/>
                <w:szCs w:val="18"/>
                <w:color w:val="auto"/>
                <w:w w:val="89"/>
              </w:rPr>
              <w:t>Issuance of restricted Common Stock under Long-Term Incentive Plan</w:t>
            </w: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4"/>
              </w:rPr>
              <w:t>Issuance of Common Stock in connection with Company</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401(k) Savings Plan contribution</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Conversion of Class A Stock to Common Stock</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left w:val="single" w:sz="8" w:color="EEEEEE"/>
            </w:tcBorders>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unearned compensation</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8"/>
            <w:shd w:val="clear" w:color="auto" w:fill="EEEEEE"/>
          </w:tcPr>
          <w:p>
            <w:pPr>
              <w:ind w:left="620"/>
              <w:spacing w:after="0"/>
              <w:rPr>
                <w:sz w:val="20"/>
                <w:szCs w:val="20"/>
                <w:color w:val="auto"/>
              </w:rPr>
            </w:pPr>
            <w:r>
              <w:rPr>
                <w:rFonts w:ascii="Arial" w:cs="Arial" w:eastAsia="Arial" w:hAnsi="Arial"/>
                <w:sz w:val="18"/>
                <w:szCs w:val="18"/>
                <w:color w:val="auto"/>
              </w:rPr>
              <w:t>(25,445)</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(25,445)</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($25,445)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Change in net unrealized gain on marketable securities</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52"/>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6"/>
          </w:tcPr>
          <w:p>
            <w:pPr>
              <w:jc w:val="right"/>
              <w:ind w:right="12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8"/>
                <w:szCs w:val="18"/>
                <w:color w:val="auto"/>
              </w:rPr>
              <w:t>(797)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20" w:type="dxa"/>
            <w:vAlign w:val="bottom"/>
            <w:tcBorders>
              <w:bottom w:val="single" w:sz="8" w:color="808080"/>
            </w:tcBorders>
            <w:gridSpan w:val="3"/>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Balance, March 31, 2002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8"/>
            <w:shd w:val="clear" w:color="auto" w:fill="EEEEEE"/>
          </w:tcPr>
          <w:p>
            <w:pPr>
              <w:ind w:left="440"/>
              <w:spacing w:after="0"/>
              <w:rPr>
                <w:sz w:val="20"/>
                <w:szCs w:val="20"/>
                <w:color w:val="auto"/>
              </w:rPr>
            </w:pPr>
            <w:r>
              <w:rPr>
                <w:rFonts w:ascii="Arial" w:cs="Arial" w:eastAsia="Arial" w:hAnsi="Arial"/>
                <w:sz w:val="18"/>
                <w:szCs w:val="18"/>
                <w:color w:val="auto"/>
              </w:rPr>
              <w:t>($325,143)</w:t>
            </w:r>
          </w:p>
        </w:tc>
        <w:tc>
          <w:tcPr>
            <w:tcW w:w="6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$242,484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gridSpan w:val="6"/>
            <w:shd w:val="clear" w:color="auto" w:fill="EEEEEE"/>
          </w:tcPr>
          <w:p>
            <w:pPr>
              <w:jc w:val="right"/>
              <w:ind w:right="300"/>
              <w:spacing w:after="0"/>
              <w:rPr>
                <w:sz w:val="20"/>
                <w:szCs w:val="20"/>
                <w:color w:val="auto"/>
              </w:rPr>
            </w:pPr>
            <w:r>
              <w:rPr>
                <w:rFonts w:ascii="Arial" w:cs="Arial" w:eastAsia="Arial" w:hAnsi="Arial"/>
                <w:sz w:val="18"/>
                <w:szCs w:val="18"/>
                <w:color w:val="auto"/>
              </w:rPr>
              <w:t>($26,242)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-3244850</wp:posOffset>
            </wp:positionV>
            <wp:extent cx="7302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 cy="3873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-3244850</wp:posOffset>
            </wp:positionV>
            <wp:extent cx="11557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($25,445)</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80"/>
              <w:spacing w:after="0"/>
              <w:rPr>
                <w:sz w:val="20"/>
                <w:szCs w:val="20"/>
                <w:color w:val="auto"/>
              </w:rPr>
            </w:pPr>
            <w:r>
              <w:rPr>
                <w:rFonts w:ascii="Arial" w:cs="Arial" w:eastAsia="Arial" w:hAnsi="Arial"/>
                <w:sz w:val="18"/>
                <w:szCs w:val="18"/>
                <w:color w:val="auto"/>
              </w:rPr>
              <w:t>Loss in Amgen-Regeneron Partners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80"/>
              <w:spacing w:after="0"/>
              <w:rPr>
                <w:sz w:val="20"/>
                <w:szCs w:val="20"/>
                <w:color w:val="auto"/>
              </w:rPr>
            </w:pPr>
            <w:r>
              <w:rPr>
                <w:rFonts w:ascii="Arial" w:cs="Arial" w:eastAsia="Arial" w:hAnsi="Arial"/>
                <w:sz w:val="18"/>
                <w:szCs w:val="18"/>
                <w:color w:val="auto"/>
              </w:rPr>
              <w:t>Non-cash compensation expense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Decrease in amounts due from The Procter &amp; Gamble Company</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EEEEEE"/>
          </w:tcPr>
          <w:p>
            <w:pPr>
              <w:spacing w:after="0"/>
              <w:rPr>
                <w:sz w:val="19"/>
                <w:szCs w:val="19"/>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4,407</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(Increase) decrease in amounts due from Merck &amp; Co., Inc.</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Decrease (increase) in amounts due from Amgen-Regeneron Partners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Increase in amounts due from Sumitomo Pharmaceuticals Company, Ltd.</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investment in Amgen-Regeneron Partners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(3,150)</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inventory</w:t>
            </w:r>
          </w:p>
        </w:tc>
        <w:tc>
          <w:tcPr>
            <w:tcW w:w="14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(735)</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80"/>
              <w:spacing w:after="0"/>
              <w:rPr>
                <w:sz w:val="20"/>
                <w:szCs w:val="20"/>
                <w:color w:val="auto"/>
              </w:rPr>
            </w:pPr>
            <w:r>
              <w:rPr>
                <w:rFonts w:ascii="Arial" w:cs="Arial" w:eastAsia="Arial" w:hAnsi="Arial"/>
                <w:sz w:val="18"/>
                <w:szCs w:val="18"/>
                <w:color w:val="auto"/>
              </w:rPr>
              <w:t>Decrease in deferred revenue</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(1,788)</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2,379</w:t>
            </w:r>
          </w:p>
        </w:tc>
        <w:tc>
          <w:tcPr>
            <w:tcW w:w="42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tcPr>
          <w:p>
            <w:pPr>
              <w:ind w:left="1540"/>
              <w:spacing w:after="0"/>
              <w:rPr>
                <w:sz w:val="20"/>
                <w:szCs w:val="20"/>
                <w:color w:val="auto"/>
              </w:rPr>
            </w:pPr>
            <w:r>
              <w:rPr>
                <w:rFonts w:ascii="Arial" w:cs="Arial" w:eastAsia="Arial" w:hAnsi="Arial"/>
                <w:sz w:val="18"/>
                <w:szCs w:val="18"/>
                <w:color w:val="auto"/>
              </w:rPr>
              <w:t>Total adjustments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(609)</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4,640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120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(26,054)</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108"/>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marketable securities</w:t>
            </w:r>
          </w:p>
        </w:tc>
        <w:tc>
          <w:tcPr>
            <w:tcW w:w="14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(127,745)</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Sales of marketable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44,818</w:t>
            </w:r>
          </w:p>
        </w:tc>
        <w:tc>
          <w:tcPr>
            <w:tcW w:w="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23,908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Capital expenditures</w:t>
            </w:r>
          </w:p>
        </w:tc>
        <w:tc>
          <w:tcPr>
            <w:tcW w:w="14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(4,000)</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tcPr>
          <w:p>
            <w:pPr>
              <w:ind w:left="1200"/>
              <w:spacing w:after="0"/>
              <w:rPr>
                <w:sz w:val="20"/>
                <w:szCs w:val="20"/>
                <w:color w:val="auto"/>
              </w:rPr>
            </w:pPr>
            <w:r>
              <w:rPr>
                <w:rFonts w:ascii="Arial" w:cs="Arial" w:eastAsia="Arial" w:hAnsi="Arial"/>
                <w:sz w:val="18"/>
                <w:szCs w:val="18"/>
                <w:color w:val="auto"/>
              </w:rPr>
              <w:t>Net cash (used in) provided by investing activities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(86,927)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6,887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Net proceeds from the issuance of stock</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154,382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Principal payments on note payable</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Capital lease payments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(111)</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120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1,057</w:t>
            </w:r>
          </w:p>
        </w:tc>
        <w:tc>
          <w:tcPr>
            <w:tcW w:w="4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154,152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tcPr>
          <w:p>
            <w:pPr>
              <w:ind w:left="1200"/>
              <w:spacing w:after="0"/>
              <w:rPr>
                <w:sz w:val="20"/>
                <w:szCs w:val="20"/>
                <w:color w:val="auto"/>
              </w:rPr>
            </w:pPr>
            <w:r>
              <w:rPr>
                <w:rFonts w:ascii="Arial" w:cs="Arial" w:eastAsia="Arial" w:hAnsi="Arial"/>
                <w:sz w:val="18"/>
                <w:szCs w:val="18"/>
                <w:color w:val="auto"/>
              </w:rPr>
              <w:t>Net (decrease) increase in cash and cash equivalents</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(111,924)</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152,642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247,393</w:t>
            </w:r>
          </w:p>
        </w:tc>
        <w:tc>
          <w:tcPr>
            <w:tcW w:w="4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tcPr>
          <w:p>
            <w:pPr>
              <w:ind w:left="120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$ 135,469</w:t>
            </w:r>
          </w:p>
        </w:tc>
        <w:tc>
          <w:tcPr>
            <w:tcW w:w="42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$ 183,620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452"/>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52" w:hanging="452"/>
        <w:spacing w:after="0"/>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rFonts w:ascii="Arial" w:cs="Arial" w:eastAsia="Arial" w:hAnsi="Arial"/>
          <w:sz w:val="18"/>
          <w:szCs w:val="18"/>
          <w:b w:val="1"/>
          <w:bCs w:val="1"/>
          <w:color w:val="auto"/>
        </w:rPr>
      </w:pPr>
    </w:p>
    <w:p>
      <w:pPr>
        <w:ind w:left="452"/>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2001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2001.</w:t>
      </w:r>
    </w:p>
    <w:p>
      <w:pPr>
        <w:spacing w:after="0" w:line="156" w:lineRule="exact"/>
        <w:rPr>
          <w:rFonts w:ascii="Arial" w:cs="Arial" w:eastAsia="Arial" w:hAnsi="Arial"/>
          <w:sz w:val="18"/>
          <w:szCs w:val="18"/>
          <w:b w:val="1"/>
          <w:bCs w:val="1"/>
          <w:color w:val="auto"/>
        </w:rPr>
      </w:pPr>
    </w:p>
    <w:p>
      <w:pPr>
        <w:ind w:left="452" w:hanging="452"/>
        <w:spacing w:after="0"/>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March 31, 2002 and December 31, 2001 are $2,569 and $1,946, respectively, of accrued capital expenditures. Included in accounts payable and accrued expenses at March 31, 2001 are $869 of accrued capital expenditures and $421 of costs incurred in connection with the Company’s sale of Common Stock in a public offering. Included in accounts payable and accrued expenses at December 31, 2000 are $672 of accrued capital expenditures.</w:t>
      </w:r>
    </w:p>
    <w:p>
      <w:pPr>
        <w:spacing w:after="0" w:line="197" w:lineRule="exact"/>
        <w:rPr>
          <w:rFonts w:ascii="Arial" w:cs="Arial" w:eastAsia="Arial" w:hAnsi="Arial"/>
          <w:sz w:val="18"/>
          <w:szCs w:val="18"/>
          <w:b w:val="1"/>
          <w:bCs w:val="1"/>
          <w:color w:val="auto"/>
        </w:rPr>
      </w:pPr>
    </w:p>
    <w:p>
      <w:pPr>
        <w:jc w:val="both"/>
        <w:ind w:left="45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2001 and 2000 are $764 and $477, respectively, of accrued Company 401(k) Savings Plan contribution expense. In the first quarter of both 2002 and 2001, the Company contributed 21,953 and 17,484 shares, respectively, of Common Stock to the 401(k) Savings Plan in satisfaction of these obligations.</w:t>
      </w:r>
    </w:p>
    <w:p>
      <w:pPr>
        <w:spacing w:after="0" w:line="194" w:lineRule="exact"/>
        <w:rPr>
          <w:rFonts w:ascii="Arial" w:cs="Arial" w:eastAsia="Arial" w:hAnsi="Arial"/>
          <w:sz w:val="18"/>
          <w:szCs w:val="18"/>
          <w:b w:val="1"/>
          <w:bCs w:val="1"/>
          <w:color w:val="auto"/>
        </w:rPr>
      </w:pPr>
    </w:p>
    <w:p>
      <w:pPr>
        <w:ind w:left="452"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Included in marketable securities at March 31, 2002 and December 31, 2001 are $2,652 and $1,988, respectively, of accrued interest income. Included in restricted marketable securities at March 31, 2002 and December 31, 2001 are $183 and $154, respectively, of accrued interest income. Included in marketable securities at March 31, 2001 and December 31, 2000 are $2,573 and $2,541, respectively, of accrued interest income.</w:t>
      </w:r>
    </w:p>
    <w:p>
      <w:pPr>
        <w:spacing w:after="0" w:line="3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8" w:name="page9"/>
    <w:bookmarkEnd w:id="8"/>
    <w:p>
      <w:pPr>
        <w:ind w:left="452"/>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Inventories consist primarily of raw materials and other direct and indirect costs associated with production of an intermediate for a Merck &amp; Co., Inc. pediatric vaccine under a long-term manufacturing agreement.</w:t>
      </w:r>
    </w:p>
    <w:p>
      <w:pPr>
        <w:spacing w:after="0" w:line="18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Inventories as of March 31, 2002 and December 31, 2001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25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3"/>
          </w:tcPr>
          <w:p>
            <w:pPr>
              <w:ind w:left="360"/>
              <w:spacing w:after="0"/>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14"/>
                <w:szCs w:val="14"/>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2002</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w:t>
            </w:r>
          </w:p>
        </w:tc>
        <w:tc>
          <w:tcPr>
            <w:tcW w:w="4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Finished products</w:t>
            </w: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3,850</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3,372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4,989</w:t>
            </w:r>
          </w:p>
        </w:tc>
        <w:tc>
          <w:tcPr>
            <w:tcW w:w="4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3,973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52"/>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Net of reserves of $230.</w:t>
      </w:r>
    </w:p>
    <w:p>
      <w:pPr>
        <w:spacing w:after="0" w:line="132"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March 31, 2002 and December 31, 2001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199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4"/>
                <w:szCs w:val="1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2002</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3,221</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Accrued clinical trial expense</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Interest payable on convertible notes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5,041</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17,068</w:t>
            </w:r>
          </w:p>
        </w:tc>
        <w:tc>
          <w:tcPr>
            <w:tcW w:w="320" w:type="dxa"/>
            <w:vAlign w:val="bottom"/>
          </w:tcPr>
          <w:p>
            <w:pPr>
              <w:spacing w:after="0"/>
              <w:rPr>
                <w:sz w:val="24"/>
                <w:szCs w:val="24"/>
                <w:color w:val="auto"/>
              </w:rPr>
            </w:pP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14,830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Amgen-Regeneron Partners Research Collaboration Agreement</w:t>
      </w:r>
    </w:p>
    <w:p>
      <w:pPr>
        <w:spacing w:after="0" w:line="231"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August 1990, the Company entered into a collaboration with Amgen Inc. (“Amgen”) to develop and attempt to commercialize brain derived neurotrophic factor (“BDNF”) and neurotrophin-3 (“NT-3”) in the United States. Pursuant to that agreement, the Company and Amgen formed a partnership, Amgen-Regeneron Partners (the “Partnership”). The Company accounts for its investment in the Partnership in accordance with the equity method of accounting. The partnership has no ongoing development activities for BDNF or NT-3 at this time.</w:t>
      </w:r>
    </w:p>
    <w:p>
      <w:pPr>
        <w:spacing w:after="0" w:line="167"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2"/>
          </w:cols>
          <w:pgMar w:left="248" w:top="935" w:right="579" w:bottom="1440" w:gutter="0" w:footer="0" w:header="0"/>
        </w:sectPr>
      </w:pPr>
    </w:p>
    <w:bookmarkStart w:id="9" w:name="page10"/>
    <w:bookmarkEnd w:id="9"/>
    <w:p>
      <w:pPr>
        <w:ind w:left="452"/>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Selected operating statement data of the Partnership for the three months ended March 31, 2002 and 2001 is as follows:</w:t>
      </w:r>
    </w:p>
    <w:p>
      <w:pPr>
        <w:spacing w:after="0" w:line="200" w:lineRule="exact"/>
        <w:rPr>
          <w:sz w:val="20"/>
          <w:szCs w:val="20"/>
          <w:color w:val="auto"/>
        </w:rPr>
      </w:pPr>
    </w:p>
    <w:p>
      <w:pPr>
        <w:spacing w:after="0" w:line="266" w:lineRule="exact"/>
        <w:rPr>
          <w:sz w:val="20"/>
          <w:szCs w:val="20"/>
          <w:color w:val="auto"/>
        </w:rPr>
      </w:pPr>
    </w:p>
    <w:tbl>
      <w:tblPr>
        <w:tblLayout w:type="fixed"/>
        <w:tblInd w:w="2572"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4"/>
                <w:szCs w:val="14"/>
                <w:color w:val="auto"/>
                <w:w w:val="89"/>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color w:val="auto"/>
              </w:rPr>
              <w:t>2002</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$ 11</w:t>
            </w:r>
          </w:p>
        </w:tc>
        <w:tc>
          <w:tcPr>
            <w:tcW w:w="22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expenses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5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6"/>
              </w:rPr>
              <w:t>($2,101)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rFonts w:ascii="Arial" w:cs="Arial" w:eastAsia="Arial" w:hAnsi="Arial"/>
          <w:sz w:val="18"/>
          <w:szCs w:val="18"/>
          <w:b w:val="1"/>
          <w:bCs w:val="1"/>
          <w:color w:val="auto"/>
        </w:rPr>
      </w:pPr>
    </w:p>
    <w:p>
      <w:pPr>
        <w:ind w:left="452"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three months ended March 31, 2002 and 2001, the components of comprehensive loss are:</w:t>
      </w:r>
    </w:p>
    <w:p>
      <w:pPr>
        <w:spacing w:after="0" w:line="200" w:lineRule="exact"/>
        <w:rPr>
          <w:sz w:val="20"/>
          <w:szCs w:val="20"/>
          <w:color w:val="auto"/>
        </w:rPr>
      </w:pPr>
    </w:p>
    <w:p>
      <w:pPr>
        <w:spacing w:after="0" w:line="238" w:lineRule="exact"/>
        <w:rPr>
          <w:sz w:val="20"/>
          <w:szCs w:val="20"/>
          <w:color w:val="auto"/>
        </w:rPr>
      </w:pPr>
    </w:p>
    <w:tbl>
      <w:tblPr>
        <w:tblLayout w:type="fixed"/>
        <w:tblInd w:w="1432"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6"/>
          </w:tcPr>
          <w:p>
            <w:pPr>
              <w:jc w:val="right"/>
              <w:ind w:right="640"/>
              <w:spacing w:after="0"/>
              <w:rPr>
                <w:sz w:val="20"/>
                <w:szCs w:val="20"/>
                <w:color w:val="auto"/>
              </w:rPr>
            </w:pPr>
            <w:r>
              <w:rPr>
                <w:rFonts w:ascii="Arial" w:cs="Arial" w:eastAsia="Arial" w:hAnsi="Arial"/>
                <w:sz w:val="14"/>
                <w:szCs w:val="14"/>
                <w:color w:val="auto"/>
              </w:rPr>
              <w:t>Three Months Ended March 31,</w:t>
            </w:r>
          </w:p>
        </w:tc>
      </w:tr>
      <w:tr>
        <w:trPr>
          <w:trHeight w:val="95"/>
        </w:trPr>
        <w:tc>
          <w:tcPr>
            <w:tcW w:w="5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263"/>
        </w:trPr>
        <w:tc>
          <w:tcPr>
            <w:tcW w:w="5500" w:type="dxa"/>
            <w:vAlign w:val="bottom"/>
          </w:tcPr>
          <w:p>
            <w:pPr>
              <w:spacing w:after="0"/>
              <w:rPr>
                <w:sz w:val="22"/>
                <w:szCs w:val="22"/>
                <w:color w:val="auto"/>
              </w:rPr>
            </w:pPr>
          </w:p>
        </w:tc>
        <w:tc>
          <w:tcPr>
            <w:tcW w:w="980" w:type="dxa"/>
            <w:vAlign w:val="bottom"/>
            <w:gridSpan w:val="2"/>
          </w:tcPr>
          <w:p>
            <w:pPr>
              <w:jc w:val="right"/>
              <w:ind w:right="112"/>
              <w:spacing w:after="0"/>
              <w:rPr>
                <w:sz w:val="20"/>
                <w:szCs w:val="20"/>
                <w:color w:val="auto"/>
              </w:rPr>
            </w:pPr>
            <w:r>
              <w:rPr>
                <w:rFonts w:ascii="Arial" w:cs="Arial" w:eastAsia="Arial" w:hAnsi="Arial"/>
                <w:sz w:val="14"/>
                <w:szCs w:val="14"/>
                <w:color w:val="auto"/>
              </w:rPr>
              <w:t>2002</w:t>
            </w:r>
          </w:p>
        </w:tc>
        <w:tc>
          <w:tcPr>
            <w:tcW w:w="340" w:type="dxa"/>
            <w:vAlign w:val="bottom"/>
          </w:tcPr>
          <w:p>
            <w:pPr>
              <w:spacing w:after="0"/>
              <w:rPr>
                <w:sz w:val="22"/>
                <w:szCs w:val="22"/>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2001</w:t>
            </w:r>
          </w:p>
        </w:tc>
        <w:tc>
          <w:tcPr>
            <w:tcW w:w="320" w:type="dxa"/>
            <w:vAlign w:val="bottom"/>
          </w:tcPr>
          <w:p>
            <w:pPr>
              <w:spacing w:after="0"/>
              <w:rPr>
                <w:sz w:val="22"/>
                <w:szCs w:val="22"/>
                <w:color w:val="auto"/>
              </w:rPr>
            </w:pPr>
          </w:p>
        </w:tc>
      </w:tr>
      <w:tr>
        <w:trPr>
          <w:trHeight w:val="95"/>
        </w:trPr>
        <w:tc>
          <w:tcPr>
            <w:tcW w:w="55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($25,445)</w:t>
            </w:r>
          </w:p>
        </w:tc>
        <w:tc>
          <w:tcPr>
            <w:tcW w:w="17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($13,037)</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Change in net unrealized gain on marketable securities</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(797)</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699</w:t>
            </w:r>
          </w:p>
        </w:tc>
        <w:tc>
          <w:tcPr>
            <w:tcW w:w="320" w:type="dxa"/>
            <w:vAlign w:val="bottom"/>
          </w:tcPr>
          <w:p>
            <w:pPr>
              <w:spacing w:after="0"/>
              <w:rPr>
                <w:sz w:val="19"/>
                <w:szCs w:val="19"/>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5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Total comprehensive loss</w:t>
            </w:r>
          </w:p>
        </w:tc>
        <w:tc>
          <w:tcPr>
            <w:tcW w:w="13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($26,242)</w:t>
            </w:r>
          </w:p>
        </w:tc>
        <w:tc>
          <w:tcPr>
            <w:tcW w:w="17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($12,338)</w:t>
            </w:r>
          </w:p>
        </w:tc>
      </w:tr>
      <w:tr>
        <w:trPr>
          <w:trHeight w:val="105"/>
        </w:trPr>
        <w:tc>
          <w:tcPr>
            <w:tcW w:w="5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07"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31" w:lineRule="exact"/>
        <w:rPr>
          <w:rFonts w:ascii="Arial" w:cs="Arial" w:eastAsia="Arial" w:hAnsi="Arial"/>
          <w:sz w:val="18"/>
          <w:szCs w:val="18"/>
          <w:b w:val="1"/>
          <w:bCs w:val="1"/>
          <w:color w:val="auto"/>
        </w:rPr>
      </w:pPr>
    </w:p>
    <w:p>
      <w:pPr>
        <w:ind w:left="452"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awards shares of Restricted Stock under the Regeneron Pharmaceuticals, Inc. 2000 Long-Term Incentive Plan. Restrictions on these shares lapse with respect to 25% of the shares every six months over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two year period that the restrictions lapse. For the three months ended March 31, 2002 and 2001, the Company recognized compensation expense related to Restricted Stock awards of $439 and $181, respectively.</w:t>
      </w:r>
    </w:p>
    <w:p>
      <w:pPr>
        <w:spacing w:after="0" w:line="16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months ended March 31, 2002 and 2001,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0" w:name="page11"/>
    <w:bookmarkEnd w:id="10"/>
    <w:p>
      <w:pPr>
        <w:ind w:left="452"/>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1992"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4"/>
          </w:tcPr>
          <w:p>
            <w:pPr>
              <w:ind w:left="100"/>
              <w:spacing w:after="0"/>
              <w:rPr>
                <w:sz w:val="20"/>
                <w:szCs w:val="20"/>
                <w:color w:val="auto"/>
              </w:rPr>
            </w:pPr>
            <w:r>
              <w:rPr>
                <w:rFonts w:ascii="Arial" w:cs="Arial" w:eastAsia="Arial" w:hAnsi="Arial"/>
                <w:sz w:val="14"/>
                <w:szCs w:val="14"/>
                <w:color w:val="auto"/>
                <w:w w:val="98"/>
              </w:rPr>
              <w:t>Three Months Ended March 31,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jc w:val="center"/>
              <w:ind w:left="244"/>
              <w:spacing w:after="0"/>
              <w:rPr>
                <w:sz w:val="20"/>
                <w:szCs w:val="20"/>
                <w:color w:val="auto"/>
              </w:rPr>
            </w:pPr>
            <w:r>
              <w:rPr>
                <w:rFonts w:ascii="Arial" w:cs="Arial" w:eastAsia="Arial" w:hAnsi="Arial"/>
                <w:sz w:val="14"/>
                <w:szCs w:val="14"/>
                <w:color w:val="auto"/>
                <w:w w:val="89"/>
              </w:rPr>
              <w:t>Net Loss, in</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jc w:val="center"/>
              <w:ind w:left="244"/>
              <w:spacing w:after="0" w:line="149" w:lineRule="exact"/>
              <w:rPr>
                <w:sz w:val="20"/>
                <w:szCs w:val="20"/>
                <w:color w:val="auto"/>
              </w:rPr>
            </w:pPr>
            <w:r>
              <w:rPr>
                <w:rFonts w:ascii="Arial" w:cs="Arial" w:eastAsia="Arial" w:hAnsi="Arial"/>
                <w:sz w:val="14"/>
                <w:szCs w:val="14"/>
                <w:color w:val="auto"/>
                <w:w w:val="83"/>
              </w:rPr>
              <w:t>thousands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3"/>
              </w:rPr>
              <w:t>Shares, in thousands</w:t>
            </w:r>
          </w:p>
        </w:tc>
        <w:tc>
          <w:tcPr>
            <w:tcW w:w="1040" w:type="dxa"/>
            <w:vAlign w:val="bottom"/>
          </w:tcPr>
          <w:p>
            <w:pPr>
              <w:ind w:left="260"/>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jc w:val="center"/>
              <w:ind w:left="224"/>
              <w:spacing w:after="0"/>
              <w:rPr>
                <w:sz w:val="20"/>
                <w:szCs w:val="20"/>
                <w:color w:val="auto"/>
              </w:rPr>
            </w:pPr>
            <w:r>
              <w:rPr>
                <w:rFonts w:ascii="Arial" w:cs="Arial" w:eastAsia="Arial" w:hAnsi="Arial"/>
                <w:sz w:val="14"/>
                <w:szCs w:val="14"/>
                <w:color w:val="auto"/>
                <w:w w:val="90"/>
              </w:rPr>
              <w:t>(Numerator)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(Denominator)</w:t>
            </w:r>
          </w:p>
        </w:tc>
        <w:tc>
          <w:tcPr>
            <w:tcW w:w="1040" w:type="dxa"/>
            <w:vAlign w:val="bottom"/>
          </w:tcPr>
          <w:p>
            <w:pPr>
              <w:ind w:left="30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EEEEEE"/>
          </w:tcPr>
          <w:p>
            <w:pPr>
              <w:jc w:val="right"/>
              <w:ind w:right="2652"/>
              <w:spacing w:after="0"/>
              <w:rPr>
                <w:sz w:val="20"/>
                <w:szCs w:val="20"/>
                <w:color w:val="auto"/>
              </w:rPr>
            </w:pPr>
            <w:r>
              <w:rPr>
                <w:rFonts w:ascii="Arial" w:cs="Arial" w:eastAsia="Arial" w:hAnsi="Arial"/>
                <w:sz w:val="18"/>
                <w:szCs w:val="18"/>
                <w:color w:val="auto"/>
                <w:w w:val="79"/>
              </w:rPr>
              <w:t>2002:</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jc w:val="right"/>
              <w:ind w:right="1472"/>
              <w:spacing w:after="0"/>
              <w:rPr>
                <w:sz w:val="20"/>
                <w:szCs w:val="20"/>
                <w:color w:val="auto"/>
              </w:rPr>
            </w:pPr>
            <w:r>
              <w:rPr>
                <w:rFonts w:ascii="Arial" w:cs="Arial" w:eastAsia="Arial" w:hAnsi="Arial"/>
                <w:sz w:val="18"/>
                <w:szCs w:val="18"/>
                <w:color w:val="auto"/>
              </w:rPr>
              <w:t>Basic and Diluted</w:t>
            </w:r>
          </w:p>
        </w:tc>
        <w:tc>
          <w:tcPr>
            <w:tcW w:w="1180" w:type="dxa"/>
            <w:vAlign w:val="bottom"/>
          </w:tcPr>
          <w:p>
            <w:pPr>
              <w:jc w:val="center"/>
              <w:ind w:left="224"/>
              <w:spacing w:after="0"/>
              <w:rPr>
                <w:sz w:val="20"/>
                <w:szCs w:val="20"/>
                <w:color w:val="auto"/>
              </w:rPr>
            </w:pPr>
            <w:r>
              <w:rPr>
                <w:rFonts w:ascii="Arial" w:cs="Arial" w:eastAsia="Arial" w:hAnsi="Arial"/>
                <w:sz w:val="18"/>
                <w:szCs w:val="18"/>
                <w:color w:val="auto"/>
                <w:w w:val="88"/>
              </w:rPr>
              <w:t>($25,445)</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43,822</w:t>
            </w:r>
          </w:p>
        </w:tc>
        <w:tc>
          <w:tcPr>
            <w:tcW w:w="280" w:type="dxa"/>
            <w:vAlign w:val="bottom"/>
          </w:tcPr>
          <w:p>
            <w:pPr>
              <w:spacing w:after="0"/>
              <w:rPr>
                <w:sz w:val="18"/>
                <w:szCs w:val="18"/>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EEEEEE"/>
          </w:tcPr>
          <w:p>
            <w:pPr>
              <w:jc w:val="right"/>
              <w:ind w:right="2652"/>
              <w:spacing w:after="0"/>
              <w:rPr>
                <w:sz w:val="20"/>
                <w:szCs w:val="20"/>
                <w:color w:val="auto"/>
              </w:rPr>
            </w:pPr>
            <w:r>
              <w:rPr>
                <w:rFonts w:ascii="Arial" w:cs="Arial" w:eastAsia="Arial" w:hAnsi="Arial"/>
                <w:sz w:val="18"/>
                <w:szCs w:val="18"/>
                <w:color w:val="auto"/>
                <w:w w:val="79"/>
              </w:rPr>
              <w:t>2001:</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jc w:val="right"/>
              <w:ind w:right="1472"/>
              <w:spacing w:after="0"/>
              <w:rPr>
                <w:sz w:val="20"/>
                <w:szCs w:val="20"/>
                <w:color w:val="auto"/>
              </w:rPr>
            </w:pPr>
            <w:r>
              <w:rPr>
                <w:rFonts w:ascii="Arial" w:cs="Arial" w:eastAsia="Arial" w:hAnsi="Arial"/>
                <w:sz w:val="18"/>
                <w:szCs w:val="18"/>
                <w:color w:val="auto"/>
              </w:rPr>
              <w:t>Basic and Diluted</w:t>
            </w:r>
          </w:p>
        </w:tc>
        <w:tc>
          <w:tcPr>
            <w:tcW w:w="1180" w:type="dxa"/>
            <w:vAlign w:val="bottom"/>
          </w:tcPr>
          <w:p>
            <w:pPr>
              <w:jc w:val="center"/>
              <w:ind w:left="224"/>
              <w:spacing w:after="0"/>
              <w:rPr>
                <w:sz w:val="20"/>
                <w:szCs w:val="20"/>
                <w:color w:val="auto"/>
              </w:rPr>
            </w:pPr>
            <w:r>
              <w:rPr>
                <w:rFonts w:ascii="Arial" w:cs="Arial" w:eastAsia="Arial" w:hAnsi="Arial"/>
                <w:sz w:val="18"/>
                <w:szCs w:val="18"/>
                <w:color w:val="auto"/>
                <w:w w:val="88"/>
              </w:rPr>
              <w:t>($13,037)</w:t>
            </w:r>
          </w:p>
        </w:tc>
        <w:tc>
          <w:tcPr>
            <w:tcW w:w="178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37,434</w:t>
            </w:r>
          </w:p>
        </w:tc>
        <w:tc>
          <w:tcPr>
            <w:tcW w:w="28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52" w:right="160"/>
        <w:spacing w:after="0" w:line="268" w:lineRule="auto"/>
        <w:rPr>
          <w:sz w:val="20"/>
          <w:szCs w:val="20"/>
          <w:color w:val="auto"/>
        </w:rPr>
      </w:pPr>
      <w:r>
        <w:rPr>
          <w:rFonts w:ascii="Arial" w:cs="Arial" w:eastAsia="Arial" w:hAnsi="Arial"/>
          <w:sz w:val="18"/>
          <w:szCs w:val="18"/>
          <w:color w:val="auto"/>
        </w:rPr>
        <w:t>Options, warrants, and convertible debt, which have been excluded from the diluted per share amounts because their effect would have been antidilutive, include the following:</w:t>
      </w:r>
    </w:p>
    <w:p>
      <w:pPr>
        <w:spacing w:after="0" w:line="200" w:lineRule="exact"/>
        <w:rPr>
          <w:sz w:val="20"/>
          <w:szCs w:val="20"/>
          <w:color w:val="auto"/>
        </w:rPr>
      </w:pPr>
    </w:p>
    <w:p>
      <w:pPr>
        <w:spacing w:after="0" w:line="227" w:lineRule="exact"/>
        <w:rPr>
          <w:sz w:val="20"/>
          <w:szCs w:val="20"/>
          <w:color w:val="auto"/>
        </w:rPr>
      </w:pPr>
    </w:p>
    <w:tbl>
      <w:tblPr>
        <w:tblLayout w:type="fixed"/>
        <w:tblInd w:w="1992"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80" w:type="dxa"/>
            <w:vAlign w:val="bottom"/>
            <w:gridSpan w:val="3"/>
          </w:tcPr>
          <w:p>
            <w:pPr>
              <w:jc w:val="right"/>
              <w:ind w:right="30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color w:val="auto"/>
              </w:rPr>
              <w:t>2002</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Options and Warrants:</w:t>
            </w:r>
          </w:p>
        </w:tc>
        <w:tc>
          <w:tcPr>
            <w:tcW w:w="9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920" w:type="dxa"/>
            <w:vAlign w:val="bottom"/>
          </w:tcPr>
          <w:p>
            <w:pPr>
              <w:jc w:val="right"/>
              <w:ind w:right="179"/>
              <w:spacing w:after="0"/>
              <w:rPr>
                <w:sz w:val="20"/>
                <w:szCs w:val="20"/>
                <w:color w:val="auto"/>
              </w:rPr>
            </w:pPr>
            <w:r>
              <w:rPr>
                <w:rFonts w:ascii="Arial" w:cs="Arial" w:eastAsia="Arial" w:hAnsi="Arial"/>
                <w:sz w:val="18"/>
                <w:szCs w:val="18"/>
                <w:color w:val="auto"/>
              </w:rPr>
              <w:t>9,423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Exercise Price</w:t>
            </w:r>
          </w:p>
        </w:tc>
        <w:tc>
          <w:tcPr>
            <w:tcW w:w="92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$21.46</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Convertible Debt: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Number, in thousands</w:t>
            </w:r>
          </w:p>
        </w:tc>
        <w:tc>
          <w:tcPr>
            <w:tcW w:w="920" w:type="dxa"/>
            <w:vAlign w:val="bottom"/>
            <w:shd w:val="clear" w:color="auto" w:fill="EEEEEE"/>
          </w:tcPr>
          <w:p>
            <w:pPr>
              <w:jc w:val="right"/>
              <w:ind w:right="179"/>
              <w:spacing w:after="0"/>
              <w:rPr>
                <w:sz w:val="20"/>
                <w:szCs w:val="20"/>
                <w:color w:val="auto"/>
              </w:rPr>
            </w:pPr>
            <w:r>
              <w:rPr>
                <w:rFonts w:ascii="Arial" w:cs="Arial" w:eastAsia="Arial" w:hAnsi="Arial"/>
                <w:sz w:val="18"/>
                <w:szCs w:val="18"/>
                <w:color w:val="auto"/>
              </w:rPr>
              <w:t>6,611</w:t>
            </w: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Conversion Price</w:t>
            </w:r>
          </w:p>
        </w:tc>
        <w:tc>
          <w:tcPr>
            <w:tcW w:w="920" w:type="dxa"/>
            <w:vAlign w:val="bottom"/>
          </w:tcPr>
          <w:p>
            <w:pPr>
              <w:jc w:val="right"/>
              <w:ind w:right="179"/>
              <w:spacing w:after="0"/>
              <w:rPr>
                <w:sz w:val="20"/>
                <w:szCs w:val="20"/>
                <w:color w:val="auto"/>
              </w:rPr>
            </w:pPr>
            <w:r>
              <w:rPr>
                <w:rFonts w:ascii="Arial" w:cs="Arial" w:eastAsia="Arial" w:hAnsi="Arial"/>
                <w:sz w:val="18"/>
                <w:szCs w:val="18"/>
                <w:color w:val="auto"/>
              </w:rPr>
              <w:t>$30.25</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principally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sz w:val="20"/>
          <w:szCs w:val="20"/>
          <w:color w:val="auto"/>
        </w:rPr>
      </w:pPr>
    </w:p>
    <w:p>
      <w:pPr>
        <w:ind w:left="452"/>
        <w:spacing w:after="0"/>
        <w:rPr>
          <w:sz w:val="20"/>
          <w:szCs w:val="20"/>
          <w:color w:val="auto"/>
        </w:rPr>
      </w:pPr>
      <w:r>
        <w:rPr>
          <w:rFonts w:ascii="Arial" w:cs="Arial" w:eastAsia="Arial" w:hAnsi="Arial"/>
          <w:sz w:val="15"/>
          <w:szCs w:val="15"/>
          <w:color w:val="auto"/>
        </w:rPr>
        <w:t>Contract manufacturing: Includes all revenues and expenses related to the commercial production of products under contract manufacturing arrangements.</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Company produces an intermediate for a Merck &amp; Co., Inc. pediatric vaccine under a long-term manufacturing agreement.</w:t>
      </w:r>
    </w:p>
    <w:p>
      <w:pPr>
        <w:spacing w:after="0" w:line="21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11" w:name="page12"/>
    <w:bookmarkEnd w:id="11"/>
    <w:p>
      <w:pPr>
        <w:ind w:left="452"/>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tables below present information about reported segments for the three months ended March 31, 2002 and 2001:</w:t>
      </w:r>
    </w:p>
    <w:p>
      <w:pPr>
        <w:spacing w:after="0" w:line="200" w:lineRule="exact"/>
        <w:rPr>
          <w:sz w:val="20"/>
          <w:szCs w:val="20"/>
          <w:color w:val="auto"/>
        </w:rPr>
      </w:pPr>
    </w:p>
    <w:p>
      <w:pPr>
        <w:spacing w:after="0" w:line="266" w:lineRule="exact"/>
        <w:rPr>
          <w:sz w:val="20"/>
          <w:szCs w:val="20"/>
          <w:color w:val="auto"/>
        </w:rPr>
      </w:pPr>
    </w:p>
    <w:tbl>
      <w:tblPr>
        <w:tblLayout w:type="fixed"/>
        <w:tblInd w:w="1432"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color w:val="auto"/>
              </w:rPr>
              <w:t>Three Months Ended March 31, 2002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95"/>
        </w:trPr>
        <w:tc>
          <w:tcPr>
            <w:tcW w:w="2600" w:type="dxa"/>
            <w:vAlign w:val="bottom"/>
          </w:tcPr>
          <w:p>
            <w:pPr>
              <w:spacing w:after="0"/>
              <w:rPr>
                <w:sz w:val="8"/>
                <w:szCs w:val="8"/>
                <w:color w:val="auto"/>
              </w:rPr>
            </w:pPr>
          </w:p>
        </w:tc>
        <w:tc>
          <w:tcPr>
            <w:tcW w:w="132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39"/>
        </w:trPr>
        <w:tc>
          <w:tcPr>
            <w:tcW w:w="2600" w:type="dxa"/>
            <w:vAlign w:val="bottom"/>
          </w:tcPr>
          <w:p>
            <w:pPr>
              <w:spacing w:after="0"/>
              <w:rPr>
                <w:sz w:val="20"/>
                <w:szCs w:val="20"/>
                <w:color w:val="auto"/>
              </w:rPr>
            </w:pPr>
          </w:p>
        </w:tc>
        <w:tc>
          <w:tcPr>
            <w:tcW w:w="1320" w:type="dxa"/>
            <w:vAlign w:val="bottom"/>
            <w:gridSpan w:val="2"/>
          </w:tcPr>
          <w:p>
            <w:pPr>
              <w:jc w:val="right"/>
              <w:ind w:right="252"/>
              <w:spacing w:after="0"/>
              <w:rPr>
                <w:sz w:val="20"/>
                <w:szCs w:val="20"/>
                <w:color w:val="auto"/>
              </w:rPr>
            </w:pPr>
            <w:r>
              <w:rPr>
                <w:rFonts w:ascii="Arial" w:cs="Arial" w:eastAsia="Arial" w:hAnsi="Arial"/>
                <w:sz w:val="14"/>
                <w:szCs w:val="14"/>
                <w:color w:val="auto"/>
              </w:rPr>
              <w:t>Research &amp;</w:t>
            </w:r>
          </w:p>
        </w:tc>
        <w:tc>
          <w:tcPr>
            <w:tcW w:w="300" w:type="dxa"/>
            <w:vAlign w:val="bottom"/>
          </w:tcPr>
          <w:p>
            <w:pPr>
              <w:spacing w:after="0"/>
              <w:rPr>
                <w:sz w:val="20"/>
                <w:szCs w:val="20"/>
                <w:color w:val="auto"/>
              </w:rPr>
            </w:pPr>
          </w:p>
        </w:tc>
        <w:tc>
          <w:tcPr>
            <w:tcW w:w="1160" w:type="dxa"/>
            <w:vAlign w:val="bottom"/>
          </w:tcPr>
          <w:p>
            <w:pPr>
              <w:ind w:left="340"/>
              <w:spacing w:after="0"/>
              <w:rPr>
                <w:sz w:val="20"/>
                <w:szCs w:val="20"/>
                <w:color w:val="auto"/>
              </w:rPr>
            </w:pPr>
            <w:r>
              <w:rPr>
                <w:rFonts w:ascii="Arial" w:cs="Arial" w:eastAsia="Arial" w:hAnsi="Arial"/>
                <w:sz w:val="14"/>
                <w:szCs w:val="14"/>
                <w:color w:val="auto"/>
              </w:rPr>
              <w:t>Contract</w:t>
            </w:r>
          </w:p>
        </w:tc>
        <w:tc>
          <w:tcPr>
            <w:tcW w:w="280" w:type="dxa"/>
            <w:vAlign w:val="bottom"/>
          </w:tcPr>
          <w:p>
            <w:pPr>
              <w:spacing w:after="0"/>
              <w:rPr>
                <w:sz w:val="20"/>
                <w:szCs w:val="20"/>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color w:val="auto"/>
                <w:w w:val="88"/>
              </w:rPr>
              <w:t>Reconciling</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2"/>
        </w:trPr>
        <w:tc>
          <w:tcPr>
            <w:tcW w:w="260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Development</w:t>
            </w:r>
          </w:p>
        </w:tc>
        <w:tc>
          <w:tcPr>
            <w:tcW w:w="30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color w:val="auto"/>
              </w:rPr>
              <w:t>Manufacturing</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7"/>
              </w:rPr>
              <w:t>Items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color w:val="auto"/>
              </w:rPr>
              <w:t>Total</w:t>
            </w:r>
          </w:p>
        </w:tc>
      </w:tr>
      <w:tr>
        <w:trPr>
          <w:trHeight w:val="95"/>
        </w:trPr>
        <w:tc>
          <w:tcPr>
            <w:tcW w:w="26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2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2,690</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$ 2,251</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4,941</w:t>
            </w:r>
          </w:p>
        </w:tc>
      </w:tr>
      <w:tr>
        <w:trPr>
          <w:trHeight w:val="208"/>
        </w:trPr>
        <w:tc>
          <w:tcPr>
            <w:tcW w:w="2600" w:type="dxa"/>
            <w:vAlign w:val="bottom"/>
          </w:tcPr>
          <w:p>
            <w:pPr>
              <w:spacing w:after="0"/>
              <w:rPr>
                <w:sz w:val="20"/>
                <w:szCs w:val="20"/>
                <w:color w:val="auto"/>
              </w:rPr>
            </w:pPr>
            <w:r>
              <w:rPr>
                <w:rFonts w:ascii="Arial" w:cs="Arial" w:eastAsia="Arial" w:hAnsi="Arial"/>
                <w:sz w:val="18"/>
                <w:szCs w:val="18"/>
                <w:color w:val="auto"/>
              </w:rPr>
              <w:t>Loss in Amgen-Regeneron</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2600" w:type="dxa"/>
            <w:vAlign w:val="bottom"/>
          </w:tcPr>
          <w:p>
            <w:pPr>
              <w:ind w:left="140"/>
              <w:spacing w:after="0"/>
              <w:rPr>
                <w:sz w:val="20"/>
                <w:szCs w:val="20"/>
                <w:color w:val="auto"/>
              </w:rPr>
            </w:pPr>
            <w:r>
              <w:rPr>
                <w:rFonts w:ascii="Arial" w:cs="Arial" w:eastAsia="Arial" w:hAnsi="Arial"/>
                <w:sz w:val="18"/>
                <w:szCs w:val="18"/>
                <w:color w:val="auto"/>
              </w:rPr>
              <w:t>Partners</w:t>
            </w:r>
          </w:p>
        </w:tc>
        <w:tc>
          <w:tcPr>
            <w:tcW w:w="40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16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(2)</w:t>
            </w:r>
          </w:p>
        </w:tc>
      </w:tr>
      <w:tr>
        <w:trPr>
          <w:trHeight w:val="217"/>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1,747</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6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5"/>
              <w:spacing w:after="0"/>
              <w:rPr>
                <w:sz w:val="20"/>
                <w:szCs w:val="20"/>
                <w:color w:val="auto"/>
              </w:rPr>
            </w:pPr>
            <w:r>
              <w:rPr>
                <w:rFonts w:ascii="Arial" w:cs="Arial" w:eastAsia="Arial" w:hAnsi="Arial"/>
                <w:sz w:val="18"/>
                <w:szCs w:val="18"/>
                <w:color w:val="auto"/>
              </w:rPr>
              <w:t>261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2,008</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16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3,011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3,022</w:t>
            </w:r>
          </w:p>
        </w:tc>
      </w:tr>
      <w:tr>
        <w:trPr>
          <w:trHeight w:val="257"/>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22"/>
                <w:szCs w:val="22"/>
                <w:color w:val="auto"/>
              </w:rPr>
            </w:pPr>
          </w:p>
        </w:tc>
        <w:tc>
          <w:tcPr>
            <w:tcW w:w="9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(26,198)</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1020" w:type="dxa"/>
            <w:vAlign w:val="bottom"/>
            <w:shd w:val="clear" w:color="auto" w:fill="EEEEEE"/>
          </w:tcPr>
          <w:p>
            <w:pPr>
              <w:jc w:val="right"/>
              <w:ind w:right="115"/>
              <w:spacing w:after="0" w:line="256" w:lineRule="exact"/>
              <w:rPr>
                <w:sz w:val="20"/>
                <w:szCs w:val="20"/>
                <w:color w:val="auto"/>
              </w:rPr>
            </w:pPr>
            <w:r>
              <w:rPr>
                <w:rFonts w:ascii="Arial" w:cs="Arial" w:eastAsia="Arial" w:hAnsi="Arial"/>
                <w:sz w:val="18"/>
                <w:szCs w:val="18"/>
                <w:color w:val="auto"/>
              </w:rPr>
              <w:t>(239)</w:t>
            </w:r>
            <w:r>
              <w:rPr>
                <w:rFonts w:ascii="Arial" w:cs="Arial" w:eastAsia="Arial" w:hAnsi="Arial"/>
                <w:sz w:val="29"/>
                <w:szCs w:val="29"/>
                <w:color w:val="auto"/>
                <w:vertAlign w:val="superscript"/>
              </w:rPr>
              <w:t>(2)</w:t>
            </w:r>
          </w:p>
        </w:tc>
        <w:tc>
          <w:tcPr>
            <w:tcW w:w="2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300" w:type="dxa"/>
            <w:vAlign w:val="bottom"/>
            <w:shd w:val="clear" w:color="auto" w:fill="EEEEEE"/>
          </w:tcPr>
          <w:p>
            <w:pPr>
              <w:spacing w:after="0"/>
              <w:rPr>
                <w:sz w:val="22"/>
                <w:szCs w:val="22"/>
                <w:color w:val="auto"/>
              </w:rPr>
            </w:pPr>
          </w:p>
        </w:tc>
        <w:tc>
          <w:tcPr>
            <w:tcW w:w="86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w w:val="92"/>
              </w:rPr>
              <w:t>(25,445)</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4,602</w:t>
            </w:r>
          </w:p>
        </w:tc>
        <w:tc>
          <w:tcPr>
            <w:tcW w:w="1460" w:type="dxa"/>
            <w:vAlign w:val="bottom"/>
            <w:gridSpan w:val="2"/>
          </w:tcPr>
          <w:p>
            <w:pPr>
              <w:jc w:val="right"/>
              <w:ind w:right="34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4,623</w:t>
            </w: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4"/>
              </w:rPr>
              <w:t>39,642</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10,129</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90"/>
              </w:rPr>
              <w:t>422,094</w:t>
            </w:r>
            <w:r>
              <w:rPr>
                <w:rFonts w:ascii="Arial" w:cs="Arial" w:eastAsia="Arial" w:hAnsi="Arial"/>
                <w:sz w:val="14"/>
                <w:szCs w:val="14"/>
                <w:color w:val="auto"/>
                <w:w w:val="90"/>
              </w:rPr>
              <w:t>(3)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6"/>
              </w:rPr>
              <w:t>471,865</w:t>
            </w:r>
          </w:p>
        </w:tc>
      </w:tr>
      <w:tr>
        <w:trPr>
          <w:trHeight w:val="405"/>
        </w:trPr>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color w:val="auto"/>
              </w:rPr>
              <w:t>Three Months Ended March 31, 2001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5"/>
        </w:trPr>
        <w:tc>
          <w:tcPr>
            <w:tcW w:w="2600" w:type="dxa"/>
            <w:vAlign w:val="bottom"/>
          </w:tcPr>
          <w:p>
            <w:pPr>
              <w:spacing w:after="0"/>
              <w:rPr>
                <w:sz w:val="8"/>
                <w:szCs w:val="8"/>
                <w:color w:val="auto"/>
              </w:rPr>
            </w:pPr>
          </w:p>
        </w:tc>
        <w:tc>
          <w:tcPr>
            <w:tcW w:w="132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39"/>
        </w:trPr>
        <w:tc>
          <w:tcPr>
            <w:tcW w:w="2600" w:type="dxa"/>
            <w:vAlign w:val="bottom"/>
          </w:tcPr>
          <w:p>
            <w:pPr>
              <w:spacing w:after="0"/>
              <w:rPr>
                <w:sz w:val="20"/>
                <w:szCs w:val="20"/>
                <w:color w:val="auto"/>
              </w:rPr>
            </w:pPr>
          </w:p>
        </w:tc>
        <w:tc>
          <w:tcPr>
            <w:tcW w:w="1320" w:type="dxa"/>
            <w:vAlign w:val="bottom"/>
            <w:gridSpan w:val="2"/>
          </w:tcPr>
          <w:p>
            <w:pPr>
              <w:jc w:val="right"/>
              <w:ind w:right="252"/>
              <w:spacing w:after="0"/>
              <w:rPr>
                <w:sz w:val="20"/>
                <w:szCs w:val="20"/>
                <w:color w:val="auto"/>
              </w:rPr>
            </w:pPr>
            <w:r>
              <w:rPr>
                <w:rFonts w:ascii="Arial" w:cs="Arial" w:eastAsia="Arial" w:hAnsi="Arial"/>
                <w:sz w:val="14"/>
                <w:szCs w:val="14"/>
                <w:color w:val="auto"/>
              </w:rPr>
              <w:t>Research &amp;</w:t>
            </w:r>
          </w:p>
        </w:tc>
        <w:tc>
          <w:tcPr>
            <w:tcW w:w="300" w:type="dxa"/>
            <w:vAlign w:val="bottom"/>
          </w:tcPr>
          <w:p>
            <w:pPr>
              <w:spacing w:after="0"/>
              <w:rPr>
                <w:sz w:val="20"/>
                <w:szCs w:val="20"/>
                <w:color w:val="auto"/>
              </w:rPr>
            </w:pPr>
          </w:p>
        </w:tc>
        <w:tc>
          <w:tcPr>
            <w:tcW w:w="1160" w:type="dxa"/>
            <w:vAlign w:val="bottom"/>
          </w:tcPr>
          <w:p>
            <w:pPr>
              <w:ind w:left="340"/>
              <w:spacing w:after="0"/>
              <w:rPr>
                <w:sz w:val="20"/>
                <w:szCs w:val="20"/>
                <w:color w:val="auto"/>
              </w:rPr>
            </w:pPr>
            <w:r>
              <w:rPr>
                <w:rFonts w:ascii="Arial" w:cs="Arial" w:eastAsia="Arial" w:hAnsi="Arial"/>
                <w:sz w:val="14"/>
                <w:szCs w:val="14"/>
                <w:color w:val="auto"/>
              </w:rPr>
              <w:t>Contract</w:t>
            </w:r>
          </w:p>
        </w:tc>
        <w:tc>
          <w:tcPr>
            <w:tcW w:w="280" w:type="dxa"/>
            <w:vAlign w:val="bottom"/>
          </w:tcPr>
          <w:p>
            <w:pPr>
              <w:spacing w:after="0"/>
              <w:rPr>
                <w:sz w:val="20"/>
                <w:szCs w:val="20"/>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color w:val="auto"/>
                <w:w w:val="91"/>
              </w:rPr>
              <w:t>Reconciling</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2"/>
        </w:trPr>
        <w:tc>
          <w:tcPr>
            <w:tcW w:w="260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Development</w:t>
            </w:r>
          </w:p>
        </w:tc>
        <w:tc>
          <w:tcPr>
            <w:tcW w:w="30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color w:val="auto"/>
              </w:rPr>
              <w:t>Manufacturing</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Items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color w:val="auto"/>
              </w:rPr>
              <w:t>Total</w:t>
            </w:r>
          </w:p>
        </w:tc>
      </w:tr>
      <w:tr>
        <w:trPr>
          <w:trHeight w:val="95"/>
        </w:trPr>
        <w:tc>
          <w:tcPr>
            <w:tcW w:w="2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2"/>
        </w:trPr>
        <w:tc>
          <w:tcPr>
            <w:tcW w:w="260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3,414</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$ 2,899</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6,313</w:t>
            </w:r>
          </w:p>
        </w:tc>
      </w:tr>
      <w:tr>
        <w:trPr>
          <w:trHeight w:val="208"/>
        </w:trPr>
        <w:tc>
          <w:tcPr>
            <w:tcW w:w="2600" w:type="dxa"/>
            <w:vAlign w:val="bottom"/>
          </w:tcPr>
          <w:p>
            <w:pPr>
              <w:spacing w:after="0"/>
              <w:rPr>
                <w:sz w:val="20"/>
                <w:szCs w:val="20"/>
                <w:color w:val="auto"/>
              </w:rPr>
            </w:pPr>
            <w:r>
              <w:rPr>
                <w:rFonts w:ascii="Arial" w:cs="Arial" w:eastAsia="Arial" w:hAnsi="Arial"/>
                <w:sz w:val="18"/>
                <w:szCs w:val="18"/>
                <w:color w:val="auto"/>
              </w:rPr>
              <w:t>Loss in Amgen-Regeneron</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2600" w:type="dxa"/>
            <w:vAlign w:val="bottom"/>
          </w:tcPr>
          <w:p>
            <w:pPr>
              <w:ind w:left="140"/>
              <w:spacing w:after="0"/>
              <w:rPr>
                <w:sz w:val="20"/>
                <w:szCs w:val="20"/>
                <w:color w:val="auto"/>
              </w:rPr>
            </w:pPr>
            <w:r>
              <w:rPr>
                <w:rFonts w:ascii="Arial" w:cs="Arial" w:eastAsia="Arial" w:hAnsi="Arial"/>
                <w:sz w:val="18"/>
                <w:szCs w:val="18"/>
                <w:color w:val="auto"/>
              </w:rPr>
              <w:t>Partners</w:t>
            </w:r>
          </w:p>
        </w:tc>
        <w:tc>
          <w:tcPr>
            <w:tcW w:w="40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9"/>
                <w:szCs w:val="19"/>
                <w:color w:val="auto"/>
              </w:rPr>
            </w:pPr>
          </w:p>
        </w:tc>
        <w:tc>
          <w:tcPr>
            <w:tcW w:w="116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(1,051)</w:t>
            </w:r>
          </w:p>
        </w:tc>
      </w:tr>
      <w:tr>
        <w:trPr>
          <w:trHeight w:val="217"/>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1,329</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6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1,329</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460" w:type="dxa"/>
            <w:vAlign w:val="bottom"/>
            <w:gridSpan w:val="2"/>
          </w:tcPr>
          <w:p>
            <w:pPr>
              <w:jc w:val="right"/>
              <w:ind w:right="34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47</w:t>
            </w: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(16,506)</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697</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2,772</w:t>
            </w:r>
            <w:r>
              <w:rPr>
                <w:rFonts w:ascii="Arial" w:cs="Arial" w:eastAsia="Arial" w:hAnsi="Arial"/>
                <w:sz w:val="14"/>
                <w:szCs w:val="14"/>
                <w:color w:val="auto"/>
              </w:rPr>
              <w:t>(4)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w w:val="89"/>
              </w:rPr>
              <w:t>(13,037)</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1,839</w:t>
            </w:r>
          </w:p>
        </w:tc>
        <w:tc>
          <w:tcPr>
            <w:tcW w:w="300" w:type="dxa"/>
            <w:vAlign w:val="bottom"/>
          </w:tcPr>
          <w:p>
            <w:pPr>
              <w:spacing w:after="0"/>
              <w:rPr>
                <w:sz w:val="18"/>
                <w:szCs w:val="18"/>
                <w:color w:val="auto"/>
              </w:rPr>
            </w:pPr>
          </w:p>
        </w:tc>
        <w:tc>
          <w:tcPr>
            <w:tcW w:w="1160" w:type="dxa"/>
            <w:vAlign w:val="bottom"/>
          </w:tcPr>
          <w:p>
            <w:pPr>
              <w:jc w:val="right"/>
              <w:ind w:right="3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1,839</w:t>
            </w: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4"/>
              </w:rPr>
              <w:t>35,523</w:t>
            </w:r>
          </w:p>
        </w:tc>
        <w:tc>
          <w:tcPr>
            <w:tcW w:w="1460" w:type="dxa"/>
            <w:vAlign w:val="bottom"/>
            <w:gridSpan w:val="2"/>
            <w:shd w:val="clear" w:color="auto" w:fill="EEEEEE"/>
          </w:tcPr>
          <w:p>
            <w:pPr>
              <w:jc w:val="right"/>
              <w:ind w:right="342"/>
              <w:spacing w:after="0"/>
              <w:rPr>
                <w:sz w:val="20"/>
                <w:szCs w:val="20"/>
                <w:color w:val="auto"/>
              </w:rPr>
            </w:pPr>
            <w:r>
              <w:rPr>
                <w:rFonts w:ascii="Arial" w:cs="Arial" w:eastAsia="Arial" w:hAnsi="Arial"/>
                <w:sz w:val="18"/>
                <w:szCs w:val="18"/>
                <w:color w:val="auto"/>
              </w:rPr>
              <w:t>12,919</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w w:val="90"/>
              </w:rPr>
              <w:t>300,743</w:t>
            </w:r>
            <w:r>
              <w:rPr>
                <w:rFonts w:ascii="Arial" w:cs="Arial" w:eastAsia="Arial" w:hAnsi="Arial"/>
                <w:sz w:val="14"/>
                <w:szCs w:val="14"/>
                <w:color w:val="auto"/>
                <w:w w:val="90"/>
              </w:rPr>
              <w:t>(3)</w:t>
            </w:r>
          </w:p>
        </w:tc>
        <w:tc>
          <w:tcPr>
            <w:tcW w:w="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195"/>
              <w:spacing w:after="0"/>
              <w:rPr>
                <w:sz w:val="20"/>
                <w:szCs w:val="20"/>
                <w:color w:val="auto"/>
              </w:rPr>
            </w:pPr>
            <w:r>
              <w:rPr>
                <w:rFonts w:ascii="Arial" w:cs="Arial" w:eastAsia="Arial" w:hAnsi="Arial"/>
                <w:sz w:val="18"/>
                <w:szCs w:val="18"/>
                <w:color w:val="auto"/>
              </w:rPr>
              <w:t>349,185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20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8" w:lineRule="exact"/>
        <w:rPr>
          <w:sz w:val="20"/>
          <w:szCs w:val="20"/>
          <w:color w:val="auto"/>
        </w:rPr>
      </w:pPr>
    </w:p>
    <w:p>
      <w:pPr>
        <w:ind w:left="1252" w:hanging="671"/>
        <w:spacing w:after="0"/>
        <w:tabs>
          <w:tab w:leader="none" w:pos="1252" w:val="left"/>
        </w:tabs>
        <w:numPr>
          <w:ilvl w:val="1"/>
          <w:numId w:val="9"/>
        </w:numPr>
        <w:rPr>
          <w:rFonts w:ascii="Arial" w:cs="Arial" w:eastAsia="Arial" w:hAnsi="Arial"/>
          <w:sz w:val="29"/>
          <w:szCs w:val="29"/>
          <w:color w:val="auto"/>
          <w:vertAlign w:val="superscript"/>
        </w:rPr>
      </w:pPr>
      <w:r>
        <w:rPr>
          <w:rFonts w:ascii="Arial" w:cs="Arial" w:eastAsia="Arial" w:hAnsi="Arial"/>
          <w:sz w:val="18"/>
          <w:szCs w:val="18"/>
          <w:color w:val="auto"/>
        </w:rPr>
        <w:t>Depreciation and amortization related to contract manufacturing is capitalized into inventory.</w:t>
      </w:r>
    </w:p>
    <w:p>
      <w:pPr>
        <w:spacing w:after="0" w:line="7" w:lineRule="exact"/>
        <w:rPr>
          <w:rFonts w:ascii="Arial" w:cs="Arial" w:eastAsia="Arial" w:hAnsi="Arial"/>
          <w:sz w:val="29"/>
          <w:szCs w:val="29"/>
          <w:color w:val="auto"/>
          <w:vertAlign w:val="superscript"/>
        </w:rPr>
      </w:pPr>
    </w:p>
    <w:p>
      <w:pPr>
        <w:ind w:left="1252" w:hanging="671"/>
        <w:spacing w:after="0" w:line="181" w:lineRule="auto"/>
        <w:tabs>
          <w:tab w:leader="none" w:pos="1252" w:val="left"/>
        </w:tabs>
        <w:numPr>
          <w:ilvl w:val="1"/>
          <w:numId w:val="9"/>
        </w:numPr>
        <w:rPr>
          <w:rFonts w:ascii="Arial" w:cs="Arial" w:eastAsia="Arial" w:hAnsi="Arial"/>
          <w:sz w:val="24"/>
          <w:szCs w:val="24"/>
          <w:color w:val="auto"/>
          <w:vertAlign w:val="superscript"/>
        </w:rPr>
      </w:pPr>
      <w:r>
        <w:rPr>
          <w:rFonts w:ascii="Arial" w:cs="Arial" w:eastAsia="Arial" w:hAnsi="Arial"/>
          <w:sz w:val="15"/>
          <w:szCs w:val="15"/>
          <w:color w:val="auto"/>
        </w:rPr>
        <w:t>Represents investment income, net of interest expense related to convertible notes issued in October 2001.</w:t>
      </w:r>
    </w:p>
    <w:p>
      <w:pPr>
        <w:spacing w:after="0" w:line="7" w:lineRule="exact"/>
        <w:rPr>
          <w:rFonts w:ascii="Arial" w:cs="Arial" w:eastAsia="Arial" w:hAnsi="Arial"/>
          <w:sz w:val="24"/>
          <w:szCs w:val="24"/>
          <w:color w:val="auto"/>
          <w:vertAlign w:val="superscript"/>
        </w:rPr>
      </w:pPr>
    </w:p>
    <w:p>
      <w:pPr>
        <w:ind w:left="1252" w:hanging="671"/>
        <w:spacing w:after="0" w:line="188" w:lineRule="auto"/>
        <w:tabs>
          <w:tab w:leader="none" w:pos="1252" w:val="left"/>
        </w:tabs>
        <w:numPr>
          <w:ilvl w:val="1"/>
          <w:numId w:val="9"/>
        </w:numPr>
        <w:rPr>
          <w:rFonts w:ascii="Arial" w:cs="Arial" w:eastAsia="Arial" w:hAnsi="Arial"/>
          <w:sz w:val="29"/>
          <w:szCs w:val="29"/>
          <w:color w:val="auto"/>
          <w:vertAlign w:val="superscript"/>
        </w:rPr>
      </w:pPr>
      <w:r>
        <w:rPr>
          <w:rFonts w:ascii="Arial" w:cs="Arial" w:eastAsia="Arial" w:hAnsi="Arial"/>
          <w:sz w:val="18"/>
          <w:szCs w:val="18"/>
          <w:color w:val="auto"/>
        </w:rPr>
        <w:t>Includes cash and cash equivalents, marketable securities, restricted marketable securities, prepaid expenses and other current assets, and other assets.</w:t>
      </w:r>
    </w:p>
    <w:p>
      <w:pPr>
        <w:spacing w:after="0" w:line="1" w:lineRule="exact"/>
        <w:rPr>
          <w:rFonts w:ascii="Arial" w:cs="Arial" w:eastAsia="Arial" w:hAnsi="Arial"/>
          <w:sz w:val="29"/>
          <w:szCs w:val="29"/>
          <w:color w:val="auto"/>
          <w:vertAlign w:val="superscript"/>
        </w:rPr>
      </w:pPr>
    </w:p>
    <w:p>
      <w:pPr>
        <w:ind w:left="1252" w:hanging="671"/>
        <w:spacing w:after="0" w:line="180" w:lineRule="auto"/>
        <w:tabs>
          <w:tab w:leader="none" w:pos="1252" w:val="left"/>
        </w:tabs>
        <w:numPr>
          <w:ilvl w:val="1"/>
          <w:numId w:val="9"/>
        </w:numPr>
        <w:rPr>
          <w:rFonts w:ascii="Arial" w:cs="Arial" w:eastAsia="Arial" w:hAnsi="Arial"/>
          <w:sz w:val="25"/>
          <w:szCs w:val="25"/>
          <w:color w:val="auto"/>
          <w:vertAlign w:val="superscript"/>
        </w:rPr>
      </w:pPr>
      <w:r>
        <w:rPr>
          <w:rFonts w:ascii="Arial" w:cs="Arial" w:eastAsia="Arial" w:hAnsi="Arial"/>
          <w:sz w:val="15"/>
          <w:szCs w:val="15"/>
          <w:color w:val="auto"/>
        </w:rPr>
        <w:t>Represents investment income.</w:t>
      </w:r>
    </w:p>
    <w:p>
      <w:pPr>
        <w:spacing w:after="0" w:line="204" w:lineRule="exact"/>
        <w:rPr>
          <w:rFonts w:ascii="Arial" w:cs="Arial" w:eastAsia="Arial" w:hAnsi="Arial"/>
          <w:sz w:val="25"/>
          <w:szCs w:val="25"/>
          <w:color w:val="auto"/>
          <w:vertAlign w:val="superscript"/>
        </w:rPr>
      </w:pPr>
    </w:p>
    <w:p>
      <w:pPr>
        <w:ind w:left="552" w:hanging="552"/>
        <w:spacing w:after="0"/>
        <w:tabs>
          <w:tab w:leader="none" w:pos="5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rFonts w:ascii="Arial" w:cs="Arial" w:eastAsia="Arial" w:hAnsi="Arial"/>
          <w:sz w:val="18"/>
          <w:szCs w:val="18"/>
          <w:b w:val="1"/>
          <w:bCs w:val="1"/>
          <w:color w:val="auto"/>
        </w:rPr>
      </w:pPr>
    </w:p>
    <w:p>
      <w:pPr>
        <w:ind w:left="552" w:right="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from time to time, has been subject to legal claims arising in connection with its business. While the ultimate results of the legal claims cannot be predicted with certainty, at March 31, 2002 there were no asserted claims against the Company which, in the opinion of management, if adversely decided would have a material adverse effect on the Company’s financial position, results of operations, and cash flows.</w:t>
      </w:r>
    </w:p>
    <w:p>
      <w:pPr>
        <w:spacing w:after="0" w:line="16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93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3"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color w:val="auto"/>
        </w:rPr>
        <w:t>Regeneron Pharmaceuticals, Inc., which may be referred to as “we”, “us”, or “our”, is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drugs entails risk and significant expense. Since inception, we have not generated any sales or profits from the commercialization of any of our product candidates.</w:t>
      </w:r>
    </w:p>
    <w:p>
      <w:pPr>
        <w:spacing w:after="0" w:line="197"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74"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left="452" w:hanging="452"/>
        <w:spacing w:after="0" w:line="290"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In September 2001, we reported that patients who completed 36 weeks of follow-up after cessation of AXOKINE treatment, on average, maintained the weight loss observed in the twelve-week treatment period. In July 2001, we initiated a Phase III clinical program of AXOKINE in overweight and obese patients. In January 2002, we announced that we had completed enrollment for a pivotal trial that includes approximately 2,000 patients in 65 sites across the United States. In April 2002, we announced that we had initiated two additional trials to evaluate shorter dosing periods for AXOKINE and study long-term maintenance of weight loss following cessation of treatment.</w:t>
      </w:r>
    </w:p>
    <w:p>
      <w:pPr>
        <w:spacing w:after="0" w:line="166" w:lineRule="exact"/>
        <w:rPr>
          <w:rFonts w:ascii="Arial" w:cs="Arial" w:eastAsia="Arial" w:hAnsi="Arial"/>
          <w:sz w:val="16"/>
          <w:szCs w:val="16"/>
          <w:color w:val="auto"/>
        </w:rPr>
      </w:pPr>
    </w:p>
    <w:p>
      <w:pPr>
        <w:ind w:left="452" w:right="480" w:hanging="452"/>
        <w:spacing w:after="0" w:line="339"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PEGYLATED AXOKINE: </w:t>
      </w:r>
      <w:r>
        <w:rPr>
          <w:rFonts w:ascii="Arial" w:cs="Arial" w:eastAsia="Arial" w:hAnsi="Arial"/>
          <w:sz w:val="16"/>
          <w:szCs w:val="16"/>
          <w:color w:val="auto"/>
        </w:rPr>
        <w:t>Chemically modified version of AXOKINE that is being developed as a more potent, longer-acting form of the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Pegylated AXOKINE currently is in late-stage preclinical development and we anticipate initiating a Phase I clinical trial in mid-2002.</w:t>
      </w:r>
    </w:p>
    <w:p>
      <w:pPr>
        <w:spacing w:after="0" w:line="128" w:lineRule="exact"/>
        <w:rPr>
          <w:rFonts w:ascii="Arial" w:cs="Arial" w:eastAsia="Arial" w:hAnsi="Arial"/>
          <w:sz w:val="16"/>
          <w:szCs w:val="16"/>
          <w:color w:val="auto"/>
        </w:rPr>
      </w:pPr>
    </w:p>
    <w:p>
      <w:pPr>
        <w:ind w:left="452" w:right="80" w:hanging="452"/>
        <w:spacing w:after="0" w:line="255"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CYTOKINE TRAP (IL1 Trap): </w:t>
      </w:r>
      <w:r>
        <w:rPr>
          <w:rFonts w:ascii="Arial" w:cs="Arial" w:eastAsia="Arial" w:hAnsi="Arial"/>
          <w:sz w:val="18"/>
          <w:szCs w:val="18"/>
          <w:color w:val="auto"/>
        </w:rPr>
        <w:t>Protein-based antagonist for the interleukin-1 (called IL1) cytokine. IL1 is thought to play a major</w:t>
      </w:r>
      <w:r>
        <w:rPr>
          <w:rFonts w:ascii="Arial" w:cs="Arial" w:eastAsia="Arial" w:hAnsi="Arial"/>
          <w:sz w:val="18"/>
          <w:szCs w:val="18"/>
          <w:b w:val="1"/>
          <w:bCs w:val="1"/>
          <w:color w:val="auto"/>
        </w:rPr>
        <w:t xml:space="preserve"> </w:t>
      </w:r>
      <w:r>
        <w:rPr>
          <w:rFonts w:ascii="Arial" w:cs="Arial" w:eastAsia="Arial" w:hAnsi="Arial"/>
          <w:sz w:val="18"/>
          <w:szCs w:val="18"/>
          <w:color w:val="auto"/>
        </w:rPr>
        <w:t>role in rheumatoid arthritis and other inflammatory diseases. In December 2000, we initiated a Phase I study to assess the safety and tolerability of the IL1 Trap in patients with rheumatoid arthritis. In January 2002, we reported positive preliminary results from the trial. Patients treated with the IL1 Trap experienced dose-dependent improvements in tender and swollen joints and CRP (C-Reactive Protein) levels, as well as the composite ACR (American College of Rheumatology) measure of disease activity. We expect to initiate a Phase II study for the IL1 Trap in patients with rheumatoid arthritis in mid-2002.</w:t>
      </w:r>
    </w:p>
    <w:p>
      <w:pPr>
        <w:spacing w:after="0" w:line="193" w:lineRule="exact"/>
        <w:rPr>
          <w:rFonts w:ascii="Arial" w:cs="Arial" w:eastAsia="Arial" w:hAnsi="Arial"/>
          <w:sz w:val="18"/>
          <w:szCs w:val="18"/>
          <w:color w:val="auto"/>
        </w:rPr>
      </w:pPr>
    </w:p>
    <w:p>
      <w:pPr>
        <w:jc w:val="both"/>
        <w:ind w:left="452" w:right="80" w:hanging="452"/>
        <w:spacing w:after="0" w:line="310"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INTERLEUKIN-4/INTERLEUKIN-13 CYTOKINE TRAP (IL4/IL13 Trap): </w:t>
      </w:r>
      <w:r>
        <w:rPr>
          <w:rFonts w:ascii="Arial" w:cs="Arial" w:eastAsia="Arial" w:hAnsi="Arial"/>
          <w:sz w:val="16"/>
          <w:szCs w:val="16"/>
          <w:color w:val="auto"/>
        </w:rPr>
        <w:t>Protein-based antagonist for the interleukin-4 and interleukin-13 (called</w:t>
      </w:r>
      <w:r>
        <w:rPr>
          <w:rFonts w:ascii="Arial" w:cs="Arial" w:eastAsia="Arial" w:hAnsi="Arial"/>
          <w:sz w:val="16"/>
          <w:szCs w:val="16"/>
          <w:b w:val="1"/>
          <w:bCs w:val="1"/>
          <w:color w:val="auto"/>
        </w:rPr>
        <w:t xml:space="preserve"> </w:t>
      </w:r>
      <w:r>
        <w:rPr>
          <w:rFonts w:ascii="Arial" w:cs="Arial" w:eastAsia="Arial" w:hAnsi="Arial"/>
          <w:sz w:val="16"/>
          <w:szCs w:val="16"/>
          <w:color w:val="auto"/>
        </w:rPr>
        <w:t>IL4 and IL13) cytokines which are thought to play a major role in diseases such as asthma, allergic disorders, and other inflammatory diseases. We expect to initiate a Phase I clinical trial of a dual IL4/IL13 Trap for asthma/allergy-related conditions in mid-2002.</w:t>
      </w:r>
    </w:p>
    <w:p>
      <w:pPr>
        <w:spacing w:after="0" w:line="151" w:lineRule="exact"/>
        <w:rPr>
          <w:rFonts w:ascii="Arial" w:cs="Arial" w:eastAsia="Arial" w:hAnsi="Arial"/>
          <w:sz w:val="16"/>
          <w:szCs w:val="16"/>
          <w:color w:val="auto"/>
        </w:rPr>
      </w:pPr>
    </w:p>
    <w:p>
      <w:pPr>
        <w:ind w:left="452" w:hanging="452"/>
        <w:spacing w:after="0" w:line="262"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antagonist to Vascular Endothelial Growth Factor (called VEGF, also known as Vascular Permeability Factor or VPF). VEGF</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for the growth of blood vessels that are needed for tumors to grow and is a potent regulator of vascular permeability and leak. In 2001, we initiated a Phase I clinical trial designed to assess the safety and tolerability of VEGF Trap in</w:t>
      </w:r>
    </w:p>
    <w:p>
      <w:pPr>
        <w:spacing w:after="0" w:line="19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t>patients with solid tumor malignancies and patients with non-Hodgkin’s lymphoma.</w:t>
      </w:r>
    </w:p>
    <w:p>
      <w:pPr>
        <w:spacing w:after="0" w:line="219" w:lineRule="exact"/>
        <w:rPr>
          <w:sz w:val="20"/>
          <w:szCs w:val="20"/>
          <w:color w:val="auto"/>
        </w:rPr>
      </w:pPr>
    </w:p>
    <w:p>
      <w:pPr>
        <w:ind w:left="460" w:right="2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96"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First Quarter 2002 Activities</w:t>
      </w:r>
    </w:p>
    <w:p>
      <w:pPr>
        <w:spacing w:after="0" w:line="225" w:lineRule="exact"/>
        <w:rPr>
          <w:sz w:val="20"/>
          <w:szCs w:val="20"/>
          <w:color w:val="auto"/>
        </w:rPr>
      </w:pPr>
    </w:p>
    <w:p>
      <w:pPr>
        <w:ind w:firstLine="395"/>
        <w:spacing w:after="0" w:line="286" w:lineRule="auto"/>
        <w:rPr>
          <w:sz w:val="20"/>
          <w:szCs w:val="20"/>
          <w:color w:val="auto"/>
        </w:rPr>
      </w:pPr>
      <w:r>
        <w:rPr>
          <w:rFonts w:ascii="Arial" w:cs="Arial" w:eastAsia="Arial" w:hAnsi="Arial"/>
          <w:sz w:val="16"/>
          <w:szCs w:val="16"/>
          <w:color w:val="auto"/>
        </w:rPr>
        <w:t>In July 2001, we initiated a Phase III clinical program of AXOKINE in overweight and obese patients. We announced in January 2002 that the initial trial was fully enrolled with approximately 2,000 patients at 65 sites across the United States. This trial is a double-blind, randomized, placebo-controlled study. It will have a twelve-month treatment period, in which patients will receive daily subcutaneous self-injections of placebo or AXOKINE at a dose of 1.0 microgram (mcg) per kilogram (kg) of body weight. The treatment period will be followed by a twelve-month open-label safety extension phase, during which all patients will receive AXOKINE. Endpoints of the study are based on changes in body weight versus baseline during the treatment period. In April 2002, we initiated two additional studies in the AXOKINE Phase III program for the treatment of obesity. Each study will involve approximately 300 patients. The randomized, double blind studies will assess the safety and efficacy of AXOKINE compared with placebo in two different dosing periods, and will be conducted at approximately 20 sites within the United States. Participants in the first study will be given AXOKINE or placebo for 6 months and will then be observed for another 6 months off-treatment. The companion study will treat subjects with AXOKINE or placebo for 3 months and observe them for an additional 9 months off-treatment. The trials will run concurrently. At the end of the initial 12-month treatment and observation period for the two studies, participants will again receive AXOKINE or placebo for a brief re-treatment period. In total, each study will run 18 months from enrollment to completion. The primary end-point of these studies is weight loss at the end of 12 months. As part of the overall Phase III program, Regeneron will conduct additional confirmatory and ancillary studies of AXOKINE in obese and obese diabetic patients. These studies will vary in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5" w:name="page16"/>
    <w:bookmarkEnd w:id="15"/>
    <w:p>
      <w:pPr>
        <w:ind w:right="160"/>
        <w:spacing w:after="0" w:line="268" w:lineRule="auto"/>
        <w:rPr>
          <w:sz w:val="20"/>
          <w:szCs w:val="20"/>
          <w:color w:val="auto"/>
        </w:rPr>
      </w:pPr>
      <w:r>
        <w:rPr>
          <w:rFonts w:ascii="Arial" w:cs="Arial" w:eastAsia="Arial" w:hAnsi="Arial"/>
          <w:sz w:val="18"/>
          <w:szCs w:val="18"/>
          <w:color w:val="auto"/>
        </w:rPr>
        <w:t>duration and size and are planned to be completed within a similar time frame as the initial pivotal study described above. The Phase III program is expected to enroll over 4,000 subjects in total.</w:t>
      </w:r>
    </w:p>
    <w:p>
      <w:pPr>
        <w:spacing w:after="0" w:line="186"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 December 2000, we initiated a Phase I study of the IL1 Trap to assess its safety and tolerability in patients with rheumatoid arthritis. The placebo-controlled, double-blind, dose-escalation study was conducted at several centers in the United States and included a single dose phase and a multiple dose phase. In January 2002, we reported positive preliminary results from the trial. The preliminary results indicated that patients treated with the IL1 Trap experienced dose dependent improvements in tender and swollen joints and CRP levels as well as the composite ACR measure of disease activity. We expect to initiate a Phase II study of the IL1 trap in patients with rheumatoid arthritis in mid-2002.</w:t>
      </w:r>
    </w:p>
    <w:p>
      <w:pPr>
        <w:spacing w:after="0" w:line="170"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In November 2001, we initiated a Phase I clinical trial designed to assess the safety and tolerability of VEGF Trap in patients with solid tumor malignancies and patients with non-Hodgkin’s lymphoma. The Phase I trial is an open-label study in patients with advanced tumors and will evaluate the VEGF Trap in increasing dose levels. The study is being conducted at three clinical sites in the United States.</w:t>
      </w:r>
    </w:p>
    <w:p>
      <w:pPr>
        <w:spacing w:after="0" w:line="194" w:lineRule="exact"/>
        <w:rPr>
          <w:sz w:val="20"/>
          <w:szCs w:val="20"/>
          <w:color w:val="auto"/>
        </w:rPr>
      </w:pPr>
    </w:p>
    <w:p>
      <w:pPr>
        <w:ind w:right="80" w:firstLine="385"/>
        <w:spacing w:after="0" w:line="287"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NT-3,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or VEGF Trap,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 We discuss the risks associated with pharmaceutical drug development in the section of this report titled “Factors That May Affect Future Operating Results.”</w:t>
      </w:r>
    </w:p>
    <w:p>
      <w:pPr>
        <w:spacing w:after="0" w:line="177" w:lineRule="exact"/>
        <w:rPr>
          <w:sz w:val="20"/>
          <w:szCs w:val="20"/>
          <w:color w:val="auto"/>
        </w:rPr>
      </w:pPr>
    </w:p>
    <w:p>
      <w:pPr>
        <w:ind w:right="280" w:firstLine="392"/>
        <w:spacing w:after="0" w:line="256"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industries are rapidly evolving and highly competitive, and new developments may render our products and technologies noncompetitive or obsolete.</w:t>
      </w:r>
    </w:p>
    <w:p>
      <w:pPr>
        <w:spacing w:after="0" w:line="248" w:lineRule="exact"/>
        <w:rPr>
          <w:sz w:val="20"/>
          <w:szCs w:val="20"/>
          <w:color w:val="auto"/>
        </w:rPr>
      </w:pPr>
    </w:p>
    <w:p>
      <w:pPr>
        <w:ind w:right="40" w:firstLine="395"/>
        <w:spacing w:after="0" w:line="255" w:lineRule="auto"/>
        <w:rPr>
          <w:sz w:val="20"/>
          <w:szCs w:val="20"/>
          <w:color w:val="auto"/>
        </w:rPr>
      </w:pPr>
      <w:r>
        <w:rPr>
          <w:rFonts w:ascii="Arial" w:cs="Arial" w:eastAsia="Arial" w:hAnsi="Arial"/>
          <w:sz w:val="18"/>
          <w:szCs w:val="18"/>
          <w:color w:val="auto"/>
        </w:rPr>
        <w:t>From inception on January 8, 1988 through March 31, 2002, we had a cumulative loss of $325.1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expenses and on the progress of our research and development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firstLine="395"/>
        <w:spacing w:after="0" w:line="253" w:lineRule="auto"/>
        <w:rPr>
          <w:sz w:val="20"/>
          <w:szCs w:val="20"/>
          <w:color w:val="auto"/>
        </w:rPr>
      </w:pPr>
      <w:r>
        <w:rPr>
          <w:rFonts w:ascii="Arial" w:cs="Arial" w:eastAsia="Arial" w:hAnsi="Arial"/>
          <w:sz w:val="18"/>
          <w:szCs w:val="18"/>
          <w:i w:val="1"/>
          <w:iCs w:val="1"/>
          <w:color w:val="auto"/>
        </w:rPr>
        <w:t xml:space="preserve">Three months ended March 31, 2002 and 2001. </w:t>
      </w:r>
      <w:r>
        <w:rPr>
          <w:rFonts w:ascii="Arial" w:cs="Arial" w:eastAsia="Arial" w:hAnsi="Arial"/>
          <w:sz w:val="18"/>
          <w:szCs w:val="18"/>
          <w:color w:val="auto"/>
        </w:rPr>
        <w:t>Our total revenue decreased to $4.9 million for the first quarter of 2002 from $6.3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2001. Contract research and development revenue decreased to $2.7 million for the first quarter of 2002 from $3.4 million for the same period in 2001 due to the substantial completion of studies conducted on behalf of Amgen-Regeneron Partners. Contract manufacturing revenue, related primarily to our long-term agreement with Merck &amp; Co., Inc. to manufacture a vaccine intermediate at our Rensselaer, New York facility, decreased to $2.3 million in the first quarter of 2002 from $2.9 million for the same period in 2001, because we shipped less product to Merck. Contract manufacturing revenue and the related manufacturing expense are recognized as product is accepted and shipped. Product that we manufactured for Merck in the end of 2001 and the first quarter of 2002 will not be shipped until later this year.</w:t>
      </w:r>
    </w:p>
    <w:p>
      <w:pPr>
        <w:spacing w:after="0" w:line="201"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Our total operating expenses increased to $30.1 million in the first quarter of 2002 from $21.0 million for the same period in 2001. Research and development expenses increased to $25.5 million in the first quarter of 2002 from $16.8 million for the comparable period in 2001. In the first quarter of 2002, activity in our clinical research programs increased, especially related to our Phase III clinical program for AXOKINE, which we initiated in July 2001. The first quarter 2002 increase in research and development expenses also resulted, in part, from higher staffing as we continued to expand our research programs and the technology platforms supporting that research. Research and development expenses were 85% of total operating expenses in the first quarter of 2002, compared to 80% for the same period in 2001. Contract manufacturing expenses related to our long-term agreement with Merck decreased to $1.3 million in the first quarter of 2002 from $2.2 million for the same period in 2001, primarily due to the above-described decrease in shipments of product to Merck and higher manufacturing costs in the first quarter of 2001. General and administrative expenses increased to $3.4 million in the first quarter of 2002 from $2.0 million for the same period of 2001, due primarily to higher patent-related expenditures to protect our intellectual property portfolio and higher administrative staffing to support the growth of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7" w:name="page18"/>
    <w:bookmarkEnd w:id="17"/>
    <w:p>
      <w:pPr>
        <w:ind w:right="60" w:firstLine="395"/>
        <w:spacing w:after="0" w:line="323" w:lineRule="auto"/>
        <w:rPr>
          <w:sz w:val="20"/>
          <w:szCs w:val="20"/>
          <w:color w:val="auto"/>
        </w:rPr>
      </w:pPr>
      <w:r>
        <w:rPr>
          <w:rFonts w:ascii="Arial" w:cs="Arial" w:eastAsia="Arial" w:hAnsi="Arial"/>
          <w:sz w:val="15"/>
          <w:szCs w:val="15"/>
          <w:color w:val="auto"/>
        </w:rPr>
        <w:t>Investment income was $2.8 million for both the first quarter of 2002 and 2001. The loss in Amgen-Regeneron Partners decreased to approximately $2,000 in the first quarter of 2002 compared to $1.1 million for the same period in 2001 due to the substantial completion of Phase II studies of NT-3. Interest expense increased by $3.0 million in the first three months of 2002 compared to the same period in 2001 due to interest incurred on the $200.0 million aggregate principal amount of convertible senior subordinated notes issued in October 2001. These notes bear interest at 5.5% per annum, payable semi-annually.</w:t>
      </w:r>
    </w:p>
    <w:p>
      <w:pPr>
        <w:spacing w:after="0" w:line="152"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Our net loss for the first quarter of 2002 was $25.4 million, or $0.58 per share (basic and diluted), compared to a net loss of $13.0 million, or $0.35 per share (basic and diluted), for the same period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40" w:firstLine="395"/>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private placements and public offerings of our equity securities, a private placement of convertible debt, revenue earned under our agreements with Amgen, Sumitomo Chemical Co., Ltd., Sumitomo Pharmaceuticals Company, Ltd., Merck, and Procter &amp; Gamble, and investment income.</w:t>
      </w:r>
    </w:p>
    <w:p>
      <w:pPr>
        <w:spacing w:after="0" w:line="194" w:lineRule="exact"/>
        <w:rPr>
          <w:sz w:val="20"/>
          <w:szCs w:val="20"/>
          <w:color w:val="auto"/>
        </w:rPr>
      </w:pPr>
    </w:p>
    <w:p>
      <w:pPr>
        <w:ind w:right="360" w:firstLine="392"/>
        <w:spacing w:after="0" w:line="370" w:lineRule="auto"/>
        <w:rPr>
          <w:sz w:val="20"/>
          <w:szCs w:val="20"/>
          <w:color w:val="auto"/>
        </w:rPr>
      </w:pPr>
      <w:r>
        <w:rPr>
          <w:rFonts w:ascii="Arial" w:cs="Arial" w:eastAsia="Arial" w:hAnsi="Arial"/>
          <w:sz w:val="15"/>
          <w:szCs w:val="15"/>
          <w:color w:val="auto"/>
        </w:rPr>
        <w:t>We and Procter &amp; Gamble have a long-term collaboration agreement. Under our agreement, since the first quarter of 2001 and through December 2005, Procter &amp; Gamble provides funding in support of our research efforts related to the collaboration of $2.5 million per quarter, plus adjustments for inflation.</w:t>
      </w:r>
    </w:p>
    <w:p>
      <w:pPr>
        <w:spacing w:after="0" w:line="11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We are compensated by Amgen-Regeneron Partners for services we render on behalf of the partnership, and we recognize these amounts as revenue. We and Amgen fund Amgen-Regeneron Partners through capital contributions. We expect to continue funding 50% of the development costs of the partnership in order to maintain equal ownership and equal sharing of the profits or losses of the partnership. Our aggregate capital contribution to Amgen-Regeneron Partners from the partnership’s inception in June 1993 through March 31, 2002 was $57.9 million. We do not expect to make capital contributions to the partnership in 2002 since there are currently no ongoing development activities. Additional contributions may be required, if, among other things, Amgen-Regeneron Partners initiates any new development activities.</w:t>
      </w:r>
    </w:p>
    <w:p>
      <w:pPr>
        <w:spacing w:after="0" w:line="198" w:lineRule="exact"/>
        <w:rPr>
          <w:sz w:val="20"/>
          <w:szCs w:val="20"/>
          <w:color w:val="auto"/>
        </w:rPr>
      </w:pPr>
    </w:p>
    <w:p>
      <w:pPr>
        <w:ind w:right="60" w:firstLine="385"/>
        <w:spacing w:after="0" w:line="298" w:lineRule="auto"/>
        <w:rPr>
          <w:sz w:val="20"/>
          <w:szCs w:val="20"/>
          <w:color w:val="auto"/>
        </w:rPr>
      </w:pPr>
      <w:r>
        <w:rPr>
          <w:rFonts w:ascii="Arial" w:cs="Arial" w:eastAsia="Arial" w:hAnsi="Arial"/>
          <w:sz w:val="16"/>
          <w:szCs w:val="16"/>
          <w:color w:val="auto"/>
        </w:rPr>
        <w:t>At March 31, 2002, we had $409.4 million in cash, cash equivalents, marketable securities, and restricted marketable securities. We have no off-balance sheet arrangements and do not guarantee the obligations of any other entity. As of March 31, 2002,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8" w:name="page19"/>
    <w:bookmarkEnd w:id="18"/>
    <w:p>
      <w:pPr>
        <w:jc w:val="both"/>
        <w:ind w:right="420" w:firstLine="395"/>
        <w:spacing w:after="0" w:line="306" w:lineRule="auto"/>
        <w:rPr>
          <w:sz w:val="20"/>
          <w:szCs w:val="20"/>
          <w:color w:val="auto"/>
        </w:rPr>
      </w:pPr>
      <w:r>
        <w:rPr>
          <w:rFonts w:ascii="Arial" w:cs="Arial" w:eastAsia="Arial" w:hAnsi="Arial"/>
          <w:sz w:val="16"/>
          <w:szCs w:val="16"/>
          <w:color w:val="auto"/>
        </w:rPr>
        <w:t>Our additions to property, plant, and equipment totaled $4.6 million and $1.8 million for the first three months of 2002 and 2001, respectively. During March 2002, we entered into a new sublease for additional space at our Tarrytown location, which expires in December 2005. The base rent under the new sublease will be $0.3 million per year, excluding costs for utilities, real estate taxes, and operating expenses.</w:t>
      </w:r>
    </w:p>
    <w:p>
      <w:pPr>
        <w:spacing w:after="0" w:line="161"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anticipate that expenses for research and development will increase in 2002 by more than 30% over 2001 amounts. We currently anticipate that for the remainder of 2002, approximately 50-70% of our expenditures will be directed toward the preclinical and clinical development of product candidates, including AXOKINE, pegylated AXOKINE, IL1 Trap, IL4/13 Trap, VEGF Trap, and the angiopoietins; approximately 5-15% will be invested in expansion of our manufacturing facilities; approximately 10-30% will cover our basic research activities; approximately 5-15% will be directed toward the continued development of our novel technology platforms, including potential efforts to commercialize these technologies; and the remainder of our expenditures will be for general corporate purposes, including administrative expenses and working capital. During the remainder of 2002, we expect to lease additional space in both our Tarrytown and Rensselaer locations and incur approximately $50 million in capital expenditures for our expanded manufacturing and research and development activities.</w:t>
      </w:r>
    </w:p>
    <w:p>
      <w:pPr>
        <w:spacing w:after="0" w:line="174" w:lineRule="exact"/>
        <w:rPr>
          <w:sz w:val="20"/>
          <w:szCs w:val="20"/>
          <w:color w:val="auto"/>
        </w:rPr>
      </w:pPr>
    </w:p>
    <w:p>
      <w:pPr>
        <w:ind w:right="160" w:firstLine="392"/>
        <w:spacing w:after="0" w:line="268" w:lineRule="auto"/>
        <w:rPr>
          <w:sz w:val="20"/>
          <w:szCs w:val="20"/>
          <w:color w:val="auto"/>
        </w:rPr>
      </w:pPr>
      <w:r>
        <w:rPr>
          <w:rFonts w:ascii="Arial" w:cs="Arial" w:eastAsia="Arial" w:hAnsi="Arial"/>
          <w:sz w:val="18"/>
          <w:szCs w:val="18"/>
          <w:color w:val="auto"/>
        </w:rPr>
        <w:t>We anticipate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ind w:right="40" w:firstLine="392"/>
        <w:spacing w:after="0" w:line="286"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arrangements (including those with Procter &amp; Gamble, Medarex, Emisphere Technologies, Inc., and Amgen). Clinical trial costs are dependent, among other things, on the size and duration of trials, fees charged for services provided by clinical trial investigators and other third parties, and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We believe that our existing capital resources will enable us to meet operating needs through at least 2003. However, this is a forward-looking statement based on our current operating plan, and we cannot assure you that there will be no change in projected revenues or expenses that would lead to our capital being consumed significantly before such time. If there is insufficient capital to fund all of our planned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operations and activities, we believe we would prioritize available capital to fund preclinical and clinical development of our product candidates.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right="160" w:firstLine="392"/>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1040" w:right="580" w:hanging="451"/>
        <w:spacing w:after="0" w:line="26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jc w:val="both"/>
        <w:ind w:left="1040" w:right="20" w:hanging="451"/>
        <w:spacing w:after="0" w:line="306"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the agreement with Procter &amp; Gamble)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0" w:lineRule="exact"/>
        <w:rPr>
          <w:rFonts w:ascii="Arial" w:cs="Arial" w:eastAsia="Arial" w:hAnsi="Arial"/>
          <w:sz w:val="16"/>
          <w:szCs w:val="16"/>
          <w:color w:val="auto"/>
        </w:rPr>
      </w:pPr>
    </w:p>
    <w:p>
      <w:pPr>
        <w:ind w:left="1040" w:right="60" w:hanging="451"/>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patients, lack of sufficient supplies of the product candidate, and the failure of clinical investigators, trial monitors and other consultants, or trial subjects to comply with the trial plan or protocol.</w:t>
      </w:r>
    </w:p>
    <w:p>
      <w:pPr>
        <w:spacing w:after="0" w:line="196" w:lineRule="exact"/>
        <w:rPr>
          <w:rFonts w:ascii="Arial" w:cs="Arial" w:eastAsia="Arial" w:hAnsi="Arial"/>
          <w:sz w:val="18"/>
          <w:szCs w:val="18"/>
          <w:color w:val="auto"/>
        </w:rPr>
      </w:pPr>
    </w:p>
    <w:p>
      <w:pPr>
        <w:ind w:left="1040" w:hanging="451"/>
        <w:spacing w:after="0" w:line="290"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safety, efficacy, manufacturing, and regulatory hurdles faced by our pharmaceutical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received AXOKINE in clinical trials have developed antibodies.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 w:name="page21"/>
    <w:bookmarkEnd w:id="20"/>
    <w:p>
      <w:pPr>
        <w:ind w:left="460" w:right="100" w:hanging="451"/>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85" w:lineRule="exact"/>
        <w:rPr>
          <w:rFonts w:ascii="Arial" w:cs="Arial" w:eastAsia="Arial" w:hAnsi="Arial"/>
          <w:sz w:val="18"/>
          <w:szCs w:val="18"/>
          <w:color w:val="auto"/>
        </w:rPr>
      </w:pPr>
    </w:p>
    <w:p>
      <w:pPr>
        <w:ind w:left="460" w:right="120" w:hanging="451"/>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460" w:hanging="45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460" w:right="360" w:hanging="451"/>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460" w:hanging="45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product candidates.</w:t>
      </w:r>
    </w:p>
    <w:p>
      <w:pPr>
        <w:spacing w:after="0" w:line="225" w:lineRule="exact"/>
        <w:rPr>
          <w:rFonts w:ascii="Arial" w:cs="Arial" w:eastAsia="Arial" w:hAnsi="Arial"/>
          <w:sz w:val="18"/>
          <w:szCs w:val="18"/>
          <w:color w:val="auto"/>
        </w:rPr>
      </w:pPr>
    </w:p>
    <w:p>
      <w:pPr>
        <w:ind w:left="460" w:hanging="451"/>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460" w:right="100" w:hanging="451"/>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460" w:right="560" w:hanging="451"/>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94" w:lineRule="exact"/>
        <w:rPr>
          <w:rFonts w:ascii="Arial" w:cs="Arial" w:eastAsia="Arial" w:hAnsi="Arial"/>
          <w:sz w:val="18"/>
          <w:szCs w:val="18"/>
          <w:color w:val="auto"/>
        </w:rPr>
      </w:pPr>
    </w:p>
    <w:p>
      <w:pPr>
        <w:ind w:left="460" w:hanging="45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rFonts w:ascii="Arial" w:cs="Arial" w:eastAsia="Arial" w:hAnsi="Arial"/>
          <w:sz w:val="18"/>
          <w:szCs w:val="18"/>
          <w:color w:val="auto"/>
        </w:rPr>
      </w:pPr>
    </w:p>
    <w:p>
      <w:pPr>
        <w:ind w:left="460" w:right="120" w:hanging="451"/>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ind w:left="460" w:right="60" w:hanging="451"/>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other effects of legal and administrative cases and proceedings (whether civil, such as product- or employment-related, or environmental, or criminal), settlements, and investigations; developments or assertions by or against us relating to intellectual property rights and licenses; the issuance and use</w:t>
      </w:r>
    </w:p>
    <w:p>
      <w:pPr>
        <w:spacing w:after="0" w:line="19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20" w:top="941" w:right="259" w:bottom="1440" w:gutter="0" w:footer="0" w:header="0"/>
        </w:sectPr>
      </w:pPr>
    </w:p>
    <w:bookmarkStart w:id="21" w:name="page22"/>
    <w:bookmarkEnd w:id="21"/>
    <w:p>
      <w:pPr>
        <w:ind w:left="1040" w:right="80"/>
        <w:spacing w:after="0" w:line="332" w:lineRule="auto"/>
        <w:rPr>
          <w:sz w:val="20"/>
          <w:szCs w:val="20"/>
          <w:color w:val="auto"/>
        </w:rPr>
      </w:pPr>
      <w:r>
        <w:rPr>
          <w:rFonts w:ascii="Arial" w:cs="Arial" w:eastAsia="Arial" w:hAnsi="Arial"/>
          <w:sz w:val="16"/>
          <w:szCs w:val="16"/>
          <w:color w:val="auto"/>
        </w:rPr>
        <w:t>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39" w:lineRule="exact"/>
        <w:rPr>
          <w:sz w:val="20"/>
          <w:szCs w:val="20"/>
          <w:color w:val="auto"/>
        </w:rPr>
      </w:pPr>
    </w:p>
    <w:p>
      <w:pPr>
        <w:ind w:left="1040" w:right="180" w:hanging="451"/>
        <w:spacing w:after="0" w:line="33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1040" w:right="580" w:hanging="451"/>
        <w:spacing w:after="0" w:line="33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39" w:lineRule="exact"/>
        <w:rPr>
          <w:rFonts w:ascii="Arial" w:cs="Arial" w:eastAsia="Arial" w:hAnsi="Arial"/>
          <w:sz w:val="16"/>
          <w:szCs w:val="16"/>
          <w:color w:val="auto"/>
        </w:rPr>
      </w:pPr>
    </w:p>
    <w:p>
      <w:pPr>
        <w:ind w:left="1040" w:hanging="45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attracting and retaining key personnel.</w:t>
      </w:r>
    </w:p>
    <w:p>
      <w:pPr>
        <w:spacing w:after="0" w:line="225"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right="140" w:firstLine="395"/>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1040" w:right="8799" w:hanging="1032"/>
        <w:spacing w:after="0" w:line="601" w:lineRule="auto"/>
        <w:tabs>
          <w:tab w:leader="none" w:pos="527"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Exhibits None</w:t>
      </w:r>
    </w:p>
    <w:p>
      <w:pPr>
        <w:ind w:left="1040" w:right="8799" w:hanging="1032"/>
        <w:spacing w:after="0" w:line="601"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Reports None</w:t>
      </w: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3" w:name="page24"/>
    <w:bookmarkEnd w:id="2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0" w:val="left"/>
          <w:tab w:leader="none" w:pos="5360" w:val="left"/>
        </w:tabs>
        <w:rPr>
          <w:sz w:val="20"/>
          <w:szCs w:val="20"/>
          <w:color w:val="auto"/>
        </w:rPr>
      </w:pPr>
      <w:r>
        <w:rPr>
          <w:rFonts w:ascii="Arial" w:cs="Arial" w:eastAsia="Arial" w:hAnsi="Arial"/>
          <w:sz w:val="18"/>
          <w:szCs w:val="18"/>
          <w:color w:val="auto"/>
        </w:rPr>
        <w:t>Date: May 10,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80010</wp:posOffset>
            </wp:positionV>
            <wp:extent cx="3833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sectPr>
      <w:pgSz w:w="11900" w:h="16838" w:orient="portrait"/>
      <w:cols w:equalWidth="0" w:num="1">
        <w:col w:w="11000"/>
      </w:cols>
      <w:pgMar w:left="240" w:top="93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
    </w:lvl>
    <w:lvl w:ilvl="1">
      <w:lvlJc w:val="left"/>
      <w:lvlText w:val="(%2)"/>
      <w:numFmt w:val="decimal"/>
      <w:start w:val="1"/>
    </w:lvl>
  </w:abstractNum>
  <w:abstractNum w:abstractNumId="9">
    <w:nsid w:val="3352255A"/>
    <w:multiLevelType w:val="hybridMultilevel"/>
    <w:lvl w:ilvl="0">
      <w:lvlJc w:val="left"/>
      <w:lvlText w:val="%1."/>
      <w:numFmt w:val="decimal"/>
      <w:start w:val="10"/>
    </w:lvl>
    <w:lvl w:ilvl="1">
      <w:lvlJc w:val="left"/>
      <w:lvlText w:val="%2"/>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2019-12-20T01:50:36Z</dcterms:created>
  <dcterms:modified xsi:type="dcterms:W3CDTF">2019-12-20T01:50:36Z</dcterms:modified>
</cp:coreProperties>
</file>