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4, 2022 (May 4, 2022)</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6"/>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1149985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May 4, 2022, Regeneron Pharmaceuticals, Inc. issued a press release announcing its financial and operating results for the quarter ended March 31, 2022.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54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May 4, 2022, Reporting First Quarter 2022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0" w:right="41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6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99"/>
        </w:trPr>
        <w:tc>
          <w:tcPr>
            <w:tcW w:w="1860" w:type="dxa"/>
            <w:vAlign w:val="bottom"/>
          </w:tcPr>
          <w:p>
            <w:pPr>
              <w:spacing w:after="0"/>
              <w:rPr>
                <w:sz w:val="24"/>
                <w:szCs w:val="24"/>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18"/>
        </w:trPr>
        <w:tc>
          <w:tcPr>
            <w:tcW w:w="1860" w:type="dxa"/>
            <w:vAlign w:val="bottom"/>
          </w:tcPr>
          <w:p>
            <w:pPr>
              <w:spacing w:after="0"/>
              <w:rPr>
                <w:sz w:val="18"/>
                <w:szCs w:val="18"/>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34"/>
        </w:trPr>
        <w:tc>
          <w:tcPr>
            <w:tcW w:w="1860" w:type="dxa"/>
            <w:vAlign w:val="bottom"/>
          </w:tcPr>
          <w:p>
            <w:pPr>
              <w:spacing w:after="0"/>
              <w:rPr>
                <w:sz w:val="20"/>
                <w:szCs w:val="20"/>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First Quarter 2022 Financial and Operating Results</w:t>
      </w:r>
    </w:p>
    <w:p>
      <w:pPr>
        <w:spacing w:after="0" w:line="169" w:lineRule="exact"/>
        <w:rPr>
          <w:sz w:val="20"/>
          <w:szCs w:val="20"/>
          <w:color w:val="auto"/>
        </w:rPr>
      </w:pPr>
    </w:p>
    <w:p>
      <w:pPr>
        <w:ind w:left="340" w:right="40" w:hanging="332"/>
        <w:spacing w:after="0" w:line="224" w:lineRule="auto"/>
        <w:tabs>
          <w:tab w:leader="none" w:pos="335"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First quarter 2022 revenues increased 17% to $2.97 billion versus first quarter 2021; excluding REGEN-COV</w:t>
      </w:r>
      <w:r>
        <w:rPr>
          <w:rFonts w:ascii="Arial" w:cs="Arial" w:eastAsia="Arial" w:hAnsi="Arial"/>
          <w:sz w:val="28"/>
          <w:szCs w:val="28"/>
          <w:b w:val="1"/>
          <w:bCs w:val="1"/>
          <w:i w:val="1"/>
          <w:iCs w:val="1"/>
          <w:color w:val="auto"/>
          <w:vertAlign w:val="superscript"/>
        </w:rPr>
        <w:t>®</w:t>
      </w:r>
      <w:r>
        <w:rPr>
          <w:rFonts w:ascii="Arial" w:cs="Arial" w:eastAsia="Arial" w:hAnsi="Arial"/>
          <w:sz w:val="28"/>
          <w:szCs w:val="28"/>
          <w:i w:val="1"/>
          <w:iCs w:val="1"/>
          <w:color w:val="auto"/>
          <w:vertAlign w:val="superscript"/>
        </w:rPr>
        <w:t>(a)(b)</w:t>
      </w:r>
      <w:r>
        <w:rPr>
          <w:rFonts w:ascii="Arial" w:cs="Arial" w:eastAsia="Arial" w:hAnsi="Arial"/>
          <w:sz w:val="22"/>
          <w:szCs w:val="22"/>
          <w:i w:val="1"/>
          <w:iCs w:val="1"/>
          <w:color w:val="auto"/>
        </w:rPr>
        <w:t>, revenues increased 25%</w:t>
      </w:r>
    </w:p>
    <w:p>
      <w:pPr>
        <w:ind w:left="320" w:hanging="312"/>
        <w:spacing w:after="0" w:line="201" w:lineRule="auto"/>
        <w:tabs>
          <w:tab w:leader="none" w:pos="3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First quarter 2022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U.S. net sales increased 13% to $1.52 billion versus first quarter 2021</w:t>
      </w:r>
    </w:p>
    <w:p>
      <w:pPr>
        <w:ind w:left="340" w:right="460" w:hanging="332"/>
        <w:spacing w:after="0" w:line="214" w:lineRule="auto"/>
        <w:tabs>
          <w:tab w:leader="none" w:pos="335"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First quarter 2022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w:t>
      </w:r>
      <w:r>
        <w:rPr>
          <w:rFonts w:ascii="Arial" w:cs="Arial" w:eastAsia="Arial" w:hAnsi="Arial"/>
          <w:sz w:val="28"/>
          <w:szCs w:val="28"/>
          <w:i w:val="1"/>
          <w:iCs w:val="1"/>
          <w:color w:val="auto"/>
          <w:vertAlign w:val="superscript"/>
        </w:rPr>
        <w:t>(c)</w:t>
      </w:r>
      <w:r>
        <w:rPr>
          <w:rFonts w:ascii="Arial" w:cs="Arial" w:eastAsia="Arial" w:hAnsi="Arial"/>
          <w:sz w:val="22"/>
          <w:szCs w:val="22"/>
          <w:i w:val="1"/>
          <w:iCs w:val="1"/>
          <w:color w:val="auto"/>
        </w:rPr>
        <w:t>(recorded by Sanofi) increased 43% to $1.81 billion versus first quarter 2021</w:t>
      </w:r>
    </w:p>
    <w:p>
      <w:pPr>
        <w:ind w:left="320" w:hanging="312"/>
        <w:spacing w:after="0" w:line="191" w:lineRule="auto"/>
        <w:tabs>
          <w:tab w:leader="none" w:pos="3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First quarter 2022 GAAP diluted EPS of $8.61; non-GAAP diluted EPS</w:t>
      </w:r>
      <w:r>
        <w:rPr>
          <w:rFonts w:ascii="Arial" w:cs="Arial" w:eastAsia="Arial" w:hAnsi="Arial"/>
          <w:sz w:val="28"/>
          <w:szCs w:val="28"/>
          <w:i w:val="1"/>
          <w:iCs w:val="1"/>
          <w:color w:val="auto"/>
          <w:vertAlign w:val="superscript"/>
        </w:rPr>
        <w:t>(a)</w:t>
      </w:r>
      <w:r>
        <w:rPr>
          <w:rFonts w:ascii="Arial" w:cs="Arial" w:eastAsia="Arial" w:hAnsi="Arial"/>
          <w:sz w:val="22"/>
          <w:szCs w:val="22"/>
          <w:i w:val="1"/>
          <w:iCs w:val="1"/>
          <w:color w:val="auto"/>
        </w:rPr>
        <w:t xml:space="preserve"> of $11.49</w:t>
      </w:r>
    </w:p>
    <w:p>
      <w:pPr>
        <w:ind w:left="340" w:right="120" w:hanging="332"/>
        <w:spacing w:after="0" w:line="253" w:lineRule="auto"/>
        <w:tabs>
          <w:tab w:leader="none" w:pos="335"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Dupixent approved in EU for children aged 6–11 years with severe asthma; FDA priority review granted for atopic dermatitis in children aged 6 months to 5 years and eosinophilic esophagitis</w:t>
      </w:r>
    </w:p>
    <w:p>
      <w:pPr>
        <w:spacing w:after="0" w:line="214" w:lineRule="exact"/>
        <w:rPr>
          <w:sz w:val="20"/>
          <w:szCs w:val="20"/>
          <w:color w:val="auto"/>
        </w:rPr>
      </w:pPr>
    </w:p>
    <w:p>
      <w:pPr>
        <w:ind w:right="680"/>
        <w:spacing w:after="0" w:line="274" w:lineRule="auto"/>
        <w:rPr>
          <w:sz w:val="20"/>
          <w:szCs w:val="20"/>
          <w:color w:val="auto"/>
        </w:rPr>
      </w:pPr>
      <w:r>
        <w:rPr>
          <w:rFonts w:ascii="Arial" w:cs="Arial" w:eastAsia="Arial" w:hAnsi="Arial"/>
          <w:sz w:val="22"/>
          <w:szCs w:val="22"/>
          <w:b w:val="1"/>
          <w:bCs w:val="1"/>
          <w:color w:val="auto"/>
        </w:rPr>
        <w:t xml:space="preserve">Tarrytown, New York (May 4, 2022)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first quarter of 2022 and provided a business update.</w:t>
      </w:r>
    </w:p>
    <w:p>
      <w:pPr>
        <w:spacing w:after="0" w:line="167" w:lineRule="exact"/>
        <w:rPr>
          <w:sz w:val="20"/>
          <w:szCs w:val="20"/>
          <w:color w:val="auto"/>
        </w:rPr>
      </w:pPr>
    </w:p>
    <w:p>
      <w:pPr>
        <w:ind w:right="360"/>
        <w:spacing w:after="0" w:line="234" w:lineRule="auto"/>
        <w:rPr>
          <w:sz w:val="20"/>
          <w:szCs w:val="20"/>
          <w:color w:val="auto"/>
        </w:rPr>
      </w:pPr>
      <w:r>
        <w:rPr>
          <w:rFonts w:ascii="Arial" w:cs="Arial" w:eastAsia="Arial" w:hAnsi="Arial"/>
          <w:sz w:val="22"/>
          <w:szCs w:val="22"/>
          <w:color w:val="auto"/>
        </w:rPr>
        <w:t>"Our strong first quarter performance was marked by top- and bottom-line growth, accompanied by R&amp;D progress and continued investment in our pipeline," said Leonard S. Schleifer, M.D., Ph.D., President and Chief Executive Officer of Regeneron. "We continued to see substantial U.S. sales growth for EYLEA and Dupixent worldwide. We are well-positioned to reach even more patients with type 2 inflammatory disease through FDA priority review designations for Dupixent in children with atopic dermatitis and in adults and adolescents with eosinophilic esophagitis."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80" w:type="dxa"/>
            <w:vAlign w:val="bottom"/>
          </w:tcPr>
          <w:p>
            <w:pPr>
              <w:spacing w:after="0"/>
              <w:rPr>
                <w:sz w:val="23"/>
                <w:szCs w:val="23"/>
                <w:color w:val="auto"/>
              </w:rPr>
            </w:pPr>
          </w:p>
        </w:tc>
        <w:tc>
          <w:tcPr>
            <w:tcW w:w="1200" w:type="dxa"/>
            <w:vAlign w:val="bottom"/>
            <w:gridSpan w:val="2"/>
          </w:tcPr>
          <w:p>
            <w:pPr>
              <w:ind w:left="80"/>
              <w:spacing w:after="0"/>
              <w:rPr>
                <w:sz w:val="20"/>
                <w:szCs w:val="20"/>
                <w:color w:val="auto"/>
              </w:rPr>
            </w:pPr>
            <w:r>
              <w:rPr>
                <w:rFonts w:ascii="Arial" w:cs="Arial" w:eastAsia="Arial" w:hAnsi="Arial"/>
                <w:sz w:val="20"/>
                <w:szCs w:val="20"/>
                <w:b w:val="1"/>
                <w:bCs w:val="1"/>
                <w:color w:val="auto"/>
              </w:rPr>
              <w:t>Q1 2022</w:t>
            </w:r>
          </w:p>
        </w:tc>
        <w:tc>
          <w:tcPr>
            <w:tcW w:w="20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Q1 2021</w:t>
            </w:r>
          </w:p>
        </w:tc>
        <w:tc>
          <w:tcPr>
            <w:tcW w:w="1280" w:type="dxa"/>
            <w:vAlign w:val="bottom"/>
          </w:tcPr>
          <w:p>
            <w:pPr>
              <w:jc w:val="right"/>
              <w:ind w:right="61"/>
              <w:spacing w:after="0"/>
              <w:rPr>
                <w:sz w:val="20"/>
                <w:szCs w:val="20"/>
                <w:color w:val="auto"/>
              </w:rPr>
            </w:pPr>
            <w:r>
              <w:rPr>
                <w:rFonts w:ascii="Arial" w:cs="Arial" w:eastAsia="Arial" w:hAnsi="Arial"/>
                <w:sz w:val="20"/>
                <w:szCs w:val="20"/>
                <w:b w:val="1"/>
                <w:bCs w:val="1"/>
                <w:color w:val="auto"/>
              </w:rPr>
              <w:t>% Change</w:t>
            </w:r>
          </w:p>
        </w:tc>
      </w:tr>
      <w:tr>
        <w:trPr>
          <w:trHeight w:val="25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2,965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2,529</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17%</w:t>
            </w:r>
          </w:p>
        </w:tc>
      </w:tr>
      <w:tr>
        <w:trPr>
          <w:trHeight w:val="257"/>
        </w:trPr>
        <w:tc>
          <w:tcPr>
            <w:tcW w:w="516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974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1,115</w:t>
            </w:r>
          </w:p>
        </w:tc>
        <w:tc>
          <w:tcPr>
            <w:tcW w:w="12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(13%)</w:t>
            </w:r>
          </w:p>
        </w:tc>
      </w:tr>
      <w:tr>
        <w:trPr>
          <w:trHeight w:val="256"/>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10.09</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(15%)</w:t>
            </w:r>
          </w:p>
        </w:tc>
      </w:tr>
      <w:tr>
        <w:trPr>
          <w:trHeight w:val="257"/>
        </w:trPr>
        <w:tc>
          <w:tcPr>
            <w:tcW w:w="5160" w:type="dxa"/>
            <w:vAlign w:val="bottom"/>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1,318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1,109</w:t>
            </w:r>
          </w:p>
        </w:tc>
        <w:tc>
          <w:tcPr>
            <w:tcW w:w="12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19%</w:t>
            </w:r>
          </w:p>
        </w:tc>
      </w:tr>
      <w:tr>
        <w:trPr>
          <w:trHeight w:val="256"/>
        </w:trPr>
        <w:tc>
          <w:tcPr>
            <w:tcW w:w="516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9.89</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 w:name="page5"/>
    <w:bookmarkEnd w:id="4"/>
    <w:p>
      <w:pPr>
        <w:spacing w:after="0" w:line="238" w:lineRule="auto"/>
        <w:rPr>
          <w:sz w:val="20"/>
          <w:szCs w:val="20"/>
          <w:color w:val="auto"/>
        </w:rPr>
      </w:pPr>
      <w:r>
        <w:rPr>
          <w:rFonts w:ascii="Arial" w:cs="Arial" w:eastAsia="Arial" w:hAnsi="Arial"/>
          <w:sz w:val="22"/>
          <w:szCs w:val="22"/>
          <w:color w:val="auto"/>
        </w:rPr>
        <w:t>"Our business achieved strong revenue growth in the first quarter of 2022 as we continue to realize the benefits of our sustained R&amp;D investment and our focus on commercial execution," said Robert E. Landry, Executive Vice President, Finance and Chief Financial Officer of Regeneron. "We remain confident that our differentiated products and significant pipeline opportunities position us well to deliver strong results and provide sustainable value to patients and shareholders."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9" w:lineRule="exact"/>
        <w:rPr>
          <w:sz w:val="20"/>
          <w:szCs w:val="20"/>
          <w:color w:val="auto"/>
        </w:rPr>
      </w:pPr>
    </w:p>
    <w:p>
      <w:pPr>
        <w:ind w:right="780"/>
        <w:spacing w:after="0" w:line="276" w:lineRule="auto"/>
        <w:rPr>
          <w:sz w:val="20"/>
          <w:szCs w:val="20"/>
          <w:color w:val="auto"/>
        </w:rPr>
      </w:pPr>
      <w:r>
        <w:rPr>
          <w:rFonts w:ascii="Arial" w:cs="Arial" w:eastAsia="Arial" w:hAnsi="Arial"/>
          <w:sz w:val="21"/>
          <w:szCs w:val="21"/>
          <w:color w:val="auto"/>
        </w:rPr>
        <w:t>Regeneron has approximately 35 product candidates in clinical development, including a number of marketed products for which it is investigating additional indications. Updates from the clinical pipeline include:</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(aflibercept) Injection</w:t>
      </w:r>
    </w:p>
    <w:p>
      <w:pPr>
        <w:ind w:left="340" w:right="20" w:hanging="332"/>
        <w:spacing w:after="0" w:line="253" w:lineRule="auto"/>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A supplemental Biologics License Application (sBLA) for EYLEA for an every-16-weeks dosing regimen in patients with non-proliferative diabetic retinopathy (NPDR) was submitted.</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Aflibercept 8 mg</w:t>
      </w:r>
    </w:p>
    <w:p>
      <w:pPr>
        <w:spacing w:after="0" w:line="24" w:lineRule="exact"/>
        <w:rPr>
          <w:sz w:val="20"/>
          <w:szCs w:val="20"/>
          <w:color w:val="auto"/>
        </w:rPr>
      </w:pPr>
    </w:p>
    <w:p>
      <w:pPr>
        <w:ind w:left="340" w:right="60" w:hanging="332"/>
        <w:spacing w:after="0" w:line="247"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February 2022, the Company announced detailed results from its Phase 2 trial evaluating an investigational 8 mg high dose of aflibercept compared to the currently-approved 2 mg dose of EYLEA in patients with neovascular age-related macular degeneration (wet AMD). The trial met its primary endpoints for safety, and no new safety signals were observed through week 44. Consistent with initial data announced last year, aflibercept 8 mg continued to show numeric improvements in anatomical and vision outcomes compared to EYLEA through 44 weeks.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(dupilumab)</w:t>
      </w:r>
    </w:p>
    <w:p>
      <w:pPr>
        <w:ind w:left="340" w:right="260" w:hanging="332"/>
        <w:spacing w:after="0" w:line="24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April 2022, the European Commission (EC) approved Dupixent for the treatment of severe asthma in children aged 6 to 11 years.</w:t>
      </w:r>
    </w:p>
    <w:p>
      <w:pPr>
        <w:ind w:left="340" w:right="20" w:hanging="332"/>
        <w:spacing w:after="0" w:line="247"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U.S. Food and Drug Administration (FDA) accepted for priority review the sBLA for Dupixent for children aged 6 months to 5 years with moderate-to-severe atopic dermatitis, with a target action date of June 9, 2022. A regulatory application was also submitted in the European Union (EU).</w:t>
      </w:r>
    </w:p>
    <w:p>
      <w:pPr>
        <w:spacing w:after="0" w:line="1" w:lineRule="exact"/>
        <w:rPr>
          <w:rFonts w:ascii="Arial" w:cs="Arial" w:eastAsia="Arial" w:hAnsi="Arial"/>
          <w:sz w:val="22"/>
          <w:szCs w:val="22"/>
          <w:color w:val="auto"/>
        </w:rPr>
      </w:pPr>
    </w:p>
    <w:p>
      <w:pPr>
        <w:ind w:left="340" w:right="120" w:hanging="332"/>
        <w:spacing w:after="0" w:line="24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FDA accepted for priority review the sBLA for Dupixent for adults and adolescents aged 12 years and older with eosinophilic esophagitis (EoE), with a target action date of August 3, 2022. A regulatory application was also submitted in the EU.</w:t>
      </w:r>
    </w:p>
    <w:p>
      <w:pPr>
        <w:spacing w:after="0" w:line="1" w:lineRule="exact"/>
        <w:rPr>
          <w:rFonts w:ascii="Arial" w:cs="Arial" w:eastAsia="Arial" w:hAnsi="Arial"/>
          <w:sz w:val="22"/>
          <w:szCs w:val="22"/>
          <w:color w:val="auto"/>
        </w:rPr>
      </w:pPr>
    </w:p>
    <w:p>
      <w:pPr>
        <w:ind w:left="340" w:right="260" w:hanging="332"/>
        <w:spacing w:after="0" w:line="247"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January 2022, the Company and Sanofi announced positive results from a second Phase 3 trial in adults with uncontrolled prurigo nodularis. An sBLA and a regulatory submission in the EU for Dupixent for adults with uncontrolled prurigo nodularis were subsequently submitted.</w:t>
      </w:r>
    </w:p>
    <w:p>
      <w:pPr>
        <w:spacing w:after="0" w:line="1" w:lineRule="exact"/>
        <w:rPr>
          <w:rFonts w:ascii="Arial" w:cs="Arial" w:eastAsia="Arial" w:hAnsi="Arial"/>
          <w:sz w:val="22"/>
          <w:szCs w:val="22"/>
          <w:color w:val="auto"/>
        </w:rPr>
      </w:pPr>
    </w:p>
    <w:p>
      <w:pPr>
        <w:ind w:left="340" w:right="60" w:hanging="332"/>
        <w:spacing w:after="0" w:line="249"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February 2022, the Company and Sanofi provided an update on Dupixent in patients with chronic spontaneous urticaria (CSU), in which they had previously reported positive results from the first trial in biologic-naïve patients (i.e., not previously treated with omalizumab) that showed Dupixent significantly reduced itch and hives compared to standard-of-care antihistamines alone. The Company and Sanofi announced that they stopped a second trial in patients refractory to omalizumab due to futility.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3"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Antibodies to SARS-CoV-2 virus</w:t>
      </w:r>
    </w:p>
    <w:p>
      <w:pPr>
        <w:spacing w:after="0" w:line="24" w:lineRule="exact"/>
        <w:rPr>
          <w:sz w:val="20"/>
          <w:szCs w:val="20"/>
          <w:color w:val="auto"/>
        </w:rPr>
      </w:pPr>
    </w:p>
    <w:p>
      <w:pPr>
        <w:ind w:left="340" w:hanging="332"/>
        <w:spacing w:after="0" w:line="234"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April 2022, the Company announced that the FDA extended by three months its review of the BLA for REGEN-COV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(casirivimab and imdevimab) to treat COVID-19 in non-hospitalized patients and as prophylaxis in certain individuals. The extension is due to ongoing discussions with the FDA on pre-exposure prophylactic use, for which Regeneron has submitted additional data from its completed prophylaxis trial that the FDA has accepted for review. The FDA determined these additional data constitute a Major Amendment to the BLA and provided a new target action date of July 13, 2022.</w:t>
      </w:r>
    </w:p>
    <w:p>
      <w:pPr>
        <w:spacing w:after="0" w:line="5" w:lineRule="exact"/>
        <w:rPr>
          <w:rFonts w:ascii="Arial" w:cs="Arial" w:eastAsia="Arial" w:hAnsi="Arial"/>
          <w:sz w:val="22"/>
          <w:szCs w:val="22"/>
          <w:color w:val="auto"/>
        </w:rPr>
      </w:pPr>
    </w:p>
    <w:p>
      <w:pPr>
        <w:ind w:left="340" w:right="160" w:hanging="332"/>
        <w:spacing w:after="0" w:line="243"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A regulatory application was submitted in the EU for Ronapreve</w:t>
      </w:r>
      <w:r>
        <w:rPr>
          <w:rFonts w:ascii="Arial" w:cs="Arial" w:eastAsia="Arial" w:hAnsi="Arial"/>
          <w:sz w:val="11"/>
          <w:szCs w:val="11"/>
          <w:color w:val="auto"/>
        </w:rPr>
        <w:t>TM</w:t>
      </w:r>
      <w:r>
        <w:rPr>
          <w:rFonts w:ascii="Arial" w:cs="Arial" w:eastAsia="Arial" w:hAnsi="Arial"/>
          <w:sz w:val="12"/>
          <w:szCs w:val="12"/>
          <w:color w:val="auto"/>
        </w:rPr>
        <w:t>(b)</w:t>
      </w:r>
      <w:r>
        <w:rPr>
          <w:rFonts w:ascii="Arial" w:cs="Arial" w:eastAsia="Arial" w:hAnsi="Arial"/>
          <w:sz w:val="22"/>
          <w:szCs w:val="22"/>
          <w:color w:val="auto"/>
        </w:rPr>
        <w:t xml:space="preserve"> for the treatment of COVID-19 in hospitalized patients.</w:t>
      </w:r>
    </w:p>
    <w:p>
      <w:pPr>
        <w:ind w:left="340" w:right="140" w:hanging="332"/>
        <w:spacing w:after="0" w:line="245"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January 2022, the FDA revised the Emergency Use Authorization (EUA) for REGEN-COV to exclude its use in geographic regions where, based on available information including variant susceptibility and regional variant frequency, infection or exposure is likely due to a variant such as an Omicron-lineage variant that is not susceptible to the treatment. If, in the future, patients in certain geographic regions are likely to be infected or exposed to a variant that is susceptible to REGEN-COV, then the limitation on use may be revised.</w:t>
      </w:r>
    </w:p>
    <w:p>
      <w:pPr>
        <w:spacing w:after="0" w:line="4" w:lineRule="exact"/>
        <w:rPr>
          <w:rFonts w:ascii="Arial" w:cs="Arial" w:eastAsia="Arial" w:hAnsi="Arial"/>
          <w:sz w:val="22"/>
          <w:szCs w:val="22"/>
          <w:color w:val="auto"/>
        </w:rPr>
      </w:pPr>
    </w:p>
    <w:p>
      <w:pPr>
        <w:ind w:left="340" w:right="180" w:hanging="332"/>
        <w:spacing w:after="0" w:line="253"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is progressing investigational "next generation" antibodies that are active against multiple variants including those of Omicron-lineage, and has initiated a first-in-human clinical trial.</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Fianlimab</w:t>
      </w:r>
      <w:r>
        <w:rPr>
          <w:rFonts w:ascii="Arial" w:cs="Arial" w:eastAsia="Arial" w:hAnsi="Arial"/>
          <w:sz w:val="22"/>
          <w:szCs w:val="22"/>
          <w:color w:val="auto"/>
        </w:rPr>
        <w:t>, an antibody to LAG-3</w:t>
      </w:r>
    </w:p>
    <w:p>
      <w:pPr>
        <w:spacing w:after="0" w:line="31"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3 study in first-line metastatic melanoma was initiated.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Odronextamab</w:t>
      </w:r>
      <w:r>
        <w:rPr>
          <w:rFonts w:ascii="Arial" w:cs="Arial" w:eastAsia="Arial" w:hAnsi="Arial"/>
          <w:sz w:val="22"/>
          <w:szCs w:val="22"/>
          <w:color w:val="auto"/>
        </w:rPr>
        <w:t>, a CD20xCD3 bispecific antibody</w:t>
      </w:r>
    </w:p>
    <w:p>
      <w:pPr>
        <w:spacing w:after="0" w:line="3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FDA granted Fast Track designation for follicular lymphoma and diffuse large B-cell lymphoma.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NTLA-2001</w:t>
      </w:r>
      <w:r>
        <w:rPr>
          <w:rFonts w:ascii="Arial" w:cs="Arial" w:eastAsia="Arial" w:hAnsi="Arial"/>
          <w:sz w:val="22"/>
          <w:szCs w:val="22"/>
          <w:color w:val="auto"/>
        </w:rPr>
        <w:t>, a CRISPR/Cas9 therapeutic for TTR gene knockout</w:t>
      </w:r>
    </w:p>
    <w:p>
      <w:pPr>
        <w:spacing w:after="0" w:line="31" w:lineRule="exact"/>
        <w:rPr>
          <w:sz w:val="20"/>
          <w:szCs w:val="20"/>
          <w:color w:val="auto"/>
        </w:rPr>
      </w:pPr>
    </w:p>
    <w:p>
      <w:pPr>
        <w:ind w:left="340" w:right="440" w:hanging="332"/>
        <w:spacing w:after="0" w:line="259"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February 2022, Intellia Therapeutics, Inc. and the Company reported updated positive interim data from the Phase 1 trial in transthyretin (ATTR) amyloidosis.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Development Update</w:t>
      </w:r>
    </w:p>
    <w:p>
      <w:pPr>
        <w:spacing w:after="0" w:line="26" w:lineRule="exact"/>
        <w:rPr>
          <w:sz w:val="20"/>
          <w:szCs w:val="20"/>
          <w:color w:val="auto"/>
        </w:rPr>
      </w:pPr>
    </w:p>
    <w:p>
      <w:pPr>
        <w:ind w:left="340" w:right="80" w:hanging="332"/>
        <w:spacing w:after="0" w:line="245" w:lineRule="auto"/>
        <w:tabs>
          <w:tab w:leader="none" w:pos="335"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April 2022, the Company entered into a definitive merger agreement to acquire Checkmate Pharmaceuticals, Inc. at a total equity value of approximately $250 million. On May 2, 2022, the Company initiated a tender offer to acquire any and all outstanding shares of Checkmate common stock at a price of $10.50 per share, to be paid to each shareholder tendering Checkmate shares in cash, without interest, subject to reduction for any applicable withholding taxes. The transaction is expected to close, subject to the satisfaction of customary closing conditions including regulatory approvals, in mid-2022.</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2022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52" w:lineRule="exact"/>
        <w:rPr>
          <w:sz w:val="20"/>
          <w:szCs w:val="20"/>
          <w:color w:val="auto"/>
        </w:rPr>
      </w:pPr>
    </w:p>
    <w:p>
      <w:pPr>
        <w:jc w:val="both"/>
        <w:ind w:right="300"/>
        <w:spacing w:after="0" w:line="230" w:lineRule="auto"/>
        <w:rPr>
          <w:sz w:val="20"/>
          <w:szCs w:val="20"/>
          <w:color w:val="auto"/>
        </w:rPr>
      </w:pPr>
      <w:r>
        <w:rPr>
          <w:rFonts w:ascii="Arial" w:cs="Arial" w:eastAsia="Arial" w:hAnsi="Arial"/>
          <w:sz w:val="22"/>
          <w:szCs w:val="22"/>
          <w:color w:val="auto"/>
        </w:rPr>
        <w:t>Total revenues increased by 17% to $2.965 billion in the first quarter of 2022, compared to $2.529 billion in the first quarter of 2021. Total revenues excluding REGEN-COV and Ronapreve</w:t>
      </w:r>
      <w:r>
        <w:rPr>
          <w:rFonts w:ascii="Arial" w:cs="Arial" w:eastAsia="Arial" w:hAnsi="Arial"/>
          <w:sz w:val="28"/>
          <w:szCs w:val="28"/>
          <w:color w:val="auto"/>
          <w:vertAlign w:val="superscript"/>
        </w:rPr>
        <w:t>(b)</w:t>
      </w:r>
      <w:r>
        <w:rPr>
          <w:rFonts w:ascii="Arial" w:cs="Arial" w:eastAsia="Arial" w:hAnsi="Arial"/>
          <w:sz w:val="22"/>
          <w:szCs w:val="22"/>
          <w:color w:val="auto"/>
        </w:rPr>
        <w:t xml:space="preserve"> revenues for both periods increased by 25% to $2.749 billion in the first quarter of 2022, compared to the first quarter of 2021</w:t>
      </w:r>
      <w:r>
        <w:rPr>
          <w:rFonts w:ascii="Arial" w:cs="Arial" w:eastAsia="Arial" w:hAnsi="Arial"/>
          <w:sz w:val="12"/>
          <w:szCs w:val="12"/>
          <w:color w:val="auto"/>
        </w:rPr>
        <w:t>(a)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45"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Net product sales recorded by the Company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40" w:type="dxa"/>
            <w:vAlign w:val="bottom"/>
          </w:tcPr>
          <w:p>
            <w:pPr>
              <w:spacing w:after="0"/>
              <w:rPr>
                <w:sz w:val="23"/>
                <w:szCs w:val="23"/>
                <w:color w:val="auto"/>
              </w:rPr>
            </w:pPr>
          </w:p>
        </w:tc>
        <w:tc>
          <w:tcPr>
            <w:tcW w:w="1260" w:type="dxa"/>
            <w:vAlign w:val="bottom"/>
            <w:gridSpan w:val="2"/>
          </w:tcPr>
          <w:p>
            <w:pPr>
              <w:ind w:left="80"/>
              <w:spacing w:after="0"/>
              <w:rPr>
                <w:sz w:val="20"/>
                <w:szCs w:val="20"/>
                <w:color w:val="auto"/>
              </w:rPr>
            </w:pPr>
            <w:r>
              <w:rPr>
                <w:rFonts w:ascii="Arial" w:cs="Arial" w:eastAsia="Arial" w:hAnsi="Arial"/>
                <w:sz w:val="20"/>
                <w:szCs w:val="20"/>
                <w:b w:val="1"/>
                <w:bCs w:val="1"/>
                <w:color w:val="auto"/>
              </w:rPr>
              <w:t>Q1 2022</w:t>
            </w:r>
          </w:p>
        </w:tc>
        <w:tc>
          <w:tcPr>
            <w:tcW w:w="22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Arial" w:cs="Arial" w:eastAsia="Arial" w:hAnsi="Arial"/>
                <w:sz w:val="20"/>
                <w:szCs w:val="20"/>
                <w:b w:val="1"/>
                <w:bCs w:val="1"/>
                <w:color w:val="auto"/>
              </w:rPr>
              <w:t>Q1 2021</w:t>
            </w:r>
          </w:p>
        </w:tc>
        <w:tc>
          <w:tcPr>
            <w:tcW w:w="1520" w:type="dxa"/>
            <w:vAlign w:val="bottom"/>
          </w:tcPr>
          <w:p>
            <w:pPr>
              <w:jc w:val="right"/>
              <w:ind w:right="181"/>
              <w:spacing w:after="0"/>
              <w:rPr>
                <w:sz w:val="20"/>
                <w:szCs w:val="20"/>
                <w:color w:val="auto"/>
              </w:rPr>
            </w:pPr>
            <w:r>
              <w:rPr>
                <w:rFonts w:ascii="Arial" w:cs="Arial" w:eastAsia="Arial" w:hAnsi="Arial"/>
                <w:sz w:val="20"/>
                <w:szCs w:val="20"/>
                <w:b w:val="1"/>
                <w:bCs w:val="1"/>
                <w:color w:val="auto"/>
              </w:rPr>
              <w:t>% Change</w:t>
            </w:r>
          </w:p>
        </w:tc>
      </w:tr>
      <w:tr>
        <w:trPr>
          <w:trHeight w:val="250"/>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EYLEA</w:t>
            </w:r>
          </w:p>
        </w:tc>
        <w:tc>
          <w:tcPr>
            <w:tcW w:w="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1,518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1,347</w:t>
            </w:r>
          </w:p>
        </w:tc>
        <w:tc>
          <w:tcPr>
            <w:tcW w:w="1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13 %</w:t>
            </w:r>
          </w:p>
        </w:tc>
      </w:tr>
      <w:tr>
        <w:trPr>
          <w:trHeight w:val="257"/>
        </w:trPr>
        <w:tc>
          <w:tcPr>
            <w:tcW w:w="4440" w:type="dxa"/>
            <w:vAlign w:val="bottom"/>
          </w:tcPr>
          <w:p>
            <w:pPr>
              <w:ind w:left="20"/>
              <w:spacing w:after="0"/>
              <w:rPr>
                <w:sz w:val="20"/>
                <w:szCs w:val="20"/>
                <w:color w:val="auto"/>
              </w:rPr>
            </w:pPr>
            <w:r>
              <w:rPr>
                <w:rFonts w:ascii="Arial" w:cs="Arial" w:eastAsia="Arial" w:hAnsi="Arial"/>
                <w:sz w:val="20"/>
                <w:szCs w:val="20"/>
                <w:color w:val="auto"/>
              </w:rPr>
              <w:t>Libtayo</w:t>
            </w:r>
          </w:p>
        </w:tc>
        <w:tc>
          <w:tcPr>
            <w:tcW w:w="240" w:type="dxa"/>
            <w:vAlign w:val="bottom"/>
          </w:tcPr>
          <w:p>
            <w:pPr>
              <w:spacing w:after="0"/>
              <w:rPr>
                <w:sz w:val="22"/>
                <w:szCs w:val="22"/>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69</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14 %</w:t>
            </w:r>
          </w:p>
        </w:tc>
      </w:tr>
      <w:tr>
        <w:trPr>
          <w:trHeight w:val="257"/>
        </w:trPr>
        <w:tc>
          <w:tcPr>
            <w:tcW w:w="444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43</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(21 %)</w:t>
            </w:r>
          </w:p>
        </w:tc>
      </w:tr>
      <w:tr>
        <w:trPr>
          <w:trHeight w:val="256"/>
        </w:trPr>
        <w:tc>
          <w:tcPr>
            <w:tcW w:w="4440" w:type="dxa"/>
            <w:vAlign w:val="bottom"/>
          </w:tcPr>
          <w:p>
            <w:pPr>
              <w:ind w:left="20"/>
              <w:spacing w:after="0"/>
              <w:rPr>
                <w:sz w:val="20"/>
                <w:szCs w:val="20"/>
                <w:color w:val="auto"/>
              </w:rPr>
            </w:pPr>
            <w:r>
              <w:rPr>
                <w:rFonts w:ascii="Arial" w:cs="Arial" w:eastAsia="Arial" w:hAnsi="Arial"/>
                <w:sz w:val="20"/>
                <w:szCs w:val="20"/>
                <w:color w:val="auto"/>
              </w:rPr>
              <w:t>REGEN-COV</w:t>
            </w:r>
          </w:p>
        </w:tc>
        <w:tc>
          <w:tcPr>
            <w:tcW w:w="24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262</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(100 %)</w:t>
            </w:r>
          </w:p>
        </w:tc>
      </w:tr>
      <w:tr>
        <w:trPr>
          <w:trHeight w:val="257"/>
        </w:trPr>
        <w:tc>
          <w:tcPr>
            <w:tcW w:w="4440" w:type="dxa"/>
            <w:vAlign w:val="bottom"/>
            <w:shd w:val="clear" w:color="auto" w:fill="CCEEFF"/>
          </w:tcPr>
          <w:p>
            <w:pPr>
              <w:ind w:left="20"/>
              <w:spacing w:after="0"/>
              <w:rPr>
                <w:sz w:val="20"/>
                <w:szCs w:val="20"/>
                <w:color w:val="auto"/>
              </w:rPr>
            </w:pPr>
            <w:r>
              <w:rPr>
                <w:rFonts w:ascii="Arial" w:cs="Arial" w:eastAsia="Arial" w:hAnsi="Arial"/>
                <w:sz w:val="20"/>
                <w:szCs w:val="20"/>
                <w:color w:val="auto"/>
              </w:rPr>
              <w:t>Evkeeza</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r>
      <w:tr>
        <w:trPr>
          <w:trHeight w:val="257"/>
        </w:trPr>
        <w:tc>
          <w:tcPr>
            <w:tcW w:w="4440" w:type="dxa"/>
            <w:vAlign w:val="bottom"/>
          </w:tcPr>
          <w:p>
            <w:pPr>
              <w:ind w:left="20"/>
              <w:spacing w:after="0" w:line="257" w:lineRule="exact"/>
              <w:rPr>
                <w:sz w:val="20"/>
                <w:szCs w:val="20"/>
                <w:color w:val="auto"/>
              </w:rPr>
            </w:pPr>
            <w:r>
              <w:rPr>
                <w:rFonts w:ascii="Arial" w:cs="Arial" w:eastAsia="Arial" w:hAnsi="Arial"/>
                <w:sz w:val="20"/>
                <w:szCs w:val="20"/>
                <w:color w:val="auto"/>
              </w:rPr>
              <w:t>ARCALYST</w:t>
            </w:r>
            <w:r>
              <w:rPr>
                <w:rFonts w:ascii="Arial" w:cs="Arial" w:eastAsia="Arial" w:hAnsi="Arial"/>
                <w:sz w:val="25"/>
                <w:szCs w:val="25"/>
                <w:color w:val="auto"/>
                <w:vertAlign w:val="superscript"/>
              </w:rPr>
              <w:t>®</w:t>
            </w:r>
          </w:p>
        </w:tc>
        <w:tc>
          <w:tcPr>
            <w:tcW w:w="240" w:type="dxa"/>
            <w:vAlign w:val="bottom"/>
          </w:tcPr>
          <w:p>
            <w:pPr>
              <w:spacing w:after="0"/>
              <w:rPr>
                <w:sz w:val="22"/>
                <w:szCs w:val="22"/>
                <w:color w:val="auto"/>
              </w:rPr>
            </w:pPr>
          </w:p>
        </w:tc>
        <w:tc>
          <w:tcPr>
            <w:tcW w:w="1260" w:type="dxa"/>
            <w:vAlign w:val="bottom"/>
            <w:gridSpan w:val="2"/>
          </w:tcPr>
          <w:p>
            <w:pPr>
              <w:ind w:left="800"/>
              <w:spacing w:after="0"/>
              <w:rPr>
                <w:sz w:val="20"/>
                <w:szCs w:val="20"/>
                <w:color w:val="auto"/>
              </w:rPr>
            </w:pPr>
            <w:r>
              <w:rPr>
                <w:rFonts w:ascii="Arial" w:cs="Arial" w:eastAsia="Arial" w:hAnsi="Arial"/>
                <w:sz w:val="20"/>
                <w:szCs w:val="20"/>
                <w:color w:val="auto"/>
              </w:rPr>
              <w:t>— *</w:t>
            </w:r>
          </w:p>
        </w:tc>
        <w:tc>
          <w:tcPr>
            <w:tcW w:w="2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2"/>
                <w:szCs w:val="22"/>
                <w:color w:val="auto"/>
              </w:rPr>
            </w:pP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w:t>
            </w:r>
          </w:p>
        </w:tc>
      </w:tr>
      <w:tr>
        <w:trPr>
          <w:trHeight w:val="275"/>
        </w:trPr>
        <w:tc>
          <w:tcPr>
            <w:tcW w:w="44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Total net product sales in the U.S.</w:t>
            </w:r>
          </w:p>
        </w:tc>
        <w:tc>
          <w:tcPr>
            <w:tcW w:w="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1,639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1,724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40" w:right="2420" w:firstLine="2"/>
        <w:spacing w:after="0" w:line="231" w:lineRule="auto"/>
        <w:tabs>
          <w:tab w:leader="none" w:pos="355" w:val="left"/>
        </w:tabs>
        <w:numPr>
          <w:ilvl w:val="0"/>
          <w:numId w:val="11"/>
        </w:numPr>
        <w:rPr>
          <w:rFonts w:ascii="Arial" w:cs="Arial" w:eastAsia="Arial" w:hAnsi="Arial"/>
          <w:sz w:val="18"/>
          <w:szCs w:val="18"/>
          <w:color w:val="auto"/>
        </w:rPr>
      </w:pPr>
      <w:r>
        <w:rPr>
          <w:rFonts w:ascii="Arial" w:cs="Arial" w:eastAsia="Arial" w:hAnsi="Arial"/>
          <w:sz w:val="16"/>
          <w:szCs w:val="16"/>
          <w:color w:val="auto"/>
        </w:rPr>
        <w:t>Effective April 1, 2021, Kiniksa records net product sales of ARCALYST in the United States. Previously, the Company recorded net product sales of ARCALYST in the United States.</w:t>
      </w:r>
    </w:p>
    <w:p>
      <w:pPr>
        <w:spacing w:after="0" w:line="15" w:lineRule="exact"/>
        <w:rPr>
          <w:sz w:val="20"/>
          <w:szCs w:val="20"/>
          <w:color w:val="auto"/>
        </w:rPr>
      </w:pPr>
    </w:p>
    <w:p>
      <w:pPr>
        <w:ind w:left="420" w:hanging="178"/>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Total revenues also include collaboration revenues</w:t>
      </w:r>
      <w:r>
        <w:rPr>
          <w:rFonts w:ascii="Arial" w:cs="Arial" w:eastAsia="Arial" w:hAnsi="Arial"/>
          <w:sz w:val="12"/>
          <w:szCs w:val="12"/>
          <w:color w:val="auto"/>
        </w:rPr>
        <w:t>(c)</w:t>
      </w:r>
      <w:r>
        <w:rPr>
          <w:rFonts w:ascii="Arial" w:cs="Arial" w:eastAsia="Arial" w:hAnsi="Arial"/>
          <w:sz w:val="22"/>
          <w:szCs w:val="22"/>
          <w:color w:val="auto"/>
        </w:rPr>
        <w:t xml:space="preserve"> of $1.233 billion in the first quarter of 2022, compared to</w:t>
      </w:r>
    </w:p>
    <w:p>
      <w:pPr>
        <w:spacing w:after="0" w:line="24"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$754 million in the first quarter of 2021. Sanofi collaboration revenue increased primarily due to the Company's share of profits from commercialization of antibodies, which were $415 million in the first quarter of 2022, compared to $261 million in the first quarter of 2021. The change in the Company's share of profits from commercialization of antibodies was driven by higher Dupixent profits. In the first quarter of 2022, the Company earned a $50 million sales-based milestone from Sanofi, upon aggregate annual sales of antibodies outside the United States exceeding $2.0 billion on a rolling twelve-month basis.</w:t>
      </w:r>
    </w:p>
    <w:p>
      <w:pPr>
        <w:spacing w:after="0" w:line="119" w:lineRule="exact"/>
        <w:rPr>
          <w:sz w:val="20"/>
          <w:szCs w:val="20"/>
          <w:color w:val="auto"/>
        </w:rPr>
      </w:pPr>
    </w:p>
    <w:p>
      <w:pPr>
        <w:ind w:right="40"/>
        <w:spacing w:after="0" w:line="272" w:lineRule="auto"/>
        <w:rPr>
          <w:sz w:val="20"/>
          <w:szCs w:val="20"/>
          <w:color w:val="auto"/>
        </w:rPr>
      </w:pPr>
      <w:r>
        <w:rPr>
          <w:rFonts w:ascii="Arial" w:cs="Arial" w:eastAsia="Arial" w:hAnsi="Arial"/>
          <w:sz w:val="22"/>
          <w:szCs w:val="22"/>
          <w:color w:val="auto"/>
        </w:rPr>
        <w:t>Bayer collaboration revenue increased to $385 million in the first quarter of 2022, compared to $323 million in the first quarter of 2021.</w:t>
      </w:r>
    </w:p>
    <w:p>
      <w:pPr>
        <w:spacing w:after="0" w:line="88" w:lineRule="exact"/>
        <w:rPr>
          <w:sz w:val="20"/>
          <w:szCs w:val="20"/>
          <w:color w:val="auto"/>
        </w:rPr>
      </w:pPr>
    </w:p>
    <w:p>
      <w:pPr>
        <w:jc w:val="both"/>
        <w:ind w:right="320"/>
        <w:spacing w:after="0" w:line="264" w:lineRule="auto"/>
        <w:rPr>
          <w:sz w:val="20"/>
          <w:szCs w:val="20"/>
          <w:color w:val="auto"/>
        </w:rPr>
      </w:pPr>
      <w:r>
        <w:rPr>
          <w:rFonts w:ascii="Arial" w:cs="Arial" w:eastAsia="Arial" w:hAnsi="Arial"/>
          <w:sz w:val="22"/>
          <w:szCs w:val="22"/>
          <w:color w:val="auto"/>
        </w:rPr>
        <w:t>The Company also recorded Roche collaboration revenue of $216 million for the first quarter of 2022, compared to $67 million in the first quarter of 2021, in connection with payments from Roche attributable to global gross profits from sales of Ronapreve</w:t>
      </w:r>
      <w:r>
        <w:rPr>
          <w:rFonts w:ascii="Times New Roman" w:cs="Times New Roman" w:eastAsia="Times New Roman" w:hAnsi="Times New Roman"/>
          <w:sz w:val="17"/>
          <w:szCs w:val="17"/>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52" w:lineRule="exact"/>
        <w:rPr>
          <w:sz w:val="20"/>
          <w:szCs w:val="20"/>
          <w:color w:val="auto"/>
        </w:rPr>
      </w:pPr>
    </w:p>
    <w:p>
      <w:pPr>
        <w:ind w:right="820"/>
        <w:spacing w:after="0" w:line="272" w:lineRule="auto"/>
        <w:rPr>
          <w:sz w:val="20"/>
          <w:szCs w:val="20"/>
          <w:color w:val="auto"/>
        </w:rPr>
      </w:pPr>
      <w:r>
        <w:rPr>
          <w:rFonts w:ascii="Arial" w:cs="Arial" w:eastAsia="Arial" w:hAnsi="Arial"/>
          <w:sz w:val="22"/>
          <w:szCs w:val="22"/>
          <w:color w:val="auto"/>
        </w:rPr>
        <w:t>Other revenue in the first quarter of 2022 included a $30 million up-front payment received from Ultragenyx in connection with the Company's Evkeeza license and collaboration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4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4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Q1 2022</w:t>
            </w:r>
          </w:p>
        </w:tc>
        <w:tc>
          <w:tcPr>
            <w:tcW w:w="16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b w:val="1"/>
                <w:bCs w:val="1"/>
                <w:color w:val="auto"/>
                <w:w w:val="98"/>
              </w:rPr>
              <w:t>Q1 2021</w:t>
            </w:r>
          </w:p>
        </w:tc>
        <w:tc>
          <w:tcPr>
            <w:tcW w:w="10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Arial" w:cs="Arial" w:eastAsia="Arial" w:hAnsi="Arial"/>
                <w:sz w:val="20"/>
                <w:szCs w:val="20"/>
                <w:b w:val="1"/>
                <w:bCs w:val="1"/>
                <w:color w:val="auto"/>
              </w:rPr>
              <w:t>% Change</w:t>
            </w:r>
          </w:p>
        </w:tc>
        <w:tc>
          <w:tcPr>
            <w:tcW w:w="14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Q1 2022</w:t>
            </w:r>
          </w:p>
        </w:tc>
        <w:tc>
          <w:tcPr>
            <w:tcW w:w="16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20"/>
                <w:szCs w:val="20"/>
                <w:b w:val="1"/>
                <w:bCs w:val="1"/>
                <w:color w:val="auto"/>
                <w:w w:val="98"/>
              </w:rPr>
              <w:t>Q1 2021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844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743</w:t>
            </w:r>
          </w:p>
        </w:tc>
        <w:tc>
          <w:tcPr>
            <w:tcW w:w="1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751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673</w:t>
            </w: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line="189" w:lineRule="exact"/>
              <w:rPr>
                <w:sz w:val="20"/>
                <w:szCs w:val="20"/>
                <w:color w:val="auto"/>
              </w:rPr>
            </w:pPr>
            <w:r>
              <w:rPr>
                <w:rFonts w:ascii="Arial" w:cs="Arial" w:eastAsia="Arial" w:hAnsi="Arial"/>
                <w:sz w:val="20"/>
                <w:szCs w:val="20"/>
                <w:color w:val="auto"/>
              </w:rPr>
              <w:t>Acquired in-process research and</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28</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100%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4200" w:type="dxa"/>
            <w:vAlign w:val="bottom"/>
          </w:tcPr>
          <w:p>
            <w:pPr>
              <w:ind w:left="180"/>
              <w:spacing w:after="0" w:line="257" w:lineRule="exact"/>
              <w:rPr>
                <w:sz w:val="20"/>
                <w:szCs w:val="20"/>
                <w:color w:val="auto"/>
              </w:rPr>
            </w:pPr>
            <w:r>
              <w:rPr>
                <w:rFonts w:ascii="Arial" w:cs="Arial" w:eastAsia="Arial" w:hAnsi="Arial"/>
                <w:sz w:val="20"/>
                <w:szCs w:val="20"/>
                <w:color w:val="auto"/>
              </w:rPr>
              <w:t>development (IPR&amp;D)</w:t>
            </w:r>
            <w:r>
              <w:rPr>
                <w:rFonts w:ascii="Arial" w:cs="Arial" w:eastAsia="Arial" w:hAnsi="Arial"/>
                <w:sz w:val="25"/>
                <w:szCs w:val="25"/>
                <w:color w:val="auto"/>
                <w:vertAlign w:val="superscript"/>
              </w:rPr>
              <w:t>**</w:t>
            </w:r>
          </w:p>
        </w:tc>
        <w:tc>
          <w:tcPr>
            <w:tcW w:w="14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Selling, general, and administrative (SG&amp;A)</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406</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355</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56"/>
        </w:trPr>
        <w:tc>
          <w:tcPr>
            <w:tcW w:w="420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207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183</w:t>
            </w:r>
          </w:p>
        </w:tc>
        <w:tc>
          <w:tcPr>
            <w:tcW w:w="1140" w:type="dxa"/>
            <w:vAlign w:val="bottom"/>
            <w:gridSpan w:val="2"/>
          </w:tcPr>
          <w:p>
            <w:pPr>
              <w:jc w:val="right"/>
              <w:ind w:right="21"/>
              <w:spacing w:after="0"/>
              <w:rPr>
                <w:sz w:val="20"/>
                <w:szCs w:val="20"/>
                <w:color w:val="auto"/>
              </w:rPr>
            </w:pPr>
            <w:r>
              <w:rPr>
                <w:rFonts w:ascii="Arial" w:cs="Arial" w:eastAsia="Arial" w:hAnsi="Arial"/>
                <w:sz w:val="20"/>
                <w:szCs w:val="20"/>
                <w:color w:val="auto"/>
              </w:rPr>
              <w:t>13%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136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173</w:t>
            </w:r>
          </w:p>
        </w:tc>
        <w:tc>
          <w:tcPr>
            <w:tcW w:w="1160" w:type="dxa"/>
            <w:vAlign w:val="bottom"/>
            <w:gridSpan w:val="2"/>
          </w:tcPr>
          <w:p>
            <w:pPr>
              <w:jc w:val="right"/>
              <w:ind w:right="21"/>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198</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125</w:t>
            </w:r>
          </w:p>
        </w:tc>
        <w:tc>
          <w:tcPr>
            <w:tcW w:w="1140" w:type="dxa"/>
            <w:vAlign w:val="bottom"/>
            <w:gridSpan w:val="2"/>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manufacturing (COCM)</w:t>
            </w:r>
          </w:p>
        </w:tc>
        <w:tc>
          <w:tcPr>
            <w:tcW w:w="140" w:type="dxa"/>
            <w:vAlign w:val="bottom"/>
            <w:vMerge w:val="continue"/>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1140" w:type="dxa"/>
            <w:vAlign w:val="bottom"/>
            <w:gridSpan w:val="2"/>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200" w:type="dxa"/>
            <w:vAlign w:val="bottom"/>
          </w:tcPr>
          <w:p>
            <w:pPr>
              <w:ind w:left="20"/>
              <w:spacing w:after="0"/>
              <w:rPr>
                <w:sz w:val="20"/>
                <w:szCs w:val="20"/>
                <w:color w:val="auto"/>
              </w:rPr>
            </w:pPr>
            <w:r>
              <w:rPr>
                <w:rFonts w:ascii="Arial" w:cs="Arial" w:eastAsia="Arial" w:hAnsi="Arial"/>
                <w:sz w:val="20"/>
                <w:szCs w:val="20"/>
                <w:color w:val="auto"/>
              </w:rPr>
              <w:t>Other operating (income) expense, net</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(41)</w:t>
            </w:r>
          </w:p>
        </w:tc>
        <w:tc>
          <w:tcPr>
            <w:tcW w:w="1140" w:type="dxa"/>
            <w:vAlign w:val="bottom"/>
            <w:gridSpan w:val="2"/>
          </w:tcPr>
          <w:p>
            <w:pPr>
              <w:jc w:val="right"/>
              <w:ind w:right="21"/>
              <w:spacing w:after="0"/>
              <w:rPr>
                <w:sz w:val="20"/>
                <w:szCs w:val="20"/>
                <w:color w:val="auto"/>
              </w:rPr>
            </w:pPr>
            <w:r>
              <w:rPr>
                <w:rFonts w:ascii="Arial" w:cs="Arial" w:eastAsia="Arial" w:hAnsi="Arial"/>
                <w:sz w:val="20"/>
                <w:szCs w:val="20"/>
                <w:color w:val="auto"/>
              </w:rPr>
              <w:t>(51%)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00" w:hanging="11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recorded.</w:t>
      </w:r>
    </w:p>
    <w:p>
      <w:pPr>
        <w:spacing w:after="0" w:line="23" w:lineRule="exact"/>
        <w:rPr>
          <w:sz w:val="20"/>
          <w:szCs w:val="20"/>
          <w:color w:val="auto"/>
        </w:rPr>
      </w:pPr>
    </w:p>
    <w:p>
      <w:pPr>
        <w:ind w:left="180" w:right="120" w:firstLine="8"/>
        <w:spacing w:after="0" w:line="219" w:lineRule="auto"/>
        <w:tabs>
          <w:tab w:leader="none" w:pos="365" w:val="left"/>
        </w:tabs>
        <w:numPr>
          <w:ilvl w:val="0"/>
          <w:numId w:val="14"/>
        </w:numPr>
        <w:rPr>
          <w:rFonts w:ascii="Arial" w:cs="Arial" w:eastAsia="Arial" w:hAnsi="Arial"/>
          <w:sz w:val="18"/>
          <w:szCs w:val="18"/>
          <w:color w:val="auto"/>
        </w:rPr>
      </w:pPr>
      <w:r>
        <w:rPr>
          <w:rFonts w:ascii="Arial" w:cs="Arial" w:eastAsia="Arial" w:hAnsi="Arial"/>
          <w:sz w:val="16"/>
          <w:szCs w:val="16"/>
          <w:color w:val="auto"/>
        </w:rPr>
        <w:t>Beginning with the first quarter of 2022, the Company added this new line item to its Statements of Operations, which includes in-process R&amp;D acquired in connection with asset acquisitions as well as up-front/opt-in payments related to license and collaboration agreements. Amounts recorded in this line would have historically been recorded to R&amp;D. In addition, the Company has modified its presentation of non-GAAP reporting and will no longer exclude such expenses from its non-GAAP results. This change does not affect previously reported first quarter 2021 non-GAAP results as the Company recorded no significant charges related to such transactions during that period.</w:t>
      </w:r>
    </w:p>
    <w:p>
      <w:pPr>
        <w:spacing w:after="0" w:line="220" w:lineRule="exact"/>
        <w:rPr>
          <w:rFonts w:ascii="Arial" w:cs="Arial" w:eastAsia="Arial" w:hAnsi="Arial"/>
          <w:sz w:val="18"/>
          <w:szCs w:val="18"/>
          <w:color w:val="auto"/>
        </w:rPr>
      </w:pPr>
    </w:p>
    <w:p>
      <w:pPr>
        <w:jc w:val="both"/>
        <w:ind w:left="660" w:right="340" w:hanging="328"/>
        <w:spacing w:after="0" w:line="253" w:lineRule="auto"/>
        <w:tabs>
          <w:tab w:leader="none" w:pos="655" w:val="left"/>
        </w:tabs>
        <w:numPr>
          <w:ilvl w:val="1"/>
          <w:numId w:val="14"/>
        </w:numPr>
        <w:rPr>
          <w:rFonts w:ascii="Arial" w:cs="Arial" w:eastAsia="Arial" w:hAnsi="Arial"/>
          <w:sz w:val="22"/>
          <w:szCs w:val="22"/>
          <w:color w:val="auto"/>
        </w:rPr>
      </w:pPr>
      <w:r>
        <w:rPr>
          <w:rFonts w:ascii="Arial" w:cs="Arial" w:eastAsia="Arial" w:hAnsi="Arial"/>
          <w:sz w:val="22"/>
          <w:szCs w:val="22"/>
          <w:color w:val="auto"/>
        </w:rPr>
        <w:t>GAAP and non-GAAP R&amp;D expenses increased in the first quarter of 2022, compared to the first quarter of 2021, primarily due to higher headcount and headcount-related costs, an increase in clinical manufacturing activities, and lower reimbursements from Roche related to REGEN-COV. The increase was partly offset by lower costs incurred in connection with REGEN-COV development activities.</w:t>
      </w:r>
    </w:p>
    <w:p>
      <w:pPr>
        <w:spacing w:after="0" w:line="40" w:lineRule="exact"/>
        <w:rPr>
          <w:rFonts w:ascii="Arial" w:cs="Arial" w:eastAsia="Arial" w:hAnsi="Arial"/>
          <w:sz w:val="22"/>
          <w:szCs w:val="22"/>
          <w:color w:val="auto"/>
        </w:rPr>
      </w:pPr>
    </w:p>
    <w:p>
      <w:pPr>
        <w:ind w:left="660" w:right="140" w:hanging="328"/>
        <w:spacing w:after="0" w:line="272" w:lineRule="auto"/>
        <w:tabs>
          <w:tab w:leader="none" w:pos="655" w:val="left"/>
        </w:tabs>
        <w:numPr>
          <w:ilvl w:val="1"/>
          <w:numId w:val="14"/>
        </w:numPr>
        <w:rPr>
          <w:rFonts w:ascii="Arial" w:cs="Arial" w:eastAsia="Arial" w:hAnsi="Arial"/>
          <w:sz w:val="22"/>
          <w:szCs w:val="22"/>
          <w:color w:val="auto"/>
        </w:rPr>
      </w:pPr>
      <w:r>
        <w:rPr>
          <w:rFonts w:ascii="Arial" w:cs="Arial" w:eastAsia="Arial" w:hAnsi="Arial"/>
          <w:sz w:val="22"/>
          <w:szCs w:val="22"/>
          <w:color w:val="auto"/>
        </w:rPr>
        <w:t>Acquired IPR&amp;D in the first quarter of 2022 included a $20 million opt-in payment in connection with a product candidate under the Company's collaboration agreement with Adicet Bio, Inc.</w:t>
      </w:r>
    </w:p>
    <w:p>
      <w:pPr>
        <w:spacing w:after="0" w:line="20" w:lineRule="exact"/>
        <w:rPr>
          <w:rFonts w:ascii="Arial" w:cs="Arial" w:eastAsia="Arial" w:hAnsi="Arial"/>
          <w:sz w:val="22"/>
          <w:szCs w:val="22"/>
          <w:color w:val="auto"/>
        </w:rPr>
      </w:pPr>
    </w:p>
    <w:p>
      <w:pPr>
        <w:jc w:val="both"/>
        <w:ind w:left="660" w:right="680" w:hanging="328"/>
        <w:spacing w:after="0" w:line="257" w:lineRule="auto"/>
        <w:tabs>
          <w:tab w:leader="none" w:pos="655"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increase in GAAP and non-GAAP SG&amp;A expenses in the first quarter of 2022, compared to the first quarter of 2021, was primarily due to higher headcount and headcount-related costs and an increase in commercialization-related expenses for EYLEA.</w:t>
      </w:r>
    </w:p>
    <w:p>
      <w:pPr>
        <w:spacing w:after="0" w:line="24" w:lineRule="exact"/>
        <w:rPr>
          <w:rFonts w:ascii="Arial" w:cs="Arial" w:eastAsia="Arial" w:hAnsi="Arial"/>
          <w:sz w:val="22"/>
          <w:szCs w:val="22"/>
          <w:color w:val="auto"/>
        </w:rPr>
      </w:pPr>
    </w:p>
    <w:p>
      <w:pPr>
        <w:ind w:left="660" w:right="240" w:hanging="328"/>
        <w:spacing w:after="0" w:line="257" w:lineRule="auto"/>
        <w:tabs>
          <w:tab w:leader="none" w:pos="655" w:val="left"/>
        </w:tabs>
        <w:numPr>
          <w:ilvl w:val="1"/>
          <w:numId w:val="14"/>
        </w:numPr>
        <w:rPr>
          <w:rFonts w:ascii="Arial" w:cs="Arial" w:eastAsia="Arial" w:hAnsi="Arial"/>
          <w:sz w:val="22"/>
          <w:szCs w:val="22"/>
          <w:color w:val="auto"/>
        </w:rPr>
      </w:pPr>
      <w:r>
        <w:rPr>
          <w:rFonts w:ascii="Arial" w:cs="Arial" w:eastAsia="Arial" w:hAnsi="Arial"/>
          <w:sz w:val="22"/>
          <w:szCs w:val="22"/>
          <w:color w:val="auto"/>
        </w:rPr>
        <w:t>GAAP COGS in the first quarter of 2022 included $58 million of costs related to REGEN-COV, including inventory write-offs and reserves, as a result of the FDA revision of the EUA for REGEN-COV (as described above). GAAP and non-GAAP COGS in the first quarter of 2022 included lower REGEN-COV manufacturing costs since there were no net product sales in the United States.</w:t>
      </w:r>
    </w:p>
    <w:p>
      <w:pPr>
        <w:spacing w:after="0" w:line="36" w:lineRule="exact"/>
        <w:rPr>
          <w:rFonts w:ascii="Arial" w:cs="Arial" w:eastAsia="Arial" w:hAnsi="Arial"/>
          <w:sz w:val="22"/>
          <w:szCs w:val="22"/>
          <w:color w:val="auto"/>
        </w:rPr>
      </w:pPr>
    </w:p>
    <w:p>
      <w:pPr>
        <w:ind w:left="660" w:right="280" w:hanging="328"/>
        <w:spacing w:after="0" w:line="257" w:lineRule="auto"/>
        <w:tabs>
          <w:tab w:leader="none" w:pos="655" w:val="left"/>
        </w:tabs>
        <w:numPr>
          <w:ilvl w:val="1"/>
          <w:numId w:val="14"/>
        </w:numPr>
        <w:rPr>
          <w:rFonts w:ascii="Arial" w:cs="Arial" w:eastAsia="Arial" w:hAnsi="Arial"/>
          <w:sz w:val="22"/>
          <w:szCs w:val="22"/>
          <w:color w:val="auto"/>
        </w:rPr>
      </w:pPr>
      <w:r>
        <w:rPr>
          <w:rFonts w:ascii="Arial" w:cs="Arial" w:eastAsia="Arial" w:hAnsi="Arial"/>
          <w:sz w:val="22"/>
          <w:szCs w:val="22"/>
          <w:color w:val="auto"/>
        </w:rPr>
        <w:t>COCM increased in the first quarter of 2022, compared to the first quarter of 2021, primarily due to the recognition of manufacturing costs associated with higher sales of Dupixent and an increase in shipments of commercial supplies of Praluent for Sanofi outside the United States.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52" w:lineRule="exact"/>
        <w:rPr>
          <w:sz w:val="20"/>
          <w:szCs w:val="20"/>
          <w:color w:val="auto"/>
        </w:rPr>
      </w:pPr>
    </w:p>
    <w:p>
      <w:pPr>
        <w:ind w:right="60"/>
        <w:spacing w:after="0" w:line="272" w:lineRule="auto"/>
        <w:rPr>
          <w:sz w:val="20"/>
          <w:szCs w:val="20"/>
          <w:color w:val="auto"/>
        </w:rPr>
      </w:pPr>
      <w:r>
        <w:rPr>
          <w:rFonts w:ascii="Arial" w:cs="Arial" w:eastAsia="Arial" w:hAnsi="Arial"/>
          <w:sz w:val="22"/>
          <w:szCs w:val="22"/>
          <w:color w:val="auto"/>
        </w:rPr>
        <w:t>GAAP other income (expense) included the recognition of net unrealized losses on equity securities of $211 million in the first quarter of 2022, compared to $144 million of net unrealized gains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45" w:right="339" w:bottom="1440" w:gutter="0" w:footer="0" w:header="0"/>
        </w:sectPr>
      </w:pPr>
    </w:p>
    <w:bookmarkStart w:id="8" w:name="page9"/>
    <w:bookmarkEnd w:id="8"/>
    <w:p>
      <w:pPr>
        <w:jc w:val="both"/>
        <w:spacing w:after="0" w:line="275" w:lineRule="auto"/>
        <w:rPr>
          <w:sz w:val="20"/>
          <w:szCs w:val="20"/>
          <w:color w:val="auto"/>
        </w:rPr>
      </w:pPr>
      <w:r>
        <w:rPr>
          <w:rFonts w:ascii="Arial" w:cs="Arial" w:eastAsia="Arial" w:hAnsi="Arial"/>
          <w:sz w:val="21"/>
          <w:szCs w:val="21"/>
          <w:color w:val="auto"/>
        </w:rPr>
        <w:t>In the first quarter of 2022, the Company's GAAP effective tax rate was 8.3%, compared to 11.0% in the first quarter of 2021. The decrease in the GAAP effective tax rate was due in part to the impact of stock-based compensation. In the first quarter of 2022, the non-GAAP effective tax rate was 11.6%, compared to 10.5% in the first quarter of 2021.</w:t>
      </w:r>
    </w:p>
    <w:p>
      <w:pPr>
        <w:spacing w:after="0" w:line="88"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GAAP net income per diluted share was $8.61 in the first quarter of 2022, compared to $10.09 in the first quarter of 2021. Non-GAAP net income per diluted share was $11.49 in the first quarter of 2022, compared to $9.89 in the first quarter of 2021. A reconciliation of the Company's GAAP to non-GAAP results is included in Table 3 of this press release.</w:t>
      </w:r>
    </w:p>
    <w:p>
      <w:pPr>
        <w:spacing w:after="0" w:line="108" w:lineRule="exact"/>
        <w:rPr>
          <w:sz w:val="20"/>
          <w:szCs w:val="20"/>
          <w:color w:val="auto"/>
        </w:rPr>
      </w:pPr>
    </w:p>
    <w:p>
      <w:pPr>
        <w:ind w:right="260"/>
        <w:spacing w:after="0" w:line="264" w:lineRule="auto"/>
        <w:rPr>
          <w:sz w:val="20"/>
          <w:szCs w:val="20"/>
          <w:color w:val="auto"/>
        </w:rPr>
      </w:pPr>
      <w:r>
        <w:rPr>
          <w:rFonts w:ascii="Arial" w:cs="Arial" w:eastAsia="Arial" w:hAnsi="Arial"/>
          <w:sz w:val="22"/>
          <w:szCs w:val="22"/>
          <w:color w:val="auto"/>
        </w:rPr>
        <w:t>During the first quarter of 2022, the Company repurchased shares of common stock under its share repurchase program, and recorded the cost of the shares received, or $352 million, as Treasury Stock. As of March 31, 2022, $2.493 billion remained available for share repurchases under the program.</w:t>
      </w:r>
    </w:p>
    <w:p>
      <w:pPr>
        <w:spacing w:after="0" w:line="9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Net cash provided by operating activities in the first quarter of 2022 was $2.102 billion, compared to $669 million in the first quarter of 2021, resulting in $1.960 billion in free cash flow for the first quarter of 2022, compared to $553 million for the first quarter of 2021. The increase in free cash flow in the first quarter of 2022 was primarily due to the Company's collection of amounts due from the U.S. government in connection with REGEN-COV sales in the fourth quarter of 2021.</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2022 Financial Guidance</w:t>
      </w:r>
      <w:r>
        <w:rPr>
          <w:rFonts w:ascii="Arial" w:cs="Arial" w:eastAsia="Arial" w:hAnsi="Arial"/>
          <w:sz w:val="12"/>
          <w:szCs w:val="12"/>
          <w:b w:val="1"/>
          <w:bCs w:val="1"/>
          <w:i w:val="1"/>
          <w:iCs w:val="1"/>
          <w:color w:val="auto"/>
        </w:rPr>
        <w:t>(d)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2022 financial guidance consists of the following components: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3680" w:type="dxa"/>
            <w:vAlign w:val="bottom"/>
          </w:tcPr>
          <w:p>
            <w:pPr>
              <w:spacing w:after="0"/>
              <w:rPr>
                <w:sz w:val="24"/>
                <w:szCs w:val="24"/>
                <w:color w:val="auto"/>
              </w:rPr>
            </w:pPr>
          </w:p>
        </w:tc>
        <w:tc>
          <w:tcPr>
            <w:tcW w:w="2740" w:type="dxa"/>
            <w:vAlign w:val="bottom"/>
            <w:gridSpan w:val="2"/>
          </w:tcPr>
          <w:p>
            <w:pPr>
              <w:ind w:left="1020"/>
              <w:spacing w:after="0"/>
              <w:rPr>
                <w:sz w:val="20"/>
                <w:szCs w:val="20"/>
                <w:color w:val="auto"/>
              </w:rPr>
            </w:pPr>
            <w:r>
              <w:rPr>
                <w:rFonts w:ascii="Arial" w:cs="Arial" w:eastAsia="Arial" w:hAnsi="Arial"/>
                <w:sz w:val="20"/>
                <w:szCs w:val="20"/>
                <w:b w:val="1"/>
                <w:bCs w:val="1"/>
                <w:color w:val="auto"/>
              </w:rPr>
              <w:t>GAAP</w:t>
            </w:r>
          </w:p>
        </w:tc>
        <w:tc>
          <w:tcPr>
            <w:tcW w:w="2620" w:type="dxa"/>
            <w:vAlign w:val="bottom"/>
          </w:tcPr>
          <w:p>
            <w:pPr>
              <w:ind w:left="720"/>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r>
      <w:tr>
        <w:trPr>
          <w:trHeight w:val="182"/>
        </w:trPr>
        <w:tc>
          <w:tcPr>
            <w:tcW w:w="368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20"/>
                <w:szCs w:val="20"/>
                <w:color w:val="auto"/>
              </w:rPr>
              <w:t>R&amp;D</w:t>
            </w:r>
          </w:p>
        </w:tc>
        <w:tc>
          <w:tcPr>
            <w:tcW w:w="260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20"/>
                <w:szCs w:val="20"/>
                <w:color w:val="auto"/>
              </w:rPr>
              <w:t>$3.270 billion–$3.500 billion</w:t>
            </w:r>
          </w:p>
        </w:tc>
        <w:tc>
          <w:tcPr>
            <w:tcW w:w="140" w:type="dxa"/>
            <w:vAlign w:val="bottom"/>
            <w:tcBorders>
              <w:top w:val="single" w:sz="8" w:color="CCEEFF"/>
            </w:tcBorders>
            <w:shd w:val="clear" w:color="auto" w:fill="CCEEFF"/>
          </w:tcPr>
          <w:p>
            <w:pPr>
              <w:spacing w:after="0"/>
              <w:rPr>
                <w:sz w:val="15"/>
                <w:szCs w:val="15"/>
                <w:color w:val="auto"/>
              </w:rPr>
            </w:pPr>
          </w:p>
        </w:tc>
        <w:tc>
          <w:tcPr>
            <w:tcW w:w="262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20"/>
                <w:szCs w:val="20"/>
                <w:color w:val="auto"/>
              </w:rPr>
              <w:t>$2.900 billion–$3.100 billion</w:t>
            </w:r>
          </w:p>
        </w:tc>
      </w:tr>
      <w:tr>
        <w:trPr>
          <w:trHeight w:val="194"/>
        </w:trPr>
        <w:tc>
          <w:tcPr>
            <w:tcW w:w="3680" w:type="dxa"/>
            <w:vAlign w:val="bottom"/>
            <w:shd w:val="clear" w:color="auto" w:fill="CCEEFF"/>
          </w:tcPr>
          <w:p>
            <w:pPr>
              <w:spacing w:after="0"/>
              <w:rPr>
                <w:sz w:val="16"/>
                <w:szCs w:val="16"/>
                <w:color w:val="auto"/>
              </w:rPr>
            </w:pPr>
          </w:p>
        </w:tc>
        <w:tc>
          <w:tcPr>
            <w:tcW w:w="27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20"/>
                <w:szCs w:val="20"/>
                <w:i w:val="1"/>
                <w:iCs w:val="1"/>
                <w:color w:val="auto"/>
              </w:rPr>
              <w:t>(previously $3.170 billion–</w:t>
            </w:r>
          </w:p>
        </w:tc>
        <w:tc>
          <w:tcPr>
            <w:tcW w:w="262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i w:val="1"/>
                <w:iCs w:val="1"/>
                <w:color w:val="auto"/>
              </w:rPr>
              <w:t>(previously $2.800 billion–</w:t>
            </w:r>
          </w:p>
        </w:tc>
      </w:tr>
      <w:tr>
        <w:trPr>
          <w:trHeight w:val="272"/>
        </w:trPr>
        <w:tc>
          <w:tcPr>
            <w:tcW w:w="368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$3.400 billion)</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$3.000 billion)</w:t>
            </w:r>
          </w:p>
        </w:tc>
      </w:tr>
      <w:tr>
        <w:trPr>
          <w:trHeight w:val="266"/>
        </w:trPr>
        <w:tc>
          <w:tcPr>
            <w:tcW w:w="3680" w:type="dxa"/>
            <w:vAlign w:val="bottom"/>
          </w:tcPr>
          <w:p>
            <w:pPr>
              <w:ind w:left="20"/>
              <w:spacing w:after="0"/>
              <w:rPr>
                <w:sz w:val="20"/>
                <w:szCs w:val="20"/>
                <w:color w:val="auto"/>
              </w:rPr>
            </w:pPr>
            <w:r>
              <w:rPr>
                <w:rFonts w:ascii="Arial" w:cs="Arial" w:eastAsia="Arial" w:hAnsi="Arial"/>
                <w:sz w:val="20"/>
                <w:szCs w:val="20"/>
                <w:color w:val="auto"/>
              </w:rPr>
              <w:t>SG&amp;A</w:t>
            </w:r>
          </w:p>
        </w:tc>
        <w:tc>
          <w:tcPr>
            <w:tcW w:w="2740" w:type="dxa"/>
            <w:vAlign w:val="bottom"/>
            <w:gridSpan w:val="2"/>
          </w:tcPr>
          <w:p>
            <w:pPr>
              <w:ind w:left="20"/>
              <w:spacing w:after="0"/>
              <w:rPr>
                <w:sz w:val="20"/>
                <w:szCs w:val="20"/>
                <w:color w:val="auto"/>
              </w:rPr>
            </w:pPr>
            <w:r>
              <w:rPr>
                <w:rFonts w:ascii="Arial" w:cs="Arial" w:eastAsia="Arial" w:hAnsi="Arial"/>
                <w:sz w:val="20"/>
                <w:szCs w:val="20"/>
                <w:color w:val="auto"/>
              </w:rPr>
              <w:t>$1.890 billion–$2.030 billion</w:t>
            </w:r>
          </w:p>
        </w:tc>
        <w:tc>
          <w:tcPr>
            <w:tcW w:w="2620" w:type="dxa"/>
            <w:vAlign w:val="bottom"/>
          </w:tcPr>
          <w:p>
            <w:pPr>
              <w:ind w:left="20"/>
              <w:spacing w:after="0"/>
              <w:rPr>
                <w:sz w:val="20"/>
                <w:szCs w:val="20"/>
                <w:color w:val="auto"/>
              </w:rPr>
            </w:pPr>
            <w:r>
              <w:rPr>
                <w:rFonts w:ascii="Arial" w:cs="Arial" w:eastAsia="Arial" w:hAnsi="Arial"/>
                <w:sz w:val="20"/>
                <w:szCs w:val="20"/>
                <w:color w:val="auto"/>
              </w:rPr>
              <w:t>$1.650 billion–$1.770 billion</w:t>
            </w:r>
          </w:p>
        </w:tc>
      </w:tr>
      <w:tr>
        <w:trPr>
          <w:trHeight w:val="274"/>
        </w:trPr>
        <w:tc>
          <w:tcPr>
            <w:tcW w:w="3680" w:type="dxa"/>
            <w:vAlign w:val="bottom"/>
            <w:shd w:val="clear" w:color="auto" w:fill="CCEEFF"/>
          </w:tcPr>
          <w:p>
            <w:pPr>
              <w:ind w:left="20"/>
              <w:spacing w:after="0" w:line="275" w:lineRule="exact"/>
              <w:rPr>
                <w:sz w:val="20"/>
                <w:szCs w:val="20"/>
                <w:color w:val="auto"/>
              </w:rPr>
            </w:pPr>
            <w:r>
              <w:rPr>
                <w:rFonts w:ascii="Arial" w:cs="Arial" w:eastAsia="Arial" w:hAnsi="Arial"/>
                <w:sz w:val="20"/>
                <w:szCs w:val="20"/>
                <w:color w:val="auto"/>
              </w:rPr>
              <w:t>Gross margin on net product sales</w:t>
            </w:r>
            <w:r>
              <w:rPr>
                <w:rFonts w:ascii="Arial" w:cs="Arial" w:eastAsia="Arial" w:hAnsi="Arial"/>
                <w:sz w:val="25"/>
                <w:szCs w:val="25"/>
                <w:color w:val="auto"/>
                <w:vertAlign w:val="superscript"/>
              </w:rPr>
              <w:t>(e)</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89%–91%</w:t>
            </w:r>
          </w:p>
        </w:tc>
        <w:tc>
          <w:tcPr>
            <w:tcW w:w="2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90%–92%</w:t>
            </w:r>
          </w:p>
        </w:tc>
      </w:tr>
      <w:tr>
        <w:trPr>
          <w:trHeight w:val="270"/>
        </w:trPr>
        <w:tc>
          <w:tcPr>
            <w:tcW w:w="3680" w:type="dxa"/>
            <w:vAlign w:val="bottom"/>
          </w:tcPr>
          <w:p>
            <w:pPr>
              <w:ind w:left="2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(f)</w:t>
            </w:r>
          </w:p>
        </w:tc>
        <w:tc>
          <w:tcPr>
            <w:tcW w:w="2740" w:type="dxa"/>
            <w:vAlign w:val="bottom"/>
            <w:gridSpan w:val="2"/>
          </w:tcPr>
          <w:p>
            <w:pPr>
              <w:ind w:left="20"/>
              <w:spacing w:after="0"/>
              <w:rPr>
                <w:sz w:val="20"/>
                <w:szCs w:val="20"/>
                <w:color w:val="auto"/>
              </w:rPr>
            </w:pPr>
            <w:r>
              <w:rPr>
                <w:rFonts w:ascii="Arial" w:cs="Arial" w:eastAsia="Arial" w:hAnsi="Arial"/>
                <w:sz w:val="20"/>
                <w:szCs w:val="20"/>
                <w:color w:val="auto"/>
              </w:rPr>
              <w:t>$750 million–$830 million</w:t>
            </w:r>
          </w:p>
        </w:tc>
        <w:tc>
          <w:tcPr>
            <w:tcW w:w="2620" w:type="dxa"/>
            <w:vAlign w:val="bottom"/>
          </w:tcPr>
          <w:p>
            <w:pPr>
              <w:ind w:left="20"/>
              <w:spacing w:after="0"/>
              <w:rPr>
                <w:sz w:val="20"/>
                <w:szCs w:val="20"/>
                <w:color w:val="auto"/>
              </w:rPr>
            </w:pPr>
            <w:r>
              <w:rPr>
                <w:rFonts w:ascii="Arial" w:cs="Arial" w:eastAsia="Arial" w:hAnsi="Arial"/>
                <w:sz w:val="20"/>
                <w:szCs w:val="20"/>
                <w:color w:val="auto"/>
              </w:rPr>
              <w:t>*</w:t>
            </w:r>
          </w:p>
        </w:tc>
      </w:tr>
      <w:tr>
        <w:trPr>
          <w:trHeight w:val="270"/>
        </w:trPr>
        <w:tc>
          <w:tcPr>
            <w:tcW w:w="36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($60) million–($80) million</w:t>
            </w:r>
          </w:p>
        </w:tc>
        <w:tc>
          <w:tcPr>
            <w:tcW w:w="2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r>
      <w:tr>
        <w:trPr>
          <w:trHeight w:val="189"/>
        </w:trPr>
        <w:tc>
          <w:tcPr>
            <w:tcW w:w="3680" w:type="dxa"/>
            <w:vAlign w:val="bottom"/>
          </w:tcPr>
          <w:p>
            <w:pPr>
              <w:ind w:left="20"/>
              <w:spacing w:after="0" w:line="189" w:lineRule="exact"/>
              <w:rPr>
                <w:sz w:val="20"/>
                <w:szCs w:val="20"/>
                <w:color w:val="auto"/>
              </w:rPr>
            </w:pPr>
            <w:r>
              <w:rPr>
                <w:rFonts w:ascii="Arial" w:cs="Arial" w:eastAsia="Arial" w:hAnsi="Arial"/>
                <w:sz w:val="20"/>
                <w:szCs w:val="20"/>
                <w:color w:val="auto"/>
              </w:rPr>
              <w:t>Capital expenditures</w:t>
            </w:r>
          </w:p>
        </w:tc>
        <w:tc>
          <w:tcPr>
            <w:tcW w:w="274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$630 million–$700 million</w:t>
            </w:r>
          </w:p>
        </w:tc>
        <w:tc>
          <w:tcPr>
            <w:tcW w:w="2620" w:type="dxa"/>
            <w:vAlign w:val="bottom"/>
          </w:tcPr>
          <w:p>
            <w:pPr>
              <w:ind w:left="20"/>
              <w:spacing w:after="0" w:line="189" w:lineRule="exact"/>
              <w:rPr>
                <w:sz w:val="20"/>
                <w:szCs w:val="20"/>
                <w:color w:val="auto"/>
              </w:rPr>
            </w:pPr>
            <w:r>
              <w:rPr>
                <w:rFonts w:ascii="Arial" w:cs="Arial" w:eastAsia="Arial" w:hAnsi="Arial"/>
                <w:sz w:val="20"/>
                <w:szCs w:val="20"/>
                <w:color w:val="auto"/>
              </w:rPr>
              <w:t>*</w:t>
            </w:r>
          </w:p>
        </w:tc>
      </w:tr>
      <w:tr>
        <w:trPr>
          <w:trHeight w:val="194"/>
        </w:trPr>
        <w:tc>
          <w:tcPr>
            <w:tcW w:w="3680" w:type="dxa"/>
            <w:vAlign w:val="bottom"/>
          </w:tcPr>
          <w:p>
            <w:pPr>
              <w:spacing w:after="0"/>
              <w:rPr>
                <w:sz w:val="16"/>
                <w:szCs w:val="16"/>
                <w:color w:val="auto"/>
              </w:rPr>
            </w:pPr>
          </w:p>
        </w:tc>
        <w:tc>
          <w:tcPr>
            <w:tcW w:w="2740" w:type="dxa"/>
            <w:vAlign w:val="bottom"/>
            <w:gridSpan w:val="2"/>
          </w:tcPr>
          <w:p>
            <w:pPr>
              <w:ind w:left="20"/>
              <w:spacing w:after="0" w:line="194" w:lineRule="exact"/>
              <w:rPr>
                <w:sz w:val="20"/>
                <w:szCs w:val="20"/>
                <w:color w:val="auto"/>
              </w:rPr>
            </w:pPr>
            <w:r>
              <w:rPr>
                <w:rFonts w:ascii="Arial" w:cs="Arial" w:eastAsia="Arial" w:hAnsi="Arial"/>
                <w:sz w:val="20"/>
                <w:szCs w:val="20"/>
                <w:i w:val="1"/>
                <w:iCs w:val="1"/>
                <w:color w:val="auto"/>
              </w:rPr>
              <w:t>(previously $650 million–</w:t>
            </w:r>
          </w:p>
        </w:tc>
        <w:tc>
          <w:tcPr>
            <w:tcW w:w="2620" w:type="dxa"/>
            <w:vAlign w:val="bottom"/>
          </w:tcPr>
          <w:p>
            <w:pPr>
              <w:spacing w:after="0"/>
              <w:rPr>
                <w:sz w:val="16"/>
                <w:szCs w:val="16"/>
                <w:color w:val="auto"/>
              </w:rPr>
            </w:pPr>
          </w:p>
        </w:tc>
      </w:tr>
      <w:tr>
        <w:trPr>
          <w:trHeight w:val="261"/>
        </w:trPr>
        <w:tc>
          <w:tcPr>
            <w:tcW w:w="3680" w:type="dxa"/>
            <w:vAlign w:val="bottom"/>
          </w:tcPr>
          <w:p>
            <w:pPr>
              <w:spacing w:after="0"/>
              <w:rPr>
                <w:sz w:val="22"/>
                <w:szCs w:val="22"/>
                <w:color w:val="auto"/>
              </w:rPr>
            </w:pPr>
          </w:p>
        </w:tc>
        <w:tc>
          <w:tcPr>
            <w:tcW w:w="2740" w:type="dxa"/>
            <w:vAlign w:val="bottom"/>
            <w:gridSpan w:val="2"/>
          </w:tcPr>
          <w:p>
            <w:pPr>
              <w:ind w:left="20"/>
              <w:spacing w:after="0"/>
              <w:rPr>
                <w:sz w:val="20"/>
                <w:szCs w:val="20"/>
                <w:color w:val="auto"/>
              </w:rPr>
            </w:pPr>
            <w:r>
              <w:rPr>
                <w:rFonts w:ascii="Arial" w:cs="Arial" w:eastAsia="Arial" w:hAnsi="Arial"/>
                <w:sz w:val="20"/>
                <w:szCs w:val="20"/>
                <w:i w:val="1"/>
                <w:iCs w:val="1"/>
                <w:color w:val="auto"/>
              </w:rPr>
              <w:t>$730 million)</w:t>
            </w:r>
          </w:p>
        </w:tc>
        <w:tc>
          <w:tcPr>
            <w:tcW w:w="2620" w:type="dxa"/>
            <w:vAlign w:val="bottom"/>
          </w:tcPr>
          <w:p>
            <w:pPr>
              <w:spacing w:after="0"/>
              <w:rPr>
                <w:sz w:val="22"/>
                <w:szCs w:val="22"/>
                <w:color w:val="auto"/>
              </w:rPr>
            </w:pPr>
          </w:p>
        </w:tc>
      </w:tr>
      <w:tr>
        <w:trPr>
          <w:trHeight w:val="44"/>
        </w:trPr>
        <w:tc>
          <w:tcPr>
            <w:tcW w:w="3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189"/>
        </w:trPr>
        <w:tc>
          <w:tcPr>
            <w:tcW w:w="36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Effective tax rate (ETR)</w:t>
            </w:r>
          </w:p>
        </w:tc>
        <w:tc>
          <w:tcPr>
            <w:tcW w:w="27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11%–13%**</w:t>
            </w:r>
          </w:p>
        </w:tc>
        <w:tc>
          <w:tcPr>
            <w:tcW w:w="26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12%–14%**</w:t>
            </w:r>
          </w:p>
        </w:tc>
      </w:tr>
      <w:tr>
        <w:trPr>
          <w:trHeight w:val="261"/>
        </w:trPr>
        <w:tc>
          <w:tcPr>
            <w:tcW w:w="3680" w:type="dxa"/>
            <w:vAlign w:val="bottom"/>
            <w:shd w:val="clear" w:color="auto" w:fill="CCEEFF"/>
          </w:tcPr>
          <w:p>
            <w:pPr>
              <w:spacing w:after="0"/>
              <w:rPr>
                <w:sz w:val="22"/>
                <w:szCs w:val="22"/>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12%–14%)</w:t>
            </w:r>
          </w:p>
        </w:tc>
        <w:tc>
          <w:tcPr>
            <w:tcW w:w="262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13%–15%)</w:t>
            </w:r>
          </w:p>
        </w:tc>
      </w:tr>
      <w:tr>
        <w:trPr>
          <w:trHeight w:val="36"/>
        </w:trPr>
        <w:tc>
          <w:tcPr>
            <w:tcW w:w="368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bl>
    <w:p>
      <w:pPr>
        <w:spacing w:after="0" w:line="107" w:lineRule="exact"/>
        <w:rPr>
          <w:sz w:val="20"/>
          <w:szCs w:val="20"/>
          <w:color w:val="auto"/>
        </w:rPr>
      </w:pPr>
    </w:p>
    <w:p>
      <w:pPr>
        <w:ind w:left="300" w:hanging="11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63" w:lineRule="exact"/>
        <w:rPr>
          <w:sz w:val="20"/>
          <w:szCs w:val="20"/>
          <w:color w:val="auto"/>
        </w:rPr>
      </w:pPr>
    </w:p>
    <w:p>
      <w:pPr>
        <w:ind w:left="180" w:right="2140" w:firstLine="8"/>
        <w:spacing w:after="0" w:line="221" w:lineRule="auto"/>
        <w:tabs>
          <w:tab w:leader="none" w:pos="365" w:val="left"/>
        </w:tabs>
        <w:numPr>
          <w:ilvl w:val="0"/>
          <w:numId w:val="16"/>
        </w:numPr>
        <w:rPr>
          <w:rFonts w:ascii="Arial" w:cs="Arial" w:eastAsia="Arial" w:hAnsi="Arial"/>
          <w:sz w:val="18"/>
          <w:szCs w:val="18"/>
          <w:color w:val="auto"/>
        </w:rPr>
      </w:pPr>
      <w:r>
        <w:rPr>
          <w:rFonts w:ascii="Arial" w:cs="Arial" w:eastAsia="Arial" w:hAnsi="Arial"/>
          <w:sz w:val="16"/>
          <w:szCs w:val="16"/>
          <w:color w:val="auto"/>
        </w:rPr>
        <w:t>ETR guidance excludes the impact of the provision requiring capitalization and amortization of R&amp;D expenses enacted as part of the Tax Cuts and Job Act (TCJA), as management's current expectation is it will be deferred or repealed by Congress in 2022. If this provision of the TCJA is not deferred or repealed, the Company would expect its ETR to be lower than the guidance disclosed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1045" w:right="49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A reconciliation of full year 2022 GAAP to non-GAAP financial guidance is included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58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b w:val="1"/>
                <w:bCs w:val="1"/>
                <w:color w:val="auto"/>
              </w:rPr>
              <w:t>Projected Range</w:t>
            </w:r>
          </w:p>
        </w:tc>
        <w:tc>
          <w:tcPr>
            <w:tcW w:w="1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2040" w:type="dxa"/>
            <w:vAlign w:val="bottom"/>
            <w:gridSpan w:val="2"/>
          </w:tcPr>
          <w:p>
            <w:pPr>
              <w:ind w:left="480"/>
              <w:spacing w:after="0"/>
              <w:rPr>
                <w:sz w:val="20"/>
                <w:szCs w:val="20"/>
                <w:color w:val="auto"/>
              </w:rPr>
            </w:pPr>
            <w:r>
              <w:rPr>
                <w:rFonts w:ascii="Arial" w:cs="Arial" w:eastAsia="Arial" w:hAnsi="Arial"/>
                <w:sz w:val="20"/>
                <w:szCs w:val="20"/>
                <w:b w:val="1"/>
                <w:bCs w:val="1"/>
                <w:color w:val="auto"/>
              </w:rPr>
              <w:t>Low</w:t>
            </w:r>
          </w:p>
        </w:tc>
        <w:tc>
          <w:tcPr>
            <w:tcW w:w="880" w:type="dxa"/>
            <w:vAlign w:val="bottom"/>
          </w:tcPr>
          <w:p>
            <w:pPr>
              <w:spacing w:after="0"/>
              <w:rPr>
                <w:sz w:val="21"/>
                <w:szCs w:val="21"/>
                <w:color w:val="auto"/>
              </w:rPr>
            </w:pPr>
          </w:p>
        </w:tc>
        <w:tc>
          <w:tcPr>
            <w:tcW w:w="1640" w:type="dxa"/>
            <w:vAlign w:val="bottom"/>
          </w:tcPr>
          <w:p>
            <w:pPr>
              <w:ind w:left="160"/>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58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20"/>
                <w:szCs w:val="20"/>
                <w:color w:val="auto"/>
                <w:w w:val="89"/>
              </w:rPr>
              <w:t>$</w:t>
            </w:r>
          </w:p>
        </w:tc>
        <w:tc>
          <w:tcPr>
            <w:tcW w:w="1940" w:type="dxa"/>
            <w:vAlign w:val="bottom"/>
            <w:tcBorders>
              <w:top w:val="single" w:sz="8" w:color="auto"/>
            </w:tcBorders>
            <w:shd w:val="clear" w:color="auto" w:fill="CCEEFF"/>
          </w:tcPr>
          <w:p>
            <w:pPr>
              <w:jc w:val="center"/>
              <w:ind w:left="1181"/>
              <w:spacing w:after="0"/>
              <w:rPr>
                <w:sz w:val="20"/>
                <w:szCs w:val="20"/>
                <w:color w:val="auto"/>
              </w:rPr>
            </w:pPr>
            <w:r>
              <w:rPr>
                <w:rFonts w:ascii="Arial" w:cs="Arial" w:eastAsia="Arial" w:hAnsi="Arial"/>
                <w:sz w:val="20"/>
                <w:szCs w:val="20"/>
                <w:color w:val="auto"/>
                <w:w w:val="99"/>
              </w:rPr>
              <w:t>3,270</w:t>
            </w:r>
          </w:p>
        </w:tc>
        <w:tc>
          <w:tcPr>
            <w:tcW w:w="10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641"/>
              <w:spacing w:after="0"/>
              <w:rPr>
                <w:sz w:val="20"/>
                <w:szCs w:val="20"/>
                <w:color w:val="auto"/>
              </w:rPr>
            </w:pPr>
            <w:r>
              <w:rPr>
                <w:rFonts w:ascii="Arial" w:cs="Arial" w:eastAsia="Arial" w:hAnsi="Arial"/>
                <w:sz w:val="20"/>
                <w:szCs w:val="20"/>
                <w:color w:val="auto"/>
              </w:rPr>
              <w:t>$</w:t>
            </w:r>
          </w:p>
        </w:tc>
        <w:tc>
          <w:tcPr>
            <w:tcW w:w="1640" w:type="dxa"/>
            <w:vAlign w:val="bottom"/>
            <w:tcBorders>
              <w:top w:val="single" w:sz="8" w:color="auto"/>
            </w:tcBorders>
            <w:shd w:val="clear" w:color="auto" w:fill="CCEEFF"/>
          </w:tcPr>
          <w:p>
            <w:pPr>
              <w:jc w:val="center"/>
              <w:ind w:left="901"/>
              <w:spacing w:after="0"/>
              <w:rPr>
                <w:sz w:val="20"/>
                <w:szCs w:val="20"/>
                <w:color w:val="auto"/>
              </w:rPr>
            </w:pPr>
            <w:r>
              <w:rPr>
                <w:rFonts w:ascii="Arial" w:cs="Arial" w:eastAsia="Arial" w:hAnsi="Arial"/>
                <w:sz w:val="20"/>
                <w:szCs w:val="20"/>
                <w:color w:val="auto"/>
                <w:w w:val="95"/>
              </w:rPr>
              <w:t>3,500</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R&amp;D: Stock-based compensation expense</w:t>
            </w:r>
          </w:p>
        </w:tc>
        <w:tc>
          <w:tcPr>
            <w:tcW w:w="5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(370)</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1041"/>
              <w:spacing w:after="0"/>
              <w:rPr>
                <w:sz w:val="20"/>
                <w:szCs w:val="20"/>
                <w:color w:val="auto"/>
              </w:rPr>
            </w:pPr>
            <w:r>
              <w:rPr>
                <w:rFonts w:ascii="Arial" w:cs="Arial" w:eastAsia="Arial" w:hAnsi="Arial"/>
                <w:sz w:val="20"/>
                <w:szCs w:val="20"/>
                <w:color w:val="auto"/>
                <w:w w:val="98"/>
              </w:rPr>
              <w:t>(400)</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R&amp;D</w:t>
            </w:r>
          </w:p>
        </w:tc>
        <w:tc>
          <w:tcPr>
            <w:tcW w:w="58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20"/>
                <w:szCs w:val="20"/>
                <w:color w:val="auto"/>
                <w:w w:val="89"/>
              </w:rPr>
              <w:t>$</w:t>
            </w:r>
          </w:p>
        </w:tc>
        <w:tc>
          <w:tcPr>
            <w:tcW w:w="1940" w:type="dxa"/>
            <w:vAlign w:val="bottom"/>
            <w:tcBorders>
              <w:bottom w:val="single" w:sz="8" w:color="auto"/>
            </w:tcBorders>
            <w:shd w:val="clear" w:color="auto" w:fill="CCEEFF"/>
          </w:tcPr>
          <w:p>
            <w:pPr>
              <w:jc w:val="center"/>
              <w:ind w:left="1181"/>
              <w:spacing w:after="0"/>
              <w:rPr>
                <w:sz w:val="20"/>
                <w:szCs w:val="20"/>
                <w:color w:val="auto"/>
              </w:rPr>
            </w:pPr>
            <w:r>
              <w:rPr>
                <w:rFonts w:ascii="Arial" w:cs="Arial" w:eastAsia="Arial" w:hAnsi="Arial"/>
                <w:sz w:val="20"/>
                <w:szCs w:val="20"/>
                <w:color w:val="auto"/>
                <w:w w:val="99"/>
              </w:rPr>
              <w:t>2,900</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shd w:val="clear" w:color="auto" w:fill="CCEEFF"/>
          </w:tcPr>
          <w:p>
            <w:pPr>
              <w:jc w:val="center"/>
              <w:ind w:left="901"/>
              <w:spacing w:after="0"/>
              <w:rPr>
                <w:sz w:val="20"/>
                <w:szCs w:val="20"/>
                <w:color w:val="auto"/>
              </w:rPr>
            </w:pPr>
            <w:r>
              <w:rPr>
                <w:rFonts w:ascii="Arial" w:cs="Arial" w:eastAsia="Arial" w:hAnsi="Arial"/>
                <w:sz w:val="20"/>
                <w:szCs w:val="20"/>
                <w:color w:val="auto"/>
                <w:w w:val="95"/>
              </w:rPr>
              <w:t>3,100</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580" w:type="dxa"/>
            <w:vAlign w:val="bottom"/>
            <w:shd w:val="clear" w:color="auto" w:fill="CCEEFF"/>
          </w:tcPr>
          <w:p>
            <w:pPr>
              <w:jc w:val="right"/>
              <w:ind w:right="361"/>
              <w:spacing w:after="0"/>
              <w:rPr>
                <w:sz w:val="20"/>
                <w:szCs w:val="20"/>
                <w:color w:val="auto"/>
              </w:rPr>
            </w:pPr>
            <w:r>
              <w:rPr>
                <w:rFonts w:ascii="Arial" w:cs="Arial" w:eastAsia="Arial" w:hAnsi="Arial"/>
                <w:sz w:val="20"/>
                <w:szCs w:val="20"/>
                <w:color w:val="auto"/>
                <w:w w:val="89"/>
              </w:rPr>
              <w:t>$</w:t>
            </w:r>
          </w:p>
        </w:tc>
        <w:tc>
          <w:tcPr>
            <w:tcW w:w="1940" w:type="dxa"/>
            <w:vAlign w:val="bottom"/>
            <w:shd w:val="clear" w:color="auto" w:fill="CCEEFF"/>
          </w:tcPr>
          <w:p>
            <w:pPr>
              <w:jc w:val="center"/>
              <w:ind w:left="1181"/>
              <w:spacing w:after="0"/>
              <w:rPr>
                <w:sz w:val="20"/>
                <w:szCs w:val="20"/>
                <w:color w:val="auto"/>
              </w:rPr>
            </w:pPr>
            <w:r>
              <w:rPr>
                <w:rFonts w:ascii="Arial" w:cs="Arial" w:eastAsia="Arial" w:hAnsi="Arial"/>
                <w:sz w:val="20"/>
                <w:szCs w:val="20"/>
                <w:color w:val="auto"/>
                <w:w w:val="99"/>
              </w:rPr>
              <w:t>1,890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4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center"/>
              <w:ind w:left="901"/>
              <w:spacing w:after="0"/>
              <w:rPr>
                <w:sz w:val="20"/>
                <w:szCs w:val="20"/>
                <w:color w:val="auto"/>
              </w:rPr>
            </w:pPr>
            <w:r>
              <w:rPr>
                <w:rFonts w:ascii="Arial" w:cs="Arial" w:eastAsia="Arial" w:hAnsi="Arial"/>
                <w:sz w:val="20"/>
                <w:szCs w:val="20"/>
                <w:color w:val="auto"/>
                <w:w w:val="95"/>
              </w:rPr>
              <w:t>2,030</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SG&amp;A: Stock-based compensation expense</w:t>
            </w:r>
          </w:p>
        </w:tc>
        <w:tc>
          <w:tcPr>
            <w:tcW w:w="5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1041"/>
              <w:spacing w:after="0"/>
              <w:rPr>
                <w:sz w:val="20"/>
                <w:szCs w:val="20"/>
                <w:color w:val="auto"/>
              </w:rPr>
            </w:pPr>
            <w:r>
              <w:rPr>
                <w:rFonts w:ascii="Arial" w:cs="Arial" w:eastAsia="Arial" w:hAnsi="Arial"/>
                <w:sz w:val="20"/>
                <w:szCs w:val="20"/>
                <w:color w:val="auto"/>
                <w:w w:val="98"/>
              </w:rPr>
              <w:t>(260)</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58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20"/>
                <w:szCs w:val="20"/>
                <w:color w:val="auto"/>
                <w:w w:val="89"/>
              </w:rPr>
              <w:t>$</w:t>
            </w:r>
          </w:p>
        </w:tc>
        <w:tc>
          <w:tcPr>
            <w:tcW w:w="1940" w:type="dxa"/>
            <w:vAlign w:val="bottom"/>
            <w:tcBorders>
              <w:bottom w:val="single" w:sz="8" w:color="auto"/>
            </w:tcBorders>
            <w:shd w:val="clear" w:color="auto" w:fill="CCEEFF"/>
          </w:tcPr>
          <w:p>
            <w:pPr>
              <w:jc w:val="center"/>
              <w:ind w:left="1181"/>
              <w:spacing w:after="0"/>
              <w:rPr>
                <w:sz w:val="20"/>
                <w:szCs w:val="20"/>
                <w:color w:val="auto"/>
              </w:rPr>
            </w:pPr>
            <w:r>
              <w:rPr>
                <w:rFonts w:ascii="Arial" w:cs="Arial" w:eastAsia="Arial" w:hAnsi="Arial"/>
                <w:sz w:val="20"/>
                <w:szCs w:val="20"/>
                <w:color w:val="auto"/>
                <w:w w:val="99"/>
              </w:rPr>
              <w:t>1,650</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shd w:val="clear" w:color="auto" w:fill="CCEEFF"/>
          </w:tcPr>
          <w:p>
            <w:pPr>
              <w:jc w:val="center"/>
              <w:ind w:left="901"/>
              <w:spacing w:after="0"/>
              <w:rPr>
                <w:sz w:val="20"/>
                <w:szCs w:val="20"/>
                <w:color w:val="auto"/>
              </w:rPr>
            </w:pPr>
            <w:r>
              <w:rPr>
                <w:rFonts w:ascii="Arial" w:cs="Arial" w:eastAsia="Arial" w:hAnsi="Arial"/>
                <w:sz w:val="20"/>
                <w:szCs w:val="20"/>
                <w:color w:val="auto"/>
                <w:w w:val="95"/>
              </w:rPr>
              <w:t>1,770</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580" w:type="dxa"/>
            <w:vAlign w:val="bottom"/>
            <w:shd w:val="clear" w:color="auto" w:fill="CCEEFF"/>
          </w:tcPr>
          <w:p>
            <w:pPr>
              <w:spacing w:after="0"/>
              <w:rPr>
                <w:sz w:val="22"/>
                <w:szCs w:val="22"/>
                <w:color w:val="auto"/>
              </w:rPr>
            </w:pPr>
          </w:p>
        </w:tc>
        <w:tc>
          <w:tcPr>
            <w:tcW w:w="1940" w:type="dxa"/>
            <w:vAlign w:val="bottom"/>
            <w:shd w:val="clear" w:color="auto" w:fill="CCEEFF"/>
          </w:tcPr>
          <w:p>
            <w:pPr>
              <w:jc w:val="center"/>
              <w:ind w:left="1201"/>
              <w:spacing w:after="0"/>
              <w:rPr>
                <w:sz w:val="20"/>
                <w:szCs w:val="20"/>
                <w:color w:val="auto"/>
              </w:rPr>
            </w:pPr>
            <w:r>
              <w:rPr>
                <w:rFonts w:ascii="Arial" w:cs="Arial" w:eastAsia="Arial" w:hAnsi="Arial"/>
                <w:sz w:val="20"/>
                <w:szCs w:val="20"/>
                <w:color w:val="auto"/>
                <w:w w:val="99"/>
              </w:rPr>
              <w:t>89%</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center"/>
              <w:ind w:left="901"/>
              <w:spacing w:after="0"/>
              <w:rPr>
                <w:sz w:val="20"/>
                <w:szCs w:val="20"/>
                <w:color w:val="auto"/>
              </w:rPr>
            </w:pPr>
            <w:r>
              <w:rPr>
                <w:rFonts w:ascii="Arial" w:cs="Arial" w:eastAsia="Arial" w:hAnsi="Arial"/>
                <w:sz w:val="20"/>
                <w:szCs w:val="20"/>
                <w:color w:val="auto"/>
                <w:w w:val="99"/>
              </w:rPr>
              <w:t>91%</w:t>
            </w:r>
          </w:p>
        </w:tc>
        <w:tc>
          <w:tcPr>
            <w:tcW w:w="0" w:type="dxa"/>
            <w:vAlign w:val="bottom"/>
          </w:tcPr>
          <w:p>
            <w:pPr>
              <w:spacing w:after="0"/>
              <w:rPr>
                <w:sz w:val="1"/>
                <w:szCs w:val="1"/>
                <w:color w:val="auto"/>
              </w:rPr>
            </w:pPr>
          </w:p>
        </w:tc>
      </w:tr>
      <w:tr>
        <w:trPr>
          <w:trHeight w:val="257"/>
        </w:trPr>
        <w:tc>
          <w:tcPr>
            <w:tcW w:w="516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580" w:type="dxa"/>
            <w:vAlign w:val="bottom"/>
          </w:tcPr>
          <w:p>
            <w:pPr>
              <w:spacing w:after="0"/>
              <w:rPr>
                <w:sz w:val="22"/>
                <w:szCs w:val="22"/>
                <w:color w:val="auto"/>
              </w:rPr>
            </w:pPr>
          </w:p>
        </w:tc>
        <w:tc>
          <w:tcPr>
            <w:tcW w:w="1940" w:type="dxa"/>
            <w:vAlign w:val="bottom"/>
          </w:tcPr>
          <w:p>
            <w:pPr>
              <w:jc w:val="center"/>
              <w:ind w:left="1181"/>
              <w:spacing w:after="0"/>
              <w:rPr>
                <w:sz w:val="20"/>
                <w:szCs w:val="20"/>
                <w:color w:val="auto"/>
              </w:rPr>
            </w:pPr>
            <w:r>
              <w:rPr>
                <w:rFonts w:ascii="Arial" w:cs="Arial" w:eastAsia="Arial" w:hAnsi="Arial"/>
                <w:sz w:val="20"/>
                <w:szCs w:val="20"/>
                <w:color w:val="auto"/>
              </w:rPr>
              <w:t>&lt;1%</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center"/>
              <w:ind w:left="901"/>
              <w:spacing w:after="0"/>
              <w:rPr>
                <w:sz w:val="20"/>
                <w:szCs w:val="20"/>
                <w:color w:val="auto"/>
              </w:rPr>
            </w:pPr>
            <w:r>
              <w:rPr>
                <w:rFonts w:ascii="Arial" w:cs="Arial" w:eastAsia="Arial" w:hAnsi="Arial"/>
                <w:sz w:val="20"/>
                <w:szCs w:val="20"/>
                <w:color w:val="auto"/>
                <w:w w:val="98"/>
              </w:rPr>
              <w:t>&lt;1%</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Charges related to REGEN-COV</w:t>
            </w:r>
          </w:p>
        </w:tc>
        <w:tc>
          <w:tcPr>
            <w:tcW w:w="58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center"/>
              <w:ind w:left="1181"/>
              <w:spacing w:after="0"/>
              <w:rPr>
                <w:sz w:val="20"/>
                <w:szCs w:val="20"/>
                <w:color w:val="auto"/>
              </w:rPr>
            </w:pPr>
            <w:r>
              <w:rPr>
                <w:rFonts w:ascii="Arial" w:cs="Arial" w:eastAsia="Arial" w:hAnsi="Arial"/>
                <w:sz w:val="20"/>
                <w:szCs w:val="20"/>
                <w:color w:val="auto"/>
              </w:rPr>
              <w:t>&lt;1%</w:t>
            </w:r>
          </w:p>
        </w:tc>
        <w:tc>
          <w:tcPr>
            <w:tcW w:w="10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center"/>
              <w:ind w:left="901"/>
              <w:spacing w:after="0"/>
              <w:rPr>
                <w:sz w:val="20"/>
                <w:szCs w:val="20"/>
                <w:color w:val="auto"/>
              </w:rPr>
            </w:pPr>
            <w:r>
              <w:rPr>
                <w:rFonts w:ascii="Arial" w:cs="Arial" w:eastAsia="Arial" w:hAnsi="Arial"/>
                <w:sz w:val="20"/>
                <w:szCs w:val="20"/>
                <w:color w:val="auto"/>
                <w:w w:val="98"/>
              </w:rPr>
              <w:t>&lt;1%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5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left="1201"/>
              <w:spacing w:after="0"/>
              <w:rPr>
                <w:sz w:val="20"/>
                <w:szCs w:val="20"/>
                <w:color w:val="auto"/>
              </w:rPr>
            </w:pPr>
            <w:r>
              <w:rPr>
                <w:rFonts w:ascii="Arial" w:cs="Arial" w:eastAsia="Arial" w:hAnsi="Arial"/>
                <w:sz w:val="20"/>
                <w:szCs w:val="20"/>
                <w:color w:val="auto"/>
                <w:w w:val="99"/>
              </w:rPr>
              <w:t>90%</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left="901"/>
              <w:spacing w:after="0"/>
              <w:rPr>
                <w:sz w:val="20"/>
                <w:szCs w:val="20"/>
                <w:color w:val="auto"/>
              </w:rPr>
            </w:pPr>
            <w:r>
              <w:rPr>
                <w:rFonts w:ascii="Arial" w:cs="Arial" w:eastAsia="Arial" w:hAnsi="Arial"/>
                <w:sz w:val="20"/>
                <w:szCs w:val="20"/>
                <w:color w:val="auto"/>
                <w:w w:val="99"/>
              </w:rPr>
              <w:t>92%</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Pr>
          <w:p>
            <w:pPr>
              <w:ind w:left="20"/>
              <w:spacing w:after="0"/>
              <w:rPr>
                <w:sz w:val="20"/>
                <w:szCs w:val="20"/>
                <w:color w:val="auto"/>
              </w:rPr>
            </w:pPr>
            <w:r>
              <w:rPr>
                <w:rFonts w:ascii="Arial" w:cs="Arial" w:eastAsia="Arial" w:hAnsi="Arial"/>
                <w:sz w:val="20"/>
                <w:szCs w:val="20"/>
                <w:color w:val="auto"/>
              </w:rPr>
              <w:t>GAAP ETR</w:t>
            </w:r>
          </w:p>
        </w:tc>
        <w:tc>
          <w:tcPr>
            <w:tcW w:w="580" w:type="dxa"/>
            <w:vAlign w:val="bottom"/>
          </w:tcPr>
          <w:p>
            <w:pPr>
              <w:spacing w:after="0"/>
              <w:rPr>
                <w:sz w:val="22"/>
                <w:szCs w:val="22"/>
                <w:color w:val="auto"/>
              </w:rPr>
            </w:pPr>
          </w:p>
        </w:tc>
        <w:tc>
          <w:tcPr>
            <w:tcW w:w="1940" w:type="dxa"/>
            <w:vAlign w:val="bottom"/>
          </w:tcPr>
          <w:p>
            <w:pPr>
              <w:jc w:val="right"/>
              <w:ind w:right="21"/>
              <w:spacing w:after="0"/>
              <w:rPr>
                <w:sz w:val="20"/>
                <w:szCs w:val="20"/>
                <w:color w:val="auto"/>
              </w:rPr>
            </w:pPr>
            <w:r>
              <w:rPr>
                <w:rFonts w:ascii="Arial" w:cs="Arial" w:eastAsia="Arial" w:hAnsi="Arial"/>
                <w:sz w:val="20"/>
                <w:szCs w:val="20"/>
                <w:color w:val="auto"/>
              </w:rPr>
              <w:t>11%</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center"/>
              <w:ind w:left="901"/>
              <w:spacing w:after="0"/>
              <w:rPr>
                <w:sz w:val="20"/>
                <w:szCs w:val="20"/>
                <w:color w:val="auto"/>
              </w:rPr>
            </w:pPr>
            <w:r>
              <w:rPr>
                <w:rFonts w:ascii="Arial" w:cs="Arial" w:eastAsia="Arial" w:hAnsi="Arial"/>
                <w:sz w:val="20"/>
                <w:szCs w:val="20"/>
                <w:color w:val="auto"/>
                <w:w w:val="99"/>
              </w:rPr>
              <w:t>13%</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20"/>
              <w:spacing w:after="0" w:line="189" w:lineRule="exact"/>
              <w:rPr>
                <w:sz w:val="20"/>
                <w:szCs w:val="20"/>
                <w:color w:val="auto"/>
              </w:rPr>
            </w:pPr>
            <w:r>
              <w:rPr>
                <w:rFonts w:ascii="Arial" w:cs="Arial" w:eastAsia="Arial" w:hAnsi="Arial"/>
                <w:sz w:val="20"/>
                <w:szCs w:val="20"/>
                <w:color w:val="auto"/>
              </w:rPr>
              <w:t>Income tax effect of GAAP to non-GAAP reconciling</w:t>
            </w:r>
          </w:p>
        </w:tc>
        <w:tc>
          <w:tcPr>
            <w:tcW w:w="580" w:type="dxa"/>
            <w:vAlign w:val="bottom"/>
            <w:shd w:val="clear" w:color="auto" w:fill="CCEEFF"/>
          </w:tcPr>
          <w:p>
            <w:pPr>
              <w:spacing w:after="0"/>
              <w:rPr>
                <w:sz w:val="16"/>
                <w:szCs w:val="16"/>
                <w:color w:val="auto"/>
              </w:rPr>
            </w:pPr>
          </w:p>
        </w:tc>
        <w:tc>
          <w:tcPr>
            <w:tcW w:w="19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ind w:left="1021"/>
              <w:spacing w:after="0"/>
              <w:rPr>
                <w:sz w:val="20"/>
                <w:szCs w:val="20"/>
                <w:color w:val="auto"/>
              </w:rPr>
            </w:pPr>
            <w:r>
              <w:rPr>
                <w:rFonts w:ascii="Arial" w:cs="Arial" w:eastAsia="Arial" w:hAnsi="Arial"/>
                <w:sz w:val="20"/>
                <w:szCs w:val="20"/>
                <w:color w:val="auto"/>
                <w:w w:val="96"/>
              </w:rPr>
              <w:t>1%</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items and other</w:t>
            </w:r>
          </w:p>
        </w:tc>
        <w:tc>
          <w:tcPr>
            <w:tcW w:w="58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20"/>
                <w:szCs w:val="20"/>
                <w:color w:val="auto"/>
              </w:rPr>
              <w:t>Non-GAAP ETR</w:t>
            </w:r>
          </w:p>
        </w:tc>
        <w:tc>
          <w:tcPr>
            <w:tcW w:w="5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left="1201"/>
              <w:spacing w:after="0"/>
              <w:rPr>
                <w:sz w:val="20"/>
                <w:szCs w:val="20"/>
                <w:color w:val="auto"/>
              </w:rPr>
            </w:pPr>
            <w:r>
              <w:rPr>
                <w:rFonts w:ascii="Arial" w:cs="Arial" w:eastAsia="Arial" w:hAnsi="Arial"/>
                <w:sz w:val="20"/>
                <w:szCs w:val="20"/>
                <w:color w:val="auto"/>
                <w:w w:val="99"/>
              </w:rPr>
              <w:t>12%</w:t>
            </w:r>
          </w:p>
        </w:tc>
        <w:tc>
          <w:tcPr>
            <w:tcW w:w="1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left="901"/>
              <w:spacing w:after="0"/>
              <w:rPr>
                <w:sz w:val="20"/>
                <w:szCs w:val="20"/>
                <w:color w:val="auto"/>
              </w:rPr>
            </w:pPr>
            <w:r>
              <w:rPr>
                <w:rFonts w:ascii="Arial" w:cs="Arial" w:eastAsia="Arial" w:hAnsi="Arial"/>
                <w:sz w:val="20"/>
                <w:szCs w:val="20"/>
                <w:color w:val="auto"/>
                <w:w w:val="99"/>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300"/>
          </w:cols>
          <w:pgMar w:left="320" w:top="1045" w:right="1279" w:bottom="1440" w:gutter="0" w:footer="0" w:header="0"/>
        </w:sectPr>
      </w:pPr>
    </w:p>
    <w:bookmarkStart w:id="10" w:name="page11"/>
    <w:bookmarkEnd w:id="10"/>
    <w:p>
      <w:pPr>
        <w:ind w:left="394" w:right="60" w:hanging="394"/>
        <w:spacing w:after="0" w:line="216" w:lineRule="auto"/>
        <w:tabs>
          <w:tab w:leader="none" w:pos="394" w:val="left"/>
        </w:tabs>
        <w:numPr>
          <w:ilvl w:val="0"/>
          <w:numId w:val="17"/>
        </w:numPr>
        <w:rPr>
          <w:rFonts w:ascii="Arial" w:cs="Arial" w:eastAsia="Arial" w:hAnsi="Arial"/>
          <w:sz w:val="16"/>
          <w:szCs w:val="16"/>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This press release uses non-GAAP R&amp;D, non-GAAP SG&amp;A, non-GAAP COGS, non-GAAP gross margin on net product sales, non-GAAP other income (expense), net, non-GAAP effective tax rate, non-GAAP net income, non-GAAP net income per share, total revenues excluding REGEN-COV and Ronapreve,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171" w:lineRule="exact"/>
        <w:rPr>
          <w:rFonts w:ascii="Arial" w:cs="Arial" w:eastAsia="Arial" w:hAnsi="Arial"/>
          <w:sz w:val="16"/>
          <w:szCs w:val="16"/>
          <w:color w:val="auto"/>
        </w:rPr>
      </w:pPr>
    </w:p>
    <w:p>
      <w:pPr>
        <w:ind w:left="394" w:right="100"/>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restructuring-related expenses).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72" w:lineRule="exact"/>
        <w:rPr>
          <w:rFonts w:ascii="Arial" w:cs="Arial" w:eastAsia="Arial" w:hAnsi="Arial"/>
          <w:sz w:val="16"/>
          <w:szCs w:val="16"/>
          <w:color w:val="auto"/>
        </w:rPr>
      </w:pPr>
    </w:p>
    <w:p>
      <w:pPr>
        <w:ind w:left="394" w:right="260" w:hanging="394"/>
        <w:spacing w:after="0" w:line="227" w:lineRule="auto"/>
        <w:tabs>
          <w:tab w:leader="none" w:pos="394" w:val="left"/>
        </w:tabs>
        <w:numPr>
          <w:ilvl w:val="0"/>
          <w:numId w:val="17"/>
        </w:numPr>
        <w:rPr>
          <w:rFonts w:ascii="Arial" w:cs="Arial" w:eastAsia="Arial" w:hAnsi="Arial"/>
          <w:sz w:val="16"/>
          <w:szCs w:val="16"/>
          <w:color w:val="auto"/>
        </w:rPr>
      </w:pPr>
      <w:r>
        <w:rPr>
          <w:rFonts w:ascii="Arial" w:cs="Arial" w:eastAsia="Arial" w:hAnsi="Arial"/>
          <w:sz w:val="20"/>
          <w:szCs w:val="20"/>
          <w:color w:val="auto"/>
        </w:rPr>
        <w:t>The casirivimab and imdevimab antibody cocktail is known as REGEN-COV in the United States and Ronapreve in other countries. The Company records net product sales of REGEN-COV in the United States and Roche records net product sales of Ronapreve outside the United States.</w:t>
      </w:r>
    </w:p>
    <w:p>
      <w:pPr>
        <w:spacing w:after="0" w:line="49" w:lineRule="exact"/>
        <w:rPr>
          <w:rFonts w:ascii="Arial" w:cs="Arial" w:eastAsia="Arial" w:hAnsi="Arial"/>
          <w:sz w:val="16"/>
          <w:szCs w:val="16"/>
          <w:color w:val="auto"/>
        </w:rPr>
      </w:pPr>
    </w:p>
    <w:p>
      <w:pPr>
        <w:ind w:left="394" w:right="280" w:hanging="394"/>
        <w:spacing w:after="0" w:line="223" w:lineRule="auto"/>
        <w:tabs>
          <w:tab w:leader="none" w:pos="394" w:val="left"/>
        </w:tabs>
        <w:numPr>
          <w:ilvl w:val="0"/>
          <w:numId w:val="17"/>
        </w:numPr>
        <w:rPr>
          <w:rFonts w:ascii="Arial" w:cs="Arial" w:eastAsia="Arial" w:hAnsi="Arial"/>
          <w:sz w:val="16"/>
          <w:szCs w:val="16"/>
          <w:color w:val="auto"/>
        </w:rPr>
      </w:pPr>
      <w:r>
        <w:rPr>
          <w:rFonts w:ascii="Arial" w:cs="Arial" w:eastAsia="Arial" w:hAnsi="Arial"/>
          <w:sz w:val="20"/>
          <w:szCs w:val="20"/>
          <w:color w:val="auto"/>
        </w:rPr>
        <w:t>The Company's collaborators provide it with estimates of the collaborators' respective sales and the Company's share of the profits or losses (if applicable) from commercialization of products for the most recent fiscal quarter. These estimates are revised, if necessary, in subsequent periods if the Company's actual share of the profits or losses differ from those estimates.</w:t>
      </w:r>
    </w:p>
    <w:p>
      <w:pPr>
        <w:spacing w:after="0" w:line="49" w:lineRule="exact"/>
        <w:rPr>
          <w:rFonts w:ascii="Arial" w:cs="Arial" w:eastAsia="Arial" w:hAnsi="Arial"/>
          <w:sz w:val="16"/>
          <w:szCs w:val="16"/>
          <w:color w:val="auto"/>
        </w:rPr>
      </w:pPr>
    </w:p>
    <w:p>
      <w:pPr>
        <w:ind w:left="394" w:right="840" w:hanging="394"/>
        <w:spacing w:after="0" w:line="234" w:lineRule="auto"/>
        <w:tabs>
          <w:tab w:leader="none" w:pos="394" w:val="left"/>
        </w:tabs>
        <w:numPr>
          <w:ilvl w:val="0"/>
          <w:numId w:val="17"/>
        </w:numPr>
        <w:rPr>
          <w:rFonts w:ascii="Arial" w:cs="Arial" w:eastAsia="Arial" w:hAnsi="Arial"/>
          <w:sz w:val="16"/>
          <w:szCs w:val="16"/>
          <w:color w:val="auto"/>
        </w:rPr>
      </w:pPr>
      <w:r>
        <w:rPr>
          <w:rFonts w:ascii="Arial" w:cs="Arial" w:eastAsia="Arial" w:hAnsi="Arial"/>
          <w:sz w:val="20"/>
          <w:szCs w:val="20"/>
          <w:color w:val="auto"/>
        </w:rPr>
        <w:t>The Company's 2022 financial guidance does not assume the completion of any significant business development transactions not completed as of the date of this press release.</w:t>
      </w:r>
    </w:p>
    <w:p>
      <w:pPr>
        <w:spacing w:after="0" w:line="51" w:lineRule="exact"/>
        <w:rPr>
          <w:rFonts w:ascii="Arial" w:cs="Arial" w:eastAsia="Arial" w:hAnsi="Arial"/>
          <w:sz w:val="16"/>
          <w:szCs w:val="16"/>
          <w:color w:val="auto"/>
        </w:rPr>
      </w:pPr>
    </w:p>
    <w:p>
      <w:pPr>
        <w:ind w:left="394" w:hanging="394"/>
        <w:spacing w:after="0" w:line="234" w:lineRule="auto"/>
        <w:tabs>
          <w:tab w:leader="none" w:pos="394" w:val="left"/>
        </w:tabs>
        <w:numPr>
          <w:ilvl w:val="0"/>
          <w:numId w:val="17"/>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51" w:lineRule="exact"/>
        <w:rPr>
          <w:rFonts w:ascii="Arial" w:cs="Arial" w:eastAsia="Arial" w:hAnsi="Arial"/>
          <w:sz w:val="16"/>
          <w:szCs w:val="16"/>
          <w:color w:val="auto"/>
        </w:rPr>
      </w:pPr>
    </w:p>
    <w:p>
      <w:pPr>
        <w:ind w:left="394" w:right="140" w:hanging="394"/>
        <w:spacing w:after="0" w:line="234" w:lineRule="auto"/>
        <w:tabs>
          <w:tab w:leader="none" w:pos="394" w:val="left"/>
        </w:tabs>
        <w:numPr>
          <w:ilvl w:val="0"/>
          <w:numId w:val="17"/>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94"/>
          </w:cols>
          <w:pgMar w:left="346" w:top="1090" w:right="35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first quarter 2022 financial and operating results on Wednesday, May 4, 2022, at 8:30 AM Eastern Time. Participants may access the conference call live via webcast on the "Investors and Media" page of Regeneron's website at www.regeneron.com. To participate via telephone, please register in advance at http://www.directeventreg.com/registration/event/7327199.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154"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Regeneron is a leading biotechnology company that invents, develops, and commercializes life-transforming medicines for people with serious diseases. Founded and led for nearly 35 years by physician-scientists, Regeneron's unique ability to repeatedly and consistently translate science into medicine has led to numerous FDA-approved treatments and product candidates in development, almost all of which were homegrown in Regeneron's laboratories. Regeneron's medicines and pipeline are designed to help patients with eye diseases, allergic and inflammatory diseases, cancer, cardiovascular and metabolic diseases, pain, hematologic conditions, infectious diseases, and rare diseases.</w:t>
      </w:r>
    </w:p>
    <w:p>
      <w:pPr>
        <w:spacing w:after="0" w:line="113" w:lineRule="exact"/>
        <w:rPr>
          <w:sz w:val="20"/>
          <w:szCs w:val="20"/>
          <w:color w:val="auto"/>
        </w:rPr>
      </w:pPr>
    </w:p>
    <w:p>
      <w:pPr>
        <w:ind w:right="400"/>
        <w:spacing w:after="0" w:line="253"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24" w:lineRule="exact"/>
        <w:rPr>
          <w:sz w:val="20"/>
          <w:szCs w:val="20"/>
          <w:color w:val="auto"/>
        </w:rPr>
      </w:pPr>
    </w:p>
    <w:p>
      <w:pPr>
        <w:ind w:right="600"/>
        <w:spacing w:after="0" w:line="371" w:lineRule="auto"/>
        <w:rPr>
          <w:sz w:val="20"/>
          <w:szCs w:val="20"/>
          <w:color w:val="auto"/>
        </w:rPr>
      </w:pPr>
      <w:r>
        <w:rPr>
          <w:rFonts w:ascii="Arial" w:cs="Arial" w:eastAsia="Arial" w:hAnsi="Arial"/>
          <w:sz w:val="22"/>
          <w:szCs w:val="22"/>
          <w:color w:val="auto"/>
        </w:rPr>
        <w:t xml:space="preserve">For additional information about Regeneron, please visit www.regeneron.com or follow @Regeneron on Twitter. </w:t>
      </w:r>
      <w:r>
        <w:rPr>
          <w:rFonts w:ascii="Arial" w:cs="Arial" w:eastAsia="Arial" w:hAnsi="Arial"/>
          <w:sz w:val="22"/>
          <w:szCs w:val="22"/>
          <w:b w:val="1"/>
          <w:bCs w:val="1"/>
          <w:color w:val="auto"/>
        </w:rPr>
        <w:t>Forward-Looking Statements and Use of Digital Media</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 and research and clinical programs now underway or planned,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Inmazeb</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(atoltivimab, maftivimab, and odesivimab-ebgn), fasinumab, REGEN-COV</w:t>
      </w:r>
      <w:r>
        <w:rPr>
          <w:rFonts w:ascii="Arial" w:cs="Arial" w:eastAsia="Arial" w:hAnsi="Arial"/>
          <w:sz w:val="28"/>
          <w:szCs w:val="28"/>
          <w:b w:val="1"/>
          <w:bCs w:val="1"/>
          <w:color w:val="auto"/>
          <w:vertAlign w:val="superscript"/>
        </w:rPr>
        <w: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43" w:right="339" w:bottom="1440" w:gutter="0" w:footer="0" w:header="0"/>
        </w:sectPr>
      </w:pPr>
    </w:p>
    <w:bookmarkStart w:id="12" w:name="page13"/>
    <w:bookmarkEnd w:id="12"/>
    <w:p>
      <w:pPr>
        <w:spacing w:after="0" w:line="253" w:lineRule="auto"/>
        <w:rPr>
          <w:sz w:val="20"/>
          <w:szCs w:val="20"/>
          <w:color w:val="auto"/>
        </w:rPr>
      </w:pPr>
      <w:r>
        <w:rPr>
          <w:rFonts w:ascii="Arial" w:cs="Arial" w:eastAsia="Arial" w:hAnsi="Arial"/>
          <w:sz w:val="20"/>
          <w:szCs w:val="20"/>
          <w:color w:val="auto"/>
        </w:rPr>
        <w:t>(casirivimab and imdevimab), aflibercept 8 mg, pozelimab, odronextamab, itepekimab, fianlimab, REGN5458, REGN5713-5714-5715, REGN1908-1909, Regeneron's other oncology programs (including its costimulatory bispecific portfolio),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other operating (income) expense, net, capital expenditures, and GAAP and non-GAAP effective tax rate; the potential for any license or collaboration agreement, including Regeneron's agreements with Sanofi, Bayer, and Teva Pharmaceutical Industries Ltd. (or their respective affiliated companies, as applicable), as well as Regeneron's agreement with Roche relating to the casirivimab and imdevimab antibody cocktail (known as REGEN-COV in the United States and Ronapreve</w:t>
      </w:r>
      <w:r>
        <w:rPr>
          <w:rFonts w:ascii="Arial" w:cs="Arial" w:eastAsia="Arial" w:hAnsi="Arial"/>
          <w:sz w:val="11"/>
          <w:szCs w:val="11"/>
          <w:color w:val="auto"/>
        </w:rPr>
        <w:t>TM</w:t>
      </w:r>
      <w:r>
        <w:rPr>
          <w:rFonts w:ascii="Arial" w:cs="Arial" w:eastAsia="Arial" w:hAnsi="Arial"/>
          <w:sz w:val="20"/>
          <w:szCs w:val="20"/>
          <w:color w:val="auto"/>
        </w:rPr>
        <w:t xml:space="preserve"> in other countries), to be cancelled or terminated; the likelihood that any planned or future acquisitions, business combinations, or other related transactions, such as Regeneron's planned acquisition of Checkmate Pharmaceuticals, Inc. discussed in this press release, will close within the expected time period or at all and whether and to what extent Regeneron will realize any anticipated benefits of any such transaction; and risks associated with intellectual property of other parties and pending or future litigation relating thereto (including without limitation the patent litigation and other related proceedings relating to EYLEA, Dupixent, Praluent, and REGEN-COV),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883" w:right="359" w:bottom="1440" w:gutter="0" w:footer="0" w:header="0"/>
        </w:sectPr>
      </w:pPr>
    </w:p>
    <w:bookmarkStart w:id="13" w:name="page14"/>
    <w:bookmarkEnd w:id="13"/>
    <w:p>
      <w:pPr>
        <w:spacing w:after="0" w:line="233" w:lineRule="auto"/>
        <w:rPr>
          <w:sz w:val="20"/>
          <w:szCs w:val="20"/>
          <w:color w:val="auto"/>
        </w:rPr>
      </w:pPr>
      <w:r>
        <w:rPr>
          <w:rFonts w:ascii="Arial" w:cs="Arial" w:eastAsia="Arial" w:hAnsi="Arial"/>
          <w:sz w:val="22"/>
          <w:szCs w:val="22"/>
          <w:color w:val="auto"/>
        </w:rPr>
        <w:t>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2021 and its Form 10-Q for the quarterly period ended March 31, 2022.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28"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00"/>
          </w:cols>
          <w:pgMar w:left="320" w:top="883" w:right="379" w:bottom="1440" w:gutter="0" w:footer="0" w:header="0"/>
        </w:sectPr>
      </w:pP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380"/>
          </w:cols>
          <w:pgMar w:left="320" w:top="883" w:right="37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883" w:right="3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TABLE 1</w:t>
      </w:r>
    </w:p>
    <w:p>
      <w:pPr>
        <w:spacing w:after="0" w:line="248"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marketable securities</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12,532.7</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0" w:type="dxa"/>
            <w:vAlign w:val="bottom"/>
          </w:tcPr>
          <w:p>
            <w:pPr>
              <w:spacing w:after="0"/>
              <w:rPr>
                <w:sz w:val="1"/>
                <w:szCs w:val="1"/>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3,482.2</w:t>
            </w:r>
          </w:p>
        </w:tc>
        <w:tc>
          <w:tcPr>
            <w:tcW w:w="0" w:type="dxa"/>
            <w:vAlign w:val="bottom"/>
          </w:tcPr>
          <w:p>
            <w:pPr>
              <w:spacing w:after="0"/>
              <w:rPr>
                <w:sz w:val="1"/>
                <w:szCs w:val="1"/>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25,434.8</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3,451.0</w:t>
            </w:r>
          </w:p>
        </w:tc>
        <w:tc>
          <w:tcPr>
            <w:tcW w:w="0" w:type="dxa"/>
            <w:vAlign w:val="bottom"/>
          </w:tcPr>
          <w:p>
            <w:pPr>
              <w:spacing w:after="0"/>
              <w:rPr>
                <w:sz w:val="1"/>
                <w:szCs w:val="1"/>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0" w:type="dxa"/>
            <w:vAlign w:val="bottom"/>
          </w:tcPr>
          <w:p>
            <w:pPr>
              <w:spacing w:after="0"/>
              <w:rPr>
                <w:sz w:val="1"/>
                <w:szCs w:val="1"/>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Stockholders' equity</w:t>
            </w:r>
          </w:p>
        </w:tc>
        <w:tc>
          <w:tcPr>
            <w:tcW w:w="2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18,768.8</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25,434.8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0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6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320" w:top="891" w:right="9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TABLE 2</w:t>
      </w:r>
    </w:p>
    <w:p>
      <w:pPr>
        <w:spacing w:after="0" w:line="248" w:lineRule="exact"/>
        <w:rPr>
          <w:sz w:val="20"/>
          <w:szCs w:val="20"/>
          <w:color w:val="auto"/>
        </w:rPr>
      </w:pPr>
    </w:p>
    <w:p>
      <w:pPr>
        <w:jc w:val="center"/>
        <w:ind w:left="1340" w:right="142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REGENERON PHARMACEUTICALS, INC. CONDENSED CONSOLIDATED STATEMENTS OF OPERATIONS (Unaudited) </w:t>
      </w:r>
      <w:r>
        <w:rPr>
          <w:rFonts w:ascii="Times New Roman" w:cs="Times New Roman" w:eastAsia="Times New Roman" w:hAnsi="Times New Roman"/>
          <w:sz w:val="18"/>
          <w:szCs w:val="18"/>
          <w:b w:val="1"/>
          <w:bCs w:val="1"/>
          <w:i w:val="1"/>
          <w:iCs w:val="1"/>
          <w:color w:val="auto"/>
        </w:rPr>
        <w:t>(In millions, except per share data)</w:t>
      </w:r>
    </w:p>
    <w:p>
      <w:pPr>
        <w:ind w:left="8180"/>
        <w:spacing w:after="0" w:line="231" w:lineRule="auto"/>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1"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1020" w:type="dxa"/>
        <w:tblCellMar>
          <w:top w:w="0" w:type="dxa"/>
          <w:left w:w="0" w:type="dxa"/>
          <w:bottom w:w="0" w:type="dxa"/>
          <w:right w:w="0" w:type="dxa"/>
        </w:tblCellMar>
      </w:tblPr>
      <w:tr>
        <w:trPr>
          <w:trHeight w:val="236"/>
        </w:trPr>
        <w:tc>
          <w:tcPr>
            <w:tcW w:w="67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1,724.3</w:t>
            </w:r>
          </w:p>
        </w:tc>
      </w:tr>
      <w:tr>
        <w:trPr>
          <w:trHeight w:val="22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r>
      <w:tr>
        <w:trPr>
          <w:trHeight w:val="230"/>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67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w:t>
            </w: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r>
      <w:tr>
        <w:trPr>
          <w:trHeight w:val="230"/>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r>
      <w:tr>
        <w:trPr>
          <w:trHeight w:val="229"/>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30"/>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29"/>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3"/>
        </w:trPr>
        <w:tc>
          <w:tcPr>
            <w:tcW w:w="67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w:t>
            </w:r>
          </w:p>
        </w:tc>
      </w:tr>
      <w:tr>
        <w:trPr>
          <w:trHeight w:val="250"/>
        </w:trPr>
        <w:tc>
          <w:tcPr>
            <w:tcW w:w="6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r>
      <w:tr>
        <w:trPr>
          <w:trHeight w:val="270"/>
        </w:trPr>
        <w:tc>
          <w:tcPr>
            <w:tcW w:w="6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230"/>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6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50"/>
        </w:trPr>
        <w:tc>
          <w:tcPr>
            <w:tcW w:w="6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w:t>
            </w:r>
          </w:p>
        </w:tc>
      </w:tr>
      <w:tr>
        <w:trPr>
          <w:trHeight w:val="270"/>
        </w:trPr>
        <w:tc>
          <w:tcPr>
            <w:tcW w:w="6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50"/>
        </w:trPr>
        <w:tc>
          <w:tcPr>
            <w:tcW w:w="6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6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70"/>
        </w:trPr>
        <w:tc>
          <w:tcPr>
            <w:tcW w:w="6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220"/>
          </w:cols>
          <w:pgMar w:left="320" w:top="891" w:right="1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TABLE 3</w:t>
      </w:r>
    </w:p>
    <w:p>
      <w:pPr>
        <w:spacing w:after="0" w:line="2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 (Unaudited)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p>
      <w:pPr>
        <w:spacing w:after="0" w:line="2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84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1240" w:type="dxa"/>
        <w:tblCellMar>
          <w:top w:w="0" w:type="dxa"/>
          <w:left w:w="0" w:type="dxa"/>
          <w:bottom w:w="0" w:type="dxa"/>
          <w:right w:w="0" w:type="dxa"/>
        </w:tblCellMar>
      </w:tblPr>
      <w:tr>
        <w:trPr>
          <w:trHeight w:val="236"/>
        </w:trPr>
        <w:tc>
          <w:tcPr>
            <w:tcW w:w="63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R&amp;D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r>
      <w:tr>
        <w:trPr>
          <w:trHeight w:val="229"/>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R&amp;D: Stock-based compensation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48"/>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R&amp;D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2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SG&amp;A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r>
      <w:tr>
        <w:trPr>
          <w:trHeight w:val="230"/>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SG&amp;A: Stock-based compensation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48"/>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SG&amp;A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3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COGS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29"/>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COGS: Stock-based compensation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COGS: Charges related to REGEN-COV</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Non-GAAP COGS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5"/>
        </w:trPr>
        <w:tc>
          <w:tcPr>
            <w:tcW w:w="63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GAAP other income (expense),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43"/>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income/expense: Losses (gains) on investments</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Non-GAAP other income (expense),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5"/>
        </w:trPr>
        <w:tc>
          <w:tcPr>
            <w:tcW w:w="63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of GAAP to non-GAAP reconciling items above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effect of GAAP to non-GAAP reconciling items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8"/>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3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108"/>
        </w:trPr>
        <w:tc>
          <w:tcPr>
            <w:tcW w:w="63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Shares used in calculating:</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139"/>
          </w:cols>
          <w:pgMar w:left="320" w:top="891"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RECONCILIATION OF GAAP TO NON-GAAP FINANCIAL INFORMATION (Unaudited) </w:t>
      </w:r>
      <w:r>
        <w:rPr>
          <w:rFonts w:ascii="Times New Roman" w:cs="Times New Roman" w:eastAsia="Times New Roman" w:hAnsi="Times New Roman"/>
          <w:sz w:val="18"/>
          <w:szCs w:val="18"/>
          <w:b w:val="1"/>
          <w:bCs w:val="1"/>
          <w:i w:val="1"/>
          <w:iCs w:val="1"/>
          <w:color w:val="auto"/>
        </w:rPr>
        <w:t>(continued)</w:t>
      </w:r>
    </w:p>
    <w:p>
      <w:pPr>
        <w:spacing w:after="0" w:line="285"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63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6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Revenue reconciliation: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2,965.1</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REGEN-COV net product sales in the United States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Global gross profit payment from Roche in connection with sales of Ronapreve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excluding REGEN-COV and Ronapreve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2,748.8</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GAAP effective tax rate</w:t>
            </w: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effect of GAAP to non-GAAP reconciling items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Non-GAAP effective tax rate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Free cash flow reconciliation:</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1,959.9</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430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6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30"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TABLE 4</w:t>
      </w:r>
    </w:p>
    <w:p>
      <w:pPr>
        <w:spacing w:after="0" w:line="2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COLLABORATION REVENUE (Unaudited)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0"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63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1240" w:type="dxa"/>
        <w:tblCellMar>
          <w:top w:w="0" w:type="dxa"/>
          <w:left w:w="0" w:type="dxa"/>
          <w:bottom w:w="0" w:type="dxa"/>
          <w:right w:w="0" w:type="dxa"/>
        </w:tblCellMar>
      </w:tblPr>
      <w:tr>
        <w:trPr>
          <w:trHeight w:val="236"/>
        </w:trPr>
        <w:tc>
          <w:tcPr>
            <w:tcW w:w="63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Antibody:</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antibodies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29"/>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Sales-based milestone earned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30"/>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Immuno-oncology:</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5"/>
        </w:trPr>
        <w:tc>
          <w:tcPr>
            <w:tcW w:w="63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Regeneron's share of profits (losses) in connection with commercialization of</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6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Libtayo outside the United States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Reimbursement for manufacturing of ex-U.S. commercial supplies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r>
      <w:tr>
        <w:trPr>
          <w:trHeight w:val="250"/>
        </w:trPr>
        <w:tc>
          <w:tcPr>
            <w:tcW w:w="6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6"/>
        </w:trPr>
        <w:tc>
          <w:tcPr>
            <w:tcW w:w="63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r>
      <w:tr>
        <w:trPr>
          <w:trHeight w:val="230"/>
        </w:trPr>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Reimbursement for manufacturing of ex-U.S. commercial supplies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63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One-time payment in connection with change in Japan arrangement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250"/>
        </w:trPr>
        <w:tc>
          <w:tcPr>
            <w:tcW w:w="6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Roche collaboration revenue: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Global gross profit payment from Roche in connection with sales of Ronapreve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70"/>
        </w:trPr>
        <w:tc>
          <w:tcPr>
            <w:tcW w:w="63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139"/>
          </w:cols>
          <w:pgMar w:left="320" w:top="891"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5</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7"/>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gridSpan w:val="9"/>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40" w:type="dxa"/>
            <w:vAlign w:val="bottom"/>
            <w:gridSpan w:val="20"/>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NET PRODUCT SALES OF REGENERON-DISCOVERED PRODUCTS (Unaudited)</w:t>
            </w:r>
          </w:p>
        </w:tc>
        <w:tc>
          <w:tcPr>
            <w:tcW w:w="142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8"/>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ROW</w:t>
            </w:r>
          </w:p>
        </w:tc>
        <w:tc>
          <w:tcPr>
            <w:tcW w:w="18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ROW</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Sales)</w:t>
            </w:r>
          </w:p>
        </w:tc>
      </w:tr>
      <w:tr>
        <w:trPr>
          <w:trHeight w:val="223"/>
        </w:trPr>
        <w:tc>
          <w:tcPr>
            <w:tcW w:w="40" w:type="dxa"/>
            <w:vAlign w:val="bottom"/>
          </w:tcPr>
          <w:p>
            <w:pPr>
              <w:spacing w:after="0"/>
              <w:rPr>
                <w:sz w:val="19"/>
                <w:szCs w:val="19"/>
                <w:color w:val="auto"/>
              </w:rPr>
            </w:pPr>
          </w:p>
        </w:tc>
        <w:tc>
          <w:tcPr>
            <w:tcW w:w="17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7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94" w:lineRule="exact"/>
        <w:rPr>
          <w:sz w:val="20"/>
          <w:szCs w:val="20"/>
          <w:color w:val="auto"/>
        </w:rPr>
      </w:pPr>
    </w:p>
    <w:p>
      <w:pPr>
        <w:jc w:val="both"/>
        <w:ind w:left="260" w:right="120" w:firstLine="2"/>
        <w:spacing w:after="0" w:line="201" w:lineRule="auto"/>
        <w:tabs>
          <w:tab w:leader="none" w:pos="345"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January 1, 2022, the Company and Bayer commenced sharing equally in profits and losses based on sales from Bayer to its distributor in Japan. Previously, the Company received from Bayer a tiered percentage of sales based on sales by Bayer's distributor in Japan. Consequently, the prior year net product sales amount has been revised for comparability purposes.</w:t>
      </w:r>
    </w:p>
    <w:p>
      <w:pPr>
        <w:spacing w:after="0" w:line="10" w:lineRule="exact"/>
        <w:rPr>
          <w:sz w:val="20"/>
          <w:szCs w:val="20"/>
          <w:color w:val="auto"/>
        </w:rPr>
      </w:pPr>
    </w:p>
    <w:p>
      <w:pPr>
        <w:ind w:left="260" w:right="140" w:firstLine="2"/>
        <w:spacing w:after="0" w:line="204" w:lineRule="auto"/>
        <w:tabs>
          <w:tab w:leader="none" w:pos="43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6" w:lineRule="exact"/>
        <w:rPr>
          <w:rFonts w:ascii="Times New Roman" w:cs="Times New Roman" w:eastAsia="Times New Roman" w:hAnsi="Times New Roman"/>
          <w:sz w:val="22"/>
          <w:szCs w:val="22"/>
          <w:color w:val="auto"/>
          <w:vertAlign w:val="superscript"/>
        </w:rPr>
      </w:pPr>
    </w:p>
    <w:p>
      <w:pPr>
        <w:ind w:left="260" w:right="280" w:firstLine="2"/>
        <w:spacing w:after="0" w:line="204" w:lineRule="auto"/>
        <w:tabs>
          <w:tab w:leader="none" w:pos="437"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records global net product sales of Dupixent and Kevzara. The Company records its share of profits/losses in connection with global sales of Dupixent and Kevzara.</w:t>
      </w:r>
    </w:p>
    <w:p>
      <w:pPr>
        <w:spacing w:after="0" w:line="6" w:lineRule="exact"/>
        <w:rPr>
          <w:rFonts w:ascii="Times New Roman" w:cs="Times New Roman" w:eastAsia="Times New Roman" w:hAnsi="Times New Roman"/>
          <w:sz w:val="22"/>
          <w:szCs w:val="22"/>
          <w:color w:val="auto"/>
          <w:vertAlign w:val="superscript"/>
        </w:rPr>
      </w:pPr>
    </w:p>
    <w:p>
      <w:pPr>
        <w:ind w:left="260" w:right="320" w:firstLine="2"/>
        <w:spacing w:after="0" w:line="204" w:lineRule="auto"/>
        <w:tabs>
          <w:tab w:leader="none" w:pos="43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Libtayo in the United States and Sanofi records net product sales of Libtayo outside the United States. The parties equally share profits/losses in connection with global sales of Libtayo.</w:t>
      </w:r>
    </w:p>
    <w:p>
      <w:pPr>
        <w:spacing w:after="0" w:line="6" w:lineRule="exact"/>
        <w:rPr>
          <w:rFonts w:ascii="Times New Roman" w:cs="Times New Roman" w:eastAsia="Times New Roman" w:hAnsi="Times New Roman"/>
          <w:sz w:val="22"/>
          <w:szCs w:val="22"/>
          <w:color w:val="auto"/>
          <w:vertAlign w:val="superscript"/>
        </w:rPr>
      </w:pPr>
    </w:p>
    <w:p>
      <w:pPr>
        <w:ind w:left="260" w:right="160" w:firstLine="2"/>
        <w:spacing w:after="0" w:line="204" w:lineRule="auto"/>
        <w:tabs>
          <w:tab w:leader="none" w:pos="437"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Praluent in the United States. Sanofi records net product sales of Praluent outside the United States and pays the Company a royalty on such sales.</w:t>
      </w:r>
    </w:p>
    <w:p>
      <w:pPr>
        <w:spacing w:after="0" w:line="6" w:lineRule="exact"/>
        <w:rPr>
          <w:rFonts w:ascii="Times New Roman" w:cs="Times New Roman" w:eastAsia="Times New Roman" w:hAnsi="Times New Roman"/>
          <w:sz w:val="22"/>
          <w:szCs w:val="22"/>
          <w:color w:val="auto"/>
          <w:vertAlign w:val="superscript"/>
        </w:rPr>
      </w:pPr>
    </w:p>
    <w:p>
      <w:pPr>
        <w:ind w:left="260" w:right="200" w:firstLine="2"/>
        <w:spacing w:after="0" w:line="204" w:lineRule="auto"/>
        <w:tabs>
          <w:tab w:leader="none" w:pos="43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REGEN-COV in connection with its agreements with the U.S. government. Roche records net product sales of the antibody cocktail outside the United States and the parties share gross profits from global sales based on a pre-specified formula.</w:t>
      </w:r>
    </w:p>
    <w:p>
      <w:pPr>
        <w:spacing w:after="0" w:line="6" w:lineRule="exact"/>
        <w:rPr>
          <w:rFonts w:ascii="Times New Roman" w:cs="Times New Roman" w:eastAsia="Times New Roman" w:hAnsi="Times New Roman"/>
          <w:sz w:val="22"/>
          <w:szCs w:val="22"/>
          <w:color w:val="auto"/>
          <w:vertAlign w:val="superscript"/>
        </w:rPr>
      </w:pPr>
    </w:p>
    <w:p>
      <w:pPr>
        <w:jc w:val="both"/>
        <w:ind w:left="260" w:right="120" w:firstLine="2"/>
        <w:spacing w:after="0" w:line="202" w:lineRule="auto"/>
        <w:tabs>
          <w:tab w:leader="none" w:pos="417"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Included in this line item are products which are sold by the Company and others. Refer to Financial Results section above for a complete listing of net product sales recorded by the Company. In addition, not included in this line item are net product sales of ARCALYST subsequent to the first quarter of 2021, which are recorded by Kiniksa; net product sales of ARCALYST were $18.7 million for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lvl w:ilvl="1">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2022-05-04T06:10:59Z</dcterms:created>
  <dcterms:modified xsi:type="dcterms:W3CDTF">2022-05-04T06:10:59Z</dcterms:modified>
</cp:coreProperties>
</file>